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32FC6D44" wp14:editId="18F88C2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08246E" w:rsidRPr="00BC2239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8A2F37">
        <w:rPr>
          <w:rFonts w:ascii="Times New Roman" w:hAnsi="Times New Roman"/>
          <w:b/>
          <w:i w:val="0"/>
          <w:sz w:val="22"/>
          <w:szCs w:val="22"/>
          <w:lang w:val="pt-BR"/>
        </w:rPr>
        <w:t>42</w:t>
      </w:r>
    </w:p>
    <w:p w:rsidR="00C61626" w:rsidRPr="003A0B0D" w:rsidRDefault="00681D6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720CF9">
        <w:rPr>
          <w:rFonts w:ascii="Times New Roman" w:hAnsi="Times New Roman"/>
          <w:b/>
          <w:i w:val="0"/>
          <w:sz w:val="22"/>
          <w:szCs w:val="22"/>
          <w:lang w:val="pt-BR"/>
        </w:rPr>
        <w:t>12</w:t>
      </w:r>
      <w:r w:rsidR="00BC223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720CF9">
        <w:rPr>
          <w:rFonts w:ascii="Times New Roman" w:hAnsi="Times New Roman"/>
          <w:b/>
          <w:i w:val="0"/>
          <w:sz w:val="22"/>
          <w:szCs w:val="22"/>
          <w:lang w:val="pt-BR"/>
        </w:rPr>
        <w:t>13</w:t>
      </w:r>
      <w:r w:rsidR="000A683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6E10BA">
        <w:rPr>
          <w:rFonts w:ascii="Times New Roman" w:hAnsi="Times New Roman"/>
          <w:b/>
          <w:i w:val="0"/>
          <w:sz w:val="22"/>
          <w:szCs w:val="22"/>
          <w:lang w:val="pt-BR"/>
        </w:rPr>
        <w:t>maio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08246E" w:rsidRPr="003A0B0D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A0B0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3A0B0D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0B2C79" w:rsidRPr="000B2C79" w:rsidRDefault="0008246E" w:rsidP="00D010A0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3A0B0D">
        <w:rPr>
          <w:b/>
          <w:sz w:val="22"/>
          <w:szCs w:val="22"/>
          <w:lang w:eastAsia="pt-BR"/>
        </w:rPr>
        <w:t>Plenário</w:t>
      </w:r>
    </w:p>
    <w:p w:rsidR="00373F9C" w:rsidRPr="00373F9C" w:rsidRDefault="00373F9C" w:rsidP="00D010A0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373F9C">
        <w:rPr>
          <w:iCs/>
          <w:sz w:val="22"/>
          <w:szCs w:val="22"/>
        </w:rPr>
        <w:t>1. Inexistindo determinação do TCU n</w:t>
      </w:r>
      <w:r w:rsidR="00CF4C8C">
        <w:rPr>
          <w:iCs/>
          <w:sz w:val="22"/>
          <w:szCs w:val="22"/>
        </w:rPr>
        <w:t>este sentido, é ilegal a paralis</w:t>
      </w:r>
      <w:r w:rsidRPr="00373F9C">
        <w:rPr>
          <w:iCs/>
          <w:sz w:val="22"/>
          <w:szCs w:val="22"/>
        </w:rPr>
        <w:t xml:space="preserve">ação da execução contratual unilateralmente pela contratada, sob o pretexto de que aguarda decisão de mérito em processo de fiscalização em trâmite no Tribunal. </w:t>
      </w:r>
    </w:p>
    <w:p w:rsidR="000B2C79" w:rsidRPr="000B2C79" w:rsidRDefault="000B2C79" w:rsidP="00D010A0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2. </w:t>
      </w:r>
      <w:r w:rsidRPr="000B2C79">
        <w:rPr>
          <w:sz w:val="22"/>
          <w:szCs w:val="22"/>
          <w:lang w:eastAsia="pt-BR"/>
        </w:rPr>
        <w:t xml:space="preserve">O preço do serviço de </w:t>
      </w:r>
      <w:proofErr w:type="spellStart"/>
      <w:r w:rsidRPr="000B2C79">
        <w:rPr>
          <w:sz w:val="22"/>
          <w:szCs w:val="22"/>
          <w:lang w:eastAsia="pt-BR"/>
        </w:rPr>
        <w:t>degravação</w:t>
      </w:r>
      <w:proofErr w:type="spellEnd"/>
      <w:r w:rsidRPr="000B2C79">
        <w:rPr>
          <w:sz w:val="22"/>
          <w:szCs w:val="22"/>
          <w:lang w:eastAsia="pt-BR"/>
        </w:rPr>
        <w:t xml:space="preserve"> deve ser cotado com base no resultado, ou seja, no quantitativo de horas efetivamente </w:t>
      </w:r>
      <w:proofErr w:type="spellStart"/>
      <w:r w:rsidRPr="000B2C79">
        <w:rPr>
          <w:sz w:val="22"/>
          <w:szCs w:val="22"/>
          <w:lang w:eastAsia="pt-BR"/>
        </w:rPr>
        <w:t>degravadas</w:t>
      </w:r>
      <w:proofErr w:type="spellEnd"/>
      <w:r w:rsidRPr="000B2C79">
        <w:rPr>
          <w:sz w:val="22"/>
          <w:szCs w:val="22"/>
          <w:lang w:eastAsia="pt-BR"/>
        </w:rPr>
        <w:t xml:space="preserve">, e não no tempo necessário para a realização do serviço de </w:t>
      </w:r>
      <w:proofErr w:type="spellStart"/>
      <w:r w:rsidRPr="000B2C79">
        <w:rPr>
          <w:sz w:val="22"/>
          <w:szCs w:val="22"/>
          <w:lang w:eastAsia="pt-BR"/>
        </w:rPr>
        <w:t>degravação</w:t>
      </w:r>
      <w:proofErr w:type="spellEnd"/>
      <w:r w:rsidRPr="000B2C79">
        <w:rPr>
          <w:sz w:val="22"/>
          <w:szCs w:val="22"/>
          <w:lang w:eastAsia="pt-BR"/>
        </w:rPr>
        <w:t>, sob pena de se estabelecer sistemática em que quanto mais lento o serviço, maior a remuneração.</w:t>
      </w:r>
    </w:p>
    <w:p w:rsidR="000B2C79" w:rsidRPr="000B2C79" w:rsidRDefault="000B2C79" w:rsidP="00D010A0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3. </w:t>
      </w:r>
      <w:r w:rsidRPr="000B2C79">
        <w:rPr>
          <w:sz w:val="22"/>
          <w:szCs w:val="22"/>
          <w:lang w:eastAsia="pt-BR"/>
        </w:rPr>
        <w:t>No Sistema de Registro de Preços, não cabe ao órgão gerenciador a verificação da vantagem da adesão de cada interessado. C</w:t>
      </w:r>
      <w:r w:rsidR="00754C24">
        <w:rPr>
          <w:sz w:val="22"/>
          <w:szCs w:val="22"/>
          <w:lang w:eastAsia="pt-BR"/>
        </w:rPr>
        <w:t xml:space="preserve">ompete ao órgão ou entidade não </w:t>
      </w:r>
      <w:r w:rsidRPr="000B2C79">
        <w:rPr>
          <w:sz w:val="22"/>
          <w:szCs w:val="22"/>
          <w:lang w:eastAsia="pt-BR"/>
        </w:rPr>
        <w:t>participante utilizar os preços previstos na ata combinados com os quantitativos da contratação que pretende realizar para avaliar e demonstrar a economicidade de sua adesão.</w:t>
      </w:r>
    </w:p>
    <w:p w:rsidR="007B6E2E" w:rsidRPr="007B6E2E" w:rsidRDefault="007B6E2E" w:rsidP="00D010A0">
      <w:pPr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Segunda </w:t>
      </w:r>
      <w:r w:rsidRPr="007B6E2E">
        <w:rPr>
          <w:b/>
          <w:sz w:val="22"/>
          <w:szCs w:val="22"/>
          <w:lang w:eastAsia="pt-BR"/>
        </w:rPr>
        <w:t>Câmara</w:t>
      </w:r>
    </w:p>
    <w:p w:rsidR="00E84687" w:rsidRPr="00E84687" w:rsidRDefault="00697532" w:rsidP="00E84687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4</w:t>
      </w:r>
      <w:r w:rsidR="00E84687" w:rsidRPr="00E84687">
        <w:rPr>
          <w:sz w:val="22"/>
          <w:szCs w:val="22"/>
          <w:lang w:eastAsia="pt-BR"/>
        </w:rPr>
        <w:t>. A licitação é a regra, mesmo para as empresas estatais submetidas a regime jurídic</w:t>
      </w:r>
      <w:r>
        <w:rPr>
          <w:sz w:val="22"/>
          <w:szCs w:val="22"/>
          <w:lang w:eastAsia="pt-BR"/>
        </w:rPr>
        <w:t xml:space="preserve">o próprio das empresas privadas </w:t>
      </w:r>
      <w:r w:rsidR="00E84687" w:rsidRPr="00E84687">
        <w:rPr>
          <w:sz w:val="22"/>
          <w:szCs w:val="22"/>
          <w:lang w:eastAsia="pt-BR"/>
        </w:rPr>
        <w:t>(art. 173, § 1º, inciso II, da Constituição Federal), inclusive em sua área finalística, e só pode ser afastada em situações nas quais for demonstrada a existência de obstáculos negociais, com efetivo prejuízo às atividades da estatal, que impossibilitem a licitação.</w:t>
      </w:r>
    </w:p>
    <w:p w:rsidR="00C8427A" w:rsidRPr="00A15241" w:rsidRDefault="00C8427A" w:rsidP="00D010A0">
      <w:pPr>
        <w:spacing w:after="60"/>
        <w:ind w:left="0"/>
        <w:rPr>
          <w:sz w:val="22"/>
          <w:szCs w:val="22"/>
          <w:lang w:eastAsia="pt-BR"/>
        </w:rPr>
      </w:pPr>
    </w:p>
    <w:p w:rsidR="000B62EA" w:rsidRDefault="0008246E" w:rsidP="00D7640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:rsidR="00BB28BF" w:rsidRDefault="00BB28BF" w:rsidP="00D7640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0B2C79" w:rsidRPr="00884B42" w:rsidRDefault="000B2C79" w:rsidP="000B2C79">
      <w:pPr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884B42">
        <w:rPr>
          <w:b/>
          <w:iCs/>
          <w:sz w:val="22"/>
          <w:szCs w:val="22"/>
        </w:rPr>
        <w:t xml:space="preserve">1. </w:t>
      </w:r>
      <w:r w:rsidR="00373F9C" w:rsidRPr="00884B42">
        <w:rPr>
          <w:b/>
          <w:iCs/>
          <w:sz w:val="22"/>
          <w:szCs w:val="22"/>
        </w:rPr>
        <w:t>Inexistindo determinação do TCU neste sentido, é</w:t>
      </w:r>
      <w:r w:rsidRPr="00884B42">
        <w:rPr>
          <w:b/>
          <w:iCs/>
          <w:sz w:val="22"/>
          <w:szCs w:val="22"/>
        </w:rPr>
        <w:t xml:space="preserve"> </w:t>
      </w:r>
      <w:r w:rsidR="00CF4C8C">
        <w:rPr>
          <w:b/>
          <w:iCs/>
          <w:sz w:val="22"/>
          <w:szCs w:val="22"/>
        </w:rPr>
        <w:t>ilegal a paralis</w:t>
      </w:r>
      <w:bookmarkStart w:id="0" w:name="_GoBack"/>
      <w:bookmarkEnd w:id="0"/>
      <w:r w:rsidR="00373F9C" w:rsidRPr="00884B42">
        <w:rPr>
          <w:b/>
          <w:iCs/>
          <w:sz w:val="22"/>
          <w:szCs w:val="22"/>
        </w:rPr>
        <w:t>ação</w:t>
      </w:r>
      <w:r w:rsidRPr="00884B42">
        <w:rPr>
          <w:b/>
          <w:iCs/>
          <w:sz w:val="22"/>
          <w:szCs w:val="22"/>
        </w:rPr>
        <w:t xml:space="preserve"> da execução contratual </w:t>
      </w:r>
      <w:r w:rsidR="00373F9C" w:rsidRPr="00884B42">
        <w:rPr>
          <w:b/>
          <w:iCs/>
          <w:sz w:val="22"/>
          <w:szCs w:val="22"/>
        </w:rPr>
        <w:t xml:space="preserve">unilateralmente </w:t>
      </w:r>
      <w:r w:rsidRPr="00884B42">
        <w:rPr>
          <w:b/>
          <w:iCs/>
          <w:sz w:val="22"/>
          <w:szCs w:val="22"/>
        </w:rPr>
        <w:t>pela contratada</w:t>
      </w:r>
      <w:r w:rsidR="00373F9C" w:rsidRPr="00884B42">
        <w:rPr>
          <w:b/>
          <w:iCs/>
          <w:sz w:val="22"/>
          <w:szCs w:val="22"/>
        </w:rPr>
        <w:t>,</w:t>
      </w:r>
      <w:r w:rsidRPr="00884B42">
        <w:rPr>
          <w:b/>
          <w:iCs/>
          <w:sz w:val="22"/>
          <w:szCs w:val="22"/>
        </w:rPr>
        <w:t xml:space="preserve"> sob o pretexto de que aguarda decisão de mérito em processo de fiscalização</w:t>
      </w:r>
      <w:r w:rsidR="00373F9C" w:rsidRPr="00884B42">
        <w:rPr>
          <w:b/>
          <w:iCs/>
          <w:sz w:val="22"/>
          <w:szCs w:val="22"/>
        </w:rPr>
        <w:t xml:space="preserve"> em trâmite no Tribunal</w:t>
      </w:r>
      <w:r w:rsidRPr="00884B42">
        <w:rPr>
          <w:b/>
          <w:iCs/>
          <w:sz w:val="22"/>
          <w:szCs w:val="22"/>
        </w:rPr>
        <w:t xml:space="preserve">. </w:t>
      </w:r>
    </w:p>
    <w:p w:rsidR="000B2C79" w:rsidRPr="00884B42" w:rsidRDefault="00DE62A2" w:rsidP="000B2C79">
      <w:pPr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884B42">
        <w:rPr>
          <w:rFonts w:eastAsia="Times New Roman"/>
          <w:color w:val="000000"/>
          <w:sz w:val="22"/>
          <w:szCs w:val="22"/>
          <w:lang w:eastAsia="pt-BR"/>
        </w:rPr>
        <w:t>Auditoria realizada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 nas obras de construção da BR-156, </w:t>
      </w:r>
      <w:r w:rsidRPr="00884B42">
        <w:rPr>
          <w:rFonts w:eastAsia="Times New Roman"/>
          <w:color w:val="000000"/>
          <w:sz w:val="22"/>
          <w:szCs w:val="22"/>
          <w:lang w:eastAsia="pt-BR"/>
        </w:rPr>
        <w:t>e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stado do Amapá, no trecho rodoviário Ferreira Gomes – Oiapoque (fronteira com a Guiana Francesa), apontara, dentre outros achados, </w:t>
      </w:r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falhas nos projetos 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que poderiam resultar em desequilíbrios nos preços e nas quantidades contratados. Com o saneamento dos autos, após a realização das oitivas regimentais, fora evidenciado indício de </w:t>
      </w:r>
      <w:proofErr w:type="spellStart"/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>sobrepreço</w:t>
      </w:r>
      <w:proofErr w:type="spellEnd"/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 na aquisição e transporte de material betuminoso</w:t>
      </w:r>
      <w:r w:rsidRPr="00884B42">
        <w:rPr>
          <w:rFonts w:eastAsia="Times New Roman"/>
          <w:color w:val="000000"/>
          <w:sz w:val="22"/>
          <w:szCs w:val="22"/>
          <w:lang w:eastAsia="pt-BR"/>
        </w:rPr>
        <w:t>, como também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 a paralisação da execução de um dos contratos, sem justa causa ou prévia comunicação à Administração, sob o pretexto de que o TCU contestara preços do contrato em sede de auditoria e que, portanto,</w:t>
      </w:r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 a empresa executora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 aguardaria a prolação da decisão de mérito do processo. Sobre o assunto, anotou a unidade instrutiva que “</w:t>
      </w:r>
      <w:r w:rsidR="000B2C79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a existência de serviços contratados com </w:t>
      </w:r>
      <w:proofErr w:type="spellStart"/>
      <w:r w:rsidR="000B2C79" w:rsidRPr="00884B42">
        <w:rPr>
          <w:rFonts w:eastAsia="Times New Roman"/>
          <w:i/>
          <w:color w:val="000000"/>
          <w:sz w:val="22"/>
          <w:szCs w:val="22"/>
          <w:lang w:eastAsia="pt-BR"/>
        </w:rPr>
        <w:t>sobrepreço</w:t>
      </w:r>
      <w:proofErr w:type="spellEnd"/>
      <w:r w:rsidR="000B2C79" w:rsidRPr="00884B42">
        <w:rPr>
          <w:rFonts w:eastAsia="Times New Roman"/>
          <w:i/>
          <w:color w:val="000000"/>
          <w:sz w:val="22"/>
          <w:szCs w:val="22"/>
          <w:lang w:eastAsia="pt-BR"/>
        </w:rPr>
        <w:t>, conforme apontamentos realizados pela fiscalização do TCU em 2011, pode ser corrigida durante a execução do contrato e, por isso, não implica a paralisação da sua execução. Não há legislação ou cláusula contratual que exija tal procedimento”.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 Dessa forma, “</w:t>
      </w:r>
      <w:r w:rsidR="000B2C79" w:rsidRPr="00884B42">
        <w:rPr>
          <w:rFonts w:eastAsia="Times New Roman"/>
          <w:i/>
          <w:color w:val="000000"/>
          <w:sz w:val="22"/>
          <w:szCs w:val="22"/>
          <w:lang w:eastAsia="pt-BR"/>
        </w:rPr>
        <w:t>entende-se que a existência de serviços que devem sofrer alteração no contrato, seja em quantidades ou preços unitários, não é motivo para a paralisação total dos serviços contratados”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>, e que “</w:t>
      </w:r>
      <w:r w:rsidR="000B2C79" w:rsidRPr="00884B42">
        <w:rPr>
          <w:rFonts w:eastAsia="Times New Roman"/>
          <w:i/>
          <w:color w:val="000000"/>
          <w:sz w:val="22"/>
          <w:szCs w:val="22"/>
          <w:lang w:eastAsia="pt-BR"/>
        </w:rPr>
        <w:t>as justificativas apresentadas pela empresa contratada não foram suficientes para justificar a paralisação da obra por sua iniciativa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 “</w:t>
      </w:r>
      <w:r w:rsidR="000B2C79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. 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Analisando a questão, acrescentou o relator que </w:t>
      </w:r>
      <w:r w:rsidR="000B2C79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“o TCU, quando </w:t>
      </w:r>
      <w:r w:rsidR="000B2C79" w:rsidRPr="00884B42">
        <w:rPr>
          <w:rFonts w:eastAsia="Times New Roman"/>
          <w:i/>
          <w:color w:val="000000"/>
          <w:sz w:val="22"/>
          <w:szCs w:val="22"/>
          <w:lang w:eastAsia="pt-BR"/>
        </w:rPr>
        <w:lastRenderedPageBreak/>
        <w:t>necessário, pode utilizar-se de medidas cautelares destinadas à paralisação da execução contratual quando a gravidade das irregularidades encontradas demandar tais providências”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 xml:space="preserve">. Ao revés, </w:t>
      </w:r>
      <w:r w:rsidR="000B2C79" w:rsidRPr="00884B42">
        <w:rPr>
          <w:rFonts w:eastAsia="Times New Roman"/>
          <w:i/>
          <w:color w:val="000000"/>
          <w:sz w:val="22"/>
          <w:szCs w:val="22"/>
          <w:lang w:eastAsia="pt-BR"/>
        </w:rPr>
        <w:t>“inexistindo determinação do Tribunal nesse sentido, não se pode admitir que a empresa abandone a execução contratual sob o pretexto de que aguarda decisão de mérito em processo de fiscalização desta Corte de Contas, como se observa no caso concreto”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>. Nesse sentido, o Tribunal, dentre outras medidas, acolheu a proposta da relatoria, considerando improcedente o pedido formulado pela contratada para que o TCU determinasse a paralisação do contrato ou qualquer outra medida administrativa destinada a</w:t>
      </w:r>
      <w:r w:rsidR="00373F9C" w:rsidRPr="00884B42">
        <w:rPr>
          <w:rFonts w:eastAsia="Times New Roman"/>
          <w:color w:val="000000"/>
          <w:sz w:val="22"/>
          <w:szCs w:val="22"/>
          <w:lang w:eastAsia="pt-BR"/>
        </w:rPr>
        <w:t xml:space="preserve"> promover a rescisão contratual</w:t>
      </w:r>
      <w:r w:rsidR="000B2C79" w:rsidRPr="00884B42">
        <w:rPr>
          <w:rFonts w:eastAsia="Times New Roman"/>
          <w:color w:val="000000"/>
          <w:sz w:val="22"/>
          <w:szCs w:val="22"/>
          <w:lang w:eastAsia="pt-BR"/>
        </w:rPr>
        <w:t>.</w:t>
      </w:r>
      <w:r w:rsidR="000B2C79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</w:t>
      </w:r>
      <w:hyperlink r:id="rId9" w:history="1">
        <w:r w:rsidR="000B2C79" w:rsidRPr="00884B4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1155/2015-Plenário</w:t>
        </w:r>
      </w:hyperlink>
      <w:r w:rsidR="000B2C79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010.262/2011-3, relator Ministro Benjamin </w:t>
      </w:r>
      <w:proofErr w:type="spellStart"/>
      <w:r w:rsidR="000B2C79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Zymler</w:t>
      </w:r>
      <w:proofErr w:type="spellEnd"/>
      <w:r w:rsidR="000B2C79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, 13.5.2015.</w:t>
      </w:r>
    </w:p>
    <w:p w:rsidR="00492568" w:rsidRPr="00884B42" w:rsidRDefault="00492568" w:rsidP="00641DD3">
      <w:pPr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4050E9" w:rsidRPr="00884B42" w:rsidRDefault="000B2C79" w:rsidP="00442567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884B42">
        <w:rPr>
          <w:rFonts w:eastAsia="Times New Roman"/>
          <w:b/>
          <w:color w:val="000000"/>
          <w:sz w:val="22"/>
          <w:szCs w:val="22"/>
          <w:lang w:eastAsia="pt-BR"/>
        </w:rPr>
        <w:t>2</w:t>
      </w:r>
      <w:r w:rsidR="004440E8" w:rsidRPr="00884B42">
        <w:rPr>
          <w:rFonts w:eastAsia="Times New Roman"/>
          <w:b/>
          <w:color w:val="000000"/>
          <w:sz w:val="22"/>
          <w:szCs w:val="22"/>
          <w:lang w:eastAsia="pt-BR"/>
        </w:rPr>
        <w:t xml:space="preserve">. </w:t>
      </w:r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 xml:space="preserve">O preço do serviço de </w:t>
      </w:r>
      <w:proofErr w:type="spellStart"/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>degravação</w:t>
      </w:r>
      <w:proofErr w:type="spellEnd"/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 xml:space="preserve"> deve ser cotado com base no resultado, ou seja, no quantitativo de horas efetivamente </w:t>
      </w:r>
      <w:proofErr w:type="spellStart"/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>degravadas</w:t>
      </w:r>
      <w:proofErr w:type="spellEnd"/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 xml:space="preserve">, e não no tempo necessário para a realização do serviço de </w:t>
      </w:r>
      <w:proofErr w:type="spellStart"/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>degravação</w:t>
      </w:r>
      <w:proofErr w:type="spellEnd"/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>, sob pena de se estabelecer sistemática em que quanto mais lento o serviço, maior a remuneração.</w:t>
      </w:r>
    </w:p>
    <w:p w:rsidR="00C66AC3" w:rsidRPr="00884B42" w:rsidRDefault="004050E9" w:rsidP="00C66AC3">
      <w:pPr>
        <w:shd w:val="clear" w:color="auto" w:fill="FFFFFF"/>
        <w:spacing w:after="0"/>
        <w:ind w:left="0"/>
        <w:rPr>
          <w:rFonts w:eastAsia="Times New Roman"/>
          <w:i/>
          <w:color w:val="000000"/>
          <w:sz w:val="22"/>
          <w:szCs w:val="22"/>
          <w:lang w:eastAsia="pt-BR"/>
        </w:rPr>
      </w:pPr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Tomada de </w:t>
      </w:r>
      <w:bookmarkStart w:id="1" w:name="Hit1"/>
      <w:r w:rsidRPr="00884B42">
        <w:rPr>
          <w:rFonts w:eastAsia="Times New Roman"/>
          <w:color w:val="000000"/>
          <w:sz w:val="22"/>
          <w:szCs w:val="22"/>
          <w:lang w:eastAsia="pt-BR"/>
        </w:rPr>
        <w:t>Contas</w:t>
      </w:r>
      <w:bookmarkEnd w:id="1"/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bookmarkStart w:id="2" w:name="Hit2"/>
      <w:r w:rsidRPr="00884B42">
        <w:rPr>
          <w:rFonts w:eastAsia="Times New Roman"/>
          <w:color w:val="000000"/>
          <w:sz w:val="22"/>
          <w:szCs w:val="22"/>
          <w:lang w:eastAsia="pt-BR"/>
        </w:rPr>
        <w:t>Especial</w:t>
      </w:r>
      <w:bookmarkEnd w:id="2"/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 instaurada pelo TCU apurara possível </w:t>
      </w:r>
      <w:proofErr w:type="spellStart"/>
      <w:r w:rsidRPr="00884B42">
        <w:rPr>
          <w:rFonts w:eastAsia="Times New Roman"/>
          <w:color w:val="000000"/>
          <w:sz w:val="22"/>
          <w:szCs w:val="22"/>
          <w:lang w:eastAsia="pt-BR"/>
        </w:rPr>
        <w:t>dano</w:t>
      </w:r>
      <w:proofErr w:type="spellEnd"/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 ao erário decorrente </w:t>
      </w:r>
      <w:proofErr w:type="gramStart"/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de </w:t>
      </w:r>
      <w:r w:rsidR="004D16E2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Pr="00884B42">
        <w:rPr>
          <w:rFonts w:eastAsia="Times New Roman"/>
          <w:color w:val="000000"/>
          <w:sz w:val="22"/>
          <w:szCs w:val="22"/>
          <w:lang w:eastAsia="pt-BR"/>
        </w:rPr>
        <w:t>irregularidades</w:t>
      </w:r>
      <w:proofErr w:type="gramEnd"/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 ocorridas </w:t>
      </w:r>
      <w:r w:rsidR="001C48C5" w:rsidRPr="00884B42">
        <w:rPr>
          <w:rFonts w:eastAsia="Times New Roman"/>
          <w:color w:val="000000"/>
          <w:sz w:val="22"/>
          <w:szCs w:val="22"/>
          <w:lang w:eastAsia="pt-BR"/>
        </w:rPr>
        <w:t xml:space="preserve">em contrato celebrado para </w:t>
      </w:r>
      <w:r w:rsidR="004D16E2" w:rsidRPr="00884B42">
        <w:rPr>
          <w:rFonts w:eastAsia="Times New Roman"/>
          <w:color w:val="000000"/>
          <w:sz w:val="22"/>
          <w:szCs w:val="22"/>
          <w:lang w:eastAsia="pt-BR"/>
        </w:rPr>
        <w:t>a realização da 3ª Conferência Nacional de Aquicultura e Pesca, patrocinada pelo Ministé</w:t>
      </w:r>
      <w:r w:rsidR="00F43470" w:rsidRPr="00884B42">
        <w:rPr>
          <w:rFonts w:eastAsia="Times New Roman"/>
          <w:color w:val="000000"/>
          <w:sz w:val="22"/>
          <w:szCs w:val="22"/>
          <w:lang w:eastAsia="pt-BR"/>
        </w:rPr>
        <w:t>rio da Pesca e Aquicultura</w:t>
      </w:r>
      <w:r w:rsidR="00D654CD" w:rsidRPr="00884B42">
        <w:rPr>
          <w:rFonts w:eastAsia="Times New Roman"/>
          <w:color w:val="000000"/>
          <w:sz w:val="22"/>
          <w:szCs w:val="22"/>
          <w:lang w:eastAsia="pt-BR"/>
        </w:rPr>
        <w:t>. Dentre as irregularidades apontadas</w:t>
      </w:r>
      <w:r w:rsidR="004D16E2" w:rsidRPr="00884B42">
        <w:rPr>
          <w:rFonts w:eastAsia="Times New Roman"/>
          <w:color w:val="000000"/>
          <w:sz w:val="22"/>
          <w:szCs w:val="22"/>
          <w:lang w:eastAsia="pt-BR"/>
        </w:rPr>
        <w:t>, de</w:t>
      </w:r>
      <w:r w:rsidR="00D654CD" w:rsidRPr="00884B42">
        <w:rPr>
          <w:rFonts w:eastAsia="Times New Roman"/>
          <w:color w:val="000000"/>
          <w:sz w:val="22"/>
          <w:szCs w:val="22"/>
          <w:lang w:eastAsia="pt-BR"/>
        </w:rPr>
        <w:t xml:space="preserve">staca-se </w:t>
      </w:r>
      <w:r w:rsidR="00F7307E" w:rsidRPr="00884B42">
        <w:rPr>
          <w:rFonts w:eastAsia="Times New Roman"/>
          <w:color w:val="000000"/>
          <w:sz w:val="22"/>
          <w:szCs w:val="22"/>
          <w:lang w:eastAsia="pt-BR"/>
        </w:rPr>
        <w:t>o pagamento</w:t>
      </w:r>
      <w:r w:rsidR="004D16E2" w:rsidRPr="00884B42">
        <w:rPr>
          <w:rFonts w:eastAsia="Times New Roman"/>
          <w:color w:val="000000"/>
          <w:sz w:val="22"/>
          <w:szCs w:val="22"/>
          <w:lang w:eastAsia="pt-BR"/>
        </w:rPr>
        <w:t xml:space="preserve"> por serviços não</w:t>
      </w:r>
      <w:r w:rsidR="00F7307E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4D16E2" w:rsidRPr="00884B42">
        <w:rPr>
          <w:rFonts w:eastAsia="Times New Roman"/>
          <w:color w:val="000000"/>
          <w:sz w:val="22"/>
          <w:szCs w:val="22"/>
          <w:lang w:eastAsia="pt-BR"/>
        </w:rPr>
        <w:t xml:space="preserve">prestados referentes a horas de </w:t>
      </w:r>
      <w:proofErr w:type="spellStart"/>
      <w:r w:rsidR="004D16E2" w:rsidRPr="00884B42">
        <w:rPr>
          <w:rFonts w:eastAsia="Times New Roman"/>
          <w:color w:val="000000"/>
          <w:sz w:val="22"/>
          <w:szCs w:val="22"/>
          <w:lang w:eastAsia="pt-BR"/>
        </w:rPr>
        <w:t>degravação</w:t>
      </w:r>
      <w:proofErr w:type="spellEnd"/>
      <w:r w:rsidR="00D654CD" w:rsidRPr="00884B42">
        <w:rPr>
          <w:rFonts w:eastAsia="Times New Roman"/>
          <w:color w:val="000000"/>
          <w:sz w:val="22"/>
          <w:szCs w:val="22"/>
          <w:lang w:eastAsia="pt-BR"/>
        </w:rPr>
        <w:t>. A unidade técnica explicara que a empresa contratada</w:t>
      </w:r>
      <w:r w:rsidR="00C12A61" w:rsidRPr="00884B42">
        <w:rPr>
          <w:rFonts w:eastAsia="Times New Roman"/>
          <w:color w:val="000000"/>
          <w:sz w:val="22"/>
          <w:szCs w:val="22"/>
          <w:lang w:eastAsia="pt-BR"/>
        </w:rPr>
        <w:t xml:space="preserve"> cobrara “</w:t>
      </w:r>
      <w:r w:rsidR="00C12A61" w:rsidRPr="00884B42">
        <w:rPr>
          <w:rFonts w:eastAsia="Times New Roman"/>
          <w:i/>
          <w:color w:val="000000"/>
          <w:sz w:val="22"/>
          <w:szCs w:val="22"/>
          <w:lang w:eastAsia="pt-BR"/>
        </w:rPr>
        <w:t>uma quantidade de horas de áudio muito superior às geradas no evento</w:t>
      </w:r>
      <w:r w:rsidR="00C12A61" w:rsidRPr="00884B42">
        <w:rPr>
          <w:rFonts w:eastAsia="Times New Roman"/>
          <w:color w:val="000000"/>
          <w:sz w:val="22"/>
          <w:szCs w:val="22"/>
          <w:lang w:eastAsia="pt-BR"/>
        </w:rPr>
        <w:t>”, adotando “</w:t>
      </w:r>
      <w:r w:rsidR="00C12A61" w:rsidRPr="00884B42">
        <w:rPr>
          <w:rFonts w:eastAsia="Times New Roman"/>
          <w:i/>
          <w:color w:val="000000"/>
          <w:sz w:val="22"/>
          <w:szCs w:val="22"/>
          <w:lang w:eastAsia="pt-BR"/>
        </w:rPr>
        <w:t>um critério distorcido para cálculo do preço</w:t>
      </w:r>
      <w:r w:rsidR="001C48C5" w:rsidRPr="00884B42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="00C12A61" w:rsidRPr="00884B42">
        <w:rPr>
          <w:rFonts w:eastAsia="Times New Roman"/>
          <w:i/>
          <w:color w:val="000000"/>
          <w:sz w:val="22"/>
          <w:szCs w:val="22"/>
          <w:lang w:eastAsia="pt-BR"/>
        </w:rPr>
        <w:t>,</w:t>
      </w:r>
      <w:r w:rsidR="001C48C5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r w:rsidR="001C48C5" w:rsidRPr="00884B42">
        <w:rPr>
          <w:rFonts w:eastAsia="Times New Roman"/>
          <w:color w:val="000000"/>
          <w:sz w:val="22"/>
          <w:szCs w:val="22"/>
          <w:lang w:eastAsia="pt-BR"/>
        </w:rPr>
        <w:t xml:space="preserve">baseado na quantidade de horas que o profissional necessitaria para realizar a transcrição, e não na quantidade de horas de áudio entregues. </w:t>
      </w:r>
      <w:r w:rsidR="00C12A61" w:rsidRPr="00884B42">
        <w:rPr>
          <w:rFonts w:eastAsia="Times New Roman"/>
          <w:color w:val="000000"/>
          <w:sz w:val="22"/>
          <w:szCs w:val="22"/>
          <w:lang w:eastAsia="pt-BR"/>
        </w:rPr>
        <w:t xml:space="preserve">Em suas justificativas, a contratada alegara que </w:t>
      </w:r>
      <w:r w:rsidR="001C48C5" w:rsidRPr="00884B42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1C48C5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a </w:t>
      </w:r>
      <w:proofErr w:type="spellStart"/>
      <w:r w:rsidR="001C48C5" w:rsidRPr="00884B42">
        <w:rPr>
          <w:rFonts w:eastAsia="Times New Roman"/>
          <w:i/>
          <w:color w:val="000000"/>
          <w:sz w:val="22"/>
          <w:szCs w:val="22"/>
          <w:lang w:eastAsia="pt-BR"/>
        </w:rPr>
        <w:t>degravação</w:t>
      </w:r>
      <w:proofErr w:type="spellEnd"/>
      <w:r w:rsidR="001C48C5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 seria processo complexo e que seriam necessárias, em média, quatro horas de trabalho para a transcrição de uma hora de gravação. Com base nesse fator e para um evento de quatro dias com plenárias e vinte grupos de trabalho simultâneos, chegar-se-ia a tota</w:t>
      </w:r>
      <w:r w:rsidR="00FD4192" w:rsidRPr="00884B42">
        <w:rPr>
          <w:rFonts w:eastAsia="Times New Roman"/>
          <w:i/>
          <w:color w:val="000000"/>
          <w:sz w:val="22"/>
          <w:szCs w:val="22"/>
          <w:lang w:eastAsia="pt-BR"/>
        </w:rPr>
        <w:t>l de 2.048 h”</w:t>
      </w:r>
      <w:r w:rsidR="001C48C5" w:rsidRPr="00884B42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765890" w:rsidRPr="00884B42">
        <w:rPr>
          <w:rFonts w:eastAsia="Times New Roman"/>
          <w:color w:val="000000"/>
          <w:sz w:val="22"/>
          <w:szCs w:val="22"/>
          <w:lang w:eastAsia="pt-BR"/>
        </w:rPr>
        <w:t>Ao analisar o ponto, o relator rejeitou as justificativas apresentadas, destacando que “</w:t>
      </w:r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o preço do serviço de </w:t>
      </w:r>
      <w:proofErr w:type="spellStart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>degravação</w:t>
      </w:r>
      <w:proofErr w:type="spellEnd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 deve ser cotado com base no quantitativo de horas </w:t>
      </w:r>
      <w:proofErr w:type="spellStart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>degravadas</w:t>
      </w:r>
      <w:proofErr w:type="spellEnd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 e não no tempo necessário para o serviço de </w:t>
      </w:r>
      <w:proofErr w:type="spellStart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>degravação</w:t>
      </w:r>
      <w:proofErr w:type="spellEnd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. A prevalecer o entendimento da </w:t>
      </w:r>
      <w:r w:rsidR="00973554" w:rsidRPr="00884B42">
        <w:rPr>
          <w:rFonts w:eastAsia="Times New Roman"/>
          <w:color w:val="000000"/>
          <w:sz w:val="22"/>
          <w:szCs w:val="22"/>
          <w:lang w:eastAsia="pt-BR"/>
        </w:rPr>
        <w:t>[empresa]</w:t>
      </w:r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, a cotação da hora de </w:t>
      </w:r>
      <w:proofErr w:type="spellStart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>degravação</w:t>
      </w:r>
      <w:proofErr w:type="spellEnd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 seria inócua, já que o valor a ser cobrado ao final resultaria da multiplicação do valor cotado pelo número de horas utilizadas na </w:t>
      </w:r>
      <w:proofErr w:type="spellStart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>degravação</w:t>
      </w:r>
      <w:proofErr w:type="spellEnd"/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>, supostamente a ser definido pela contratada. Essa sistemática favoreceria o lucro pela incompetência: quanto mais lento o serviço, maior o ganho</w:t>
      </w:r>
      <w:r w:rsidR="00973554" w:rsidRPr="00884B42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765890" w:rsidRPr="00884B42">
        <w:rPr>
          <w:rFonts w:eastAsia="Times New Roman"/>
          <w:i/>
          <w:color w:val="000000"/>
          <w:sz w:val="22"/>
          <w:szCs w:val="22"/>
          <w:lang w:eastAsia="pt-BR"/>
        </w:rPr>
        <w:t>.</w:t>
      </w:r>
      <w:r w:rsidR="00973554" w:rsidRPr="00884B42">
        <w:rPr>
          <w:rFonts w:eastAsia="Times New Roman"/>
          <w:color w:val="000000"/>
          <w:sz w:val="22"/>
          <w:szCs w:val="22"/>
          <w:lang w:eastAsia="pt-BR"/>
        </w:rPr>
        <w:t xml:space="preserve"> Sobre o caso concreto, destacou o relator que, “</w:t>
      </w:r>
      <w:r w:rsidR="00973554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no caso da 3ª Conferência, com 195 horas de gravação previstas na agenda do evento, a cobrança de 2.112 horas corresponderia a mais de dez horas de </w:t>
      </w:r>
      <w:proofErr w:type="spellStart"/>
      <w:r w:rsidR="00973554" w:rsidRPr="00884B42">
        <w:rPr>
          <w:rFonts w:eastAsia="Times New Roman"/>
          <w:i/>
          <w:color w:val="000000"/>
          <w:sz w:val="22"/>
          <w:szCs w:val="22"/>
          <w:lang w:eastAsia="pt-BR"/>
        </w:rPr>
        <w:t>degravação</w:t>
      </w:r>
      <w:proofErr w:type="spellEnd"/>
      <w:r w:rsidR="00973554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 por hora gravada, ao custo de mais de R$ 2.000,00 por hora de gravação”. </w:t>
      </w:r>
      <w:r w:rsidR="00973554" w:rsidRPr="00884B42">
        <w:rPr>
          <w:rFonts w:eastAsia="Times New Roman"/>
          <w:color w:val="000000"/>
          <w:sz w:val="22"/>
          <w:szCs w:val="22"/>
          <w:lang w:eastAsia="pt-BR"/>
        </w:rPr>
        <w:t>Contudo, pesquisa realizada pela unidade técnica junto a empresas do ramo</w:t>
      </w:r>
      <w:r w:rsidR="00FD4192" w:rsidRPr="00884B42">
        <w:rPr>
          <w:rFonts w:eastAsia="Times New Roman"/>
          <w:color w:val="000000"/>
          <w:sz w:val="22"/>
          <w:szCs w:val="22"/>
          <w:lang w:eastAsia="pt-BR"/>
        </w:rPr>
        <w:t xml:space="preserve"> demonstrou</w:t>
      </w:r>
      <w:r w:rsidR="00E6416A" w:rsidRPr="00884B42">
        <w:rPr>
          <w:rFonts w:eastAsia="Times New Roman"/>
          <w:color w:val="000000"/>
          <w:sz w:val="22"/>
          <w:szCs w:val="22"/>
          <w:lang w:eastAsia="pt-BR"/>
        </w:rPr>
        <w:t xml:space="preserve"> que</w:t>
      </w:r>
      <w:r w:rsidR="00973554" w:rsidRPr="00884B42">
        <w:rPr>
          <w:rFonts w:eastAsia="Times New Roman"/>
          <w:color w:val="000000"/>
          <w:sz w:val="22"/>
          <w:szCs w:val="22"/>
          <w:lang w:eastAsia="pt-BR"/>
        </w:rPr>
        <w:t>,</w:t>
      </w:r>
      <w:r w:rsidR="00E6416A" w:rsidRPr="00884B42">
        <w:rPr>
          <w:rFonts w:eastAsia="Times New Roman"/>
          <w:color w:val="000000"/>
          <w:sz w:val="22"/>
          <w:szCs w:val="22"/>
          <w:lang w:eastAsia="pt-BR"/>
        </w:rPr>
        <w:t xml:space="preserve"> para efeito de cobrança,</w:t>
      </w:r>
      <w:r w:rsidR="00E6416A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 “cada hora </w:t>
      </w:r>
      <w:proofErr w:type="spellStart"/>
      <w:r w:rsidR="00E6416A" w:rsidRPr="00884B42">
        <w:rPr>
          <w:rFonts w:eastAsia="Times New Roman"/>
          <w:i/>
          <w:color w:val="000000"/>
          <w:sz w:val="22"/>
          <w:szCs w:val="22"/>
          <w:lang w:eastAsia="pt-BR"/>
        </w:rPr>
        <w:t>degravada</w:t>
      </w:r>
      <w:proofErr w:type="spellEnd"/>
      <w:r w:rsidR="00E6416A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 corresponde a uma hora de gravação”.</w:t>
      </w:r>
      <w:r w:rsidR="00907A72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7C33E6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907A72" w:rsidRPr="00884B42">
        <w:rPr>
          <w:rFonts w:eastAsia="Times New Roman"/>
          <w:color w:val="000000"/>
          <w:sz w:val="22"/>
          <w:szCs w:val="22"/>
          <w:lang w:eastAsia="pt-BR"/>
        </w:rPr>
        <w:t xml:space="preserve">Considerando que as justificativas foram insuficientes para elidir a irregularidade, o </w:t>
      </w:r>
      <w:r w:rsidR="007C33E6" w:rsidRPr="00884B42">
        <w:rPr>
          <w:rFonts w:eastAsia="Times New Roman"/>
          <w:color w:val="000000"/>
          <w:sz w:val="22"/>
          <w:szCs w:val="22"/>
          <w:lang w:eastAsia="pt-BR"/>
        </w:rPr>
        <w:t>Tribunal</w:t>
      </w:r>
      <w:r w:rsidR="00907A72" w:rsidRPr="00884B42">
        <w:rPr>
          <w:rFonts w:eastAsia="Times New Roman"/>
          <w:color w:val="000000"/>
          <w:sz w:val="22"/>
          <w:szCs w:val="22"/>
          <w:lang w:eastAsia="pt-BR"/>
        </w:rPr>
        <w:t>,</w:t>
      </w:r>
      <w:r w:rsidR="007C33E6" w:rsidRPr="00884B42">
        <w:rPr>
          <w:rFonts w:eastAsia="Times New Roman"/>
          <w:color w:val="000000"/>
          <w:sz w:val="22"/>
          <w:szCs w:val="22"/>
          <w:lang w:eastAsia="pt-BR"/>
        </w:rPr>
        <w:t xml:space="preserve"> acolhe</w:t>
      </w:r>
      <w:r w:rsidR="00907A72" w:rsidRPr="00884B42">
        <w:rPr>
          <w:rFonts w:eastAsia="Times New Roman"/>
          <w:color w:val="000000"/>
          <w:sz w:val="22"/>
          <w:szCs w:val="22"/>
          <w:lang w:eastAsia="pt-BR"/>
        </w:rPr>
        <w:t>ndo</w:t>
      </w:r>
      <w:r w:rsidR="007C33E6" w:rsidRPr="00884B42">
        <w:rPr>
          <w:rFonts w:eastAsia="Times New Roman"/>
          <w:color w:val="000000"/>
          <w:sz w:val="22"/>
          <w:szCs w:val="22"/>
          <w:lang w:eastAsia="pt-BR"/>
        </w:rPr>
        <w:t xml:space="preserve"> a proposta do relator, </w:t>
      </w:r>
      <w:r w:rsidR="00A13831" w:rsidRPr="00884B42">
        <w:rPr>
          <w:rFonts w:eastAsia="Times New Roman"/>
          <w:color w:val="000000"/>
          <w:sz w:val="22"/>
          <w:szCs w:val="22"/>
          <w:lang w:eastAsia="pt-BR"/>
        </w:rPr>
        <w:t>condenou os responsáveis solidariamente com a empresa contratada ao pagamento do débito</w:t>
      </w:r>
      <w:r w:rsidR="00907A72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A13831" w:rsidRPr="00884B42">
        <w:rPr>
          <w:rFonts w:eastAsia="Times New Roman"/>
          <w:color w:val="000000"/>
          <w:sz w:val="22"/>
          <w:szCs w:val="22"/>
          <w:lang w:eastAsia="pt-BR"/>
        </w:rPr>
        <w:t xml:space="preserve">apurado </w:t>
      </w:r>
      <w:r w:rsidR="00907A72" w:rsidRPr="00884B42">
        <w:rPr>
          <w:rFonts w:eastAsia="Times New Roman"/>
          <w:color w:val="000000"/>
          <w:sz w:val="22"/>
          <w:szCs w:val="22"/>
          <w:lang w:eastAsia="pt-BR"/>
        </w:rPr>
        <w:t>pela unidade técnica</w:t>
      </w:r>
      <w:r w:rsidR="00A13831" w:rsidRPr="00884B42">
        <w:rPr>
          <w:rFonts w:eastAsia="Times New Roman"/>
          <w:color w:val="000000"/>
          <w:sz w:val="22"/>
          <w:szCs w:val="22"/>
          <w:lang w:eastAsia="pt-BR"/>
        </w:rPr>
        <w:t>, aplicando-lhes ainda a multa prevista no art. 57 da Lei 8.443/92.</w:t>
      </w:r>
      <w:r w:rsidR="00C66AC3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0" w:history="1">
        <w:r w:rsidR="00C66AC3" w:rsidRPr="00884B4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1151/2015-Plenário</w:t>
        </w:r>
      </w:hyperlink>
      <w:r w:rsidR="00C66AC3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, TC 002.143/2011-9, relatora Ministra Ana Arraes, 13.5.2015.</w:t>
      </w:r>
    </w:p>
    <w:p w:rsidR="00A13831" w:rsidRPr="00884B42" w:rsidRDefault="00A13831" w:rsidP="00442567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:rsidR="004050E9" w:rsidRPr="00884B42" w:rsidRDefault="000B2C79" w:rsidP="004050E9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884B42">
        <w:rPr>
          <w:rFonts w:eastAsia="Times New Roman"/>
          <w:b/>
          <w:color w:val="000000"/>
          <w:sz w:val="22"/>
          <w:szCs w:val="22"/>
          <w:lang w:eastAsia="pt-BR"/>
        </w:rPr>
        <w:t>3</w:t>
      </w:r>
      <w:r w:rsidR="004440E8" w:rsidRPr="00884B42">
        <w:rPr>
          <w:rFonts w:eastAsia="Times New Roman"/>
          <w:b/>
          <w:color w:val="000000"/>
          <w:sz w:val="22"/>
          <w:szCs w:val="22"/>
          <w:lang w:eastAsia="pt-BR"/>
        </w:rPr>
        <w:t xml:space="preserve">. </w:t>
      </w:r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>No Sistema de Registro de Preços, não cabe ao órgão gerenciador a veri</w:t>
      </w:r>
      <w:r w:rsidR="00754C24" w:rsidRPr="00884B42">
        <w:rPr>
          <w:rFonts w:eastAsia="Times New Roman"/>
          <w:b/>
          <w:color w:val="000000"/>
          <w:sz w:val="22"/>
          <w:szCs w:val="22"/>
          <w:lang w:eastAsia="pt-BR"/>
        </w:rPr>
        <w:t>ficação da vantagem da adesão de</w:t>
      </w:r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 xml:space="preserve"> cada interessado. C</w:t>
      </w:r>
      <w:r w:rsidR="00754C24" w:rsidRPr="00884B42">
        <w:rPr>
          <w:rFonts w:eastAsia="Times New Roman"/>
          <w:b/>
          <w:color w:val="000000"/>
          <w:sz w:val="22"/>
          <w:szCs w:val="22"/>
          <w:lang w:eastAsia="pt-BR"/>
        </w:rPr>
        <w:t xml:space="preserve">ompete ao órgão ou entidade não </w:t>
      </w:r>
      <w:r w:rsidR="004050E9" w:rsidRPr="00884B42">
        <w:rPr>
          <w:rFonts w:eastAsia="Times New Roman"/>
          <w:b/>
          <w:color w:val="000000"/>
          <w:sz w:val="22"/>
          <w:szCs w:val="22"/>
          <w:lang w:eastAsia="pt-BR"/>
        </w:rPr>
        <w:t>participante utilizar os preços previstos na ata combinados com os quantitativos da contratação que pretende realizar para avaliar e demonstrar a economicidade de sua adesão.</w:t>
      </w:r>
    </w:p>
    <w:p w:rsidR="000B2C79" w:rsidRPr="00884B42" w:rsidRDefault="005C73D5" w:rsidP="0021220E">
      <w:pPr>
        <w:shd w:val="clear" w:color="auto" w:fill="FFFFFF"/>
        <w:spacing w:after="0"/>
        <w:ind w:left="0"/>
        <w:rPr>
          <w:rFonts w:eastAsia="Times New Roman"/>
          <w:b/>
          <w:i/>
          <w:sz w:val="22"/>
          <w:szCs w:val="22"/>
          <w:lang w:eastAsia="pt-BR"/>
        </w:rPr>
      </w:pPr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Ainda na Tomada de Contas Especial instaurada pelo TCU para apuração de possível </w:t>
      </w:r>
      <w:proofErr w:type="spellStart"/>
      <w:r w:rsidRPr="00884B42">
        <w:rPr>
          <w:rFonts w:eastAsia="Times New Roman"/>
          <w:color w:val="000000"/>
          <w:sz w:val="22"/>
          <w:szCs w:val="22"/>
          <w:lang w:eastAsia="pt-BR"/>
        </w:rPr>
        <w:t>dano</w:t>
      </w:r>
      <w:proofErr w:type="spellEnd"/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 ao erário decorrente de </w:t>
      </w:r>
      <w:r w:rsidR="005350FD" w:rsidRPr="00884B42">
        <w:rPr>
          <w:rFonts w:eastAsia="Times New Roman"/>
          <w:color w:val="000000"/>
          <w:sz w:val="22"/>
          <w:szCs w:val="22"/>
          <w:lang w:eastAsia="pt-BR"/>
        </w:rPr>
        <w:t>irregularidades ocorridas no contrato celebrado para a realização da 3ª Conferência Nacional de Aquicultura e Pesca, patrocinada pelo Ministé</w:t>
      </w:r>
      <w:r w:rsidR="00F43470" w:rsidRPr="00884B42">
        <w:rPr>
          <w:rFonts w:eastAsia="Times New Roman"/>
          <w:color w:val="000000"/>
          <w:sz w:val="22"/>
          <w:szCs w:val="22"/>
          <w:lang w:eastAsia="pt-BR"/>
        </w:rPr>
        <w:t>rio da Pesca e Aquicultura</w:t>
      </w:r>
      <w:r w:rsidR="002002D1" w:rsidRPr="00884B42">
        <w:rPr>
          <w:rFonts w:eastAsia="Times New Roman"/>
          <w:color w:val="000000"/>
          <w:sz w:val="22"/>
          <w:szCs w:val="22"/>
          <w:lang w:eastAsia="pt-BR"/>
        </w:rPr>
        <w:t>, a unidade técnica apontara que o</w:t>
      </w:r>
      <w:r w:rsidR="005350FD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2002D1" w:rsidRPr="00884B42">
        <w:rPr>
          <w:rFonts w:eastAsia="Times New Roman"/>
          <w:color w:val="000000"/>
          <w:sz w:val="22"/>
          <w:szCs w:val="22"/>
          <w:lang w:eastAsia="pt-BR"/>
        </w:rPr>
        <w:t xml:space="preserve">ajuste, originado </w:t>
      </w:r>
      <w:r w:rsidR="005350FD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B41BC0" w:rsidRPr="00884B42">
        <w:rPr>
          <w:rFonts w:eastAsia="Times New Roman"/>
          <w:color w:val="000000"/>
          <w:sz w:val="22"/>
          <w:szCs w:val="22"/>
          <w:lang w:eastAsia="pt-BR"/>
        </w:rPr>
        <w:t>da adesão a ata de r</w:t>
      </w:r>
      <w:r w:rsidR="005350FD" w:rsidRPr="00884B42">
        <w:rPr>
          <w:rFonts w:eastAsia="Times New Roman"/>
          <w:color w:val="000000"/>
          <w:sz w:val="22"/>
          <w:szCs w:val="22"/>
          <w:lang w:eastAsia="pt-BR"/>
        </w:rPr>
        <w:t>egistro d</w:t>
      </w:r>
      <w:r w:rsidR="00B41BC0" w:rsidRPr="00884B42">
        <w:rPr>
          <w:rFonts w:eastAsia="Times New Roman"/>
          <w:color w:val="000000"/>
          <w:sz w:val="22"/>
          <w:szCs w:val="22"/>
          <w:lang w:eastAsia="pt-BR"/>
        </w:rPr>
        <w:t>e p</w:t>
      </w:r>
      <w:r w:rsidR="005350FD" w:rsidRPr="00884B42">
        <w:rPr>
          <w:rFonts w:eastAsia="Times New Roman"/>
          <w:color w:val="000000"/>
          <w:sz w:val="22"/>
          <w:szCs w:val="22"/>
          <w:lang w:eastAsia="pt-BR"/>
        </w:rPr>
        <w:t xml:space="preserve">reços do Ministério das Cidades, apresentara </w:t>
      </w:r>
      <w:r w:rsidR="00AD221B" w:rsidRPr="00884B42">
        <w:rPr>
          <w:rFonts w:eastAsia="Times New Roman"/>
          <w:color w:val="000000"/>
          <w:sz w:val="22"/>
          <w:szCs w:val="22"/>
          <w:lang w:eastAsia="pt-BR"/>
        </w:rPr>
        <w:t>valores superfaturados</w:t>
      </w:r>
      <w:r w:rsidR="005350FD" w:rsidRPr="00884B42">
        <w:rPr>
          <w:rFonts w:eastAsia="Times New Roman"/>
          <w:color w:val="000000"/>
          <w:sz w:val="22"/>
          <w:szCs w:val="22"/>
          <w:lang w:eastAsia="pt-BR"/>
        </w:rPr>
        <w:t xml:space="preserve"> em comparação aos preços registrados </w:t>
      </w:r>
      <w:r w:rsidR="00AD221B" w:rsidRPr="00884B42">
        <w:rPr>
          <w:rFonts w:eastAsia="Times New Roman"/>
          <w:color w:val="000000"/>
          <w:sz w:val="22"/>
          <w:szCs w:val="22"/>
          <w:lang w:eastAsia="pt-BR"/>
        </w:rPr>
        <w:t xml:space="preserve">para os mesmos serviços </w:t>
      </w:r>
      <w:r w:rsidR="005350FD" w:rsidRPr="00884B42">
        <w:rPr>
          <w:rFonts w:eastAsia="Times New Roman"/>
          <w:color w:val="000000"/>
          <w:sz w:val="22"/>
          <w:szCs w:val="22"/>
          <w:lang w:eastAsia="pt-BR"/>
        </w:rPr>
        <w:t xml:space="preserve">em seis atas de registro de preços vigentes à época. </w:t>
      </w:r>
      <w:r w:rsidR="005350FD" w:rsidRPr="00884B42">
        <w:rPr>
          <w:rFonts w:eastAsia="Times New Roman"/>
          <w:sz w:val="22"/>
          <w:szCs w:val="22"/>
          <w:lang w:eastAsia="pt-BR"/>
        </w:rPr>
        <w:t>A</w:t>
      </w:r>
      <w:r w:rsidR="002002D1" w:rsidRPr="00884B42">
        <w:rPr>
          <w:rFonts w:eastAsia="Times New Roman"/>
          <w:sz w:val="22"/>
          <w:szCs w:val="22"/>
          <w:lang w:eastAsia="pt-BR"/>
        </w:rPr>
        <w:t xml:space="preserve">pontara ainda a existência de </w:t>
      </w:r>
      <w:r w:rsidR="00AD221B" w:rsidRPr="00884B42">
        <w:rPr>
          <w:rFonts w:eastAsia="Times New Roman"/>
          <w:sz w:val="22"/>
          <w:szCs w:val="22"/>
          <w:lang w:eastAsia="pt-BR"/>
        </w:rPr>
        <w:t xml:space="preserve">falhas na comprovação da vantagem econômica da manutenção do contrato, mediante a apresentação de pesquisas de preços de mercado </w:t>
      </w:r>
      <w:r w:rsidR="00370FB6" w:rsidRPr="00884B42">
        <w:rPr>
          <w:rFonts w:eastAsia="Times New Roman"/>
          <w:sz w:val="22"/>
          <w:szCs w:val="22"/>
          <w:lang w:eastAsia="pt-BR"/>
        </w:rPr>
        <w:t>viciadas</w:t>
      </w:r>
      <w:r w:rsidR="00AD221B" w:rsidRPr="00884B42">
        <w:rPr>
          <w:rFonts w:eastAsia="Times New Roman"/>
          <w:sz w:val="22"/>
          <w:szCs w:val="22"/>
          <w:lang w:eastAsia="pt-BR"/>
        </w:rPr>
        <w:t xml:space="preserve">, </w:t>
      </w:r>
      <w:r w:rsidR="00273A11" w:rsidRPr="00884B42">
        <w:rPr>
          <w:rFonts w:eastAsia="Times New Roman"/>
          <w:sz w:val="22"/>
          <w:szCs w:val="22"/>
          <w:lang w:eastAsia="pt-BR"/>
        </w:rPr>
        <w:t>que não comprovavam que essa era a escolha mais vantajosa para a Administração</w:t>
      </w:r>
      <w:r w:rsidR="00AD221B" w:rsidRPr="00884B42">
        <w:rPr>
          <w:rFonts w:eastAsia="Times New Roman"/>
          <w:sz w:val="22"/>
          <w:szCs w:val="22"/>
          <w:lang w:eastAsia="pt-BR"/>
        </w:rPr>
        <w:t>.</w:t>
      </w:r>
      <w:r w:rsidR="00370FB6" w:rsidRPr="00884B42">
        <w:rPr>
          <w:rFonts w:eastAsia="Times New Roman"/>
          <w:sz w:val="22"/>
          <w:szCs w:val="22"/>
          <w:lang w:eastAsia="pt-BR"/>
        </w:rPr>
        <w:t xml:space="preserve"> Em suas justificativas, os responsáveis alegaram a “</w:t>
      </w:r>
      <w:r w:rsidR="00370FB6" w:rsidRPr="00884B42">
        <w:rPr>
          <w:rFonts w:eastAsia="Times New Roman"/>
          <w:i/>
          <w:sz w:val="22"/>
          <w:szCs w:val="22"/>
          <w:lang w:eastAsia="pt-BR"/>
        </w:rPr>
        <w:t>ausência de contestação aos valores registrados na ata do Ministério das Cidades</w:t>
      </w:r>
      <w:r w:rsidR="00370FB6" w:rsidRPr="00884B42">
        <w:rPr>
          <w:rFonts w:eastAsia="Times New Roman"/>
          <w:sz w:val="22"/>
          <w:szCs w:val="22"/>
          <w:lang w:eastAsia="pt-BR"/>
        </w:rPr>
        <w:t>”, defendendo ainda que “</w:t>
      </w:r>
      <w:r w:rsidR="00370FB6" w:rsidRPr="00884B42">
        <w:rPr>
          <w:rFonts w:eastAsia="Times New Roman"/>
          <w:i/>
          <w:sz w:val="22"/>
          <w:szCs w:val="22"/>
          <w:lang w:eastAsia="pt-BR"/>
        </w:rPr>
        <w:t xml:space="preserve">em caso de suspeita de </w:t>
      </w:r>
      <w:proofErr w:type="spellStart"/>
      <w:r w:rsidR="00370FB6" w:rsidRPr="00884B42">
        <w:rPr>
          <w:rFonts w:eastAsia="Times New Roman"/>
          <w:i/>
          <w:sz w:val="22"/>
          <w:szCs w:val="22"/>
          <w:lang w:eastAsia="pt-BR"/>
        </w:rPr>
        <w:t>sobrepreço</w:t>
      </w:r>
      <w:proofErr w:type="spellEnd"/>
      <w:r w:rsidR="00370FB6" w:rsidRPr="00884B42">
        <w:rPr>
          <w:rFonts w:eastAsia="Times New Roman"/>
          <w:i/>
          <w:sz w:val="22"/>
          <w:szCs w:val="22"/>
          <w:lang w:eastAsia="pt-BR"/>
        </w:rPr>
        <w:t>, caberia ao Ministério da Cidades ter negado autorização à adesão</w:t>
      </w:r>
      <w:r w:rsidR="00370FB6" w:rsidRPr="00884B42">
        <w:rPr>
          <w:rFonts w:eastAsia="Times New Roman"/>
          <w:sz w:val="22"/>
          <w:szCs w:val="22"/>
          <w:lang w:eastAsia="pt-BR"/>
        </w:rPr>
        <w:t>”. Ao rejeitar as alegações apresentadas, lembrou o relator que “</w:t>
      </w:r>
      <w:r w:rsidR="00370FB6" w:rsidRPr="00884B42">
        <w:rPr>
          <w:rFonts w:eastAsia="Times New Roman"/>
          <w:i/>
          <w:sz w:val="22"/>
          <w:szCs w:val="22"/>
          <w:lang w:eastAsia="pt-BR"/>
        </w:rPr>
        <w:t xml:space="preserve">o art. 8º do Decreto 3.931/2001 </w:t>
      </w:r>
      <w:r w:rsidR="00524469" w:rsidRPr="00884B42">
        <w:rPr>
          <w:rFonts w:eastAsia="Times New Roman"/>
          <w:sz w:val="22"/>
          <w:szCs w:val="22"/>
          <w:lang w:eastAsia="pt-BR"/>
        </w:rPr>
        <w:t>[vigente à época]</w:t>
      </w:r>
      <w:r w:rsidR="00370FB6" w:rsidRPr="00884B42">
        <w:rPr>
          <w:rFonts w:eastAsia="Times New Roman"/>
          <w:i/>
          <w:sz w:val="22"/>
          <w:szCs w:val="22"/>
          <w:lang w:eastAsia="pt-BR"/>
        </w:rPr>
        <w:t xml:space="preserve"> estabelecia que a adesão à ata deveria ser precedida de consulta ao órgão gerenciador, </w:t>
      </w:r>
      <w:r w:rsidR="00524469" w:rsidRPr="00884B42">
        <w:rPr>
          <w:rFonts w:eastAsia="Times New Roman"/>
          <w:i/>
          <w:sz w:val="22"/>
          <w:szCs w:val="22"/>
          <w:lang w:eastAsia="pt-BR"/>
        </w:rPr>
        <w:t>‘</w:t>
      </w:r>
      <w:r w:rsidR="00370FB6" w:rsidRPr="00884B42">
        <w:rPr>
          <w:rFonts w:eastAsia="Times New Roman"/>
          <w:i/>
          <w:sz w:val="22"/>
          <w:szCs w:val="22"/>
          <w:lang w:eastAsia="pt-BR"/>
        </w:rPr>
        <w:t>desde que devidamente comprovada a vantagem</w:t>
      </w:r>
      <w:r w:rsidR="00524469" w:rsidRPr="00884B42">
        <w:rPr>
          <w:rFonts w:eastAsia="Times New Roman"/>
          <w:i/>
          <w:sz w:val="22"/>
          <w:szCs w:val="22"/>
          <w:lang w:eastAsia="pt-BR"/>
        </w:rPr>
        <w:t>’</w:t>
      </w:r>
      <w:r w:rsidR="00370FB6" w:rsidRPr="00884B42">
        <w:rPr>
          <w:rFonts w:eastAsia="Times New Roman"/>
          <w:i/>
          <w:sz w:val="22"/>
          <w:szCs w:val="22"/>
          <w:lang w:eastAsia="pt-BR"/>
        </w:rPr>
        <w:t>. Essa comprovação é de interesse e de responsabilidade do interessado em aderir à ata, e não do órgão gerenciador</w:t>
      </w:r>
      <w:r w:rsidR="00524469" w:rsidRPr="00884B42">
        <w:rPr>
          <w:rFonts w:eastAsia="Times New Roman"/>
          <w:sz w:val="22"/>
          <w:szCs w:val="22"/>
          <w:lang w:eastAsia="pt-BR"/>
        </w:rPr>
        <w:t>”</w:t>
      </w:r>
      <w:r w:rsidR="00370FB6" w:rsidRPr="00884B42">
        <w:rPr>
          <w:rFonts w:eastAsia="Times New Roman"/>
          <w:i/>
          <w:sz w:val="22"/>
          <w:szCs w:val="22"/>
          <w:lang w:eastAsia="pt-BR"/>
        </w:rPr>
        <w:t>.</w:t>
      </w:r>
      <w:r w:rsidR="00524469" w:rsidRPr="00884B42">
        <w:rPr>
          <w:rFonts w:eastAsia="Times New Roman"/>
          <w:i/>
          <w:sz w:val="22"/>
          <w:szCs w:val="22"/>
          <w:lang w:eastAsia="pt-BR"/>
        </w:rPr>
        <w:t xml:space="preserve"> </w:t>
      </w:r>
      <w:r w:rsidR="007B3B33" w:rsidRPr="00884B42">
        <w:rPr>
          <w:rFonts w:eastAsia="Times New Roman"/>
          <w:sz w:val="22"/>
          <w:szCs w:val="22"/>
          <w:lang w:eastAsia="pt-BR"/>
        </w:rPr>
        <w:t>Acrescentou que “</w:t>
      </w:r>
      <w:r w:rsidR="007B3B33" w:rsidRPr="00884B42">
        <w:rPr>
          <w:rFonts w:eastAsia="Times New Roman"/>
          <w:i/>
          <w:sz w:val="22"/>
          <w:szCs w:val="22"/>
          <w:lang w:eastAsia="pt-BR"/>
        </w:rPr>
        <w:t>a própria característica da ata, formada de preços unitários de vários itens, pode apresentar composições de preço muito diferenciadas a depender dos itens e dos quantitativos a serem utilizados. Em tese, os valores constantes na ata poderiam ser vantajosos para um tipo de evento e desvantajosos para outro</w:t>
      </w:r>
      <w:r w:rsidR="007B3B33" w:rsidRPr="00884B42">
        <w:rPr>
          <w:rFonts w:eastAsia="Times New Roman"/>
          <w:sz w:val="22"/>
          <w:szCs w:val="22"/>
          <w:lang w:eastAsia="pt-BR"/>
        </w:rPr>
        <w:t xml:space="preserve">”. Por fim, </w:t>
      </w:r>
      <w:r w:rsidR="005018BA" w:rsidRPr="00884B42">
        <w:rPr>
          <w:rFonts w:eastAsia="Times New Roman"/>
          <w:sz w:val="22"/>
          <w:szCs w:val="22"/>
          <w:lang w:eastAsia="pt-BR"/>
        </w:rPr>
        <w:t xml:space="preserve">aduziu o relator </w:t>
      </w:r>
      <w:r w:rsidR="007B3B33" w:rsidRPr="00884B42">
        <w:rPr>
          <w:rFonts w:eastAsia="Times New Roman"/>
          <w:sz w:val="22"/>
          <w:szCs w:val="22"/>
          <w:lang w:eastAsia="pt-BR"/>
        </w:rPr>
        <w:t>que “</w:t>
      </w:r>
      <w:r w:rsidR="007B3B33" w:rsidRPr="00884B42">
        <w:rPr>
          <w:rFonts w:eastAsia="Times New Roman"/>
          <w:i/>
          <w:sz w:val="22"/>
          <w:szCs w:val="22"/>
          <w:lang w:eastAsia="pt-BR"/>
        </w:rPr>
        <w:t xml:space="preserve">não há como exigir do órgão </w:t>
      </w:r>
      <w:r w:rsidR="007B3B33" w:rsidRPr="00884B42">
        <w:rPr>
          <w:rFonts w:eastAsia="Times New Roman"/>
          <w:i/>
          <w:sz w:val="22"/>
          <w:szCs w:val="22"/>
          <w:lang w:eastAsia="pt-BR"/>
        </w:rPr>
        <w:lastRenderedPageBreak/>
        <w:t>gerenciador a verificação da vantagem da adesão para cada interessado. Cabe ao carona utilizar os preços previstos na ata combinados com os quantitativos do evento que pretende realizar para avaliar a economicidade da adesão</w:t>
      </w:r>
      <w:r w:rsidR="007B3B33" w:rsidRPr="00884B42">
        <w:rPr>
          <w:rFonts w:eastAsia="Times New Roman"/>
          <w:sz w:val="22"/>
          <w:szCs w:val="22"/>
          <w:lang w:eastAsia="pt-BR"/>
        </w:rPr>
        <w:t>”</w:t>
      </w:r>
      <w:r w:rsidR="005018BA" w:rsidRPr="00884B42">
        <w:rPr>
          <w:rFonts w:eastAsia="Times New Roman"/>
          <w:sz w:val="22"/>
          <w:szCs w:val="22"/>
          <w:lang w:eastAsia="pt-BR"/>
        </w:rPr>
        <w:t>. Nesse contexto,</w:t>
      </w:r>
      <w:r w:rsidR="007B3B33" w:rsidRPr="00884B42">
        <w:rPr>
          <w:rFonts w:eastAsia="Times New Roman"/>
          <w:sz w:val="22"/>
          <w:szCs w:val="22"/>
          <w:lang w:eastAsia="pt-BR"/>
        </w:rPr>
        <w:t xml:space="preserve"> </w:t>
      </w:r>
      <w:r w:rsidR="005018BA" w:rsidRPr="00884B42">
        <w:rPr>
          <w:rFonts w:eastAsia="Times New Roman"/>
          <w:sz w:val="22"/>
          <w:szCs w:val="22"/>
          <w:lang w:eastAsia="pt-BR"/>
        </w:rPr>
        <w:t xml:space="preserve">concluiu o relator que </w:t>
      </w:r>
      <w:r w:rsidR="005018BA" w:rsidRPr="00884B42">
        <w:rPr>
          <w:rFonts w:eastAsia="Times New Roman"/>
          <w:i/>
          <w:sz w:val="22"/>
          <w:szCs w:val="22"/>
          <w:lang w:eastAsia="pt-BR"/>
        </w:rPr>
        <w:t>“</w:t>
      </w:r>
      <w:r w:rsidR="007B3B33" w:rsidRPr="00884B42">
        <w:rPr>
          <w:rFonts w:eastAsia="Times New Roman"/>
          <w:i/>
          <w:sz w:val="22"/>
          <w:szCs w:val="22"/>
          <w:lang w:eastAsia="pt-BR"/>
        </w:rPr>
        <w:t xml:space="preserve">não se </w:t>
      </w:r>
      <w:r w:rsidR="005018BA" w:rsidRPr="00884B42">
        <w:rPr>
          <w:rFonts w:eastAsia="Times New Roman"/>
          <w:i/>
          <w:sz w:val="22"/>
          <w:szCs w:val="22"/>
          <w:lang w:eastAsia="pt-BR"/>
        </w:rPr>
        <w:t xml:space="preserve">justifica </w:t>
      </w:r>
      <w:r w:rsidR="00B41BC0" w:rsidRPr="00884B42">
        <w:rPr>
          <w:rFonts w:eastAsia="Times New Roman"/>
          <w:i/>
          <w:sz w:val="22"/>
          <w:szCs w:val="22"/>
          <w:lang w:eastAsia="pt-BR"/>
        </w:rPr>
        <w:t>(</w:t>
      </w:r>
      <w:r w:rsidR="005018BA" w:rsidRPr="00884B42">
        <w:rPr>
          <w:rFonts w:eastAsia="Times New Roman"/>
          <w:i/>
          <w:sz w:val="22"/>
          <w:szCs w:val="22"/>
          <w:lang w:eastAsia="pt-BR"/>
        </w:rPr>
        <w:t>...</w:t>
      </w:r>
      <w:r w:rsidR="00B41BC0" w:rsidRPr="00884B42">
        <w:rPr>
          <w:rFonts w:eastAsia="Times New Roman"/>
          <w:i/>
          <w:sz w:val="22"/>
          <w:szCs w:val="22"/>
          <w:lang w:eastAsia="pt-BR"/>
        </w:rPr>
        <w:t>)</w:t>
      </w:r>
      <w:r w:rsidR="005018BA" w:rsidRPr="00884B42">
        <w:rPr>
          <w:rFonts w:eastAsia="Times New Roman"/>
          <w:i/>
          <w:sz w:val="22"/>
          <w:szCs w:val="22"/>
          <w:lang w:eastAsia="pt-BR"/>
        </w:rPr>
        <w:t xml:space="preserve"> </w:t>
      </w:r>
      <w:r w:rsidR="007B3B33" w:rsidRPr="00884B42">
        <w:rPr>
          <w:rFonts w:eastAsia="Times New Roman"/>
          <w:i/>
          <w:sz w:val="22"/>
          <w:szCs w:val="22"/>
          <w:lang w:eastAsia="pt-BR"/>
        </w:rPr>
        <w:t>o descumprimento dos normativos vigentes que condicionavam a utilização da ata (para adesão ou para celebração de aditivos) à comprovação da vantagem dos serviços contratados</w:t>
      </w:r>
      <w:r w:rsidR="005018BA" w:rsidRPr="00884B42">
        <w:rPr>
          <w:rFonts w:eastAsia="Times New Roman"/>
          <w:sz w:val="22"/>
          <w:szCs w:val="22"/>
          <w:lang w:eastAsia="pt-BR"/>
        </w:rPr>
        <w:t>”</w:t>
      </w:r>
      <w:r w:rsidR="007B3B33" w:rsidRPr="00884B42">
        <w:rPr>
          <w:rFonts w:eastAsia="Times New Roman"/>
          <w:sz w:val="22"/>
          <w:szCs w:val="22"/>
          <w:lang w:eastAsia="pt-BR"/>
        </w:rPr>
        <w:t>.</w:t>
      </w:r>
      <w:r w:rsidR="005018BA" w:rsidRPr="00884B42">
        <w:rPr>
          <w:rFonts w:eastAsia="Times New Roman"/>
          <w:sz w:val="22"/>
          <w:szCs w:val="22"/>
          <w:lang w:eastAsia="pt-BR"/>
        </w:rPr>
        <w:t xml:space="preserve"> </w:t>
      </w:r>
      <w:r w:rsidR="00273A11" w:rsidRPr="00884B42">
        <w:rPr>
          <w:rFonts w:eastAsia="Times New Roman"/>
          <w:sz w:val="22"/>
          <w:szCs w:val="22"/>
          <w:lang w:eastAsia="pt-BR"/>
        </w:rPr>
        <w:t xml:space="preserve">Comprovado o </w:t>
      </w:r>
      <w:proofErr w:type="spellStart"/>
      <w:r w:rsidR="00273A11" w:rsidRPr="00884B42">
        <w:rPr>
          <w:rFonts w:eastAsia="Times New Roman"/>
          <w:sz w:val="22"/>
          <w:szCs w:val="22"/>
          <w:lang w:eastAsia="pt-BR"/>
        </w:rPr>
        <w:t>sobrepreço</w:t>
      </w:r>
      <w:proofErr w:type="spellEnd"/>
      <w:r w:rsidR="00273A11" w:rsidRPr="00884B42">
        <w:rPr>
          <w:rFonts w:eastAsia="Times New Roman"/>
          <w:sz w:val="22"/>
          <w:szCs w:val="22"/>
          <w:lang w:eastAsia="pt-BR"/>
        </w:rPr>
        <w:t xml:space="preserve"> e consequente superfaturamento dos serviços prestados, o Tribunal, acolhendo o voto do relator, condenou os responsáveis em débito, aplicando-lhes a multa prevista no art.</w:t>
      </w:r>
      <w:r w:rsidR="0021220E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21220E" w:rsidRPr="00884B42">
        <w:rPr>
          <w:rFonts w:eastAsia="Times New Roman"/>
          <w:sz w:val="22"/>
          <w:szCs w:val="22"/>
          <w:lang w:eastAsia="pt-BR"/>
        </w:rPr>
        <w:t>57 da Lei 8.443/92.</w:t>
      </w:r>
      <w:r w:rsidR="00273A11" w:rsidRPr="00884B42">
        <w:rPr>
          <w:rFonts w:eastAsia="Times New Roman"/>
          <w:sz w:val="22"/>
          <w:szCs w:val="22"/>
          <w:lang w:eastAsia="pt-BR"/>
        </w:rPr>
        <w:t xml:space="preserve"> </w:t>
      </w:r>
      <w:hyperlink r:id="rId11" w:history="1">
        <w:r w:rsidR="00F74BC3" w:rsidRPr="00884B4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1151/2015-Plenário</w:t>
        </w:r>
      </w:hyperlink>
      <w:r w:rsidR="0021220E" w:rsidRPr="00884B42">
        <w:rPr>
          <w:rFonts w:eastAsia="Times New Roman"/>
          <w:b/>
          <w:i/>
          <w:sz w:val="22"/>
          <w:szCs w:val="22"/>
          <w:lang w:eastAsia="pt-BR"/>
        </w:rPr>
        <w:t>, TC 002.143/2011-9, relatora Ministra Ana Arraes, 13.5.2015.</w:t>
      </w:r>
    </w:p>
    <w:p w:rsidR="000B2C79" w:rsidRDefault="000B2C79" w:rsidP="00442567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:rsidR="007B6E2E" w:rsidRDefault="007B6E2E" w:rsidP="007B6E2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SEGUNDA</w:t>
      </w:r>
      <w:r w:rsidRPr="00A5345F">
        <w:rPr>
          <w:b/>
          <w:bCs/>
          <w:smallCaps/>
          <w:sz w:val="22"/>
          <w:szCs w:val="22"/>
        </w:rPr>
        <w:t xml:space="preserve"> CÂMARA</w:t>
      </w:r>
    </w:p>
    <w:p w:rsidR="00946958" w:rsidRPr="00A5345F" w:rsidRDefault="00946958" w:rsidP="007B6E2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2962D4" w:rsidRPr="00884B42" w:rsidRDefault="00697532" w:rsidP="002962D4">
      <w:pPr>
        <w:spacing w:after="0"/>
        <w:ind w:left="0"/>
        <w:rPr>
          <w:b/>
          <w:sz w:val="22"/>
          <w:szCs w:val="22"/>
          <w:lang w:eastAsia="pt-BR"/>
        </w:rPr>
      </w:pPr>
      <w:r w:rsidRPr="00884B42">
        <w:rPr>
          <w:b/>
          <w:sz w:val="22"/>
          <w:szCs w:val="22"/>
          <w:lang w:eastAsia="pt-BR"/>
        </w:rPr>
        <w:t>4</w:t>
      </w:r>
      <w:r w:rsidR="004440E8" w:rsidRPr="00884B42">
        <w:rPr>
          <w:b/>
          <w:sz w:val="22"/>
          <w:szCs w:val="22"/>
          <w:lang w:eastAsia="pt-BR"/>
        </w:rPr>
        <w:t xml:space="preserve">. </w:t>
      </w:r>
      <w:r w:rsidR="002962D4" w:rsidRPr="00884B42">
        <w:rPr>
          <w:b/>
          <w:sz w:val="22"/>
          <w:szCs w:val="22"/>
          <w:lang w:eastAsia="pt-BR"/>
        </w:rPr>
        <w:t>A licitação é a regra, mesmo para as empresas estatais submetidas a regime jurídico próprio das empresas privadas (art. 173, § 1º, inciso II, da Constituição Federal),</w:t>
      </w:r>
      <w:r w:rsidR="00E84687" w:rsidRPr="00884B42">
        <w:rPr>
          <w:b/>
          <w:sz w:val="22"/>
          <w:szCs w:val="22"/>
          <w:lang w:eastAsia="pt-BR"/>
        </w:rPr>
        <w:t xml:space="preserve"> inclusive em sua</w:t>
      </w:r>
      <w:r w:rsidR="002962D4" w:rsidRPr="00884B42">
        <w:rPr>
          <w:b/>
          <w:sz w:val="22"/>
          <w:szCs w:val="22"/>
          <w:lang w:eastAsia="pt-BR"/>
        </w:rPr>
        <w:t xml:space="preserve"> área finalística</w:t>
      </w:r>
      <w:r w:rsidR="00E84687" w:rsidRPr="00884B42">
        <w:rPr>
          <w:b/>
          <w:sz w:val="22"/>
          <w:szCs w:val="22"/>
          <w:lang w:eastAsia="pt-BR"/>
        </w:rPr>
        <w:t>, e</w:t>
      </w:r>
      <w:r w:rsidR="002962D4" w:rsidRPr="00884B42">
        <w:rPr>
          <w:b/>
          <w:sz w:val="22"/>
          <w:szCs w:val="22"/>
          <w:lang w:eastAsia="pt-BR"/>
        </w:rPr>
        <w:t xml:space="preserve"> só pode ser afastada em sit</w:t>
      </w:r>
      <w:r w:rsidR="00E84687" w:rsidRPr="00884B42">
        <w:rPr>
          <w:b/>
          <w:sz w:val="22"/>
          <w:szCs w:val="22"/>
          <w:lang w:eastAsia="pt-BR"/>
        </w:rPr>
        <w:t>uações nas quais for demonstrada a existência de obstáculos negociais, com</w:t>
      </w:r>
      <w:r w:rsidR="002962D4" w:rsidRPr="00884B42">
        <w:rPr>
          <w:b/>
          <w:sz w:val="22"/>
          <w:szCs w:val="22"/>
          <w:lang w:eastAsia="pt-BR"/>
        </w:rPr>
        <w:t xml:space="preserve"> efetivo prejuízo às atividades da estatal</w:t>
      </w:r>
      <w:r w:rsidR="00E84687" w:rsidRPr="00884B42">
        <w:rPr>
          <w:b/>
          <w:sz w:val="22"/>
          <w:szCs w:val="22"/>
          <w:lang w:eastAsia="pt-BR"/>
        </w:rPr>
        <w:t>, que impossibilitem a licitação.</w:t>
      </w:r>
    </w:p>
    <w:p w:rsidR="00110ECA" w:rsidRPr="00884B42" w:rsidRDefault="001F5138" w:rsidP="00442567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884B42">
        <w:rPr>
          <w:rFonts w:eastAsia="Times New Roman"/>
          <w:color w:val="000000"/>
          <w:sz w:val="22"/>
          <w:szCs w:val="22"/>
          <w:lang w:eastAsia="pt-BR"/>
        </w:rPr>
        <w:t xml:space="preserve">Em </w:t>
      </w:r>
      <w:r w:rsidR="00AE08C9" w:rsidRPr="00884B42">
        <w:rPr>
          <w:rFonts w:eastAsia="Times New Roman"/>
          <w:color w:val="000000"/>
          <w:sz w:val="22"/>
          <w:szCs w:val="22"/>
          <w:lang w:eastAsia="pt-BR"/>
        </w:rPr>
        <w:t xml:space="preserve">Recursos de </w:t>
      </w:r>
      <w:r w:rsidR="00686482" w:rsidRPr="00884B42">
        <w:rPr>
          <w:rFonts w:eastAsia="Times New Roman"/>
          <w:color w:val="000000"/>
          <w:sz w:val="22"/>
          <w:szCs w:val="22"/>
          <w:lang w:eastAsia="pt-BR"/>
        </w:rPr>
        <w:t>R</w:t>
      </w:r>
      <w:r w:rsidR="00AE08C9" w:rsidRPr="00884B42">
        <w:rPr>
          <w:rFonts w:eastAsia="Times New Roman"/>
          <w:color w:val="000000"/>
          <w:sz w:val="22"/>
          <w:szCs w:val="22"/>
          <w:lang w:eastAsia="pt-BR"/>
        </w:rPr>
        <w:t xml:space="preserve">econsideração interpostos pela Petrobras Distribuidora S.A </w:t>
      </w:r>
      <w:r w:rsidR="00686482" w:rsidRPr="00884B42">
        <w:rPr>
          <w:rFonts w:eastAsia="Times New Roman"/>
          <w:color w:val="000000"/>
          <w:sz w:val="22"/>
          <w:szCs w:val="22"/>
          <w:lang w:eastAsia="pt-BR"/>
        </w:rPr>
        <w:t xml:space="preserve">(Petrobras) </w:t>
      </w:r>
      <w:r w:rsidR="00AE08C9" w:rsidRPr="00884B42">
        <w:rPr>
          <w:rFonts w:eastAsia="Times New Roman"/>
          <w:color w:val="000000"/>
          <w:sz w:val="22"/>
          <w:szCs w:val="22"/>
          <w:lang w:eastAsia="pt-BR"/>
        </w:rPr>
        <w:t>e por gestores</w:t>
      </w:r>
      <w:r w:rsidR="00686482" w:rsidRPr="00884B42">
        <w:rPr>
          <w:rFonts w:eastAsia="Times New Roman"/>
          <w:color w:val="000000"/>
          <w:sz w:val="22"/>
          <w:szCs w:val="22"/>
          <w:lang w:eastAsia="pt-BR"/>
        </w:rPr>
        <w:t xml:space="preserve"> da estatal </w:t>
      </w:r>
      <w:r w:rsidR="003B0EA0" w:rsidRPr="00884B42">
        <w:rPr>
          <w:rFonts w:eastAsia="Times New Roman"/>
          <w:color w:val="000000"/>
          <w:sz w:val="22"/>
          <w:szCs w:val="22"/>
          <w:lang w:eastAsia="pt-BR"/>
        </w:rPr>
        <w:t>contra o</w:t>
      </w:r>
      <w:r w:rsidR="00686482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2" w:history="1">
        <w:r w:rsidR="00686482" w:rsidRPr="00884B42">
          <w:rPr>
            <w:rStyle w:val="Hyperlink"/>
            <w:rFonts w:eastAsia="Times New Roman"/>
            <w:sz w:val="22"/>
            <w:szCs w:val="22"/>
            <w:lang w:eastAsia="pt-BR"/>
          </w:rPr>
          <w:t>Acórdão 7.721/2011-2ª Câmara</w:t>
        </w:r>
      </w:hyperlink>
      <w:r w:rsidR="003B0EA0" w:rsidRPr="00884B42">
        <w:rPr>
          <w:rFonts w:eastAsia="Times New Roman"/>
          <w:color w:val="000000"/>
          <w:sz w:val="22"/>
          <w:szCs w:val="22"/>
          <w:lang w:eastAsia="pt-BR"/>
        </w:rPr>
        <w:t>, a</w:t>
      </w:r>
      <w:r w:rsidR="00686482" w:rsidRPr="00884B42">
        <w:rPr>
          <w:rFonts w:eastAsia="Times New Roman"/>
          <w:color w:val="000000"/>
          <w:sz w:val="22"/>
          <w:szCs w:val="22"/>
          <w:lang w:eastAsia="pt-BR"/>
        </w:rPr>
        <w:t xml:space="preserve"> Petrobras questionara, especificamente, </w:t>
      </w:r>
      <w:r w:rsidR="00110ECA" w:rsidRPr="00884B42">
        <w:rPr>
          <w:rFonts w:eastAsia="Times New Roman"/>
          <w:color w:val="000000"/>
          <w:sz w:val="22"/>
          <w:szCs w:val="22"/>
          <w:lang w:eastAsia="pt-BR"/>
        </w:rPr>
        <w:t xml:space="preserve">a </w:t>
      </w:r>
      <w:r w:rsidR="00686482" w:rsidRPr="00884B42">
        <w:rPr>
          <w:rFonts w:eastAsia="Times New Roman"/>
          <w:color w:val="000000"/>
          <w:sz w:val="22"/>
          <w:szCs w:val="22"/>
          <w:lang w:eastAsia="pt-BR"/>
        </w:rPr>
        <w:t xml:space="preserve">determinação </w:t>
      </w:r>
      <w:r w:rsidR="00110ECA" w:rsidRPr="00884B42">
        <w:rPr>
          <w:rFonts w:eastAsia="Times New Roman"/>
          <w:color w:val="000000"/>
          <w:sz w:val="22"/>
          <w:szCs w:val="22"/>
          <w:lang w:eastAsia="pt-BR"/>
        </w:rPr>
        <w:t xml:space="preserve">para que orientasse suas unidades quanto ao cumprimento do </w:t>
      </w:r>
      <w:hyperlink r:id="rId13" w:tgtFrame="_blank" w:history="1">
        <w:r w:rsidR="00110ECA" w:rsidRPr="00884B42">
          <w:rPr>
            <w:rStyle w:val="Hyperlink"/>
            <w:rFonts w:eastAsia="Times New Roman"/>
            <w:sz w:val="22"/>
            <w:szCs w:val="22"/>
            <w:lang w:eastAsia="pt-BR"/>
          </w:rPr>
          <w:t>Acórdão 1.186/2007-TCU-2ª Câmara</w:t>
        </w:r>
      </w:hyperlink>
      <w:r w:rsidR="00110ECA" w:rsidRPr="00884B42">
        <w:rPr>
          <w:rFonts w:eastAsia="Times New Roman"/>
          <w:color w:val="000000"/>
          <w:sz w:val="22"/>
          <w:szCs w:val="22"/>
          <w:lang w:eastAsia="pt-BR"/>
        </w:rPr>
        <w:t xml:space="preserve">, no sentido de realizar o devido procedimento licitatório nas contratações de transportes que sejam atividade-fim da empresa, como a de transporte de produtos, a não ser que houvesse óbice intransponível à </w:t>
      </w:r>
      <w:r w:rsidR="00032353" w:rsidRPr="00884B42">
        <w:rPr>
          <w:rFonts w:eastAsia="Times New Roman"/>
          <w:color w:val="000000"/>
          <w:sz w:val="22"/>
          <w:szCs w:val="22"/>
          <w:lang w:eastAsia="pt-BR"/>
        </w:rPr>
        <w:t xml:space="preserve">sua </w:t>
      </w:r>
      <w:r w:rsidR="00110ECA" w:rsidRPr="00884B42">
        <w:rPr>
          <w:rFonts w:eastAsia="Times New Roman"/>
          <w:color w:val="000000"/>
          <w:sz w:val="22"/>
          <w:szCs w:val="22"/>
          <w:lang w:eastAsia="pt-BR"/>
        </w:rPr>
        <w:t>atividade negocial</w:t>
      </w:r>
      <w:r w:rsidR="00032353" w:rsidRPr="00884B42">
        <w:rPr>
          <w:rFonts w:eastAsia="Times New Roman"/>
          <w:color w:val="000000"/>
          <w:sz w:val="22"/>
          <w:szCs w:val="22"/>
          <w:lang w:eastAsia="pt-BR"/>
        </w:rPr>
        <w:t>.</w:t>
      </w:r>
      <w:r w:rsidR="003B0EA0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A76756" w:rsidRPr="00884B42">
        <w:rPr>
          <w:rFonts w:eastAsia="Times New Roman"/>
          <w:color w:val="000000"/>
          <w:sz w:val="22"/>
          <w:szCs w:val="22"/>
          <w:lang w:eastAsia="pt-BR"/>
        </w:rPr>
        <w:t>Em suas razões recursais, a estatal alega</w:t>
      </w:r>
      <w:r w:rsidR="00310EA6" w:rsidRPr="00884B42">
        <w:rPr>
          <w:rFonts w:eastAsia="Times New Roman"/>
          <w:color w:val="000000"/>
          <w:sz w:val="22"/>
          <w:szCs w:val="22"/>
          <w:lang w:eastAsia="pt-BR"/>
        </w:rPr>
        <w:t>ra</w:t>
      </w:r>
      <w:r w:rsidR="00A76756" w:rsidRPr="00884B42">
        <w:rPr>
          <w:rFonts w:eastAsia="Times New Roman"/>
          <w:color w:val="000000"/>
          <w:sz w:val="22"/>
          <w:szCs w:val="22"/>
          <w:lang w:eastAsia="pt-BR"/>
        </w:rPr>
        <w:t xml:space="preserve"> que “</w:t>
      </w:r>
      <w:r w:rsidR="00A76756" w:rsidRPr="00884B42">
        <w:rPr>
          <w:rFonts w:eastAsia="Times New Roman"/>
          <w:i/>
          <w:color w:val="000000"/>
          <w:sz w:val="22"/>
          <w:szCs w:val="22"/>
          <w:lang w:eastAsia="pt-BR"/>
        </w:rPr>
        <w:t xml:space="preserve">no presente caso não haveria o dever de licitar, pois a atividade-fim por ela desempenhada está inserida em um mercado concorrencial, em que compete em igualdade de condições. Assim, se estiver obrigada a </w:t>
      </w:r>
      <w:r w:rsidR="00A76756" w:rsidRPr="00884B42">
        <w:rPr>
          <w:i/>
          <w:sz w:val="22"/>
          <w:szCs w:val="22"/>
        </w:rPr>
        <w:t>licitar</w:t>
      </w:r>
      <w:r w:rsidR="00A76756" w:rsidRPr="00884B42">
        <w:rPr>
          <w:rFonts w:eastAsia="Times New Roman"/>
          <w:i/>
          <w:color w:val="000000"/>
          <w:sz w:val="22"/>
          <w:szCs w:val="22"/>
          <w:lang w:eastAsia="pt-BR"/>
        </w:rPr>
        <w:t>, não seria conferido a ela um tratamento isonômico em relação às demais empresas</w:t>
      </w:r>
      <w:r w:rsidR="00A76756" w:rsidRPr="00884B42">
        <w:rPr>
          <w:rFonts w:eastAsia="Times New Roman"/>
          <w:color w:val="000000"/>
          <w:sz w:val="22"/>
          <w:szCs w:val="22"/>
          <w:lang w:eastAsia="pt-BR"/>
        </w:rPr>
        <w:t>”. Menciona</w:t>
      </w:r>
      <w:r w:rsidR="00E64CEA" w:rsidRPr="00884B42">
        <w:rPr>
          <w:rFonts w:eastAsia="Times New Roman"/>
          <w:color w:val="000000"/>
          <w:sz w:val="22"/>
          <w:szCs w:val="22"/>
          <w:lang w:eastAsia="pt-BR"/>
        </w:rPr>
        <w:t>ra</w:t>
      </w:r>
      <w:r w:rsidR="00A76756" w:rsidRPr="00884B42">
        <w:rPr>
          <w:rFonts w:eastAsia="Times New Roman"/>
          <w:color w:val="000000"/>
          <w:sz w:val="22"/>
          <w:szCs w:val="22"/>
          <w:lang w:eastAsia="pt-BR"/>
        </w:rPr>
        <w:t xml:space="preserve"> ainda o art. 173, § 1º, inciso II, da Constituição</w:t>
      </w:r>
      <w:r w:rsidR="004217FC" w:rsidRPr="00884B42">
        <w:rPr>
          <w:rFonts w:eastAsia="Times New Roman"/>
          <w:color w:val="000000"/>
          <w:sz w:val="22"/>
          <w:szCs w:val="22"/>
          <w:lang w:eastAsia="pt-BR"/>
        </w:rPr>
        <w:t xml:space="preserve"> Federal</w:t>
      </w:r>
      <w:r w:rsidR="00A76756" w:rsidRPr="00884B42">
        <w:rPr>
          <w:rFonts w:eastAsia="Times New Roman"/>
          <w:color w:val="000000"/>
          <w:sz w:val="22"/>
          <w:szCs w:val="22"/>
          <w:lang w:eastAsia="pt-BR"/>
        </w:rPr>
        <w:t xml:space="preserve">, que a submete ao regime jurídico próprio das empresas privadas. </w:t>
      </w:r>
      <w:r w:rsidR="004217FC" w:rsidRPr="00884B42">
        <w:rPr>
          <w:rFonts w:eastAsia="Times New Roman"/>
          <w:color w:val="000000"/>
          <w:sz w:val="22"/>
          <w:szCs w:val="22"/>
          <w:lang w:eastAsia="pt-BR"/>
        </w:rPr>
        <w:t>Ao analisar o recurso, o relator inicialmente explicou que a determinação decorrera da constatação de que os contratos de transporte não eram precedidos de licitação, destacando que a</w:t>
      </w:r>
      <w:r w:rsidR="001B11EA" w:rsidRPr="00884B42">
        <w:rPr>
          <w:rFonts w:eastAsia="Times New Roman"/>
          <w:color w:val="000000"/>
          <w:sz w:val="22"/>
          <w:szCs w:val="22"/>
          <w:lang w:eastAsia="pt-BR"/>
        </w:rPr>
        <w:t xml:space="preserve"> jurisprudência mais recente </w:t>
      </w:r>
      <w:r w:rsidR="004217FC" w:rsidRPr="00884B42">
        <w:rPr>
          <w:rFonts w:eastAsia="Times New Roman"/>
          <w:color w:val="000000"/>
          <w:sz w:val="22"/>
          <w:szCs w:val="22"/>
          <w:lang w:eastAsia="pt-BR"/>
        </w:rPr>
        <w:t xml:space="preserve">do TCU </w:t>
      </w:r>
      <w:r w:rsidR="001B11EA" w:rsidRPr="00884B42">
        <w:rPr>
          <w:rFonts w:eastAsia="Times New Roman"/>
          <w:color w:val="000000"/>
          <w:sz w:val="22"/>
          <w:szCs w:val="22"/>
          <w:lang w:eastAsia="pt-BR"/>
        </w:rPr>
        <w:t>é no sentido de que “</w:t>
      </w:r>
      <w:r w:rsidR="001B11EA" w:rsidRPr="00884B42">
        <w:rPr>
          <w:rFonts w:eastAsia="Times New Roman"/>
          <w:i/>
          <w:color w:val="000000"/>
          <w:sz w:val="22"/>
          <w:szCs w:val="22"/>
          <w:lang w:eastAsia="pt-BR"/>
        </w:rPr>
        <w:t>a licitação é a regra, inclusive para a área finalística da empresa, e só pode ser afastada em situações nas quais for demonstrado efetivo prejuízo às atividades da estatal, algo que não foi demonstrado pela recorrente para o transporte de produtos</w:t>
      </w:r>
      <w:r w:rsidR="001B11EA" w:rsidRPr="00884B42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4217FC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E503CA" w:rsidRPr="00884B42">
        <w:rPr>
          <w:rFonts w:eastAsia="Times New Roman"/>
          <w:color w:val="000000"/>
          <w:sz w:val="22"/>
          <w:szCs w:val="22"/>
          <w:lang w:eastAsia="pt-BR"/>
        </w:rPr>
        <w:t xml:space="preserve"> Sobre </w:t>
      </w:r>
      <w:r w:rsidR="00E63424" w:rsidRPr="00884B42">
        <w:rPr>
          <w:rFonts w:eastAsia="Times New Roman"/>
          <w:color w:val="000000"/>
          <w:sz w:val="22"/>
          <w:szCs w:val="22"/>
          <w:lang w:eastAsia="pt-BR"/>
        </w:rPr>
        <w:t xml:space="preserve">a possibilidade de realizar licitação para </w:t>
      </w:r>
      <w:r w:rsidR="00E503CA" w:rsidRPr="00884B42">
        <w:rPr>
          <w:rFonts w:eastAsia="Times New Roman"/>
          <w:color w:val="000000"/>
          <w:sz w:val="22"/>
          <w:szCs w:val="22"/>
          <w:lang w:eastAsia="pt-BR"/>
        </w:rPr>
        <w:t>os serviços de transporte, esclar</w:t>
      </w:r>
      <w:r w:rsidR="00E63424" w:rsidRPr="00884B42">
        <w:rPr>
          <w:rFonts w:eastAsia="Times New Roman"/>
          <w:color w:val="000000"/>
          <w:sz w:val="22"/>
          <w:szCs w:val="22"/>
          <w:lang w:eastAsia="pt-BR"/>
        </w:rPr>
        <w:t>eceu o relator que “</w:t>
      </w:r>
      <w:r w:rsidR="00E63424" w:rsidRPr="00884B42">
        <w:rPr>
          <w:rFonts w:eastAsia="Times New Roman"/>
          <w:i/>
          <w:color w:val="000000"/>
          <w:sz w:val="22"/>
          <w:szCs w:val="22"/>
          <w:lang w:eastAsia="pt-BR"/>
        </w:rPr>
        <w:t>o objeto a ser contratado pode ser adequadamente delimitado, fixando-se previamente os diversos parâmetros do serviço, tais como preço, prazo, condições de transporte e de entrega, dentre outros. Quanto à demanda, é possível prever de antemão o volume a ser transportado e, ainda que ocorram variações, é possível alterar seus valores por meio de termo aditivo. Existe no mercado um número significativo de empresas que prestam o serviço, fator que implica a possibilidade de competição nos certames e que favorece a busca da proposta mais vantajosa para a estata</w:t>
      </w:r>
      <w:r w:rsidR="00E63424" w:rsidRPr="00884B42">
        <w:rPr>
          <w:rFonts w:eastAsia="Times New Roman"/>
          <w:color w:val="000000"/>
          <w:sz w:val="22"/>
          <w:szCs w:val="22"/>
          <w:lang w:eastAsia="pt-BR"/>
        </w:rPr>
        <w:t xml:space="preserve">l”. </w:t>
      </w:r>
      <w:r w:rsidR="00DE4AAF" w:rsidRPr="00884B42">
        <w:rPr>
          <w:rFonts w:eastAsia="Times New Roman"/>
          <w:color w:val="000000"/>
          <w:sz w:val="22"/>
          <w:szCs w:val="22"/>
          <w:lang w:eastAsia="pt-BR"/>
        </w:rPr>
        <w:t>Ponderou</w:t>
      </w:r>
      <w:r w:rsidR="00136670" w:rsidRPr="00884B4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DE4AAF" w:rsidRPr="00884B42">
        <w:rPr>
          <w:rFonts w:eastAsia="Times New Roman"/>
          <w:color w:val="000000"/>
          <w:sz w:val="22"/>
          <w:szCs w:val="22"/>
          <w:lang w:eastAsia="pt-BR"/>
        </w:rPr>
        <w:t xml:space="preserve">contudo o relator que </w:t>
      </w:r>
      <w:r w:rsidR="00136670" w:rsidRPr="00884B42">
        <w:rPr>
          <w:rFonts w:eastAsia="Times New Roman"/>
          <w:color w:val="000000"/>
          <w:sz w:val="22"/>
          <w:szCs w:val="22"/>
          <w:lang w:eastAsia="pt-BR"/>
        </w:rPr>
        <w:t xml:space="preserve">não estaria </w:t>
      </w:r>
      <w:r w:rsidR="00D17F57" w:rsidRPr="00884B42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136670" w:rsidRPr="00884B42">
        <w:rPr>
          <w:rFonts w:eastAsia="Times New Roman"/>
          <w:i/>
          <w:color w:val="000000"/>
          <w:sz w:val="22"/>
          <w:szCs w:val="22"/>
          <w:lang w:eastAsia="pt-BR"/>
        </w:rPr>
        <w:t>impondo o procedimento licitatório a todas as atividades finalísticas, mas apenas afirmando que essa é a regra. Compete à estatal demonstrar, em cada caso, a existência de eventuais obstáculos negociais que impossibilitem a licitação</w:t>
      </w:r>
      <w:r w:rsidR="00D17F57" w:rsidRPr="00884B42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r w:rsidR="00811DA1" w:rsidRPr="00884B42">
        <w:rPr>
          <w:rFonts w:eastAsia="Times New Roman"/>
          <w:color w:val="000000"/>
          <w:sz w:val="22"/>
          <w:szCs w:val="22"/>
          <w:lang w:eastAsia="pt-BR"/>
        </w:rPr>
        <w:t xml:space="preserve">Por fim, </w:t>
      </w:r>
      <w:r w:rsidR="006C5E92" w:rsidRPr="00884B42">
        <w:rPr>
          <w:rFonts w:eastAsia="Times New Roman"/>
          <w:color w:val="000000"/>
          <w:sz w:val="22"/>
          <w:szCs w:val="22"/>
          <w:lang w:eastAsia="pt-BR"/>
        </w:rPr>
        <w:t xml:space="preserve">ressaltou que estaria superado o entendimento fixado no </w:t>
      </w:r>
      <w:hyperlink r:id="rId14" w:history="1">
        <w:r w:rsidR="006C5E92" w:rsidRPr="00884B42">
          <w:rPr>
            <w:rStyle w:val="Hyperlink"/>
            <w:rFonts w:eastAsia="Times New Roman"/>
            <w:sz w:val="22"/>
            <w:szCs w:val="22"/>
            <w:lang w:eastAsia="pt-BR"/>
          </w:rPr>
          <w:t>Acórdão 121/1998-Plenário</w:t>
        </w:r>
      </w:hyperlink>
      <w:r w:rsidR="006C5E92" w:rsidRPr="00884B42">
        <w:rPr>
          <w:rFonts w:eastAsia="Times New Roman"/>
          <w:color w:val="000000"/>
          <w:sz w:val="22"/>
          <w:szCs w:val="22"/>
          <w:lang w:eastAsia="pt-BR"/>
        </w:rPr>
        <w:t>, “</w:t>
      </w:r>
      <w:r w:rsidR="006C5E92" w:rsidRPr="00884B42">
        <w:rPr>
          <w:rFonts w:eastAsia="Times New Roman"/>
          <w:i/>
          <w:color w:val="000000"/>
          <w:sz w:val="22"/>
          <w:szCs w:val="22"/>
          <w:lang w:eastAsia="pt-BR"/>
        </w:rPr>
        <w:t>segundo o qual seria excluída a obrigatoriedade de a Petrobras realizar processo licitatório para as contratações de transportes que sejam atividade-fim da empresa, como a de transporte de produtos</w:t>
      </w:r>
      <w:r w:rsidR="006C5E92" w:rsidRPr="00884B42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94787C" w:rsidRPr="00884B42">
        <w:rPr>
          <w:rFonts w:eastAsia="Times New Roman"/>
          <w:color w:val="000000"/>
          <w:sz w:val="22"/>
          <w:szCs w:val="22"/>
          <w:lang w:eastAsia="pt-BR"/>
        </w:rPr>
        <w:t xml:space="preserve"> Pelos motivos exposto</w:t>
      </w:r>
      <w:r w:rsidR="00C07299" w:rsidRPr="00884B42">
        <w:rPr>
          <w:rFonts w:eastAsia="Times New Roman"/>
          <w:color w:val="000000"/>
          <w:sz w:val="22"/>
          <w:szCs w:val="22"/>
          <w:lang w:eastAsia="pt-BR"/>
        </w:rPr>
        <w:t>s</w:t>
      </w:r>
      <w:r w:rsidR="0094787C" w:rsidRPr="00884B42">
        <w:rPr>
          <w:rFonts w:eastAsia="Times New Roman"/>
          <w:color w:val="000000"/>
          <w:sz w:val="22"/>
          <w:szCs w:val="22"/>
          <w:lang w:eastAsia="pt-BR"/>
        </w:rPr>
        <w:t xml:space="preserve"> pelo relator, o Plenário do Tribunal negou provimento ao recurso da Petrobras. </w:t>
      </w:r>
      <w:hyperlink r:id="rId15" w:history="1">
        <w:r w:rsidR="0094787C" w:rsidRPr="00884B4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 xml:space="preserve">Acórdão </w:t>
        </w:r>
        <w:r w:rsidR="00293C4B" w:rsidRPr="00884B4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2384</w:t>
        </w:r>
        <w:r w:rsidR="0094787C" w:rsidRPr="00884B4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</w:t>
        </w:r>
        <w:r w:rsidR="00293C4B" w:rsidRPr="00884B4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Segunda Câmara</w:t>
        </w:r>
      </w:hyperlink>
      <w:r w:rsidR="0094787C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</w:t>
      </w:r>
      <w:r w:rsidR="00293C4B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012</w:t>
      </w:r>
      <w:r w:rsidR="0094787C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 w:rsidR="00293C4B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573/2005-8</w:t>
      </w:r>
      <w:r w:rsidR="0094787C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relator Ministro Benjamin </w:t>
      </w:r>
      <w:proofErr w:type="spellStart"/>
      <w:r w:rsidR="0094787C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Zymler</w:t>
      </w:r>
      <w:proofErr w:type="spellEnd"/>
      <w:r w:rsidR="0094787C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, 1</w:t>
      </w:r>
      <w:r w:rsidR="00293C4B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2</w:t>
      </w:r>
      <w:r w:rsidR="0094787C" w:rsidRPr="00884B42">
        <w:rPr>
          <w:rFonts w:eastAsia="Times New Roman"/>
          <w:b/>
          <w:i/>
          <w:color w:val="000000"/>
          <w:sz w:val="22"/>
          <w:szCs w:val="22"/>
          <w:lang w:eastAsia="pt-BR"/>
        </w:rPr>
        <w:t>.5.2015.</w:t>
      </w:r>
    </w:p>
    <w:p w:rsidR="00110ECA" w:rsidRDefault="00110ECA" w:rsidP="00442567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:rsidR="00136670" w:rsidRDefault="00136670" w:rsidP="00442567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:rsidR="00136670" w:rsidRDefault="00136670" w:rsidP="00442567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:rsidR="00D526A3" w:rsidRPr="00442567" w:rsidRDefault="00D526A3" w:rsidP="00442567">
      <w:pPr>
        <w:shd w:val="clear" w:color="auto" w:fill="FFFFFF"/>
        <w:spacing w:after="0"/>
        <w:ind w:left="0"/>
        <w:rPr>
          <w:rFonts w:eastAsia="Times New Roman"/>
          <w:i/>
          <w:color w:val="000000"/>
          <w:sz w:val="22"/>
          <w:szCs w:val="22"/>
          <w:lang w:eastAsia="pt-B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6" w:history="1">
              <w:r w:rsidR="0015798E" w:rsidRPr="004160CE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2911C8">
      <w:pPr>
        <w:ind w:left="0"/>
        <w:rPr>
          <w:sz w:val="22"/>
          <w:szCs w:val="22"/>
        </w:rPr>
      </w:pPr>
    </w:p>
    <w:sectPr w:rsidR="004A3A81" w:rsidSect="00616945">
      <w:footerReference w:type="default" r:id="rId17"/>
      <w:headerReference w:type="first" r:id="rId18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5D" w:rsidRDefault="0013675D" w:rsidP="008B0547">
      <w:pPr>
        <w:spacing w:after="0"/>
      </w:pPr>
      <w:r>
        <w:separator/>
      </w:r>
    </w:p>
  </w:endnote>
  <w:endnote w:type="continuationSeparator" w:id="0">
    <w:p w:rsidR="0013675D" w:rsidRDefault="0013675D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CF4C8C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5D" w:rsidRDefault="0013675D" w:rsidP="008B0547">
      <w:pPr>
        <w:spacing w:after="0"/>
      </w:pPr>
      <w:r>
        <w:separator/>
      </w:r>
    </w:p>
  </w:footnote>
  <w:footnote w:type="continuationSeparator" w:id="0">
    <w:p w:rsidR="0013675D" w:rsidRDefault="0013675D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2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55CC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8CF"/>
    <w:rsid w:val="00023AFD"/>
    <w:rsid w:val="00023D72"/>
    <w:rsid w:val="00024363"/>
    <w:rsid w:val="00025103"/>
    <w:rsid w:val="000253D1"/>
    <w:rsid w:val="000253EE"/>
    <w:rsid w:val="00025450"/>
    <w:rsid w:val="00025753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6E7"/>
    <w:rsid w:val="00075CE6"/>
    <w:rsid w:val="00075D3C"/>
    <w:rsid w:val="00075DC2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154F"/>
    <w:rsid w:val="00081635"/>
    <w:rsid w:val="0008178A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573"/>
    <w:rsid w:val="000A1EBD"/>
    <w:rsid w:val="000A246C"/>
    <w:rsid w:val="000A261A"/>
    <w:rsid w:val="000A2B36"/>
    <w:rsid w:val="000A2C56"/>
    <w:rsid w:val="000A2DF9"/>
    <w:rsid w:val="000A301D"/>
    <w:rsid w:val="000A37A7"/>
    <w:rsid w:val="000A3939"/>
    <w:rsid w:val="000A402F"/>
    <w:rsid w:val="000A40FD"/>
    <w:rsid w:val="000A4384"/>
    <w:rsid w:val="000A4632"/>
    <w:rsid w:val="000A47EA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5EF"/>
    <w:rsid w:val="000A77BB"/>
    <w:rsid w:val="000A78E5"/>
    <w:rsid w:val="000A79DB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AFA"/>
    <w:rsid w:val="000B2B2C"/>
    <w:rsid w:val="000B2C79"/>
    <w:rsid w:val="000B3015"/>
    <w:rsid w:val="000B3444"/>
    <w:rsid w:val="000B359F"/>
    <w:rsid w:val="000B395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EC2"/>
    <w:rsid w:val="000C0013"/>
    <w:rsid w:val="000C02AD"/>
    <w:rsid w:val="000C049A"/>
    <w:rsid w:val="000C060B"/>
    <w:rsid w:val="000C0AA8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C9"/>
    <w:rsid w:val="000C4BA1"/>
    <w:rsid w:val="000C4FAE"/>
    <w:rsid w:val="000C5199"/>
    <w:rsid w:val="000C51DE"/>
    <w:rsid w:val="000C5536"/>
    <w:rsid w:val="000C556A"/>
    <w:rsid w:val="000C5799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9A2"/>
    <w:rsid w:val="000D2CBD"/>
    <w:rsid w:val="000D359B"/>
    <w:rsid w:val="000D37B0"/>
    <w:rsid w:val="000D3C1E"/>
    <w:rsid w:val="000D3E44"/>
    <w:rsid w:val="000D52D9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373A"/>
    <w:rsid w:val="00113A1F"/>
    <w:rsid w:val="00113B55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5F4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1213"/>
    <w:rsid w:val="00121290"/>
    <w:rsid w:val="001212BD"/>
    <w:rsid w:val="00121782"/>
    <w:rsid w:val="001217A0"/>
    <w:rsid w:val="00121BE3"/>
    <w:rsid w:val="00121EDA"/>
    <w:rsid w:val="0012277E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752"/>
    <w:rsid w:val="00130A0C"/>
    <w:rsid w:val="00130B06"/>
    <w:rsid w:val="00130EF3"/>
    <w:rsid w:val="00131679"/>
    <w:rsid w:val="001316FC"/>
    <w:rsid w:val="0013176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675D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4AE"/>
    <w:rsid w:val="0016352E"/>
    <w:rsid w:val="00163585"/>
    <w:rsid w:val="00163752"/>
    <w:rsid w:val="001638FF"/>
    <w:rsid w:val="00163A36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778C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4E93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35"/>
    <w:rsid w:val="00194EDA"/>
    <w:rsid w:val="00195023"/>
    <w:rsid w:val="001951C9"/>
    <w:rsid w:val="001956E2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C45"/>
    <w:rsid w:val="001A60A2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506"/>
    <w:rsid w:val="001B2580"/>
    <w:rsid w:val="001B2809"/>
    <w:rsid w:val="001B2931"/>
    <w:rsid w:val="001B2A46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5"/>
    <w:rsid w:val="001D2D43"/>
    <w:rsid w:val="001D2E56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B05"/>
    <w:rsid w:val="001F2B1F"/>
    <w:rsid w:val="001F348E"/>
    <w:rsid w:val="001F34F8"/>
    <w:rsid w:val="001F473A"/>
    <w:rsid w:val="001F4DA1"/>
    <w:rsid w:val="001F5138"/>
    <w:rsid w:val="001F5268"/>
    <w:rsid w:val="001F553C"/>
    <w:rsid w:val="001F5A5A"/>
    <w:rsid w:val="001F5E50"/>
    <w:rsid w:val="001F5EB4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A7"/>
    <w:rsid w:val="00206C2E"/>
    <w:rsid w:val="00206CDA"/>
    <w:rsid w:val="00206CDC"/>
    <w:rsid w:val="00207082"/>
    <w:rsid w:val="0020734D"/>
    <w:rsid w:val="002074EE"/>
    <w:rsid w:val="00207BF8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3CD"/>
    <w:rsid w:val="00214569"/>
    <w:rsid w:val="00215057"/>
    <w:rsid w:val="0021508D"/>
    <w:rsid w:val="00215156"/>
    <w:rsid w:val="0021517D"/>
    <w:rsid w:val="002157BF"/>
    <w:rsid w:val="00216157"/>
    <w:rsid w:val="00216BD9"/>
    <w:rsid w:val="00217566"/>
    <w:rsid w:val="00217B1B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AD"/>
    <w:rsid w:val="00255B58"/>
    <w:rsid w:val="00255CF8"/>
    <w:rsid w:val="00255E00"/>
    <w:rsid w:val="00255FC7"/>
    <w:rsid w:val="00256044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3058"/>
    <w:rsid w:val="002731B9"/>
    <w:rsid w:val="00273206"/>
    <w:rsid w:val="00273A11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30FA"/>
    <w:rsid w:val="00293198"/>
    <w:rsid w:val="002933A1"/>
    <w:rsid w:val="0029353D"/>
    <w:rsid w:val="00293A66"/>
    <w:rsid w:val="00293B8B"/>
    <w:rsid w:val="00293C4B"/>
    <w:rsid w:val="0029450E"/>
    <w:rsid w:val="00294B1A"/>
    <w:rsid w:val="00294C0F"/>
    <w:rsid w:val="00294F77"/>
    <w:rsid w:val="0029551E"/>
    <w:rsid w:val="0029574D"/>
    <w:rsid w:val="00295922"/>
    <w:rsid w:val="002962CB"/>
    <w:rsid w:val="002962D4"/>
    <w:rsid w:val="0029691D"/>
    <w:rsid w:val="00297206"/>
    <w:rsid w:val="00297465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F5"/>
    <w:rsid w:val="002A5D74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9D7"/>
    <w:rsid w:val="002B4A50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588"/>
    <w:rsid w:val="002C662D"/>
    <w:rsid w:val="002C66E9"/>
    <w:rsid w:val="002C6B2F"/>
    <w:rsid w:val="002C6BFB"/>
    <w:rsid w:val="002C71CF"/>
    <w:rsid w:val="002C7813"/>
    <w:rsid w:val="002C78D8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264F"/>
    <w:rsid w:val="002D26EC"/>
    <w:rsid w:val="002D2BF5"/>
    <w:rsid w:val="002D2D0E"/>
    <w:rsid w:val="002D3043"/>
    <w:rsid w:val="002D35F5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5497"/>
    <w:rsid w:val="002F556F"/>
    <w:rsid w:val="002F5678"/>
    <w:rsid w:val="002F5F3B"/>
    <w:rsid w:val="002F61A4"/>
    <w:rsid w:val="002F64E5"/>
    <w:rsid w:val="002F693C"/>
    <w:rsid w:val="002F69BB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FAF"/>
    <w:rsid w:val="00304072"/>
    <w:rsid w:val="00304161"/>
    <w:rsid w:val="003043A7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7BF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0EA6"/>
    <w:rsid w:val="00311663"/>
    <w:rsid w:val="00311668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8EF"/>
    <w:rsid w:val="003179E3"/>
    <w:rsid w:val="00317B6B"/>
    <w:rsid w:val="00317CF0"/>
    <w:rsid w:val="00317E59"/>
    <w:rsid w:val="00317F8C"/>
    <w:rsid w:val="00320368"/>
    <w:rsid w:val="0032040C"/>
    <w:rsid w:val="00320465"/>
    <w:rsid w:val="00320A64"/>
    <w:rsid w:val="00320B02"/>
    <w:rsid w:val="00320B84"/>
    <w:rsid w:val="00320D78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344"/>
    <w:rsid w:val="00324E78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FF5"/>
    <w:rsid w:val="0033244F"/>
    <w:rsid w:val="00332C1D"/>
    <w:rsid w:val="00332EF9"/>
    <w:rsid w:val="00332F67"/>
    <w:rsid w:val="00333005"/>
    <w:rsid w:val="00333597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E16"/>
    <w:rsid w:val="003401CA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99D"/>
    <w:rsid w:val="00362905"/>
    <w:rsid w:val="003629D8"/>
    <w:rsid w:val="00362D04"/>
    <w:rsid w:val="00362D33"/>
    <w:rsid w:val="00363230"/>
    <w:rsid w:val="0036407C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0E2"/>
    <w:rsid w:val="0037314C"/>
    <w:rsid w:val="003731C2"/>
    <w:rsid w:val="00373747"/>
    <w:rsid w:val="00373860"/>
    <w:rsid w:val="00373DBC"/>
    <w:rsid w:val="00373DDB"/>
    <w:rsid w:val="00373F9C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F18"/>
    <w:rsid w:val="003A5479"/>
    <w:rsid w:val="003A54DE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B11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4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03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3A71"/>
    <w:rsid w:val="003D4149"/>
    <w:rsid w:val="003D44C8"/>
    <w:rsid w:val="003D47FD"/>
    <w:rsid w:val="003D4AA0"/>
    <w:rsid w:val="003D4B8C"/>
    <w:rsid w:val="003D5526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3F76"/>
    <w:rsid w:val="003F405F"/>
    <w:rsid w:val="003F413A"/>
    <w:rsid w:val="003F47B8"/>
    <w:rsid w:val="003F4A40"/>
    <w:rsid w:val="003F4B33"/>
    <w:rsid w:val="003F5154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8D3"/>
    <w:rsid w:val="003F7D98"/>
    <w:rsid w:val="004000C9"/>
    <w:rsid w:val="004002AB"/>
    <w:rsid w:val="004002FA"/>
    <w:rsid w:val="0040048C"/>
    <w:rsid w:val="00400533"/>
    <w:rsid w:val="00400C90"/>
    <w:rsid w:val="00400F7F"/>
    <w:rsid w:val="00401930"/>
    <w:rsid w:val="00401ABD"/>
    <w:rsid w:val="00401B73"/>
    <w:rsid w:val="004023F7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810"/>
    <w:rsid w:val="004108C3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3B8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562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D19"/>
    <w:rsid w:val="00471284"/>
    <w:rsid w:val="004712D4"/>
    <w:rsid w:val="0047147A"/>
    <w:rsid w:val="00471E08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22BC"/>
    <w:rsid w:val="004923BD"/>
    <w:rsid w:val="00492568"/>
    <w:rsid w:val="00492862"/>
    <w:rsid w:val="00492E3F"/>
    <w:rsid w:val="004930B3"/>
    <w:rsid w:val="00493DEE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7AB1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58"/>
    <w:rsid w:val="004A2385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3E6"/>
    <w:rsid w:val="004B2835"/>
    <w:rsid w:val="004B28C5"/>
    <w:rsid w:val="004B323F"/>
    <w:rsid w:val="004B326B"/>
    <w:rsid w:val="004B329D"/>
    <w:rsid w:val="004B32F8"/>
    <w:rsid w:val="004B3476"/>
    <w:rsid w:val="004B36AE"/>
    <w:rsid w:val="004B3FAE"/>
    <w:rsid w:val="004B4672"/>
    <w:rsid w:val="004B4745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89A"/>
    <w:rsid w:val="004C28C4"/>
    <w:rsid w:val="004C2ADF"/>
    <w:rsid w:val="004C31BF"/>
    <w:rsid w:val="004C3427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3E2"/>
    <w:rsid w:val="004C780C"/>
    <w:rsid w:val="004C79B9"/>
    <w:rsid w:val="004C7AA2"/>
    <w:rsid w:val="004C7D5A"/>
    <w:rsid w:val="004D03BA"/>
    <w:rsid w:val="004D0A75"/>
    <w:rsid w:val="004D0F17"/>
    <w:rsid w:val="004D0FAE"/>
    <w:rsid w:val="004D118A"/>
    <w:rsid w:val="004D1346"/>
    <w:rsid w:val="004D16E2"/>
    <w:rsid w:val="004D20F4"/>
    <w:rsid w:val="004D2696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5DA2"/>
    <w:rsid w:val="004E5E41"/>
    <w:rsid w:val="004E5F90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E0C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F6D"/>
    <w:rsid w:val="0050761D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4D4"/>
    <w:rsid w:val="0052382F"/>
    <w:rsid w:val="005239DD"/>
    <w:rsid w:val="00523BB0"/>
    <w:rsid w:val="00523BD9"/>
    <w:rsid w:val="00523CA1"/>
    <w:rsid w:val="00523EB9"/>
    <w:rsid w:val="0052417B"/>
    <w:rsid w:val="00524469"/>
    <w:rsid w:val="00524A9C"/>
    <w:rsid w:val="00525956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08B"/>
    <w:rsid w:val="005350FD"/>
    <w:rsid w:val="005359AE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08"/>
    <w:rsid w:val="00540322"/>
    <w:rsid w:val="00540D81"/>
    <w:rsid w:val="00541BF0"/>
    <w:rsid w:val="00541C34"/>
    <w:rsid w:val="00542821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A2"/>
    <w:rsid w:val="005450DC"/>
    <w:rsid w:val="005452E6"/>
    <w:rsid w:val="0054533C"/>
    <w:rsid w:val="00545382"/>
    <w:rsid w:val="005455FC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A1"/>
    <w:rsid w:val="0056534C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BC"/>
    <w:rsid w:val="00572B78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30F"/>
    <w:rsid w:val="00592283"/>
    <w:rsid w:val="00592385"/>
    <w:rsid w:val="0059241D"/>
    <w:rsid w:val="00592491"/>
    <w:rsid w:val="0059266B"/>
    <w:rsid w:val="00592AC1"/>
    <w:rsid w:val="0059346F"/>
    <w:rsid w:val="00593875"/>
    <w:rsid w:val="00593B35"/>
    <w:rsid w:val="00593E2F"/>
    <w:rsid w:val="005943C5"/>
    <w:rsid w:val="005945F8"/>
    <w:rsid w:val="005948C2"/>
    <w:rsid w:val="00594A7B"/>
    <w:rsid w:val="00594C49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DE6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589"/>
    <w:rsid w:val="005B574D"/>
    <w:rsid w:val="005B5B3D"/>
    <w:rsid w:val="005B5CEE"/>
    <w:rsid w:val="005B5CFF"/>
    <w:rsid w:val="005B630A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677"/>
    <w:rsid w:val="005D5E15"/>
    <w:rsid w:val="005D5F8D"/>
    <w:rsid w:val="005D6261"/>
    <w:rsid w:val="005D65AE"/>
    <w:rsid w:val="005D6A61"/>
    <w:rsid w:val="005D6B60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073"/>
    <w:rsid w:val="00625136"/>
    <w:rsid w:val="0062524C"/>
    <w:rsid w:val="00625342"/>
    <w:rsid w:val="00625B38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921"/>
    <w:rsid w:val="00627FB8"/>
    <w:rsid w:val="0063016C"/>
    <w:rsid w:val="00630A86"/>
    <w:rsid w:val="00630E1F"/>
    <w:rsid w:val="006311E3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1DD3"/>
    <w:rsid w:val="00641E57"/>
    <w:rsid w:val="00641E88"/>
    <w:rsid w:val="006421E9"/>
    <w:rsid w:val="006423BE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858"/>
    <w:rsid w:val="006458F4"/>
    <w:rsid w:val="00645F03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F58"/>
    <w:rsid w:val="0065023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DE9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67F07"/>
    <w:rsid w:val="00670B9B"/>
    <w:rsid w:val="00670BCE"/>
    <w:rsid w:val="00670BE7"/>
    <w:rsid w:val="00670D78"/>
    <w:rsid w:val="00670FEA"/>
    <w:rsid w:val="00671162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735"/>
    <w:rsid w:val="00673DB4"/>
    <w:rsid w:val="00674093"/>
    <w:rsid w:val="00674BC6"/>
    <w:rsid w:val="00675403"/>
    <w:rsid w:val="00675498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482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52A8"/>
    <w:rsid w:val="0069557A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70E"/>
    <w:rsid w:val="006A5833"/>
    <w:rsid w:val="006A5A7A"/>
    <w:rsid w:val="006A5B87"/>
    <w:rsid w:val="006A6143"/>
    <w:rsid w:val="006A6410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B15"/>
    <w:rsid w:val="006E1CC8"/>
    <w:rsid w:val="006E1DA5"/>
    <w:rsid w:val="006E220A"/>
    <w:rsid w:val="006E27F1"/>
    <w:rsid w:val="006E2E12"/>
    <w:rsid w:val="006E346A"/>
    <w:rsid w:val="006E3C8A"/>
    <w:rsid w:val="006E3E0D"/>
    <w:rsid w:val="006E4064"/>
    <w:rsid w:val="006E4806"/>
    <w:rsid w:val="006E4C0D"/>
    <w:rsid w:val="006E4CAF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1C6"/>
    <w:rsid w:val="006F27E0"/>
    <w:rsid w:val="006F28D9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6EE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CE1"/>
    <w:rsid w:val="00734E65"/>
    <w:rsid w:val="00734E9B"/>
    <w:rsid w:val="00735107"/>
    <w:rsid w:val="007356BF"/>
    <w:rsid w:val="00735972"/>
    <w:rsid w:val="00735B0B"/>
    <w:rsid w:val="00736376"/>
    <w:rsid w:val="00736FD3"/>
    <w:rsid w:val="00737424"/>
    <w:rsid w:val="007378AD"/>
    <w:rsid w:val="00737FEC"/>
    <w:rsid w:val="007400E2"/>
    <w:rsid w:val="00740292"/>
    <w:rsid w:val="007403DD"/>
    <w:rsid w:val="00740D16"/>
    <w:rsid w:val="00740DA2"/>
    <w:rsid w:val="00740FB1"/>
    <w:rsid w:val="00742422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5E6"/>
    <w:rsid w:val="00745C12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51A"/>
    <w:rsid w:val="00754C24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4C54"/>
    <w:rsid w:val="00764CB0"/>
    <w:rsid w:val="0076506C"/>
    <w:rsid w:val="007651A7"/>
    <w:rsid w:val="00765229"/>
    <w:rsid w:val="00765890"/>
    <w:rsid w:val="007660A1"/>
    <w:rsid w:val="0076613D"/>
    <w:rsid w:val="00766266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C15"/>
    <w:rsid w:val="00772F03"/>
    <w:rsid w:val="00772FA8"/>
    <w:rsid w:val="00773149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65"/>
    <w:rsid w:val="007753B5"/>
    <w:rsid w:val="00775695"/>
    <w:rsid w:val="00775788"/>
    <w:rsid w:val="00775AAA"/>
    <w:rsid w:val="00776EDA"/>
    <w:rsid w:val="007773AF"/>
    <w:rsid w:val="00777463"/>
    <w:rsid w:val="00777599"/>
    <w:rsid w:val="007779A0"/>
    <w:rsid w:val="00777A2C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474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3C1"/>
    <w:rsid w:val="007A145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811"/>
    <w:rsid w:val="007A3A89"/>
    <w:rsid w:val="007A4113"/>
    <w:rsid w:val="007A45A6"/>
    <w:rsid w:val="007A493F"/>
    <w:rsid w:val="007A4BF0"/>
    <w:rsid w:val="007A536B"/>
    <w:rsid w:val="007A5409"/>
    <w:rsid w:val="007A5922"/>
    <w:rsid w:val="007A5924"/>
    <w:rsid w:val="007A5969"/>
    <w:rsid w:val="007A5AAE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DFA"/>
    <w:rsid w:val="007B6E2E"/>
    <w:rsid w:val="007B7287"/>
    <w:rsid w:val="007B74C3"/>
    <w:rsid w:val="007B753A"/>
    <w:rsid w:val="007B7637"/>
    <w:rsid w:val="007B7677"/>
    <w:rsid w:val="007B7821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757"/>
    <w:rsid w:val="007D48CF"/>
    <w:rsid w:val="007D4A4A"/>
    <w:rsid w:val="007D4BDC"/>
    <w:rsid w:val="007D4C4B"/>
    <w:rsid w:val="007D560E"/>
    <w:rsid w:val="007D5AAB"/>
    <w:rsid w:val="007D5D5F"/>
    <w:rsid w:val="007D5F85"/>
    <w:rsid w:val="007D700A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577"/>
    <w:rsid w:val="007E7854"/>
    <w:rsid w:val="007E79C9"/>
    <w:rsid w:val="007E79CB"/>
    <w:rsid w:val="007E7C33"/>
    <w:rsid w:val="007E7D7E"/>
    <w:rsid w:val="007E7ECC"/>
    <w:rsid w:val="007E7FF2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6BC2"/>
    <w:rsid w:val="0080733E"/>
    <w:rsid w:val="0080783D"/>
    <w:rsid w:val="00807D62"/>
    <w:rsid w:val="008100B2"/>
    <w:rsid w:val="00810A71"/>
    <w:rsid w:val="00810B66"/>
    <w:rsid w:val="00810B76"/>
    <w:rsid w:val="00810CC2"/>
    <w:rsid w:val="008119E6"/>
    <w:rsid w:val="00811B4D"/>
    <w:rsid w:val="00811DA1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24A"/>
    <w:rsid w:val="00821702"/>
    <w:rsid w:val="008218ED"/>
    <w:rsid w:val="00822563"/>
    <w:rsid w:val="008231C5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3A8"/>
    <w:rsid w:val="00826614"/>
    <w:rsid w:val="0082668A"/>
    <w:rsid w:val="008266D3"/>
    <w:rsid w:val="00826786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6CE5"/>
    <w:rsid w:val="008475D6"/>
    <w:rsid w:val="00847B37"/>
    <w:rsid w:val="00847B7F"/>
    <w:rsid w:val="00847CE5"/>
    <w:rsid w:val="0085012C"/>
    <w:rsid w:val="008501A4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D54"/>
    <w:rsid w:val="00877E86"/>
    <w:rsid w:val="00877FDD"/>
    <w:rsid w:val="00880032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F38"/>
    <w:rsid w:val="00897A55"/>
    <w:rsid w:val="00897B6D"/>
    <w:rsid w:val="008A0172"/>
    <w:rsid w:val="008A019D"/>
    <w:rsid w:val="008A0395"/>
    <w:rsid w:val="008A0423"/>
    <w:rsid w:val="008A058F"/>
    <w:rsid w:val="008A0843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688"/>
    <w:rsid w:val="008B56B8"/>
    <w:rsid w:val="008B58F9"/>
    <w:rsid w:val="008B5DA7"/>
    <w:rsid w:val="008B607E"/>
    <w:rsid w:val="008B6640"/>
    <w:rsid w:val="008B71A7"/>
    <w:rsid w:val="008B7518"/>
    <w:rsid w:val="008B756E"/>
    <w:rsid w:val="008B79A7"/>
    <w:rsid w:val="008B7AC2"/>
    <w:rsid w:val="008B7B55"/>
    <w:rsid w:val="008B7E1F"/>
    <w:rsid w:val="008B7FD5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5667"/>
    <w:rsid w:val="008D57ED"/>
    <w:rsid w:val="008D597F"/>
    <w:rsid w:val="008D603D"/>
    <w:rsid w:val="008D61B7"/>
    <w:rsid w:val="008D61F8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A72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576"/>
    <w:rsid w:val="009405C8"/>
    <w:rsid w:val="00940DD8"/>
    <w:rsid w:val="0094104B"/>
    <w:rsid w:val="0094141F"/>
    <w:rsid w:val="00941C5B"/>
    <w:rsid w:val="00941FF5"/>
    <w:rsid w:val="00942022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C6B"/>
    <w:rsid w:val="009465EE"/>
    <w:rsid w:val="00946958"/>
    <w:rsid w:val="00946A49"/>
    <w:rsid w:val="00946D3C"/>
    <w:rsid w:val="009476BA"/>
    <w:rsid w:val="0094787C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4E92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FE"/>
    <w:rsid w:val="00962C94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554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4C8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31D"/>
    <w:rsid w:val="009D15F8"/>
    <w:rsid w:val="009D1941"/>
    <w:rsid w:val="009D1B99"/>
    <w:rsid w:val="009D1DD8"/>
    <w:rsid w:val="009D2609"/>
    <w:rsid w:val="009D2884"/>
    <w:rsid w:val="009D2A4F"/>
    <w:rsid w:val="009D2E46"/>
    <w:rsid w:val="009D2F24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CD6"/>
    <w:rsid w:val="009E6CD9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87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EFA"/>
    <w:rsid w:val="00A02FC7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31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4307"/>
    <w:rsid w:val="00A3439B"/>
    <w:rsid w:val="00A347EE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64E3"/>
    <w:rsid w:val="00A4679A"/>
    <w:rsid w:val="00A46E28"/>
    <w:rsid w:val="00A473D7"/>
    <w:rsid w:val="00A477C6"/>
    <w:rsid w:val="00A478FA"/>
    <w:rsid w:val="00A4799F"/>
    <w:rsid w:val="00A47A9A"/>
    <w:rsid w:val="00A47D31"/>
    <w:rsid w:val="00A501F6"/>
    <w:rsid w:val="00A50BCE"/>
    <w:rsid w:val="00A51066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766"/>
    <w:rsid w:val="00A60A6E"/>
    <w:rsid w:val="00A60F52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F67"/>
    <w:rsid w:val="00A64067"/>
    <w:rsid w:val="00A640B1"/>
    <w:rsid w:val="00A6488F"/>
    <w:rsid w:val="00A64A19"/>
    <w:rsid w:val="00A64A93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676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64E0"/>
    <w:rsid w:val="00A7653B"/>
    <w:rsid w:val="00A7675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95"/>
    <w:rsid w:val="00A83BC5"/>
    <w:rsid w:val="00A83EB5"/>
    <w:rsid w:val="00A84186"/>
    <w:rsid w:val="00A84424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7F1"/>
    <w:rsid w:val="00A94DF6"/>
    <w:rsid w:val="00A951F2"/>
    <w:rsid w:val="00A95872"/>
    <w:rsid w:val="00A95A69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2F09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83F"/>
    <w:rsid w:val="00AD0ABD"/>
    <w:rsid w:val="00AD1176"/>
    <w:rsid w:val="00AD221B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431"/>
    <w:rsid w:val="00AD465C"/>
    <w:rsid w:val="00AD4D66"/>
    <w:rsid w:val="00AD516C"/>
    <w:rsid w:val="00AD51CC"/>
    <w:rsid w:val="00AD5922"/>
    <w:rsid w:val="00AD5CB8"/>
    <w:rsid w:val="00AD5E96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EF"/>
    <w:rsid w:val="00AF735A"/>
    <w:rsid w:val="00AF75FC"/>
    <w:rsid w:val="00AF7766"/>
    <w:rsid w:val="00AF78A5"/>
    <w:rsid w:val="00AF7E12"/>
    <w:rsid w:val="00B0025D"/>
    <w:rsid w:val="00B006D8"/>
    <w:rsid w:val="00B0073B"/>
    <w:rsid w:val="00B00A61"/>
    <w:rsid w:val="00B00D87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54FD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97A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209C"/>
    <w:rsid w:val="00BB218D"/>
    <w:rsid w:val="00BB2265"/>
    <w:rsid w:val="00BB28BF"/>
    <w:rsid w:val="00BB2B25"/>
    <w:rsid w:val="00BB2ED7"/>
    <w:rsid w:val="00BB30EA"/>
    <w:rsid w:val="00BB35B6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C3"/>
    <w:rsid w:val="00BB6C49"/>
    <w:rsid w:val="00BB6E9D"/>
    <w:rsid w:val="00BB7373"/>
    <w:rsid w:val="00BB76DF"/>
    <w:rsid w:val="00BB779D"/>
    <w:rsid w:val="00BB7C9F"/>
    <w:rsid w:val="00BB7CB3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737"/>
    <w:rsid w:val="00BC5EB0"/>
    <w:rsid w:val="00BC605D"/>
    <w:rsid w:val="00BC6274"/>
    <w:rsid w:val="00BC639A"/>
    <w:rsid w:val="00BC64D9"/>
    <w:rsid w:val="00BC65A7"/>
    <w:rsid w:val="00BC6782"/>
    <w:rsid w:val="00BC6D81"/>
    <w:rsid w:val="00BC70A9"/>
    <w:rsid w:val="00BC71DC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386A"/>
    <w:rsid w:val="00BD3A51"/>
    <w:rsid w:val="00BD3C1A"/>
    <w:rsid w:val="00BD3C68"/>
    <w:rsid w:val="00BD3F92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4C"/>
    <w:rsid w:val="00C039A5"/>
    <w:rsid w:val="00C03A04"/>
    <w:rsid w:val="00C03AFE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D9F"/>
    <w:rsid w:val="00C156A5"/>
    <w:rsid w:val="00C156D7"/>
    <w:rsid w:val="00C15740"/>
    <w:rsid w:val="00C15A27"/>
    <w:rsid w:val="00C15D0C"/>
    <w:rsid w:val="00C15FEF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8A5"/>
    <w:rsid w:val="00C35B62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EE4"/>
    <w:rsid w:val="00C42F96"/>
    <w:rsid w:val="00C430EE"/>
    <w:rsid w:val="00C4315C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F6D"/>
    <w:rsid w:val="00C574AE"/>
    <w:rsid w:val="00C57B3F"/>
    <w:rsid w:val="00C60320"/>
    <w:rsid w:val="00C607FA"/>
    <w:rsid w:val="00C60A63"/>
    <w:rsid w:val="00C60A94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E68"/>
    <w:rsid w:val="00C8034B"/>
    <w:rsid w:val="00C8056E"/>
    <w:rsid w:val="00C80C77"/>
    <w:rsid w:val="00C80D90"/>
    <w:rsid w:val="00C8104E"/>
    <w:rsid w:val="00C8117A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7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F0"/>
    <w:rsid w:val="00C95005"/>
    <w:rsid w:val="00C954C8"/>
    <w:rsid w:val="00C9557C"/>
    <w:rsid w:val="00C9579D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F6"/>
    <w:rsid w:val="00CA7FB2"/>
    <w:rsid w:val="00CB00F3"/>
    <w:rsid w:val="00CB031D"/>
    <w:rsid w:val="00CB036A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511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D93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C8C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D003F8"/>
    <w:rsid w:val="00D0052C"/>
    <w:rsid w:val="00D00B02"/>
    <w:rsid w:val="00D00E04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3EC"/>
    <w:rsid w:val="00D23801"/>
    <w:rsid w:val="00D23A28"/>
    <w:rsid w:val="00D24035"/>
    <w:rsid w:val="00D2440E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E16"/>
    <w:rsid w:val="00D57FAE"/>
    <w:rsid w:val="00D6014E"/>
    <w:rsid w:val="00D60210"/>
    <w:rsid w:val="00D602E2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91"/>
    <w:rsid w:val="00D84DE3"/>
    <w:rsid w:val="00D84E4D"/>
    <w:rsid w:val="00D84F62"/>
    <w:rsid w:val="00D85375"/>
    <w:rsid w:val="00D8603D"/>
    <w:rsid w:val="00D865D1"/>
    <w:rsid w:val="00D86C20"/>
    <w:rsid w:val="00D86DD4"/>
    <w:rsid w:val="00D87CFA"/>
    <w:rsid w:val="00D87F18"/>
    <w:rsid w:val="00D87F1F"/>
    <w:rsid w:val="00D90046"/>
    <w:rsid w:val="00D9038D"/>
    <w:rsid w:val="00D90898"/>
    <w:rsid w:val="00D90998"/>
    <w:rsid w:val="00D909BB"/>
    <w:rsid w:val="00D90CE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F24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40D"/>
    <w:rsid w:val="00DA2675"/>
    <w:rsid w:val="00DA26BA"/>
    <w:rsid w:val="00DA27D7"/>
    <w:rsid w:val="00DA29C5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9E7"/>
    <w:rsid w:val="00DB1A54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717"/>
    <w:rsid w:val="00DB4B21"/>
    <w:rsid w:val="00DB4BC2"/>
    <w:rsid w:val="00DB4BD4"/>
    <w:rsid w:val="00DB4E30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509C"/>
    <w:rsid w:val="00DC5134"/>
    <w:rsid w:val="00DC56F0"/>
    <w:rsid w:val="00DC570A"/>
    <w:rsid w:val="00DC5C5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A38"/>
    <w:rsid w:val="00DD7B43"/>
    <w:rsid w:val="00DD7B5E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AAF"/>
    <w:rsid w:val="00DE4CAF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2030"/>
    <w:rsid w:val="00E1239C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434A"/>
    <w:rsid w:val="00E14600"/>
    <w:rsid w:val="00E146CF"/>
    <w:rsid w:val="00E1488A"/>
    <w:rsid w:val="00E14BED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948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0A4"/>
    <w:rsid w:val="00E632A2"/>
    <w:rsid w:val="00E63424"/>
    <w:rsid w:val="00E6376A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6A8"/>
    <w:rsid w:val="00E97851"/>
    <w:rsid w:val="00E97B8E"/>
    <w:rsid w:val="00E97DA3"/>
    <w:rsid w:val="00E97E70"/>
    <w:rsid w:val="00EA0038"/>
    <w:rsid w:val="00EA088B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3E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B78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88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C50"/>
    <w:rsid w:val="00F07E96"/>
    <w:rsid w:val="00F10546"/>
    <w:rsid w:val="00F10B0A"/>
    <w:rsid w:val="00F11537"/>
    <w:rsid w:val="00F11B1A"/>
    <w:rsid w:val="00F120D9"/>
    <w:rsid w:val="00F124BE"/>
    <w:rsid w:val="00F125DE"/>
    <w:rsid w:val="00F12638"/>
    <w:rsid w:val="00F12A36"/>
    <w:rsid w:val="00F12A9F"/>
    <w:rsid w:val="00F13137"/>
    <w:rsid w:val="00F1339B"/>
    <w:rsid w:val="00F13A2F"/>
    <w:rsid w:val="00F14C13"/>
    <w:rsid w:val="00F14CE8"/>
    <w:rsid w:val="00F15471"/>
    <w:rsid w:val="00F15FBF"/>
    <w:rsid w:val="00F17174"/>
    <w:rsid w:val="00F172D0"/>
    <w:rsid w:val="00F173CB"/>
    <w:rsid w:val="00F17939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470"/>
    <w:rsid w:val="00F4352E"/>
    <w:rsid w:val="00F437B6"/>
    <w:rsid w:val="00F438A7"/>
    <w:rsid w:val="00F43960"/>
    <w:rsid w:val="00F43C3C"/>
    <w:rsid w:val="00F446D1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6C2"/>
    <w:rsid w:val="00F51D20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A71"/>
    <w:rsid w:val="00F80E81"/>
    <w:rsid w:val="00F80F3C"/>
    <w:rsid w:val="00F8124E"/>
    <w:rsid w:val="00F81421"/>
    <w:rsid w:val="00F81526"/>
    <w:rsid w:val="00F81717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54A"/>
    <w:rsid w:val="00F977CB"/>
    <w:rsid w:val="00F97854"/>
    <w:rsid w:val="00F978EC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291"/>
    <w:rsid w:val="00FA362D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529"/>
    <w:rsid w:val="00FD795C"/>
    <w:rsid w:val="00FD7A8D"/>
    <w:rsid w:val="00FE034F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D126E-C979-4674-BA91-04EF6F0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19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07&amp;numero=1186&amp;colegiado=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1&amp;numero=7721&amp;colegiado=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juris@tcu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1151&amp;colegiado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as.tcu.gov.br/juris/SvlProxyHighlight?base=ACORDAO&amp;ano=2015&amp;numero=2384&amp;colegiado=2" TargetMode="External"/><Relationship Id="rId10" Type="http://schemas.openxmlformats.org/officeDocument/2006/relationships/hyperlink" Target="https://contas.tcu.gov.br/juris/SvlProxyHighlight?base=ACORDAO&amp;ano=2015&amp;numero=1151&amp;colegiado=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1155&amp;colegiado=P" TargetMode="External"/><Relationship Id="rId14" Type="http://schemas.openxmlformats.org/officeDocument/2006/relationships/hyperlink" Target="https://contas.tcu.gov.br/juris/SvlProxyHighlight?base=ACORDAO&amp;ano=1998&amp;numero=121&amp;colegiado=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E89DB-0EEB-413B-BDC2-7B911793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2296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14668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Porto</dc:creator>
  <cp:lastModifiedBy>Sergio Ricardo de Mendonca Salustiano</cp:lastModifiedBy>
  <cp:revision>20</cp:revision>
  <cp:lastPrinted>2015-05-05T13:18:00Z</cp:lastPrinted>
  <dcterms:created xsi:type="dcterms:W3CDTF">2015-06-01T21:17:00Z</dcterms:created>
  <dcterms:modified xsi:type="dcterms:W3CDTF">2015-08-03T18:53:00Z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