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3F2" w:rsidRDefault="00C023F2" w:rsidP="00C023F2">
      <w:pPr>
        <w:pStyle w:val="Ttulo1"/>
        <w:tabs>
          <w:tab w:val="clear" w:pos="567"/>
          <w:tab w:val="left" w:pos="1134"/>
        </w:tabs>
        <w:spacing w:before="240"/>
        <w:contextualSpacing w:val="0"/>
        <w:jc w:val="center"/>
      </w:pPr>
      <w:bookmarkStart w:id="0" w:name="_Toc421292168"/>
      <w:r>
        <w:t>Acórdão TCU 1.793/2015-Plenário</w:t>
      </w:r>
      <w:bookmarkStart w:id="1" w:name="_GoBack"/>
      <w:bookmarkEnd w:id="1"/>
    </w:p>
    <w:p w:rsidR="00C023F2" w:rsidRPr="006A3784" w:rsidRDefault="00C023F2" w:rsidP="00C023F2">
      <w:pPr>
        <w:pStyle w:val="Ttulo1"/>
        <w:tabs>
          <w:tab w:val="clear" w:pos="567"/>
          <w:tab w:val="left" w:pos="1134"/>
        </w:tabs>
        <w:spacing w:before="240"/>
        <w:contextualSpacing w:val="0"/>
        <w:jc w:val="center"/>
      </w:pPr>
      <w:r w:rsidRPr="006A3784">
        <w:t>Anexo I - Tabela de riscos, controles possíveis e critérios</w:t>
      </w:r>
      <w:bookmarkEnd w:id="0"/>
    </w:p>
    <w:p w:rsidR="00C023F2" w:rsidRPr="006A3784" w:rsidRDefault="00C023F2" w:rsidP="00C023F2">
      <w:pPr>
        <w:rPr>
          <w:rFonts w:ascii="Times New Roman" w:hAnsi="Times New Roman"/>
        </w:rPr>
      </w:pPr>
    </w:p>
    <w:tbl>
      <w:tblPr>
        <w:tblW w:w="9928" w:type="dxa"/>
        <w:tblInd w:w="65" w:type="dxa"/>
        <w:tblCellMar>
          <w:left w:w="70" w:type="dxa"/>
          <w:right w:w="70" w:type="dxa"/>
        </w:tblCellMar>
        <w:tblLook w:val="04A0" w:firstRow="1" w:lastRow="0" w:firstColumn="1" w:lastColumn="0" w:noHBand="0" w:noVBand="1"/>
      </w:tblPr>
      <w:tblGrid>
        <w:gridCol w:w="5980"/>
        <w:gridCol w:w="3948"/>
      </w:tblGrid>
      <w:tr w:rsidR="00C023F2" w:rsidRPr="00917620" w:rsidTr="005F6EF9">
        <w:trPr>
          <w:trHeight w:val="765"/>
        </w:trPr>
        <w:tc>
          <w:tcPr>
            <w:tcW w:w="9928" w:type="dxa"/>
            <w:gridSpan w:val="2"/>
            <w:tcBorders>
              <w:top w:val="single" w:sz="4" w:space="0" w:color="auto"/>
              <w:left w:val="single" w:sz="4" w:space="0" w:color="auto"/>
              <w:bottom w:val="single" w:sz="4" w:space="0" w:color="auto"/>
              <w:right w:val="single" w:sz="4" w:space="0" w:color="auto"/>
            </w:tcBorders>
            <w:shd w:val="clear" w:color="000000" w:fill="556A2C"/>
            <w:hideMark/>
          </w:tcPr>
          <w:p w:rsidR="00C023F2" w:rsidRPr="006A3784" w:rsidRDefault="00C023F2" w:rsidP="005F6EF9">
            <w:pPr>
              <w:rPr>
                <w:rFonts w:ascii="Times New Roman" w:hAnsi="Times New Roman"/>
                <w:b/>
                <w:bCs/>
                <w:color w:val="FFFFFF"/>
              </w:rPr>
            </w:pPr>
            <w:r w:rsidRPr="006A3784">
              <w:rPr>
                <w:rFonts w:ascii="Times New Roman" w:hAnsi="Times New Roman"/>
                <w:b/>
                <w:bCs/>
                <w:color w:val="FFFFFF"/>
              </w:rPr>
              <w:t xml:space="preserve">Tema: </w:t>
            </w:r>
            <w:r w:rsidRPr="006A3784">
              <w:rPr>
                <w:rFonts w:ascii="Times New Roman" w:hAnsi="Times New Roman"/>
                <w:b/>
                <w:bCs/>
                <w:color w:val="FFFFFF"/>
              </w:rPr>
              <w:br/>
              <w:t>Segurança da informação</w:t>
            </w:r>
          </w:p>
        </w:tc>
      </w:tr>
      <w:tr w:rsidR="00C023F2" w:rsidRPr="00917620" w:rsidTr="005F6EF9">
        <w:trPr>
          <w:trHeight w:val="765"/>
        </w:trPr>
        <w:tc>
          <w:tcPr>
            <w:tcW w:w="9928" w:type="dxa"/>
            <w:gridSpan w:val="2"/>
            <w:tcBorders>
              <w:top w:val="single" w:sz="4" w:space="0" w:color="auto"/>
              <w:left w:val="single" w:sz="4" w:space="0" w:color="auto"/>
              <w:bottom w:val="single" w:sz="4" w:space="0" w:color="auto"/>
              <w:right w:val="single" w:sz="4" w:space="0" w:color="000000"/>
            </w:tcBorders>
            <w:shd w:val="clear" w:color="000000" w:fill="75923C"/>
            <w:hideMark/>
          </w:tcPr>
          <w:p w:rsidR="00C023F2" w:rsidRPr="009C0870" w:rsidRDefault="00C023F2" w:rsidP="005F6EF9">
            <w:pPr>
              <w:rPr>
                <w:rFonts w:ascii="Times New Roman" w:hAnsi="Times New Roman"/>
                <w:b/>
                <w:bCs/>
                <w:color w:val="FFFFFF"/>
              </w:rPr>
            </w:pPr>
            <w:r w:rsidRPr="007323BE">
              <w:rPr>
                <w:rFonts w:ascii="Times New Roman" w:hAnsi="Times New Roman"/>
                <w:b/>
                <w:bCs/>
                <w:color w:val="FFFFFF"/>
              </w:rPr>
              <w:t>Categoria de risco:</w:t>
            </w:r>
            <w:r w:rsidRPr="007323BE">
              <w:rPr>
                <w:rFonts w:ascii="Times New Roman" w:hAnsi="Times New Roman"/>
                <w:b/>
                <w:bCs/>
                <w:color w:val="FFFFFF"/>
              </w:rPr>
              <w:br/>
              <w:t>Indisponibilidade do servi</w:t>
            </w:r>
            <w:r w:rsidRPr="009C0870">
              <w:rPr>
                <w:rFonts w:ascii="Times New Roman" w:hAnsi="Times New Roman"/>
                <w:b/>
                <w:bCs/>
                <w:color w:val="FFFFFF"/>
              </w:rPr>
              <w:t>ço</w:t>
            </w:r>
          </w:p>
        </w:tc>
      </w:tr>
      <w:tr w:rsidR="00C023F2" w:rsidRPr="00917620" w:rsidTr="005F6EF9">
        <w:trPr>
          <w:trHeight w:val="390"/>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600"/>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 xml:space="preserve">1- </w:t>
            </w:r>
            <w:r w:rsidRPr="009C0870">
              <w:rPr>
                <w:rFonts w:ascii="Times New Roman" w:hAnsi="Times New Roman"/>
              </w:rPr>
              <w:t>Não implementação de controles e salvaguardas suficientes para garantir a continuidade da infraestrutura do provedor, afetando assim a disponibilidade do serviço para o usuário final</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917620" w:rsidTr="005F6EF9">
        <w:trPr>
          <w:trHeight w:val="87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O plano de conti</w:t>
            </w:r>
            <w:r w:rsidRPr="009C0870">
              <w:rPr>
                <w:rFonts w:ascii="Times New Roman" w:hAnsi="Times New Roman"/>
              </w:rPr>
              <w:t>nuidade de negócio deve considerar as partes do negócio que estão na nuvem e levar em consideração tanto as características do negócio como do provedor</w:t>
            </w:r>
          </w:p>
        </w:tc>
        <w:tc>
          <w:tcPr>
            <w:tcW w:w="39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9C0870">
              <w:rPr>
                <w:rFonts w:ascii="Times New Roman" w:hAnsi="Times New Roman"/>
              </w:rPr>
              <w:t>COBIT DSS04 - Manage Continuity</w:t>
            </w:r>
          </w:p>
        </w:tc>
      </w:tr>
      <w:tr w:rsidR="00C023F2" w:rsidRPr="00917620" w:rsidTr="005F6EF9">
        <w:trPr>
          <w:trHeight w:val="94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Considerar capacidade do provedor de trabalhar com multirregiões no pro</w:t>
            </w:r>
            <w:r w:rsidRPr="009C0870">
              <w:rPr>
                <w:rFonts w:ascii="Times New Roman" w:hAnsi="Times New Roman"/>
              </w:rPr>
              <w:t>vedor e poder transferir carga de uma região para outra</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63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O plano de continuidade de negócio para nuvem pode considerar mais de um provedor como contingência</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63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Considerar a alternativa de utilizar sua própria infraestrutura de TI como contingência</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E70922" w:rsidTr="005F6EF9">
        <w:trPr>
          <w:trHeight w:val="95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OS SLA</w:t>
            </w:r>
            <w:r w:rsidRPr="009C0870">
              <w:rPr>
                <w:rFonts w:ascii="Times New Roman" w:hAnsi="Times New Roman"/>
              </w:rPr>
              <w:t>s com o provedor de nuvem devem ser cuidadosamente definidos e exequíveis, o que inclui penalidades em caso de não cumprimento</w:t>
            </w:r>
          </w:p>
        </w:tc>
        <w:tc>
          <w:tcPr>
            <w:tcW w:w="3948" w:type="dxa"/>
            <w:tcBorders>
              <w:top w:val="nil"/>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APO10 - Manage Suppliers ; COBIT APO09 - Manage Service Agreements</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630"/>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2 - Indisponibilidade de elementos da</w:t>
            </w:r>
            <w:r w:rsidRPr="009C0870">
              <w:rPr>
                <w:rFonts w:ascii="Times New Roman" w:hAnsi="Times New Roman"/>
              </w:rPr>
              <w:t xml:space="preserve"> infraestrutura do cliente que são críticos para o acesso a serviços na nuvem</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157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Deve ser definido e documentado um método para determinar o impacto de qualquer indisponibilidade à organização, incluindo de serviços que estão n</w:t>
            </w:r>
            <w:r w:rsidRPr="009C0870">
              <w:rPr>
                <w:rFonts w:ascii="Times New Roman" w:hAnsi="Times New Roman"/>
              </w:rPr>
              <w:t>a nuvem, que deverá, também, estabelecer prioridades para recuperação e período máximo tolerável para a indisponibilidade</w:t>
            </w:r>
          </w:p>
        </w:tc>
        <w:tc>
          <w:tcPr>
            <w:tcW w:w="3948" w:type="dxa"/>
            <w:tcBorders>
              <w:top w:val="nil"/>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DSS04 - Manage Continuity; CSA CCM BCR-09</w:t>
            </w:r>
          </w:p>
        </w:tc>
      </w:tr>
      <w:tr w:rsidR="00C023F2" w:rsidRPr="00917620" w:rsidTr="005F6EF9">
        <w:trPr>
          <w:trHeight w:val="765"/>
        </w:trPr>
        <w:tc>
          <w:tcPr>
            <w:tcW w:w="9928" w:type="dxa"/>
            <w:gridSpan w:val="2"/>
            <w:tcBorders>
              <w:top w:val="single" w:sz="4" w:space="0" w:color="auto"/>
              <w:left w:val="single" w:sz="4" w:space="0" w:color="auto"/>
              <w:bottom w:val="single" w:sz="4" w:space="0" w:color="auto"/>
              <w:right w:val="single" w:sz="4" w:space="0" w:color="000000"/>
            </w:tcBorders>
            <w:shd w:val="clear" w:color="000000" w:fill="75923C"/>
            <w:hideMark/>
          </w:tcPr>
          <w:p w:rsidR="00C023F2" w:rsidRPr="007323BE" w:rsidRDefault="00C023F2" w:rsidP="005F6EF9">
            <w:pPr>
              <w:rPr>
                <w:rFonts w:ascii="Times New Roman" w:hAnsi="Times New Roman"/>
                <w:b/>
                <w:bCs/>
                <w:color w:val="FFFFFF"/>
              </w:rPr>
            </w:pPr>
            <w:r w:rsidRPr="007323BE">
              <w:rPr>
                <w:rFonts w:ascii="Times New Roman" w:hAnsi="Times New Roman"/>
                <w:b/>
                <w:bCs/>
                <w:color w:val="FFFFFF"/>
              </w:rPr>
              <w:t>Categoria de risco:</w:t>
            </w:r>
            <w:r w:rsidRPr="007323BE">
              <w:rPr>
                <w:rFonts w:ascii="Times New Roman" w:hAnsi="Times New Roman"/>
                <w:b/>
                <w:bCs/>
                <w:color w:val="FFFFFF"/>
              </w:rPr>
              <w:br/>
              <w:t>Confidencialidade e integridade de dados</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67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3 - C</w:t>
            </w:r>
            <w:r w:rsidRPr="009C0870">
              <w:rPr>
                <w:rFonts w:ascii="Times New Roman" w:hAnsi="Times New Roman"/>
              </w:rPr>
              <w:t>ontrole de acesso inexistente ou insuficiente para assegurar a confidencialidade dos dados armazenados na nuvem</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lastRenderedPageBreak/>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94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Os dados devem ser submetidos à classificação prévia da informação, antes de serem transmitidos para a nuvem</w:t>
            </w:r>
          </w:p>
        </w:tc>
        <w:tc>
          <w:tcPr>
            <w:tcW w:w="3948" w:type="dxa"/>
            <w:tcBorders>
              <w:top w:val="nil"/>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APO13 - Manage Security; COBIT BAI09 - Manage Assets; CSA CCM DSI-01</w:t>
            </w:r>
          </w:p>
        </w:tc>
      </w:tr>
      <w:tr w:rsidR="00C023F2" w:rsidRPr="00917620" w:rsidTr="005F6EF9">
        <w:trPr>
          <w:trHeight w:val="630"/>
        </w:trPr>
        <w:tc>
          <w:tcPr>
            <w:tcW w:w="5980" w:type="dxa"/>
            <w:tcBorders>
              <w:top w:val="single" w:sz="4" w:space="0" w:color="auto"/>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Implementar controle de acesso lógico apropriado ao grau de confidencialidade dos dados armazenados na nuvem</w:t>
            </w:r>
          </w:p>
        </w:tc>
        <w:tc>
          <w:tcPr>
            <w:tcW w:w="3948" w:type="dxa"/>
            <w:tcBorders>
              <w:top w:val="single" w:sz="4" w:space="0" w:color="auto"/>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9C0870">
              <w:rPr>
                <w:rFonts w:ascii="Times New Roman" w:hAnsi="Times New Roman"/>
              </w:rPr>
              <w:t>COBIT DSS05 - Manage Security Services; CSA CCM IAM-02 e IAM-05</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7323BE">
              <w:rPr>
                <w:rFonts w:ascii="Times New Roman" w:hAnsi="Times New Roman"/>
                <w:b/>
                <w:bCs/>
              </w:rPr>
              <w:t>Risco esp</w:t>
            </w:r>
            <w:r w:rsidRPr="009C0870">
              <w:rPr>
                <w:rFonts w:ascii="Times New Roman" w:hAnsi="Times New Roman"/>
                <w:b/>
                <w:bCs/>
              </w:rPr>
              <w:t>ecífico</w:t>
            </w:r>
          </w:p>
        </w:tc>
      </w:tr>
      <w:tr w:rsidR="00C023F2" w:rsidRPr="00917620" w:rsidTr="005F6EF9">
        <w:trPr>
          <w:trHeight w:val="58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7323BE" w:rsidRDefault="00C023F2" w:rsidP="005F6EF9">
            <w:pPr>
              <w:rPr>
                <w:rFonts w:ascii="Times New Roman" w:hAnsi="Times New Roman"/>
              </w:rPr>
            </w:pPr>
            <w:r w:rsidRPr="007323BE">
              <w:rPr>
                <w:rFonts w:ascii="Times New Roman" w:hAnsi="Times New Roman"/>
              </w:rPr>
              <w:t>4 - A segurança dos dados transmitidos para o provedor de nuvem pela internet pode ser comprometida durante a transferência</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63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Implementar controles para transferência de dados, como criptografia e uso de VPN adequada</w:t>
            </w:r>
          </w:p>
        </w:tc>
        <w:tc>
          <w:tcPr>
            <w:tcW w:w="3948" w:type="dxa"/>
            <w:tcBorders>
              <w:top w:val="nil"/>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rPr>
              <w:t xml:space="preserve"> </w:t>
            </w:r>
            <w:r w:rsidRPr="009C0870">
              <w:rPr>
                <w:rFonts w:ascii="Times New Roman" w:hAnsi="Times New Roman"/>
                <w:lang w:val="en-US"/>
              </w:rPr>
              <w:t>COBIT DSS05 - Manage Security Services; CSA CCM DSI-01</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 xml:space="preserve">5 - </w:t>
            </w:r>
            <w:r w:rsidRPr="009C0870">
              <w:rPr>
                <w:rFonts w:ascii="Times New Roman" w:hAnsi="Times New Roman"/>
              </w:rPr>
              <w:t>Acesso indevido do provedor aos dados</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94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Estabelecer políticas e procedimentos para o uso de criptografia, incluindo gerenciamento de chaves criptog</w:t>
            </w:r>
            <w:r w:rsidRPr="009C0870">
              <w:rPr>
                <w:rFonts w:ascii="Times New Roman" w:hAnsi="Times New Roman"/>
              </w:rPr>
              <w:t>ráficas, que devem ser seguidos pelo cliente e pelo provedor</w:t>
            </w:r>
          </w:p>
        </w:tc>
        <w:tc>
          <w:tcPr>
            <w:tcW w:w="39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DSS05 - Manage Security Services; CSA CCM EKM-02, EKM-03 e EKM-04</w:t>
            </w:r>
          </w:p>
        </w:tc>
      </w:tr>
      <w:tr w:rsidR="00C023F2" w:rsidRPr="00917620" w:rsidTr="005F6EF9">
        <w:trPr>
          <w:trHeight w:val="63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As chaves criptográficas não devem ser armazenadas na nuvem</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94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 xml:space="preserve">Os dados armazenados no provedor devem </w:t>
            </w:r>
            <w:r w:rsidRPr="009C0870">
              <w:rPr>
                <w:rFonts w:ascii="Times New Roman" w:hAnsi="Times New Roman"/>
              </w:rPr>
              <w:t>estar criptografados, sendo que o esquema criptográfico deve ser adequado à classificação das informações</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E70922" w:rsidTr="005F6EF9">
        <w:trPr>
          <w:trHeight w:val="94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Definir cláusulas contratuais estabelecendo limites do acesso do provedor aos dados do cliente</w:t>
            </w:r>
          </w:p>
        </w:tc>
        <w:tc>
          <w:tcPr>
            <w:tcW w:w="3948" w:type="dxa"/>
            <w:tcBorders>
              <w:top w:val="nil"/>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APO09 - Manage Service Agreements; COBIT APO10 - Manage Suppliers</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7323BE">
              <w:rPr>
                <w:rFonts w:ascii="Times New Roman" w:hAnsi="Times New Roman"/>
                <w:b/>
                <w:bCs/>
              </w:rPr>
              <w:t>R</w:t>
            </w:r>
            <w:r w:rsidRPr="009C0870">
              <w:rPr>
                <w:rFonts w:ascii="Times New Roman" w:hAnsi="Times New Roman"/>
                <w:b/>
                <w:bCs/>
              </w:rPr>
              <w:t>isco específico</w:t>
            </w:r>
          </w:p>
        </w:tc>
      </w:tr>
      <w:tr w:rsidR="00C023F2" w:rsidRPr="00917620" w:rsidTr="005F6EF9">
        <w:trPr>
          <w:trHeight w:val="58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7323BE" w:rsidRDefault="00C023F2" w:rsidP="005F6EF9">
            <w:pPr>
              <w:rPr>
                <w:rFonts w:ascii="Times New Roman" w:hAnsi="Times New Roman"/>
              </w:rPr>
            </w:pPr>
            <w:r w:rsidRPr="007323BE">
              <w:rPr>
                <w:rFonts w:ascii="Times New Roman" w:hAnsi="Times New Roman"/>
              </w:rPr>
              <w:t>6 - O provedor pode ser forçado legalmente a fornecer dados por estar submetido a jurisdição estrangeira, colocando em risco a privacidade e a disponibilidade das informações</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63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Os dados armazenados no provedor</w:t>
            </w:r>
            <w:r w:rsidRPr="009C0870">
              <w:rPr>
                <w:rFonts w:ascii="Times New Roman" w:hAnsi="Times New Roman"/>
              </w:rPr>
              <w:t xml:space="preserve"> devem estar criptografados</w:t>
            </w:r>
          </w:p>
        </w:tc>
        <w:tc>
          <w:tcPr>
            <w:tcW w:w="3948" w:type="dxa"/>
            <w:vMerge w:val="restart"/>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rPr>
              <w:t xml:space="preserve"> </w:t>
            </w:r>
            <w:r w:rsidRPr="009C0870">
              <w:rPr>
                <w:rFonts w:ascii="Times New Roman" w:hAnsi="Times New Roman"/>
                <w:lang w:val="en-US"/>
              </w:rPr>
              <w:t>COBIT DSS05 - Manage Security Services; CSA CCM EKM-03 e DSI-02</w:t>
            </w:r>
          </w:p>
        </w:tc>
      </w:tr>
      <w:tr w:rsidR="00C023F2" w:rsidRPr="00917620" w:rsidTr="005F6EF9">
        <w:trPr>
          <w:trHeight w:val="94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O provedor deve assegurar que dados sujeitos a limites geográficos não sejam migrados para além de fronteiras definidas em contrato</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7 - Um cli</w:t>
            </w:r>
            <w:r w:rsidRPr="009C0870">
              <w:rPr>
                <w:rFonts w:ascii="Times New Roman" w:hAnsi="Times New Roman"/>
              </w:rPr>
              <w:t>ente pode ter acesso indevido a dados de outro cliente</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63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lastRenderedPageBreak/>
              <w:t>O provedor deve garantir e demonstrar isolamento de recursos e de dados de seus clientes</w:t>
            </w:r>
          </w:p>
        </w:tc>
        <w:tc>
          <w:tcPr>
            <w:tcW w:w="3948" w:type="dxa"/>
            <w:tcBorders>
              <w:top w:val="nil"/>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rPr>
              <w:t xml:space="preserve"> </w:t>
            </w:r>
            <w:r w:rsidRPr="009C0870">
              <w:rPr>
                <w:rFonts w:ascii="Times New Roman" w:hAnsi="Times New Roman"/>
                <w:lang w:val="en-US"/>
              </w:rPr>
              <w:t>COBIT DSS05 - Manage Security Services</w:t>
            </w:r>
          </w:p>
        </w:tc>
      </w:tr>
      <w:tr w:rsidR="00C023F2" w:rsidRPr="00E70922" w:rsidTr="005F6EF9">
        <w:trPr>
          <w:trHeight w:val="94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Definir cláusulas contratuais estabelec</w:t>
            </w:r>
            <w:r w:rsidRPr="009C0870">
              <w:rPr>
                <w:rFonts w:ascii="Times New Roman" w:hAnsi="Times New Roman"/>
              </w:rPr>
              <w:t>endo responsabilidade do provedor em garantir o isolamento de recursos e dados contra acesso indevido por outros clientes</w:t>
            </w:r>
          </w:p>
        </w:tc>
        <w:tc>
          <w:tcPr>
            <w:tcW w:w="3948" w:type="dxa"/>
            <w:tcBorders>
              <w:top w:val="nil"/>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APO09 - Manage Service Agreements; COBIT APO10 - Manage Suppliers</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58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8 - Acesso indevido à medida que os serviço</w:t>
            </w:r>
            <w:r w:rsidRPr="009C0870">
              <w:rPr>
                <w:rFonts w:ascii="Times New Roman" w:hAnsi="Times New Roman"/>
              </w:rPr>
              <w:t>s de computação em nuvem são amplamente acessíveis, independentemente de localização</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1005"/>
        </w:trPr>
        <w:tc>
          <w:tcPr>
            <w:tcW w:w="5980" w:type="dxa"/>
            <w:tcBorders>
              <w:top w:val="single" w:sz="4" w:space="0" w:color="auto"/>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 xml:space="preserve">O provedor deve garantir controles eficazes e compatíveis com as políticas e procedimentos do cliente para gerenciamento de identidades de </w:t>
            </w:r>
            <w:r w:rsidRPr="009C0870">
              <w:rPr>
                <w:rFonts w:ascii="Times New Roman" w:hAnsi="Times New Roman"/>
              </w:rPr>
              <w:t>usuários e controle de acessos</w:t>
            </w:r>
          </w:p>
        </w:tc>
        <w:tc>
          <w:tcPr>
            <w:tcW w:w="3948" w:type="dxa"/>
            <w:tcBorders>
              <w:top w:val="single" w:sz="4" w:space="0" w:color="auto"/>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rPr>
              <w:t xml:space="preserve"> </w:t>
            </w:r>
            <w:r w:rsidRPr="009C0870">
              <w:rPr>
                <w:rFonts w:ascii="Times New Roman" w:hAnsi="Times New Roman"/>
                <w:lang w:val="en-US"/>
              </w:rPr>
              <w:t>COBIT DSS05 - Manage Security Services</w:t>
            </w:r>
          </w:p>
        </w:tc>
      </w:tr>
      <w:tr w:rsidR="00C023F2" w:rsidRPr="00917620" w:rsidTr="005F6EF9">
        <w:trPr>
          <w:trHeight w:val="765"/>
        </w:trPr>
        <w:tc>
          <w:tcPr>
            <w:tcW w:w="9928" w:type="dxa"/>
            <w:gridSpan w:val="2"/>
            <w:tcBorders>
              <w:top w:val="single" w:sz="4" w:space="0" w:color="auto"/>
              <w:left w:val="single" w:sz="4" w:space="0" w:color="auto"/>
              <w:bottom w:val="single" w:sz="4" w:space="0" w:color="auto"/>
              <w:right w:val="single" w:sz="4" w:space="0" w:color="000000"/>
            </w:tcBorders>
            <w:shd w:val="clear" w:color="000000" w:fill="75923C"/>
            <w:hideMark/>
          </w:tcPr>
          <w:p w:rsidR="00C023F2" w:rsidRPr="007323BE" w:rsidRDefault="00C023F2" w:rsidP="005F6EF9">
            <w:pPr>
              <w:rPr>
                <w:rFonts w:ascii="Times New Roman" w:hAnsi="Times New Roman"/>
                <w:b/>
                <w:bCs/>
                <w:color w:val="FFFFFF"/>
              </w:rPr>
            </w:pPr>
            <w:r w:rsidRPr="007323BE">
              <w:rPr>
                <w:rFonts w:ascii="Times New Roman" w:hAnsi="Times New Roman"/>
                <w:b/>
                <w:bCs/>
                <w:color w:val="FFFFFF"/>
              </w:rPr>
              <w:t>Categoria de risco:</w:t>
            </w:r>
            <w:r w:rsidRPr="007323BE">
              <w:rPr>
                <w:rFonts w:ascii="Times New Roman" w:hAnsi="Times New Roman"/>
                <w:b/>
                <w:bCs/>
                <w:color w:val="FFFFFF"/>
              </w:rPr>
              <w:br/>
              <w:t>Gestão de mudanças</w:t>
            </w:r>
          </w:p>
        </w:tc>
      </w:tr>
      <w:tr w:rsidR="00C023F2" w:rsidRPr="00917620" w:rsidTr="005F6EF9">
        <w:trPr>
          <w:trHeight w:val="390"/>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127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9 - A gestão de mudanças do provedor de computação em nuvem pode não ser adequada às necessidades do cliente. Por exemplo, mud</w:t>
            </w:r>
            <w:r w:rsidRPr="009C0870">
              <w:rPr>
                <w:rFonts w:ascii="Times New Roman" w:hAnsi="Times New Roman"/>
              </w:rPr>
              <w:t>anças na infraestrutura de software do provedor (patch corretivo, atualização de versão etc) podem não passar por processos de gestão de mudanças individuais dos clientes, causando impactos negativos (risco agravado em caso de SaaS)</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126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A política para gestão de mudanças deve ser acordada entre provedor e cliente, e este último deve ser comunicado com antecedência sobre mudanças (por exemplo, utilizando processos do ITIL)</w:t>
            </w:r>
          </w:p>
        </w:tc>
        <w:tc>
          <w:tcPr>
            <w:tcW w:w="3948" w:type="dxa"/>
            <w:tcBorders>
              <w:top w:val="nil"/>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BAI06 - Manage Changes; CSA CCM CCC-02</w:t>
            </w:r>
          </w:p>
        </w:tc>
      </w:tr>
      <w:tr w:rsidR="00C023F2" w:rsidRPr="00917620" w:rsidTr="005F6EF9">
        <w:trPr>
          <w:trHeight w:val="765"/>
        </w:trPr>
        <w:tc>
          <w:tcPr>
            <w:tcW w:w="9928" w:type="dxa"/>
            <w:gridSpan w:val="2"/>
            <w:tcBorders>
              <w:top w:val="single" w:sz="4" w:space="0" w:color="auto"/>
              <w:left w:val="single" w:sz="4" w:space="0" w:color="auto"/>
              <w:bottom w:val="single" w:sz="4" w:space="0" w:color="auto"/>
              <w:right w:val="single" w:sz="4" w:space="0" w:color="000000"/>
            </w:tcBorders>
            <w:shd w:val="clear" w:color="000000" w:fill="75923C"/>
            <w:hideMark/>
          </w:tcPr>
          <w:p w:rsidR="00C023F2" w:rsidRPr="009C0870" w:rsidRDefault="00C023F2" w:rsidP="005F6EF9">
            <w:pPr>
              <w:rPr>
                <w:rFonts w:ascii="Times New Roman" w:hAnsi="Times New Roman"/>
                <w:b/>
                <w:bCs/>
                <w:color w:val="FFFFFF"/>
              </w:rPr>
            </w:pPr>
            <w:r w:rsidRPr="007323BE">
              <w:rPr>
                <w:rFonts w:ascii="Times New Roman" w:hAnsi="Times New Roman"/>
                <w:b/>
                <w:bCs/>
                <w:color w:val="FFFFFF"/>
              </w:rPr>
              <w:t>Categoria de</w:t>
            </w:r>
            <w:r w:rsidRPr="009C0870">
              <w:rPr>
                <w:rFonts w:ascii="Times New Roman" w:hAnsi="Times New Roman"/>
                <w:b/>
                <w:bCs/>
                <w:color w:val="FFFFFF"/>
              </w:rPr>
              <w:t xml:space="preserve"> risco:</w:t>
            </w:r>
            <w:r w:rsidRPr="009C0870">
              <w:rPr>
                <w:rFonts w:ascii="Times New Roman" w:hAnsi="Times New Roman"/>
                <w:b/>
                <w:bCs/>
                <w:color w:val="FFFFFF"/>
              </w:rPr>
              <w:br/>
              <w:t>Trilhas de auditoria</w:t>
            </w:r>
          </w:p>
        </w:tc>
      </w:tr>
      <w:tr w:rsidR="00C023F2" w:rsidRPr="00917620" w:rsidTr="005F6EF9">
        <w:trPr>
          <w:trHeight w:val="390"/>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990"/>
        </w:trPr>
        <w:tc>
          <w:tcPr>
            <w:tcW w:w="9928" w:type="dxa"/>
            <w:gridSpan w:val="2"/>
            <w:tcBorders>
              <w:top w:val="single" w:sz="4" w:space="0" w:color="auto"/>
              <w:left w:val="single" w:sz="4" w:space="0" w:color="auto"/>
              <w:bottom w:val="single" w:sz="4" w:space="0" w:color="auto"/>
              <w:right w:val="single" w:sz="4" w:space="0" w:color="000000"/>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10 - A política do provedor para liberar os logs de acesso, de sistema e de segurança não atende aos requisitos do cliente; há perda ou fornecimento incompleto de informações do provedor para o cliente relati</w:t>
            </w:r>
            <w:r w:rsidRPr="009C0870">
              <w:rPr>
                <w:rFonts w:ascii="Times New Roman" w:hAnsi="Times New Roman"/>
              </w:rPr>
              <w:t>vas a incidentes de segurança e ao fornecimento de trilhas de auditoria</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127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Cláusulas contratuais devem definir políticas e procedimentos que devem ser estabelecidos para triagem dos eventos relacionados à segurança e garantir o</w:t>
            </w:r>
            <w:r w:rsidRPr="009C0870">
              <w:rPr>
                <w:rFonts w:ascii="Times New Roman" w:hAnsi="Times New Roman"/>
              </w:rPr>
              <w:t xml:space="preserve"> gerenciamento de incidentes completo e ágil</w:t>
            </w:r>
          </w:p>
        </w:tc>
        <w:tc>
          <w:tcPr>
            <w:tcW w:w="39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DSS02 - Manage Service Requests and Incidents; COBIT DSS05 - Manage Security Services; COBIT APO10 - Manage Suppliers; CSA CCM SEF-02 e SEF-03</w:t>
            </w:r>
          </w:p>
        </w:tc>
      </w:tr>
      <w:tr w:rsidR="00C023F2" w:rsidRPr="00917620" w:rsidTr="005F6EF9">
        <w:trPr>
          <w:trHeight w:val="126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C023F2">
              <w:rPr>
                <w:rFonts w:ascii="Times New Roman" w:hAnsi="Times New Roman"/>
                <w:lang w:val="en-US"/>
              </w:rPr>
              <w:t xml:space="preserve"> </w:t>
            </w:r>
            <w:r w:rsidRPr="009C0870">
              <w:rPr>
                <w:rFonts w:ascii="Times New Roman" w:hAnsi="Times New Roman"/>
              </w:rPr>
              <w:t>Eventos de segurança de informação devem ser comunicados através de canais predefinidos de comunicação, de maneira rápida e eficiente, e de acordo com os requisitos legais, regulatórios e contratuais</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189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lastRenderedPageBreak/>
              <w:t xml:space="preserve">Logs de auditoria do provedor que </w:t>
            </w:r>
            <w:r w:rsidRPr="009C0870">
              <w:rPr>
                <w:rFonts w:ascii="Times New Roman" w:hAnsi="Times New Roman"/>
              </w:rPr>
              <w:t>registram atividades de acesso de usuários privilegiados, tentativas de acesso autorizados e não autorizados, exceções do sistema, e eventos de segurança da informação devem ser mantidos em conformidade com as políticas e regulamentos aplicáveis, e devem estar de acordo com as políticas do cliente</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58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11 - Logs possuem</w:t>
            </w:r>
            <w:r w:rsidRPr="009C0870">
              <w:rPr>
                <w:rFonts w:ascii="Times New Roman" w:hAnsi="Times New Roman"/>
              </w:rPr>
              <w:t xml:space="preserve"> período de retenção no provedor menor que o esperado e estabelecido nas políticas internas do cliente</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1575"/>
        </w:trPr>
        <w:tc>
          <w:tcPr>
            <w:tcW w:w="5980" w:type="dxa"/>
            <w:tcBorders>
              <w:top w:val="single" w:sz="4" w:space="0" w:color="auto"/>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 xml:space="preserve">O cliente deve prever cópia dos logs fornecidos pelo provedor, de acordo com sua própria política de </w:t>
            </w:r>
            <w:r w:rsidRPr="009C0870">
              <w:rPr>
                <w:rFonts w:ascii="Times New Roman" w:hAnsi="Times New Roman"/>
              </w:rPr>
              <w:t>retenção; deve haver, da parte do provedor, um mecanismo para filtragem e cópia dos logs gerados pelo fornecedor para a área do cliente</w:t>
            </w:r>
          </w:p>
        </w:tc>
        <w:tc>
          <w:tcPr>
            <w:tcW w:w="3948" w:type="dxa"/>
            <w:tcBorders>
              <w:top w:val="single" w:sz="4" w:space="0" w:color="auto"/>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rPr>
              <w:t xml:space="preserve"> </w:t>
            </w:r>
            <w:r w:rsidRPr="009C0870">
              <w:rPr>
                <w:rFonts w:ascii="Times New Roman" w:hAnsi="Times New Roman"/>
                <w:lang w:val="en-US"/>
              </w:rPr>
              <w:t>COBIT DSS05 - Manage Security Services</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37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 xml:space="preserve">12 - Ausência de isolamento de logs entre vários clientes; vazamento de dados de </w:t>
            </w:r>
            <w:r w:rsidRPr="009C0870">
              <w:rPr>
                <w:rFonts w:ascii="Times New Roman" w:hAnsi="Times New Roman"/>
              </w:rPr>
              <w:t>log</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917620" w:rsidTr="005F6EF9">
        <w:trPr>
          <w:trHeight w:val="94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O contrato entre cliente e provedor deve estabelecer direitos claros e exclusivos de propriedade e acesso aos dados, inclusive referentes a logs</w:t>
            </w:r>
          </w:p>
        </w:tc>
        <w:tc>
          <w:tcPr>
            <w:tcW w:w="39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9C0870">
              <w:rPr>
                <w:rFonts w:ascii="Times New Roman" w:hAnsi="Times New Roman"/>
              </w:rPr>
              <w:t>CSA CCM IAM-01</w:t>
            </w:r>
          </w:p>
        </w:tc>
      </w:tr>
      <w:tr w:rsidR="00C023F2" w:rsidRPr="00917620" w:rsidTr="005F6EF9">
        <w:trPr>
          <w:trHeight w:val="126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O acesso e uso de ferramentas de auditoria que interajam co</w:t>
            </w:r>
            <w:r w:rsidRPr="009C0870">
              <w:rPr>
                <w:rFonts w:ascii="Times New Roman" w:hAnsi="Times New Roman"/>
              </w:rPr>
              <w:t>m os sistemas de informação das organizações deverão estar devidamente segmentados e restritos para evitar comprometimentos e uso indevido de dados de log</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765"/>
        </w:trPr>
        <w:tc>
          <w:tcPr>
            <w:tcW w:w="9928" w:type="dxa"/>
            <w:gridSpan w:val="2"/>
            <w:tcBorders>
              <w:top w:val="single" w:sz="4" w:space="0" w:color="auto"/>
              <w:left w:val="single" w:sz="4" w:space="0" w:color="auto"/>
              <w:bottom w:val="single" w:sz="4" w:space="0" w:color="auto"/>
              <w:right w:val="single" w:sz="4" w:space="0" w:color="000000"/>
            </w:tcBorders>
            <w:shd w:val="clear" w:color="000000" w:fill="75923C"/>
            <w:hideMark/>
          </w:tcPr>
          <w:p w:rsidR="00C023F2" w:rsidRPr="007323BE" w:rsidRDefault="00C023F2" w:rsidP="005F6EF9">
            <w:pPr>
              <w:rPr>
                <w:rFonts w:ascii="Times New Roman" w:hAnsi="Times New Roman"/>
                <w:b/>
                <w:bCs/>
                <w:color w:val="FFFFFF"/>
              </w:rPr>
            </w:pPr>
            <w:r w:rsidRPr="007323BE">
              <w:rPr>
                <w:rFonts w:ascii="Times New Roman" w:hAnsi="Times New Roman"/>
                <w:b/>
                <w:bCs/>
                <w:color w:val="FFFFFF"/>
              </w:rPr>
              <w:t>Categoria de risco:</w:t>
            </w:r>
            <w:r w:rsidRPr="007323BE">
              <w:rPr>
                <w:rFonts w:ascii="Times New Roman" w:hAnsi="Times New Roman"/>
                <w:b/>
                <w:bCs/>
                <w:color w:val="FFFFFF"/>
              </w:rPr>
              <w:br/>
              <w:t>Segurança de interfaces de programação (APIs)</w:t>
            </w:r>
          </w:p>
        </w:tc>
      </w:tr>
      <w:tr w:rsidR="00C023F2" w:rsidRPr="00917620" w:rsidTr="005F6EF9">
        <w:trPr>
          <w:trHeight w:val="390"/>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13 - As APIs p</w:t>
            </w:r>
            <w:r w:rsidRPr="009C0870">
              <w:rPr>
                <w:rFonts w:ascii="Times New Roman" w:hAnsi="Times New Roman"/>
              </w:rPr>
              <w:t>ara acesso à infraestrutura do provedor e aos dados do cliente possuem falhas ou vulnerabilidades</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917620" w:rsidTr="005F6EF9">
        <w:trPr>
          <w:trHeight w:val="121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O modelo de segurança das interfaces do provedor deve ser desenvolvido com base em padrões de mercado, incluindo mecanismos de</w:t>
            </w:r>
            <w:r w:rsidRPr="009C0870">
              <w:rPr>
                <w:rFonts w:ascii="Times New Roman" w:hAnsi="Times New Roman"/>
              </w:rPr>
              <w:t xml:space="preserve"> autenticação forte de usuários e controle de acesso para restringir o acesso aos dados do cliente</w:t>
            </w:r>
          </w:p>
        </w:tc>
        <w:tc>
          <w:tcPr>
            <w:tcW w:w="3948" w:type="dxa"/>
            <w:tcBorders>
              <w:top w:val="nil"/>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9C0870">
              <w:rPr>
                <w:rFonts w:ascii="Times New Roman" w:hAnsi="Times New Roman"/>
              </w:rPr>
              <w:t>CSA CCM AIS-01, AIS-02, AIS-03 e AIS-04</w:t>
            </w:r>
          </w:p>
        </w:tc>
      </w:tr>
      <w:tr w:rsidR="00C023F2" w:rsidRPr="00917620" w:rsidTr="005F6EF9">
        <w:trPr>
          <w:trHeight w:val="765"/>
        </w:trPr>
        <w:tc>
          <w:tcPr>
            <w:tcW w:w="9928" w:type="dxa"/>
            <w:gridSpan w:val="2"/>
            <w:tcBorders>
              <w:top w:val="single" w:sz="4" w:space="0" w:color="auto"/>
              <w:left w:val="single" w:sz="4" w:space="0" w:color="auto"/>
              <w:bottom w:val="single" w:sz="4" w:space="0" w:color="auto"/>
              <w:right w:val="single" w:sz="4" w:space="0" w:color="000000"/>
            </w:tcBorders>
            <w:shd w:val="clear" w:color="000000" w:fill="75923C"/>
            <w:hideMark/>
          </w:tcPr>
          <w:p w:rsidR="00C023F2" w:rsidRPr="007323BE" w:rsidRDefault="00C023F2" w:rsidP="005F6EF9">
            <w:pPr>
              <w:rPr>
                <w:rFonts w:ascii="Times New Roman" w:hAnsi="Times New Roman"/>
                <w:b/>
                <w:bCs/>
                <w:color w:val="FFFFFF"/>
              </w:rPr>
            </w:pPr>
            <w:r w:rsidRPr="007323BE">
              <w:rPr>
                <w:rFonts w:ascii="Times New Roman" w:hAnsi="Times New Roman"/>
                <w:b/>
                <w:bCs/>
                <w:color w:val="FFFFFF"/>
              </w:rPr>
              <w:t>Categoria de risco:</w:t>
            </w:r>
            <w:r w:rsidRPr="007323BE">
              <w:rPr>
                <w:rFonts w:ascii="Times New Roman" w:hAnsi="Times New Roman"/>
                <w:b/>
                <w:bCs/>
                <w:color w:val="FFFFFF"/>
              </w:rPr>
              <w:br/>
              <w:t>Acesso indevido por invasor interno</w:t>
            </w:r>
          </w:p>
        </w:tc>
      </w:tr>
      <w:tr w:rsidR="00C023F2" w:rsidRPr="00917620" w:rsidTr="005F6EF9">
        <w:trPr>
          <w:trHeight w:val="390"/>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690"/>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14 - As políticas e orientações do proved</w:t>
            </w:r>
            <w:r w:rsidRPr="009C0870">
              <w:rPr>
                <w:rFonts w:ascii="Times New Roman" w:hAnsi="Times New Roman"/>
              </w:rPr>
              <w:t>or de nuvem quanto ao acesso de seus funcionários aos ativos físicos e virtuais podem não ser adequadas ou de conhecimento do cliente</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lastRenderedPageBreak/>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917620" w:rsidTr="005F6EF9">
        <w:trPr>
          <w:trHeight w:val="159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Definir no contrato as obrigações do provedor quanto a requisitos mínimos de autorização e</w:t>
            </w:r>
            <w:r w:rsidRPr="009C0870">
              <w:rPr>
                <w:rFonts w:ascii="Times New Roman" w:hAnsi="Times New Roman"/>
              </w:rPr>
              <w:t xml:space="preserve"> transparência de acesso do provedor aos ativos físicos e virtuais do cliente, bem como a respeito da necessidade de divulgação ao cliente de suas políticas e orientações específicas</w:t>
            </w:r>
          </w:p>
        </w:tc>
        <w:tc>
          <w:tcPr>
            <w:tcW w:w="3948" w:type="dxa"/>
            <w:tcBorders>
              <w:top w:val="nil"/>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9C0870">
              <w:rPr>
                <w:rFonts w:ascii="Times New Roman" w:hAnsi="Times New Roman"/>
              </w:rPr>
              <w:t>COBIT APO10 - Manage Suppliers; CSA CCM HRS-06, HRS-07, IAM-02, IAM-04, IAM-07 e IAM-09</w:t>
            </w:r>
          </w:p>
        </w:tc>
      </w:tr>
      <w:tr w:rsidR="00C023F2" w:rsidRPr="00917620" w:rsidTr="005F6EF9">
        <w:trPr>
          <w:trHeight w:val="390"/>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900"/>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15 - As políticas e orientações do provedor quanto a contratação de pessoal, monitoramento de atividades de seus funcionários e verificação do cumprimento das normas organizacionais podem não ser adequadas ou de conhecimen</w:t>
            </w:r>
            <w:r w:rsidRPr="009C0870">
              <w:rPr>
                <w:rFonts w:ascii="Times New Roman" w:hAnsi="Times New Roman"/>
              </w:rPr>
              <w:t>to do cliente</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1635"/>
        </w:trPr>
        <w:tc>
          <w:tcPr>
            <w:tcW w:w="5980" w:type="dxa"/>
            <w:tcBorders>
              <w:top w:val="single" w:sz="4" w:space="0" w:color="auto"/>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Definir no contrato as obrigações do provedor quanto a requisitos mínimos de contratação de pessoal e de monitoramento de suas atividades, bem como a respeito da necessidade de divulgação ao cliente de suas pol</w:t>
            </w:r>
            <w:r w:rsidRPr="009C0870">
              <w:rPr>
                <w:rFonts w:ascii="Times New Roman" w:hAnsi="Times New Roman"/>
              </w:rPr>
              <w:t>íticas e orientações específicas</w:t>
            </w:r>
          </w:p>
        </w:tc>
        <w:tc>
          <w:tcPr>
            <w:tcW w:w="3948" w:type="dxa"/>
            <w:tcBorders>
              <w:top w:val="single" w:sz="4" w:space="0" w:color="auto"/>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APO10 - Manage Suppliers; CSA CCM HRS-02, HRS-03, HRS-06, HRS-07, HRS-09, IAM-07 e IAM-10</w:t>
            </w:r>
          </w:p>
        </w:tc>
      </w:tr>
      <w:tr w:rsidR="00C023F2" w:rsidRPr="00917620" w:rsidTr="005F6EF9">
        <w:trPr>
          <w:trHeight w:val="765"/>
        </w:trPr>
        <w:tc>
          <w:tcPr>
            <w:tcW w:w="9928" w:type="dxa"/>
            <w:gridSpan w:val="2"/>
            <w:tcBorders>
              <w:top w:val="single" w:sz="4" w:space="0" w:color="auto"/>
              <w:left w:val="single" w:sz="4" w:space="0" w:color="auto"/>
              <w:bottom w:val="single" w:sz="4" w:space="0" w:color="auto"/>
              <w:right w:val="single" w:sz="4" w:space="0" w:color="000000"/>
            </w:tcBorders>
            <w:shd w:val="clear" w:color="000000" w:fill="75923C"/>
            <w:hideMark/>
          </w:tcPr>
          <w:p w:rsidR="00C023F2" w:rsidRPr="007323BE" w:rsidRDefault="00C023F2" w:rsidP="005F6EF9">
            <w:pPr>
              <w:rPr>
                <w:rFonts w:ascii="Times New Roman" w:hAnsi="Times New Roman"/>
                <w:b/>
                <w:bCs/>
                <w:color w:val="FFFFFF"/>
              </w:rPr>
            </w:pPr>
            <w:r w:rsidRPr="007323BE">
              <w:rPr>
                <w:rFonts w:ascii="Times New Roman" w:hAnsi="Times New Roman"/>
                <w:b/>
                <w:bCs/>
                <w:color w:val="FFFFFF"/>
              </w:rPr>
              <w:t>Categoria de risco:</w:t>
            </w:r>
            <w:r w:rsidRPr="007323BE">
              <w:rPr>
                <w:rFonts w:ascii="Times New Roman" w:hAnsi="Times New Roman"/>
                <w:b/>
                <w:bCs/>
                <w:color w:val="FFFFFF"/>
              </w:rPr>
              <w:br/>
              <w:t>Atualizações e correções de segurança</w:t>
            </w:r>
          </w:p>
        </w:tc>
      </w:tr>
      <w:tr w:rsidR="00C023F2" w:rsidRPr="00917620" w:rsidTr="005F6EF9">
        <w:trPr>
          <w:trHeight w:val="390"/>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16 - Exploração de vulnerabilidades do provedor p</w:t>
            </w:r>
            <w:r w:rsidRPr="009C0870">
              <w:rPr>
                <w:rFonts w:ascii="Times New Roman" w:hAnsi="Times New Roman"/>
              </w:rPr>
              <w:t>odem impactar operações do cliente</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220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Políticas, procedimentos e mecanismos devem ser estabelecidos e implementados pelo provedor para gerenciamento de vulnerabilidades conhecidas e atualizações de software, garantindo que apli</w:t>
            </w:r>
            <w:r w:rsidRPr="009C0870">
              <w:rPr>
                <w:rFonts w:ascii="Times New Roman" w:hAnsi="Times New Roman"/>
              </w:rPr>
              <w:t>cações, sistemas e vulnerabilidades de dispositivos de rede sejam avaliadas, e que atualizações de segurança fornecidas sejam aplicadas em tempo hábil, priorizando os patches mais críticos</w:t>
            </w:r>
          </w:p>
        </w:tc>
        <w:tc>
          <w:tcPr>
            <w:tcW w:w="3948" w:type="dxa"/>
            <w:tcBorders>
              <w:top w:val="nil"/>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DSS05 - Manage Security Services; CSA CCM TVM-01 e TVM-02</w:t>
            </w:r>
          </w:p>
        </w:tc>
      </w:tr>
      <w:tr w:rsidR="00C023F2" w:rsidRPr="00E70922" w:rsidTr="005F6EF9">
        <w:trPr>
          <w:trHeight w:val="315"/>
        </w:trPr>
        <w:tc>
          <w:tcPr>
            <w:tcW w:w="5980" w:type="dxa"/>
            <w:tcBorders>
              <w:top w:val="nil"/>
              <w:left w:val="nil"/>
              <w:bottom w:val="nil"/>
              <w:right w:val="nil"/>
            </w:tcBorders>
            <w:shd w:val="clear" w:color="auto" w:fill="auto"/>
            <w:noWrap/>
            <w:hideMark/>
          </w:tcPr>
          <w:p w:rsidR="00C023F2" w:rsidRPr="007323BE" w:rsidRDefault="00C023F2" w:rsidP="005F6EF9">
            <w:pPr>
              <w:rPr>
                <w:rFonts w:ascii="Times New Roman" w:hAnsi="Times New Roman"/>
                <w:lang w:val="en-US"/>
              </w:rPr>
            </w:pPr>
          </w:p>
        </w:tc>
        <w:tc>
          <w:tcPr>
            <w:tcW w:w="3948" w:type="dxa"/>
            <w:tcBorders>
              <w:top w:val="nil"/>
              <w:left w:val="nil"/>
              <w:bottom w:val="nil"/>
              <w:right w:val="nil"/>
            </w:tcBorders>
            <w:shd w:val="clear" w:color="auto" w:fill="auto"/>
            <w:noWrap/>
            <w:hideMark/>
          </w:tcPr>
          <w:p w:rsidR="00C023F2" w:rsidRPr="009C0870" w:rsidRDefault="00C023F2" w:rsidP="005F6EF9">
            <w:pPr>
              <w:rPr>
                <w:rFonts w:ascii="Times New Roman" w:hAnsi="Times New Roman"/>
                <w:lang w:val="en-US"/>
              </w:rPr>
            </w:pPr>
          </w:p>
        </w:tc>
      </w:tr>
      <w:tr w:rsidR="00C023F2" w:rsidRPr="00917620" w:rsidTr="005F6EF9">
        <w:trPr>
          <w:trHeight w:val="765"/>
        </w:trPr>
        <w:tc>
          <w:tcPr>
            <w:tcW w:w="9928" w:type="dxa"/>
            <w:gridSpan w:val="2"/>
            <w:tcBorders>
              <w:top w:val="single" w:sz="4" w:space="0" w:color="auto"/>
              <w:left w:val="nil"/>
              <w:bottom w:val="single" w:sz="4" w:space="0" w:color="auto"/>
              <w:right w:val="single" w:sz="4" w:space="0" w:color="000000"/>
            </w:tcBorders>
            <w:shd w:val="clear" w:color="000000" w:fill="556A2C"/>
            <w:hideMark/>
          </w:tcPr>
          <w:p w:rsidR="00C023F2" w:rsidRPr="007323BE" w:rsidRDefault="00C023F2" w:rsidP="005F6EF9">
            <w:pPr>
              <w:rPr>
                <w:rFonts w:ascii="Times New Roman" w:hAnsi="Times New Roman"/>
                <w:b/>
                <w:bCs/>
                <w:color w:val="FFFFFF"/>
              </w:rPr>
            </w:pPr>
            <w:r w:rsidRPr="007323BE">
              <w:rPr>
                <w:rFonts w:ascii="Times New Roman" w:hAnsi="Times New Roman"/>
                <w:b/>
                <w:bCs/>
                <w:color w:val="FFFFFF"/>
              </w:rPr>
              <w:t xml:space="preserve">Tema: </w:t>
            </w:r>
            <w:r w:rsidRPr="007323BE">
              <w:rPr>
                <w:rFonts w:ascii="Times New Roman" w:hAnsi="Times New Roman"/>
                <w:b/>
                <w:bCs/>
                <w:color w:val="FFFFFF"/>
              </w:rPr>
              <w:br/>
              <w:t>Governança e gestão de riscos</w:t>
            </w:r>
          </w:p>
        </w:tc>
      </w:tr>
      <w:tr w:rsidR="00C023F2" w:rsidRPr="00917620" w:rsidTr="005F6EF9">
        <w:trPr>
          <w:trHeight w:val="765"/>
        </w:trPr>
        <w:tc>
          <w:tcPr>
            <w:tcW w:w="9928" w:type="dxa"/>
            <w:gridSpan w:val="2"/>
            <w:tcBorders>
              <w:top w:val="single" w:sz="4" w:space="0" w:color="auto"/>
              <w:left w:val="nil"/>
              <w:bottom w:val="single" w:sz="4" w:space="0" w:color="auto"/>
              <w:right w:val="single" w:sz="4" w:space="0" w:color="000000"/>
            </w:tcBorders>
            <w:shd w:val="clear" w:color="000000" w:fill="75923C"/>
            <w:hideMark/>
          </w:tcPr>
          <w:p w:rsidR="00C023F2" w:rsidRPr="007323BE" w:rsidRDefault="00C023F2" w:rsidP="005F6EF9">
            <w:pPr>
              <w:rPr>
                <w:rFonts w:ascii="Times New Roman" w:hAnsi="Times New Roman"/>
                <w:b/>
                <w:bCs/>
                <w:color w:val="FFFFFF"/>
              </w:rPr>
            </w:pPr>
            <w:r w:rsidRPr="007323BE">
              <w:rPr>
                <w:rFonts w:ascii="Times New Roman" w:hAnsi="Times New Roman"/>
                <w:b/>
                <w:bCs/>
                <w:color w:val="FFFFFF"/>
              </w:rPr>
              <w:t>Categoria de risco:</w:t>
            </w:r>
            <w:r w:rsidRPr="007323BE">
              <w:rPr>
                <w:rFonts w:ascii="Times New Roman" w:hAnsi="Times New Roman"/>
                <w:b/>
                <w:bCs/>
                <w:color w:val="FFFFFF"/>
              </w:rPr>
              <w:br/>
              <w:t>Planejamento</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630"/>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 xml:space="preserve">17 - </w:t>
            </w:r>
            <w:r w:rsidRPr="009C0870">
              <w:rPr>
                <w:rFonts w:ascii="Times New Roman" w:hAnsi="Times New Roman"/>
              </w:rPr>
              <w:t xml:space="preserve">Dimensionamento inadequado das vantagens e riscos relativos à incorporação de serviços de computação em nuvem em função das características e requisitos individuais da organização </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126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lastRenderedPageBreak/>
              <w:t xml:space="preserve"> A incorporação de computação em nuvem ao plano estratégico de TI deve ser precedida de análise adequada de modo a assegurar que serviços de nuvem são a solução mais apropriada para as necessidades da or</w:t>
            </w:r>
            <w:r w:rsidRPr="009C0870">
              <w:rPr>
                <w:rFonts w:ascii="Times New Roman" w:hAnsi="Times New Roman"/>
              </w:rPr>
              <w:t>ganização</w:t>
            </w:r>
          </w:p>
        </w:tc>
        <w:tc>
          <w:tcPr>
            <w:tcW w:w="3948" w:type="dxa"/>
            <w:vMerge w:val="restart"/>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APO02 - Manage Strategy ; COBIT APO08 - Manage Relationships</w:t>
            </w:r>
          </w:p>
        </w:tc>
      </w:tr>
      <w:tr w:rsidR="00C023F2" w:rsidRPr="00917620" w:rsidTr="005F6EF9">
        <w:trPr>
          <w:trHeight w:val="126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A incorporação de computação em nuvem ao plano estratégico de TI deve ser elaborada por um time de profissionais qualificados de TI e de negócio, e todas as partes interessadas n</w:t>
            </w:r>
            <w:r w:rsidRPr="009C0870">
              <w:rPr>
                <w:rFonts w:ascii="Times New Roman" w:hAnsi="Times New Roman"/>
              </w:rPr>
              <w:t>a organização devem ser consultadas</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58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 xml:space="preserve">18 - </w:t>
            </w:r>
            <w:r w:rsidRPr="009C0870">
              <w:rPr>
                <w:rFonts w:ascii="Times New Roman" w:hAnsi="Times New Roman"/>
              </w:rPr>
              <w:t>Planejamento orçamentário de TI não adequado às características de contratação de serviços de computação em nuvem</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157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O planejamento orçamentário deve estar alinhado c</w:t>
            </w:r>
            <w:r w:rsidRPr="009C0870">
              <w:rPr>
                <w:rFonts w:ascii="Times New Roman" w:hAnsi="Times New Roman"/>
              </w:rPr>
              <w:t>om as condições de contratação de serviços de computação em nuvem, particularmente quanto à transformação de verba de investimento na compra de equipamentos de TIC para verba de custeio dos serviços de nuvem</w:t>
            </w:r>
          </w:p>
        </w:tc>
        <w:tc>
          <w:tcPr>
            <w:tcW w:w="3948" w:type="dxa"/>
            <w:tcBorders>
              <w:top w:val="nil"/>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APO02 - Manage Strategy; COBIT APO04 - Manage Innovation; COBIT APO06 - Manage Budget and Costs</w:t>
            </w:r>
          </w:p>
        </w:tc>
      </w:tr>
      <w:tr w:rsidR="00C023F2" w:rsidRPr="00917620" w:rsidTr="005F6EF9">
        <w:trPr>
          <w:trHeight w:val="765"/>
        </w:trPr>
        <w:tc>
          <w:tcPr>
            <w:tcW w:w="9928" w:type="dxa"/>
            <w:gridSpan w:val="2"/>
            <w:tcBorders>
              <w:top w:val="single" w:sz="4" w:space="0" w:color="auto"/>
              <w:left w:val="single" w:sz="4" w:space="0" w:color="auto"/>
              <w:bottom w:val="single" w:sz="4" w:space="0" w:color="auto"/>
              <w:right w:val="single" w:sz="4" w:space="0" w:color="000000"/>
            </w:tcBorders>
            <w:shd w:val="clear" w:color="000000" w:fill="75923C"/>
            <w:hideMark/>
          </w:tcPr>
          <w:p w:rsidR="00C023F2" w:rsidRPr="007323BE" w:rsidRDefault="00C023F2" w:rsidP="005F6EF9">
            <w:pPr>
              <w:rPr>
                <w:rFonts w:ascii="Times New Roman" w:hAnsi="Times New Roman"/>
                <w:b/>
                <w:bCs/>
                <w:color w:val="FFFFFF"/>
              </w:rPr>
            </w:pPr>
            <w:r w:rsidRPr="007323BE">
              <w:rPr>
                <w:rFonts w:ascii="Times New Roman" w:hAnsi="Times New Roman"/>
                <w:b/>
                <w:bCs/>
                <w:color w:val="FFFFFF"/>
              </w:rPr>
              <w:t>Categoria de risco:</w:t>
            </w:r>
            <w:r w:rsidRPr="007323BE">
              <w:rPr>
                <w:rFonts w:ascii="Times New Roman" w:hAnsi="Times New Roman"/>
                <w:b/>
                <w:bCs/>
                <w:color w:val="FFFFFF"/>
              </w:rPr>
              <w:br/>
              <w:t>Política de recursos humanos</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Riscos específicos</w:t>
            </w:r>
          </w:p>
        </w:tc>
      </w:tr>
      <w:tr w:rsidR="00C023F2" w:rsidRPr="00917620" w:rsidTr="005F6EF9">
        <w:trPr>
          <w:trHeight w:val="34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7323BE" w:rsidRDefault="00C023F2" w:rsidP="005F6EF9">
            <w:pPr>
              <w:rPr>
                <w:rFonts w:ascii="Times New Roman" w:hAnsi="Times New Roman"/>
              </w:rPr>
            </w:pPr>
            <w:r w:rsidRPr="007323BE">
              <w:rPr>
                <w:rFonts w:ascii="Times New Roman" w:hAnsi="Times New Roman"/>
              </w:rPr>
              <w:t>19 - Resistência da equipe de TI à adoção de computação em nuvem por receio de perder suas funções</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94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Deve ser conduzida política de recursos humanos de TI que contemple redefinições de funções e realocações de pessoal, considerando as capacidades e perfis individuais</w:t>
            </w:r>
          </w:p>
        </w:tc>
        <w:tc>
          <w:tcPr>
            <w:tcW w:w="3948" w:type="dxa"/>
            <w:vMerge w:val="restart"/>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APO07 - Manage Human Resources; COBIT APO08 - Manage Relationships; COBIT APO04 - Manage Innovation</w:t>
            </w:r>
          </w:p>
        </w:tc>
      </w:tr>
      <w:tr w:rsidR="00C023F2" w:rsidRPr="00917620" w:rsidTr="005F6EF9">
        <w:trPr>
          <w:trHeight w:val="94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Implementar política institucional de incentivo à inovação, como forma de estimular o servidor e quebrar resistência à adoção de computação em nuvem</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765"/>
        </w:trPr>
        <w:tc>
          <w:tcPr>
            <w:tcW w:w="9928" w:type="dxa"/>
            <w:gridSpan w:val="2"/>
            <w:tcBorders>
              <w:top w:val="single" w:sz="4" w:space="0" w:color="auto"/>
              <w:left w:val="single" w:sz="4" w:space="0" w:color="auto"/>
              <w:bottom w:val="single" w:sz="4" w:space="0" w:color="auto"/>
              <w:right w:val="single" w:sz="4" w:space="0" w:color="000000"/>
            </w:tcBorders>
            <w:shd w:val="clear" w:color="000000" w:fill="75923C"/>
            <w:hideMark/>
          </w:tcPr>
          <w:p w:rsidR="00C023F2" w:rsidRPr="007323BE" w:rsidRDefault="00C023F2" w:rsidP="005F6EF9">
            <w:pPr>
              <w:rPr>
                <w:rFonts w:ascii="Times New Roman" w:hAnsi="Times New Roman"/>
                <w:b/>
                <w:bCs/>
                <w:color w:val="FFFFFF"/>
              </w:rPr>
            </w:pPr>
            <w:r w:rsidRPr="007323BE">
              <w:rPr>
                <w:rFonts w:ascii="Times New Roman" w:hAnsi="Times New Roman"/>
                <w:b/>
                <w:bCs/>
                <w:color w:val="FFFFFF"/>
              </w:rPr>
              <w:t>Categoria de risco:</w:t>
            </w:r>
            <w:r w:rsidRPr="007323BE">
              <w:rPr>
                <w:rFonts w:ascii="Times New Roman" w:hAnsi="Times New Roman"/>
                <w:b/>
                <w:bCs/>
                <w:color w:val="FFFFFF"/>
              </w:rPr>
              <w:br/>
              <w:t>Governança</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Riscos específicos</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20</w:t>
            </w:r>
            <w:r w:rsidRPr="009C0870">
              <w:rPr>
                <w:rFonts w:ascii="Times New Roman" w:hAnsi="Times New Roman"/>
              </w:rPr>
              <w:t xml:space="preserve"> - Perda de governança e controle da TI por parte da organização quando da utilização de serviços na nuvem</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21</w:t>
            </w:r>
            <w:r w:rsidRPr="009C0870">
              <w:rPr>
                <w:rFonts w:ascii="Times New Roman" w:hAnsi="Times New Roman"/>
              </w:rPr>
              <w:t xml:space="preserve"> - Menor reatividade do fornecedor a comandos do cliente se comparado a provimento interno do serviço</w:t>
            </w:r>
          </w:p>
        </w:tc>
      </w:tr>
      <w:tr w:rsidR="00C023F2" w:rsidRPr="00917620" w:rsidTr="005F6EF9">
        <w:trPr>
          <w:trHeight w:val="315"/>
        </w:trPr>
        <w:tc>
          <w:tcPr>
            <w:tcW w:w="5980" w:type="dxa"/>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single" w:sz="4" w:space="0" w:color="auto"/>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917620" w:rsidTr="005F6EF9">
        <w:trPr>
          <w:trHeight w:val="1260"/>
        </w:trPr>
        <w:tc>
          <w:tcPr>
            <w:tcW w:w="5980" w:type="dxa"/>
            <w:tcBorders>
              <w:top w:val="single" w:sz="4" w:space="0" w:color="auto"/>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Definir cláusulas contratuais especificando n</w:t>
            </w:r>
            <w:r w:rsidRPr="009C0870">
              <w:rPr>
                <w:rFonts w:ascii="Times New Roman" w:hAnsi="Times New Roman"/>
              </w:rPr>
              <w:t>ível esperado dos serviços (SLA) e mecanismos clássicos de gestão contratual de serviços terceirizados (comunicações formais, multas, rescisão etc)</w:t>
            </w:r>
          </w:p>
        </w:tc>
        <w:tc>
          <w:tcPr>
            <w:tcW w:w="3948" w:type="dxa"/>
            <w:vMerge w:val="restart"/>
            <w:tcBorders>
              <w:top w:val="single" w:sz="4" w:space="0" w:color="auto"/>
              <w:left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9C0870">
              <w:rPr>
                <w:rFonts w:ascii="Times New Roman" w:hAnsi="Times New Roman"/>
              </w:rPr>
              <w:t>COBIT APO10 - Manage Suppliers</w:t>
            </w:r>
          </w:p>
        </w:tc>
      </w:tr>
      <w:tr w:rsidR="00C023F2" w:rsidRPr="00917620" w:rsidTr="005F6EF9">
        <w:trPr>
          <w:trHeight w:val="945"/>
        </w:trPr>
        <w:tc>
          <w:tcPr>
            <w:tcW w:w="5980" w:type="dxa"/>
            <w:tcBorders>
              <w:top w:val="single" w:sz="4" w:space="0" w:color="auto"/>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lastRenderedPageBreak/>
              <w:t>Definir cláusulas contratuais especificando mecanismos de segurança e proteç</w:t>
            </w:r>
            <w:r w:rsidRPr="009C0870">
              <w:rPr>
                <w:rFonts w:ascii="Times New Roman" w:hAnsi="Times New Roman"/>
              </w:rPr>
              <w:t>ão de propriedade intelectual, e quaisquer requisitos legais ou regulatórios</w:t>
            </w:r>
          </w:p>
        </w:tc>
        <w:tc>
          <w:tcPr>
            <w:tcW w:w="3948" w:type="dxa"/>
            <w:vMerge/>
            <w:tcBorders>
              <w:top w:val="nil"/>
              <w:left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66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Definir e formalizar, no contrato, papéis e responsabilidades do provedor de serviços de nuvem e do cliente</w:t>
            </w:r>
          </w:p>
        </w:tc>
        <w:tc>
          <w:tcPr>
            <w:tcW w:w="3948" w:type="dxa"/>
            <w:vMerge/>
            <w:tcBorders>
              <w:top w:val="nil"/>
              <w:left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94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Estabelecer processos ágeis de contratação e migração para provedor</w:t>
            </w:r>
            <w:r w:rsidRPr="009C0870">
              <w:rPr>
                <w:rFonts w:ascii="Times New Roman" w:hAnsi="Times New Roman"/>
              </w:rPr>
              <w:t>es alternativos, em caso de falhas do provedor principal</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945"/>
        </w:trPr>
        <w:tc>
          <w:tcPr>
            <w:tcW w:w="5980" w:type="dxa"/>
            <w:tcBorders>
              <w:top w:val="nil"/>
              <w:left w:val="single" w:sz="4" w:space="0" w:color="auto"/>
              <w:bottom w:val="single" w:sz="4" w:space="0" w:color="auto"/>
              <w:right w:val="single" w:sz="4" w:space="0" w:color="auto"/>
            </w:tcBorders>
            <w:shd w:val="clear" w:color="auto" w:fill="auto"/>
          </w:tcPr>
          <w:p w:rsidR="00C023F2" w:rsidRPr="009C0870" w:rsidRDefault="00C023F2" w:rsidP="005F6EF9">
            <w:pPr>
              <w:rPr>
                <w:rFonts w:ascii="Times New Roman" w:hAnsi="Times New Roman"/>
              </w:rPr>
            </w:pPr>
            <w:r w:rsidRPr="007323BE">
              <w:rPr>
                <w:rFonts w:ascii="Times New Roman" w:hAnsi="Times New Roman"/>
              </w:rPr>
              <w:t xml:space="preserve">Definir em cláusula contratual a necessidade de </w:t>
            </w:r>
            <w:r w:rsidRPr="009C0870">
              <w:rPr>
                <w:rFonts w:ascii="Times New Roman" w:hAnsi="Times New Roman"/>
              </w:rPr>
              <w:t>realização de avaliações periódicas independentes, com a finalidade de verificar a adequação dos controles do provedor a um conjunto de critérios pré-definidos</w:t>
            </w:r>
          </w:p>
        </w:tc>
        <w:tc>
          <w:tcPr>
            <w:tcW w:w="3948" w:type="dxa"/>
            <w:tcBorders>
              <w:top w:val="single" w:sz="4" w:space="0" w:color="auto"/>
              <w:left w:val="single" w:sz="4" w:space="0" w:color="auto"/>
              <w:right w:val="single" w:sz="4" w:space="0" w:color="auto"/>
            </w:tcBorders>
            <w:shd w:val="clear" w:color="auto" w:fill="auto"/>
          </w:tcPr>
          <w:p w:rsidR="00C023F2" w:rsidRPr="009C0870" w:rsidRDefault="00C023F2" w:rsidP="005F6EF9">
            <w:pPr>
              <w:rPr>
                <w:rFonts w:ascii="Times New Roman" w:hAnsi="Times New Roman"/>
              </w:rPr>
            </w:pPr>
            <w:r w:rsidRPr="00E70922">
              <w:rPr>
                <w:rFonts w:ascii="Times New Roman" w:hAnsi="Times New Roman"/>
              </w:rPr>
              <w:t>CSA CCM AAC-01 e AAC-02</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22</w:t>
            </w:r>
            <w:r w:rsidRPr="009C0870">
              <w:rPr>
                <w:rFonts w:ascii="Times New Roman" w:hAnsi="Times New Roman"/>
              </w:rPr>
              <w:t xml:space="preserve"> - Falta de apoio interno devido à cultura organizacional e percepção do cliente de que há maiores riscos associados a serviços em nuvem</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917620" w:rsidTr="005F6EF9">
        <w:trPr>
          <w:trHeight w:val="67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Promover política institucional</w:t>
            </w:r>
            <w:r w:rsidRPr="009C0870">
              <w:rPr>
                <w:rFonts w:ascii="Times New Roman" w:hAnsi="Times New Roman"/>
              </w:rPr>
              <w:t xml:space="preserve"> de incentivo à inovação de maneira a convertê-la em parte da cultura organizacional</w:t>
            </w:r>
          </w:p>
        </w:tc>
        <w:tc>
          <w:tcPr>
            <w:tcW w:w="3948" w:type="dxa"/>
            <w:tcBorders>
              <w:top w:val="nil"/>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9C0870">
              <w:rPr>
                <w:rFonts w:ascii="Times New Roman" w:hAnsi="Times New Roman"/>
              </w:rPr>
              <w:t>COBIT APO04 - Manage Innovation</w:t>
            </w:r>
          </w:p>
        </w:tc>
      </w:tr>
      <w:tr w:rsidR="00C023F2" w:rsidRPr="00917620" w:rsidTr="005F6EF9">
        <w:trPr>
          <w:trHeight w:val="765"/>
        </w:trPr>
        <w:tc>
          <w:tcPr>
            <w:tcW w:w="9928" w:type="dxa"/>
            <w:gridSpan w:val="2"/>
            <w:tcBorders>
              <w:top w:val="single" w:sz="4" w:space="0" w:color="auto"/>
              <w:left w:val="single" w:sz="4" w:space="0" w:color="auto"/>
              <w:bottom w:val="single" w:sz="4" w:space="0" w:color="auto"/>
              <w:right w:val="single" w:sz="4" w:space="0" w:color="000000"/>
            </w:tcBorders>
            <w:shd w:val="clear" w:color="000000" w:fill="75923C"/>
            <w:hideMark/>
          </w:tcPr>
          <w:p w:rsidR="00C023F2" w:rsidRPr="007323BE" w:rsidRDefault="00C023F2" w:rsidP="005F6EF9">
            <w:pPr>
              <w:rPr>
                <w:rFonts w:ascii="Times New Roman" w:hAnsi="Times New Roman"/>
                <w:b/>
                <w:bCs/>
                <w:color w:val="FFFFFF"/>
              </w:rPr>
            </w:pPr>
            <w:r w:rsidRPr="007323BE">
              <w:rPr>
                <w:rFonts w:ascii="Times New Roman" w:hAnsi="Times New Roman"/>
                <w:b/>
                <w:bCs/>
                <w:color w:val="FFFFFF"/>
              </w:rPr>
              <w:t>Categoria de risco:</w:t>
            </w:r>
            <w:r w:rsidRPr="007323BE">
              <w:rPr>
                <w:rFonts w:ascii="Times New Roman" w:hAnsi="Times New Roman"/>
                <w:b/>
                <w:bCs/>
                <w:color w:val="FFFFFF"/>
              </w:rPr>
              <w:br/>
              <w:t>Legislação e normativos pertinentes</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570"/>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23</w:t>
            </w:r>
            <w:r w:rsidRPr="009C0870">
              <w:rPr>
                <w:rFonts w:ascii="Times New Roman" w:hAnsi="Times New Roman"/>
              </w:rPr>
              <w:t xml:space="preserve"> - Não observância de legislação e normativos específicos que regulam a contratação de serviços de computação em nuvem ou de pontos específicos em regulamentos de contratação de serviços de TI em geral</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126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A organização deve ser capaz de assegurar a conformidade dos dados e aplicações hos</w:t>
            </w:r>
            <w:r w:rsidRPr="009C0870">
              <w:rPr>
                <w:rFonts w:ascii="Times New Roman" w:hAnsi="Times New Roman"/>
              </w:rPr>
              <w:t>pedadas na nuvem com os requisitos de padrões, legais e regulatórios, aos quais o negócio está sujeito, de maneira contínua e atualizada</w:t>
            </w:r>
          </w:p>
        </w:tc>
        <w:tc>
          <w:tcPr>
            <w:tcW w:w="3948" w:type="dxa"/>
            <w:tcBorders>
              <w:top w:val="nil"/>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MEA03 - Ensure Compliance With External Requirements; CSA CCM AAC-03</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34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24</w:t>
            </w:r>
            <w:r w:rsidRPr="009C0870">
              <w:rPr>
                <w:rFonts w:ascii="Times New Roman" w:hAnsi="Times New Roman"/>
              </w:rPr>
              <w:t xml:space="preserve"> - Desconformidade com o Decreto 8.135/2013 e com a Portaria Interministerial 141/2014</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917620" w:rsidTr="005F6EF9">
        <w:trPr>
          <w:trHeight w:val="130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Verificar, na fase de planejamento da contratação, se o objeto da contratação pode ser enquadrado como "comunicação de dados da APF", conforme a Portaria Interm</w:t>
            </w:r>
            <w:r w:rsidRPr="009C0870">
              <w:rPr>
                <w:rFonts w:ascii="Times New Roman" w:hAnsi="Times New Roman"/>
              </w:rPr>
              <w:t>inisterial 141/2014, art. 1º e art. 11</w:t>
            </w:r>
          </w:p>
        </w:tc>
        <w:tc>
          <w:tcPr>
            <w:tcW w:w="3948" w:type="dxa"/>
            <w:vMerge w:val="restart"/>
            <w:tcBorders>
              <w:top w:val="single" w:sz="4" w:space="0" w:color="auto"/>
              <w:left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9C0870">
              <w:rPr>
                <w:rFonts w:ascii="Times New Roman" w:hAnsi="Times New Roman"/>
              </w:rPr>
              <w:t>Decreto 8.135/2013;</w:t>
            </w:r>
            <w:r w:rsidRPr="009C0870">
              <w:rPr>
                <w:rFonts w:ascii="Times New Roman" w:hAnsi="Times New Roman"/>
              </w:rPr>
              <w:br/>
              <w:t>Portaria Interministerial 141/2014</w:t>
            </w:r>
          </w:p>
        </w:tc>
      </w:tr>
      <w:tr w:rsidR="00C023F2" w:rsidRPr="00917620" w:rsidTr="005F6EF9">
        <w:trPr>
          <w:trHeight w:val="1830"/>
        </w:trPr>
        <w:tc>
          <w:tcPr>
            <w:tcW w:w="5980" w:type="dxa"/>
            <w:tcBorders>
              <w:top w:val="single" w:sz="4" w:space="0" w:color="auto"/>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Até o término da fase de planejamento da contratação, verificar se a contratação deve ser feita por meio de provedor público ou privado, consultando a disponibil</w:t>
            </w:r>
            <w:r w:rsidRPr="009C0870">
              <w:rPr>
                <w:rFonts w:ascii="Times New Roman" w:hAnsi="Times New Roman"/>
              </w:rPr>
              <w:t>idade dos provedores públicos de atender às especificações técnicas e níveis de serviço do objeto da contratação, conforme a Portaria Interministerial 141/2014, art. 5º, § 3º</w:t>
            </w:r>
          </w:p>
        </w:tc>
        <w:tc>
          <w:tcPr>
            <w:tcW w:w="3948" w:type="dxa"/>
            <w:vMerge/>
            <w:tcBorders>
              <w:top w:val="nil"/>
              <w:left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153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lastRenderedPageBreak/>
              <w:t>Especialmente no caso de contratação de fornecedor privado, observar os requisi</w:t>
            </w:r>
            <w:r w:rsidRPr="009C0870">
              <w:rPr>
                <w:rFonts w:ascii="Times New Roman" w:hAnsi="Times New Roman"/>
              </w:rPr>
              <w:t>tos comuns de implementação dos serviços estabelecidos pela Portaria Interministerial 141/2014: padrões do e-Ping (art. 8º) e obrigações que deverão estar contidas no termo de referência ou projeto básico e no contrato (art. 9º)</w:t>
            </w:r>
          </w:p>
        </w:tc>
        <w:tc>
          <w:tcPr>
            <w:tcW w:w="3948" w:type="dxa"/>
            <w:vMerge/>
            <w:tcBorders>
              <w:top w:val="nil"/>
              <w:left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1815"/>
        </w:trPr>
        <w:tc>
          <w:tcPr>
            <w:tcW w:w="5980" w:type="dxa"/>
            <w:tcBorders>
              <w:top w:val="single" w:sz="4" w:space="0" w:color="auto"/>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 xml:space="preserve">Especialmente no caso de </w:t>
            </w:r>
            <w:r w:rsidRPr="009C0870">
              <w:rPr>
                <w:rFonts w:ascii="Times New Roman" w:hAnsi="Times New Roman"/>
              </w:rPr>
              <w:t>contratação de fornecedor privado, observar os requisitos específicos de implementação dos serviços estabelecidos pela Portaria Interministerial 141/2014: requisitos mínimos para serviços de redes de telecomunicações (art. 10) e critérios mínimos de segurança da informação (art. 12)</w:t>
            </w:r>
          </w:p>
        </w:tc>
        <w:tc>
          <w:tcPr>
            <w:tcW w:w="3948" w:type="dxa"/>
            <w:vMerge/>
            <w:tcBorders>
              <w:top w:val="nil"/>
              <w:left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157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Especialmente no caso de contratação de fornecedor privado, observar os requisitos de auditoria de programas e equipamentos estabelecidos pela Portaria Interministerial 141/2014</w:t>
            </w:r>
            <w:r w:rsidRPr="009C0870">
              <w:rPr>
                <w:rFonts w:ascii="Times New Roman" w:hAnsi="Times New Roman"/>
              </w:rPr>
              <w:t xml:space="preserve"> (arts. 13 e 14), os quais deverão estar previstos no termo de referência ou projeto básico e no contrato</w:t>
            </w:r>
          </w:p>
        </w:tc>
        <w:tc>
          <w:tcPr>
            <w:tcW w:w="3948" w:type="dxa"/>
            <w:vMerge/>
            <w:tcBorders>
              <w:top w:val="nil"/>
              <w:left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34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25</w:t>
            </w:r>
            <w:r w:rsidRPr="009C0870">
              <w:rPr>
                <w:rFonts w:ascii="Times New Roman" w:hAnsi="Times New Roman"/>
              </w:rPr>
              <w:t xml:space="preserve"> - Não observância das normas de segurança do DSIC/GSI/PR</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917620" w:rsidTr="005F6EF9">
        <w:trPr>
          <w:trHeight w:val="945"/>
        </w:trPr>
        <w:tc>
          <w:tcPr>
            <w:tcW w:w="5980" w:type="dxa"/>
            <w:tcBorders>
              <w:top w:val="single" w:sz="4" w:space="0" w:color="auto"/>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 xml:space="preserve">No caso de infraestrutura de nuvem para sistemas estruturantes da APF, contratar órgão </w:t>
            </w:r>
            <w:r w:rsidRPr="009C0870">
              <w:rPr>
                <w:rFonts w:ascii="Times New Roman" w:hAnsi="Times New Roman"/>
              </w:rPr>
              <w:t>ou entidade da APF (item 4.2.3 da Norma Complementar 19/IN01/DSIC/GSIPR)</w:t>
            </w:r>
          </w:p>
        </w:tc>
        <w:tc>
          <w:tcPr>
            <w:tcW w:w="39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9C0870">
              <w:rPr>
                <w:rFonts w:ascii="Times New Roman" w:hAnsi="Times New Roman"/>
              </w:rPr>
              <w:t>Norma Complementar 14/IN01/</w:t>
            </w:r>
            <w:r w:rsidRPr="00EC7321">
              <w:rPr>
                <w:rFonts w:ascii="Times New Roman" w:hAnsi="Times New Roman"/>
                <w:lang w:val="en-US"/>
              </w:rPr>
              <w:t>DSIC</w:t>
            </w:r>
            <w:r w:rsidRPr="009C0870">
              <w:rPr>
                <w:rFonts w:ascii="Times New Roman" w:hAnsi="Times New Roman"/>
              </w:rPr>
              <w:t>/GSIPR;</w:t>
            </w:r>
            <w:r w:rsidRPr="009C0870">
              <w:rPr>
                <w:rFonts w:ascii="Times New Roman" w:hAnsi="Times New Roman"/>
              </w:rPr>
              <w:br/>
              <w:t>Norma Complementar 19/IN01/DSIC/GSIPR</w:t>
            </w:r>
          </w:p>
        </w:tc>
      </w:tr>
      <w:tr w:rsidR="00C023F2" w:rsidRPr="00917620" w:rsidTr="005F6EF9">
        <w:trPr>
          <w:trHeight w:val="1890"/>
        </w:trPr>
        <w:tc>
          <w:tcPr>
            <w:tcW w:w="5980" w:type="dxa"/>
            <w:tcBorders>
              <w:top w:val="single" w:sz="4" w:space="0" w:color="auto"/>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 xml:space="preserve">Antes de adotar a tecnologia de computação em nuvem, observar as diretrizes da sua Política de Segurança </w:t>
            </w:r>
            <w:r w:rsidRPr="009C0870">
              <w:rPr>
                <w:rFonts w:ascii="Times New Roman" w:hAnsi="Times New Roman"/>
              </w:rPr>
              <w:t>da Informação e Comunicações (SIC), do seu processo de Gestão de Riscos de SIC e do seu processo de Gestão de Continuidade de Negócios nos aspectos relacionados à SIC (item 5.1 da Norma Complementar 14/IN01/DSIC/GSIPR)</w:t>
            </w:r>
          </w:p>
        </w:tc>
        <w:tc>
          <w:tcPr>
            <w:tcW w:w="3948" w:type="dxa"/>
            <w:vMerge/>
            <w:tcBorders>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220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Ao contratar ou implementar um serv</w:t>
            </w:r>
            <w:r w:rsidRPr="009C0870">
              <w:rPr>
                <w:rFonts w:ascii="Times New Roman" w:hAnsi="Times New Roman"/>
              </w:rPr>
              <w:t>iço de computação em nuvem, garantir que o ambiente, incluindo infraestrutura e canal de comunicação, esteja aderente às diretrizes e normas de SIC do GSI/PR, que a legislação brasileira prevaleça e que o contrato de prestação de serviço contenha cláusulas de segurança quanto às informações hospedadas na nuvem (item 5.2 da Norma Complementar 14/IN01/DSIC/GSIPR)</w:t>
            </w:r>
          </w:p>
        </w:tc>
        <w:tc>
          <w:tcPr>
            <w:tcW w:w="3948"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220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Avaliar quais informações serão hospedadas na nuvem, considerando o processo de classificação da informação, o valor do ativo de informação, os co</w:t>
            </w:r>
            <w:r w:rsidRPr="009C0870">
              <w:rPr>
                <w:rFonts w:ascii="Times New Roman" w:hAnsi="Times New Roman"/>
              </w:rPr>
              <w:t>ntroles de acesso físicos e lógicos, o modelo de serviço e de implementação de computação em nuvem e a localização geográfica onde as informações serão armazenadas (item 5.3 da Norma Complementar 14/IN01/DSIC/GSIPR)</w:t>
            </w:r>
          </w:p>
        </w:tc>
        <w:tc>
          <w:tcPr>
            <w:tcW w:w="3948"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315"/>
        </w:trPr>
        <w:tc>
          <w:tcPr>
            <w:tcW w:w="5980" w:type="dxa"/>
            <w:tcBorders>
              <w:top w:val="single" w:sz="4" w:space="0" w:color="auto"/>
              <w:left w:val="nil"/>
              <w:bottom w:val="single" w:sz="4" w:space="0" w:color="auto"/>
              <w:right w:val="nil"/>
            </w:tcBorders>
            <w:shd w:val="clear" w:color="auto" w:fill="auto"/>
            <w:noWrap/>
            <w:hideMark/>
          </w:tcPr>
          <w:p w:rsidR="00C023F2" w:rsidRPr="007323BE" w:rsidRDefault="00C023F2" w:rsidP="005F6EF9">
            <w:pPr>
              <w:rPr>
                <w:rFonts w:ascii="Times New Roman" w:hAnsi="Times New Roman"/>
              </w:rPr>
            </w:pPr>
            <w:r w:rsidRPr="007323BE">
              <w:rPr>
                <w:rFonts w:ascii="Times New Roman" w:hAnsi="Times New Roman"/>
              </w:rPr>
              <w:t> </w:t>
            </w:r>
          </w:p>
        </w:tc>
        <w:tc>
          <w:tcPr>
            <w:tcW w:w="3948" w:type="dxa"/>
            <w:tcBorders>
              <w:top w:val="nil"/>
              <w:left w:val="nil"/>
              <w:bottom w:val="single" w:sz="4" w:space="0" w:color="auto"/>
              <w:right w:val="single" w:sz="4" w:space="0" w:color="auto"/>
            </w:tcBorders>
            <w:shd w:val="clear" w:color="auto" w:fill="auto"/>
            <w:noWrap/>
            <w:hideMark/>
          </w:tcPr>
          <w:p w:rsidR="00C023F2" w:rsidRPr="009C0870" w:rsidRDefault="00C023F2" w:rsidP="005F6EF9">
            <w:pPr>
              <w:rPr>
                <w:rFonts w:ascii="Times New Roman" w:hAnsi="Times New Roman"/>
              </w:rPr>
            </w:pPr>
            <w:r w:rsidRPr="009C0870">
              <w:rPr>
                <w:rFonts w:ascii="Times New Roman" w:hAnsi="Times New Roman"/>
              </w:rPr>
              <w:t> </w:t>
            </w:r>
          </w:p>
        </w:tc>
      </w:tr>
      <w:tr w:rsidR="00C023F2" w:rsidRPr="00917620" w:rsidTr="005F6EF9">
        <w:trPr>
          <w:trHeight w:val="765"/>
        </w:trPr>
        <w:tc>
          <w:tcPr>
            <w:tcW w:w="9928" w:type="dxa"/>
            <w:gridSpan w:val="2"/>
            <w:tcBorders>
              <w:top w:val="single" w:sz="4" w:space="0" w:color="auto"/>
              <w:left w:val="single" w:sz="4" w:space="0" w:color="auto"/>
              <w:bottom w:val="single" w:sz="4" w:space="0" w:color="auto"/>
              <w:right w:val="single" w:sz="4" w:space="0" w:color="000000"/>
            </w:tcBorders>
            <w:shd w:val="clear" w:color="000000" w:fill="556A2C"/>
            <w:hideMark/>
          </w:tcPr>
          <w:p w:rsidR="00C023F2" w:rsidRPr="009C0870" w:rsidRDefault="00C023F2" w:rsidP="005F6EF9">
            <w:pPr>
              <w:rPr>
                <w:rFonts w:ascii="Times New Roman" w:hAnsi="Times New Roman"/>
                <w:b/>
                <w:bCs/>
                <w:color w:val="FFFFFF"/>
              </w:rPr>
            </w:pPr>
            <w:r w:rsidRPr="007323BE">
              <w:rPr>
                <w:rFonts w:ascii="Times New Roman" w:hAnsi="Times New Roman"/>
                <w:b/>
                <w:bCs/>
                <w:color w:val="FFFFFF"/>
              </w:rPr>
              <w:lastRenderedPageBreak/>
              <w:t xml:space="preserve">Tema: </w:t>
            </w:r>
            <w:r w:rsidRPr="007323BE">
              <w:rPr>
                <w:rFonts w:ascii="Times New Roman" w:hAnsi="Times New Roman"/>
                <w:b/>
                <w:bCs/>
                <w:color w:val="FFFFFF"/>
              </w:rPr>
              <w:br/>
              <w:t>Contratação e gestão contr</w:t>
            </w:r>
            <w:r w:rsidRPr="009C0870">
              <w:rPr>
                <w:rFonts w:ascii="Times New Roman" w:hAnsi="Times New Roman"/>
                <w:b/>
                <w:bCs/>
                <w:color w:val="FFFFFF"/>
              </w:rPr>
              <w:t>atual</w:t>
            </w:r>
          </w:p>
        </w:tc>
      </w:tr>
      <w:tr w:rsidR="00C023F2" w:rsidRPr="00917620" w:rsidTr="005F6EF9">
        <w:trPr>
          <w:trHeight w:val="765"/>
        </w:trPr>
        <w:tc>
          <w:tcPr>
            <w:tcW w:w="9928" w:type="dxa"/>
            <w:gridSpan w:val="2"/>
            <w:tcBorders>
              <w:top w:val="single" w:sz="4" w:space="0" w:color="auto"/>
              <w:left w:val="single" w:sz="4" w:space="0" w:color="auto"/>
              <w:bottom w:val="single" w:sz="4" w:space="0" w:color="auto"/>
              <w:right w:val="single" w:sz="4" w:space="0" w:color="000000"/>
            </w:tcBorders>
            <w:shd w:val="clear" w:color="000000" w:fill="75923C"/>
            <w:hideMark/>
          </w:tcPr>
          <w:p w:rsidR="00C023F2" w:rsidRPr="007323BE" w:rsidRDefault="00C023F2" w:rsidP="005F6EF9">
            <w:pPr>
              <w:rPr>
                <w:rFonts w:ascii="Times New Roman" w:hAnsi="Times New Roman"/>
                <w:b/>
                <w:bCs/>
                <w:color w:val="FFFFFF"/>
              </w:rPr>
            </w:pPr>
            <w:r w:rsidRPr="007323BE">
              <w:rPr>
                <w:rFonts w:ascii="Times New Roman" w:hAnsi="Times New Roman"/>
                <w:b/>
                <w:bCs/>
                <w:color w:val="FFFFFF"/>
              </w:rPr>
              <w:t>Categoria de risco:</w:t>
            </w:r>
            <w:r w:rsidRPr="007323BE">
              <w:rPr>
                <w:rFonts w:ascii="Times New Roman" w:hAnsi="Times New Roman"/>
                <w:b/>
                <w:bCs/>
                <w:color w:val="FFFFFF"/>
              </w:rPr>
              <w:br/>
              <w:t>Gestão contratual</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330"/>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26</w:t>
            </w:r>
            <w:r w:rsidRPr="009C0870">
              <w:rPr>
                <w:rFonts w:ascii="Times New Roman" w:hAnsi="Times New Roman"/>
              </w:rPr>
              <w:t xml:space="preserve"> - Níveis de serviço estabelecidos em contrato podem não ser cumpridos</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94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Prever dispositivos contratuais que busquem assegurar os níveis de serviço no caso de i</w:t>
            </w:r>
            <w:r w:rsidRPr="009C0870">
              <w:rPr>
                <w:rFonts w:ascii="Times New Roman" w:hAnsi="Times New Roman"/>
              </w:rPr>
              <w:t>nterrupções de serviço planejadas ou não planejadas</w:t>
            </w:r>
          </w:p>
        </w:tc>
        <w:tc>
          <w:tcPr>
            <w:tcW w:w="39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APO9 - Manage Service Agreements</w:t>
            </w:r>
          </w:p>
        </w:tc>
      </w:tr>
      <w:tr w:rsidR="00C023F2" w:rsidRPr="00917620" w:rsidTr="005F6EF9">
        <w:trPr>
          <w:trHeight w:val="94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Definir em contrato modelo de remuneração vinculada aos níveis de serviço estabelecidos, prevendo glosas no caso de descumprimento de parâmetros mínimos</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94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Definir e</w:t>
            </w:r>
            <w:r w:rsidRPr="009C0870">
              <w:rPr>
                <w:rFonts w:ascii="Times New Roman" w:hAnsi="Times New Roman"/>
              </w:rPr>
              <w:t>m contrato sanções no caso de descumprimento reiterado de parâmetros mínimos de níveis de serviço estabelecidos</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157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Prever soluções de contingência independentes de provedor específico (portabilidade do serviço para outro fornecedor, contrato de contingência</w:t>
            </w:r>
            <w:r w:rsidRPr="009C0870">
              <w:rPr>
                <w:rFonts w:ascii="Times New Roman" w:hAnsi="Times New Roman"/>
              </w:rPr>
              <w:t xml:space="preserve"> em caso de falha do fornecedor principal, espelhamento do serviço em infraestrutura própria etc)</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600"/>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7323BE" w:rsidRDefault="00C023F2" w:rsidP="005F6EF9">
            <w:pPr>
              <w:rPr>
                <w:rFonts w:ascii="Times New Roman" w:hAnsi="Times New Roman"/>
              </w:rPr>
            </w:pPr>
            <w:r w:rsidRPr="007323BE">
              <w:rPr>
                <w:rFonts w:ascii="Times New Roman" w:hAnsi="Times New Roman"/>
              </w:rPr>
              <w:t>27 - Vulnerabilidades e problemas de segurança detectados no provedor demoram para ser corrigidos ou não são corrigidos</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94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Assegurar que todas as vulnerabilidades sejam priorizadas e corrigidas dentro de SLAs acordados contratualmente entre cliente e provedor</w:t>
            </w:r>
          </w:p>
        </w:tc>
        <w:tc>
          <w:tcPr>
            <w:tcW w:w="39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APO9 - Manage Service Agreements; COBIT APO13 - Manage Security</w:t>
            </w:r>
          </w:p>
        </w:tc>
      </w:tr>
      <w:tr w:rsidR="00C023F2" w:rsidRPr="00917620" w:rsidTr="005F6EF9">
        <w:trPr>
          <w:trHeight w:val="63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O processo de gestão de vulnerabilidades do provedor deve ser transparente ao cliente</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C023F2">
        <w:trPr>
          <w:trHeight w:val="390"/>
        </w:trPr>
        <w:tc>
          <w:tcPr>
            <w:tcW w:w="9928" w:type="dxa"/>
            <w:gridSpan w:val="2"/>
            <w:tcBorders>
              <w:top w:val="single" w:sz="4" w:space="0" w:color="auto"/>
              <w:left w:val="single" w:sz="4" w:space="0" w:color="auto"/>
              <w:bottom w:val="single" w:sz="4" w:space="0" w:color="auto"/>
              <w:right w:val="single" w:sz="4" w:space="0" w:color="auto"/>
            </w:tcBorders>
            <w:shd w:val="clear" w:color="auto" w:fill="EDEDED"/>
            <w:hideMark/>
          </w:tcPr>
          <w:p w:rsidR="00C023F2" w:rsidRPr="007323BE" w:rsidRDefault="00C023F2" w:rsidP="005F6EF9">
            <w:pPr>
              <w:rPr>
                <w:rFonts w:ascii="Times New Roman" w:hAnsi="Times New Roman"/>
              </w:rPr>
            </w:pPr>
            <w:r w:rsidRPr="007323BE">
              <w:rPr>
                <w:rFonts w:ascii="Times New Roman" w:hAnsi="Times New Roman"/>
              </w:rPr>
              <w:t>28 - Falhas no monitoramento e gestão contratuais</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917620" w:rsidTr="005F6EF9">
        <w:trPr>
          <w:trHeight w:val="63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Definir no contrato uma divisão clara de papéis de cliente e provedor</w:t>
            </w:r>
          </w:p>
        </w:tc>
        <w:tc>
          <w:tcPr>
            <w:tcW w:w="39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9C0870">
              <w:rPr>
                <w:rFonts w:ascii="Times New Roman" w:hAnsi="Times New Roman"/>
              </w:rPr>
              <w:t>COBIT APO10 - Manage Suppliers</w:t>
            </w:r>
          </w:p>
        </w:tc>
      </w:tr>
      <w:tr w:rsidR="00C023F2" w:rsidRPr="00917620" w:rsidTr="005F6EF9">
        <w:trPr>
          <w:trHeight w:val="945"/>
        </w:trPr>
        <w:tc>
          <w:tcPr>
            <w:tcW w:w="5980" w:type="dxa"/>
            <w:tcBorders>
              <w:top w:val="single" w:sz="4" w:space="0" w:color="auto"/>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Estabelecer no contrato indicadores claros e precisos tanto de ambiente como de segurança, com responsáveis pelo seu monitoramento e disponibilização</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630"/>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lastRenderedPageBreak/>
              <w:t xml:space="preserve">29 - Estouro de orçamento para o contrato devido </w:t>
            </w:r>
            <w:r w:rsidRPr="009C0870">
              <w:rPr>
                <w:rFonts w:ascii="Times New Roman" w:hAnsi="Times New Roman"/>
              </w:rPr>
              <w:t>à falta de controle sobre o uso dos recursos de computação em nuvem e estimativas imprecisas de custo</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124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Prever verificações intermediárias do nível de uso da capacidade contratada, alertas quando atingidos patamares de recursos e tetos de recursos máximos utilizá</w:t>
            </w:r>
            <w:r w:rsidRPr="009C0870">
              <w:rPr>
                <w:rFonts w:ascii="Times New Roman" w:hAnsi="Times New Roman"/>
              </w:rPr>
              <w:t>veis em função do orçamento disponível</w:t>
            </w:r>
          </w:p>
        </w:tc>
        <w:tc>
          <w:tcPr>
            <w:tcW w:w="3948" w:type="dxa"/>
            <w:tcBorders>
              <w:top w:val="nil"/>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APO06 - Manage Budget and Costs</w:t>
            </w:r>
          </w:p>
        </w:tc>
      </w:tr>
      <w:tr w:rsidR="00C023F2" w:rsidRPr="00917620" w:rsidTr="005F6EF9">
        <w:trPr>
          <w:trHeight w:val="765"/>
        </w:trPr>
        <w:tc>
          <w:tcPr>
            <w:tcW w:w="9928" w:type="dxa"/>
            <w:gridSpan w:val="2"/>
            <w:tcBorders>
              <w:top w:val="single" w:sz="4" w:space="0" w:color="auto"/>
              <w:left w:val="single" w:sz="4" w:space="0" w:color="auto"/>
              <w:bottom w:val="single" w:sz="4" w:space="0" w:color="auto"/>
              <w:right w:val="single" w:sz="4" w:space="0" w:color="000000"/>
            </w:tcBorders>
            <w:shd w:val="clear" w:color="000000" w:fill="75923C"/>
            <w:hideMark/>
          </w:tcPr>
          <w:p w:rsidR="00C023F2" w:rsidRPr="007323BE" w:rsidRDefault="00C023F2" w:rsidP="005F6EF9">
            <w:pPr>
              <w:rPr>
                <w:rFonts w:ascii="Times New Roman" w:hAnsi="Times New Roman"/>
                <w:b/>
                <w:bCs/>
                <w:color w:val="FFFFFF"/>
              </w:rPr>
            </w:pPr>
            <w:r w:rsidRPr="007323BE">
              <w:rPr>
                <w:rFonts w:ascii="Times New Roman" w:hAnsi="Times New Roman"/>
                <w:b/>
                <w:bCs/>
                <w:color w:val="FFFFFF"/>
              </w:rPr>
              <w:t>Categoria de risco:</w:t>
            </w:r>
            <w:r w:rsidRPr="007323BE">
              <w:rPr>
                <w:rFonts w:ascii="Times New Roman" w:hAnsi="Times New Roman"/>
                <w:b/>
                <w:bCs/>
                <w:color w:val="FFFFFF"/>
              </w:rPr>
              <w:br/>
              <w:t>Dependência frente ao provedor</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Riscos específicos</w:t>
            </w:r>
          </w:p>
        </w:tc>
      </w:tr>
      <w:tr w:rsidR="00C023F2" w:rsidRPr="00917620" w:rsidTr="005F6EF9">
        <w:trPr>
          <w:trHeight w:val="330"/>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7323BE" w:rsidRDefault="00C023F2" w:rsidP="005F6EF9">
            <w:pPr>
              <w:rPr>
                <w:rFonts w:ascii="Times New Roman" w:hAnsi="Times New Roman"/>
              </w:rPr>
            </w:pPr>
            <w:r w:rsidRPr="007323BE">
              <w:rPr>
                <w:rFonts w:ascii="Times New Roman" w:hAnsi="Times New Roman"/>
              </w:rPr>
              <w:t>30 - Dependência do cliente com relação ao provedor (vendor lock-in)</w:t>
            </w:r>
          </w:p>
        </w:tc>
      </w:tr>
      <w:tr w:rsidR="00C023F2" w:rsidRPr="00917620" w:rsidTr="005F6EF9">
        <w:trPr>
          <w:trHeight w:val="67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31 - Dificuldades do cliente em migr</w:t>
            </w:r>
            <w:r w:rsidRPr="009C0870">
              <w:rPr>
                <w:rFonts w:ascii="Times New Roman" w:hAnsi="Times New Roman"/>
              </w:rPr>
              <w:t>ar dados de um provedor para outro ou internalizá-los novamente, por problemas de interoperabilidade ou de portabilidade</w:t>
            </w:r>
          </w:p>
        </w:tc>
      </w:tr>
      <w:tr w:rsidR="00C023F2" w:rsidRPr="00917620" w:rsidTr="005F6EF9">
        <w:trPr>
          <w:trHeight w:val="390"/>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7323BE" w:rsidRDefault="00C023F2" w:rsidP="005F6EF9">
            <w:pPr>
              <w:rPr>
                <w:rFonts w:ascii="Times New Roman" w:hAnsi="Times New Roman"/>
              </w:rPr>
            </w:pPr>
            <w:r w:rsidRPr="007323BE">
              <w:rPr>
                <w:rFonts w:ascii="Times New Roman" w:hAnsi="Times New Roman"/>
              </w:rPr>
              <w:t>32 - A organização não previu e considerou custos de saída do provedor</w:t>
            </w:r>
          </w:p>
        </w:tc>
      </w:tr>
      <w:tr w:rsidR="00C023F2" w:rsidRPr="00917620" w:rsidTr="005F6EF9">
        <w:trPr>
          <w:trHeight w:val="390"/>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33 - Indisponibilidade do fornecedor (ruptura contratual, falê</w:t>
            </w:r>
            <w:r w:rsidRPr="009C0870">
              <w:rPr>
                <w:rFonts w:ascii="Times New Roman" w:hAnsi="Times New Roman"/>
              </w:rPr>
              <w:t>ncia, sequestro de dados)</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157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 xml:space="preserve">Os requisitos da organização para portabilidade e interoperabilidade devem ser cuidadosamente avaliados antes da contratação de nuvem frente às alternativas disponíveis no mercado, a fim de mitigar </w:t>
            </w:r>
            <w:r w:rsidRPr="009C0870">
              <w:rPr>
                <w:rFonts w:ascii="Times New Roman" w:hAnsi="Times New Roman"/>
              </w:rPr>
              <w:t>relações de dependência com o provedor</w:t>
            </w:r>
          </w:p>
        </w:tc>
        <w:tc>
          <w:tcPr>
            <w:tcW w:w="39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BAI03 - Manage Solutions Identification and Build; CSA CCM IPY-01, IPY-02, IPY-03, IPY-04 e IPY-05</w:t>
            </w:r>
          </w:p>
        </w:tc>
      </w:tr>
      <w:tr w:rsidR="00C023F2" w:rsidRPr="00917620" w:rsidTr="005F6EF9">
        <w:trPr>
          <w:trHeight w:val="124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Os provedores devem utilizar pacotes modulares, usar formatos abertos ou populares para dados e serviços, e ser</w:t>
            </w:r>
            <w:r w:rsidRPr="009C0870">
              <w:rPr>
                <w:rFonts w:ascii="Times New Roman" w:hAnsi="Times New Roman"/>
              </w:rPr>
              <w:t>em transparentes em regulações e taxas aplicadas à transferência de dados</w:t>
            </w:r>
          </w:p>
        </w:tc>
        <w:tc>
          <w:tcPr>
            <w:tcW w:w="3948"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1260"/>
        </w:trPr>
        <w:tc>
          <w:tcPr>
            <w:tcW w:w="5980" w:type="dxa"/>
            <w:tcBorders>
              <w:top w:val="single" w:sz="4" w:space="0" w:color="auto"/>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Processos, procedimentos e recursos devem ser estabelecidos e testados, de maneira a viabilizar a transferência de operações de um provedor de computação em nuvem para outro proved</w:t>
            </w:r>
            <w:r w:rsidRPr="009C0870">
              <w:rPr>
                <w:rFonts w:ascii="Times New Roman" w:hAnsi="Times New Roman"/>
              </w:rPr>
              <w:t>or alternativo</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126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Especialmente no caso de informações críticas para o negócio, convém considerar a execução de plano de backup independente do fornecedor, duplicando dados em intervalos periódicos</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63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Prever em contrato condições e limites claros de custos para saída do provedor</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765"/>
        </w:trPr>
        <w:tc>
          <w:tcPr>
            <w:tcW w:w="9928" w:type="dxa"/>
            <w:gridSpan w:val="2"/>
            <w:tcBorders>
              <w:top w:val="single" w:sz="4" w:space="0" w:color="auto"/>
              <w:left w:val="single" w:sz="4" w:space="0" w:color="auto"/>
              <w:bottom w:val="single" w:sz="4" w:space="0" w:color="auto"/>
              <w:right w:val="single" w:sz="4" w:space="0" w:color="000000"/>
            </w:tcBorders>
            <w:shd w:val="clear" w:color="000000" w:fill="75923C"/>
            <w:hideMark/>
          </w:tcPr>
          <w:p w:rsidR="00C023F2" w:rsidRPr="007323BE" w:rsidRDefault="00C023F2" w:rsidP="005F6EF9">
            <w:pPr>
              <w:rPr>
                <w:rFonts w:ascii="Times New Roman" w:hAnsi="Times New Roman"/>
                <w:b/>
                <w:bCs/>
                <w:color w:val="FFFFFF"/>
              </w:rPr>
            </w:pPr>
            <w:r w:rsidRPr="007323BE">
              <w:rPr>
                <w:rFonts w:ascii="Times New Roman" w:hAnsi="Times New Roman"/>
                <w:b/>
                <w:bCs/>
                <w:color w:val="FFFFFF"/>
              </w:rPr>
              <w:t>Categoria de risco:</w:t>
            </w:r>
            <w:r w:rsidRPr="007323BE">
              <w:rPr>
                <w:rFonts w:ascii="Times New Roman" w:hAnsi="Times New Roman"/>
                <w:b/>
                <w:bCs/>
                <w:color w:val="FFFFFF"/>
              </w:rPr>
              <w:br/>
              <w:t>Falhas contratuais</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330"/>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 xml:space="preserve">34 </w:t>
            </w:r>
            <w:r w:rsidRPr="009C0870">
              <w:rPr>
                <w:rFonts w:ascii="Times New Roman" w:hAnsi="Times New Roman"/>
              </w:rPr>
              <w:t>- Conflitos sobre a propriedade dos dados armazenados na nuvem</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103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lastRenderedPageBreak/>
              <w:t>Incluir no contrato cláusula especificando que os direitos de propriedade sobre os dados armazenados na nuvem pela organização são exclusivos da organização</w:t>
            </w:r>
          </w:p>
        </w:tc>
        <w:tc>
          <w:tcPr>
            <w:tcW w:w="3948" w:type="dxa"/>
            <w:tcBorders>
              <w:top w:val="nil"/>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APO10 - Manage Suppliers; COBIT APO12 - Manage Risk; COBIT BAI03 - Manage Solutions Identification and Build</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630"/>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 xml:space="preserve">35 </w:t>
            </w:r>
            <w:r w:rsidRPr="009C0870">
              <w:rPr>
                <w:rFonts w:ascii="Times New Roman" w:hAnsi="Times New Roman"/>
              </w:rPr>
              <w:t>- Falta de delimitação legal regendo as relações contratuais, dado que os serviços de nuvem podem ser prestados globalmente</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70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O contrato deve definir em quais países os dados do cliente podem ser armazenados</w:t>
            </w:r>
          </w:p>
        </w:tc>
        <w:tc>
          <w:tcPr>
            <w:tcW w:w="3948" w:type="dxa"/>
            <w:tcBorders>
              <w:top w:val="nil"/>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BAI03 - Manage Solutions Identification and Build</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630"/>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 xml:space="preserve">36 </w:t>
            </w:r>
            <w:r w:rsidRPr="009C0870">
              <w:rPr>
                <w:rFonts w:ascii="Times New Roman" w:hAnsi="Times New Roman"/>
              </w:rPr>
              <w:t>- Não exclusão de dados armazenados na nuvem ao término de um contrato</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67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Deve ser previsto contratualmente que o provedor atenda à política de exclusão de dados do cliente</w:t>
            </w:r>
          </w:p>
        </w:tc>
        <w:tc>
          <w:tcPr>
            <w:tcW w:w="3948" w:type="dxa"/>
            <w:vMerge w:val="restart"/>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DSS05 - Manage Security Services</w:t>
            </w:r>
          </w:p>
        </w:tc>
      </w:tr>
      <w:tr w:rsidR="00C023F2" w:rsidRPr="00917620" w:rsidTr="005F6EF9">
        <w:trPr>
          <w:trHeight w:val="37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Utilizar criptografia para proteger os dados de acesso indevido</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64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Utilizar técnicas de marca d'água para identificar origens de vazamento de informações sigilosas</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315"/>
        </w:trPr>
        <w:tc>
          <w:tcPr>
            <w:tcW w:w="5980" w:type="dxa"/>
            <w:tcBorders>
              <w:top w:val="single" w:sz="4" w:space="0" w:color="auto"/>
              <w:left w:val="nil"/>
              <w:bottom w:val="single" w:sz="4" w:space="0" w:color="auto"/>
              <w:right w:val="nil"/>
            </w:tcBorders>
            <w:shd w:val="clear" w:color="auto" w:fill="auto"/>
            <w:noWrap/>
            <w:hideMark/>
          </w:tcPr>
          <w:p w:rsidR="00C023F2" w:rsidRPr="007323BE" w:rsidRDefault="00C023F2" w:rsidP="005F6EF9">
            <w:pPr>
              <w:rPr>
                <w:rFonts w:ascii="Times New Roman" w:hAnsi="Times New Roman"/>
              </w:rPr>
            </w:pPr>
            <w:r w:rsidRPr="007323BE">
              <w:rPr>
                <w:rFonts w:ascii="Times New Roman" w:hAnsi="Times New Roman"/>
              </w:rPr>
              <w:t> </w:t>
            </w:r>
          </w:p>
        </w:tc>
        <w:tc>
          <w:tcPr>
            <w:tcW w:w="3948" w:type="dxa"/>
            <w:tcBorders>
              <w:top w:val="nil"/>
              <w:left w:val="nil"/>
              <w:bottom w:val="single" w:sz="4" w:space="0" w:color="auto"/>
              <w:right w:val="single" w:sz="4" w:space="0" w:color="auto"/>
            </w:tcBorders>
            <w:shd w:val="clear" w:color="auto" w:fill="auto"/>
            <w:noWrap/>
            <w:hideMark/>
          </w:tcPr>
          <w:p w:rsidR="00C023F2" w:rsidRPr="009C0870" w:rsidRDefault="00C023F2" w:rsidP="005F6EF9">
            <w:pPr>
              <w:rPr>
                <w:rFonts w:ascii="Times New Roman" w:hAnsi="Times New Roman"/>
              </w:rPr>
            </w:pPr>
            <w:r w:rsidRPr="009C0870">
              <w:rPr>
                <w:rFonts w:ascii="Times New Roman" w:hAnsi="Times New Roman"/>
              </w:rPr>
              <w:t> </w:t>
            </w:r>
          </w:p>
        </w:tc>
      </w:tr>
      <w:tr w:rsidR="00C023F2" w:rsidRPr="00917620" w:rsidTr="005F6EF9">
        <w:trPr>
          <w:trHeight w:val="765"/>
        </w:trPr>
        <w:tc>
          <w:tcPr>
            <w:tcW w:w="9928" w:type="dxa"/>
            <w:gridSpan w:val="2"/>
            <w:tcBorders>
              <w:top w:val="single" w:sz="4" w:space="0" w:color="auto"/>
              <w:left w:val="nil"/>
              <w:bottom w:val="single" w:sz="4" w:space="0" w:color="auto"/>
              <w:right w:val="single" w:sz="4" w:space="0" w:color="000000"/>
            </w:tcBorders>
            <w:shd w:val="clear" w:color="000000" w:fill="556A2C"/>
            <w:hideMark/>
          </w:tcPr>
          <w:p w:rsidR="00C023F2" w:rsidRPr="007323BE" w:rsidRDefault="00C023F2" w:rsidP="005F6EF9">
            <w:pPr>
              <w:rPr>
                <w:rFonts w:ascii="Times New Roman" w:hAnsi="Times New Roman"/>
                <w:b/>
                <w:bCs/>
                <w:color w:val="FFFFFF"/>
              </w:rPr>
            </w:pPr>
            <w:r w:rsidRPr="007323BE">
              <w:rPr>
                <w:rFonts w:ascii="Times New Roman" w:hAnsi="Times New Roman"/>
                <w:b/>
                <w:bCs/>
                <w:color w:val="FFFFFF"/>
              </w:rPr>
              <w:t xml:space="preserve">Tema: </w:t>
            </w:r>
            <w:r w:rsidRPr="007323BE">
              <w:rPr>
                <w:rFonts w:ascii="Times New Roman" w:hAnsi="Times New Roman"/>
                <w:b/>
                <w:bCs/>
                <w:color w:val="FFFFFF"/>
              </w:rPr>
              <w:br/>
              <w:t>Infraestrutura de TI</w:t>
            </w:r>
          </w:p>
        </w:tc>
      </w:tr>
      <w:tr w:rsidR="00C023F2" w:rsidRPr="00917620" w:rsidTr="005F6EF9">
        <w:trPr>
          <w:trHeight w:val="765"/>
        </w:trPr>
        <w:tc>
          <w:tcPr>
            <w:tcW w:w="9928" w:type="dxa"/>
            <w:gridSpan w:val="2"/>
            <w:tcBorders>
              <w:top w:val="single" w:sz="4" w:space="0" w:color="auto"/>
              <w:left w:val="nil"/>
              <w:bottom w:val="single" w:sz="4" w:space="0" w:color="auto"/>
              <w:right w:val="single" w:sz="4" w:space="0" w:color="000000"/>
            </w:tcBorders>
            <w:shd w:val="clear" w:color="000000" w:fill="75923C"/>
            <w:hideMark/>
          </w:tcPr>
          <w:p w:rsidR="00C023F2" w:rsidRPr="009C0870" w:rsidRDefault="00C023F2" w:rsidP="005F6EF9">
            <w:pPr>
              <w:rPr>
                <w:rFonts w:ascii="Times New Roman" w:hAnsi="Times New Roman"/>
                <w:b/>
                <w:bCs/>
                <w:color w:val="FFFFFF"/>
              </w:rPr>
            </w:pPr>
            <w:r w:rsidRPr="007323BE">
              <w:rPr>
                <w:rFonts w:ascii="Times New Roman" w:hAnsi="Times New Roman"/>
                <w:b/>
                <w:bCs/>
                <w:color w:val="FFFFFF"/>
              </w:rPr>
              <w:t>Categoria de risco:</w:t>
            </w:r>
            <w:r w:rsidRPr="007323BE">
              <w:rPr>
                <w:rFonts w:ascii="Times New Roman" w:hAnsi="Times New Roman"/>
                <w:b/>
                <w:bCs/>
                <w:color w:val="FFFFFF"/>
              </w:rPr>
              <w:br/>
              <w:t>Falhas relativas à infraestru</w:t>
            </w:r>
            <w:r w:rsidRPr="009C0870">
              <w:rPr>
                <w:rFonts w:ascii="Times New Roman" w:hAnsi="Times New Roman"/>
                <w:b/>
                <w:bCs/>
                <w:color w:val="FFFFFF"/>
              </w:rPr>
              <w:t>tura de TI</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Riscos específicos</w:t>
            </w:r>
          </w:p>
        </w:tc>
      </w:tr>
      <w:tr w:rsidR="00C023F2" w:rsidRPr="00917620" w:rsidTr="005F6EF9">
        <w:trPr>
          <w:trHeight w:val="34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 xml:space="preserve">37 </w:t>
            </w:r>
            <w:r w:rsidRPr="009C0870">
              <w:rPr>
                <w:rFonts w:ascii="Times New Roman" w:hAnsi="Times New Roman"/>
              </w:rPr>
              <w:t xml:space="preserve">- Falhas de isolamento entre ambientes ou instâncias virtuais de clientes diferentes </w:t>
            </w:r>
          </w:p>
        </w:tc>
      </w:tr>
      <w:tr w:rsidR="00C023F2" w:rsidRPr="00917620" w:rsidTr="005F6EF9">
        <w:trPr>
          <w:trHeight w:val="630"/>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 xml:space="preserve">38 </w:t>
            </w:r>
            <w:r w:rsidRPr="009C0870">
              <w:rPr>
                <w:rFonts w:ascii="Times New Roman" w:hAnsi="Times New Roman"/>
              </w:rPr>
              <w:t>- O compartilhamento de recursos pelos provedores de nuvem entre vários clientes pode inserir vulnerabilidades adicionais</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66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O provedor deve implementar controles para isolamento e segurança de sistema operacional</w:t>
            </w:r>
          </w:p>
        </w:tc>
        <w:tc>
          <w:tcPr>
            <w:tcW w:w="3948" w:type="dxa"/>
            <w:vMerge w:val="restart"/>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DSS05 - Manage Security Services; COBIT BAI010 - Manage Configuration; CSA CCM IVS-05, IVS-09 e IPY-05</w:t>
            </w:r>
          </w:p>
        </w:tc>
      </w:tr>
      <w:tr w:rsidR="00C023F2" w:rsidRPr="00917620" w:rsidTr="005F6EF9">
        <w:trPr>
          <w:trHeight w:val="67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O provedor deve utilizar soluções de virtualização que sejam padrões ou referências de mercado</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64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O provedor deve implementar política de atualização de versão de software e aplicação de correções</w:t>
            </w:r>
          </w:p>
        </w:tc>
        <w:tc>
          <w:tcPr>
            <w:tcW w:w="3948"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Riscos específicos</w:t>
            </w:r>
          </w:p>
        </w:tc>
      </w:tr>
      <w:tr w:rsidR="00C023F2" w:rsidRPr="00917620" w:rsidTr="005F6EF9">
        <w:trPr>
          <w:trHeight w:val="64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 xml:space="preserve">39 </w:t>
            </w:r>
            <w:r w:rsidRPr="009C0870">
              <w:rPr>
                <w:rFonts w:ascii="Times New Roman" w:hAnsi="Times New Roman"/>
              </w:rPr>
              <w:t>- As ferramentas e processos para gestão de incidentes do provedor podem ser incompatíveis com os utilizados pelo cliente</w:t>
            </w:r>
          </w:p>
        </w:tc>
      </w:tr>
      <w:tr w:rsidR="00C023F2" w:rsidRPr="00917620" w:rsidTr="005F6EF9">
        <w:trPr>
          <w:trHeight w:val="645"/>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lastRenderedPageBreak/>
              <w:t xml:space="preserve">40 </w:t>
            </w:r>
            <w:r w:rsidRPr="009C0870">
              <w:rPr>
                <w:rFonts w:ascii="Times New Roman" w:hAnsi="Times New Roman"/>
              </w:rPr>
              <w:t xml:space="preserve">- O processo de gestão de incidentes do provedor apresenta falhas em documentação, resolução, escalonamento ou encerramento de incidentes </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97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 xml:space="preserve">O contrato deve detalhar definições específicas de </w:t>
            </w:r>
            <w:r w:rsidRPr="009C0870">
              <w:rPr>
                <w:rFonts w:ascii="Times New Roman" w:hAnsi="Times New Roman"/>
              </w:rPr>
              <w:t>incidentes, eventos, ações a serem tomadas e responsabilidades do provedor e do cliente</w:t>
            </w:r>
          </w:p>
        </w:tc>
        <w:tc>
          <w:tcPr>
            <w:tcW w:w="39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APO09 - Manage Service Agreements; COBIT APO10 - Manage Suppliers; COBIT DSS02 - Manage Service Requests and Incidents; CSA CCM SEF-02, SEF-03 e STA-02</w:t>
            </w:r>
          </w:p>
        </w:tc>
      </w:tr>
      <w:tr w:rsidR="00C023F2" w:rsidRPr="00917620" w:rsidTr="005F6EF9">
        <w:trPr>
          <w:trHeight w:val="1020"/>
        </w:trPr>
        <w:tc>
          <w:tcPr>
            <w:tcW w:w="5980" w:type="dxa"/>
            <w:tcBorders>
              <w:top w:val="nil"/>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O contrato deve definir requisitos de interoperabilidade entre as ferramentas de gestão de incidentes do provedor e do cliente</w:t>
            </w:r>
          </w:p>
        </w:tc>
        <w:tc>
          <w:tcPr>
            <w:tcW w:w="3948"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630"/>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 xml:space="preserve">41 </w:t>
            </w:r>
            <w:r w:rsidRPr="009C0870">
              <w:rPr>
                <w:rFonts w:ascii="Times New Roman" w:hAnsi="Times New Roman"/>
              </w:rPr>
              <w:t xml:space="preserve">- Problemas de infraestrutura de rede do cliente podem afetar o desempenho dos serviços de computação em nuvem </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1185"/>
        </w:trPr>
        <w:tc>
          <w:tcPr>
            <w:tcW w:w="5980" w:type="dxa"/>
            <w:tcBorders>
              <w:top w:val="nil"/>
              <w:left w:val="single" w:sz="4" w:space="0" w:color="auto"/>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rPr>
            </w:pPr>
            <w:r w:rsidRPr="007323BE">
              <w:rPr>
                <w:rFonts w:ascii="Times New Roman" w:hAnsi="Times New Roman"/>
              </w:rPr>
              <w:t xml:space="preserve">Contratos do cliente com provedores de rede devem ser revisados a fim de adequá-los a novos parâmetros, como latência e perda de </w:t>
            </w:r>
            <w:r w:rsidRPr="009C0870">
              <w:rPr>
                <w:rFonts w:ascii="Times New Roman" w:hAnsi="Times New Roman"/>
              </w:rPr>
              <w:t>pacotes, próprios de requisitos das aplicações pretendidas em nuvem</w:t>
            </w:r>
          </w:p>
        </w:tc>
        <w:tc>
          <w:tcPr>
            <w:tcW w:w="3948" w:type="dxa"/>
            <w:vMerge w:val="restart"/>
            <w:tcBorders>
              <w:top w:val="single" w:sz="4" w:space="0" w:color="auto"/>
              <w:left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BAI03 - Manage Solutions Identification and Build; COBIT APO09 - Manage Service Agreements</w:t>
            </w:r>
          </w:p>
        </w:tc>
      </w:tr>
      <w:tr w:rsidR="00C023F2" w:rsidRPr="00917620" w:rsidTr="005F6EF9">
        <w:trPr>
          <w:trHeight w:val="930"/>
        </w:trPr>
        <w:tc>
          <w:tcPr>
            <w:tcW w:w="5980" w:type="dxa"/>
            <w:tcBorders>
              <w:top w:val="single" w:sz="4" w:space="0" w:color="auto"/>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Deve-se buscar garantir que os mecanismos de monitoração das redes consigam distinguir entre problemas internos, na rede dos provedores, ou fora do seu escopo</w:t>
            </w:r>
          </w:p>
        </w:tc>
        <w:tc>
          <w:tcPr>
            <w:tcW w:w="3948" w:type="dxa"/>
            <w:vMerge/>
            <w:tcBorders>
              <w:top w:val="nil"/>
              <w:left w:val="single" w:sz="4" w:space="0" w:color="auto"/>
              <w:right w:val="single" w:sz="4" w:space="0" w:color="auto"/>
            </w:tcBorders>
            <w:vAlign w:val="center"/>
            <w:hideMark/>
          </w:tcPr>
          <w:p w:rsidR="00C023F2" w:rsidRPr="006A3784" w:rsidRDefault="00C023F2" w:rsidP="005F6EF9">
            <w:pPr>
              <w:rPr>
                <w:rFonts w:ascii="Times New Roman" w:hAnsi="Times New Roman"/>
              </w:rPr>
            </w:pP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C023F2">
        <w:trPr>
          <w:trHeight w:val="630"/>
        </w:trPr>
        <w:tc>
          <w:tcPr>
            <w:tcW w:w="9928" w:type="dxa"/>
            <w:gridSpan w:val="2"/>
            <w:tcBorders>
              <w:top w:val="single" w:sz="4" w:space="0" w:color="auto"/>
              <w:left w:val="single" w:sz="4" w:space="0" w:color="auto"/>
              <w:bottom w:val="single" w:sz="4" w:space="0" w:color="auto"/>
              <w:right w:val="single" w:sz="4" w:space="0" w:color="auto"/>
            </w:tcBorders>
            <w:shd w:val="clear" w:color="auto" w:fill="EDEDED"/>
            <w:hideMark/>
          </w:tcPr>
          <w:p w:rsidR="00C023F2" w:rsidRPr="009C0870" w:rsidRDefault="00C023F2" w:rsidP="005F6EF9">
            <w:pPr>
              <w:rPr>
                <w:rFonts w:ascii="Times New Roman" w:hAnsi="Times New Roman"/>
              </w:rPr>
            </w:pPr>
            <w:r w:rsidRPr="007323BE">
              <w:rPr>
                <w:rFonts w:ascii="Times New Roman" w:hAnsi="Times New Roman"/>
              </w:rPr>
              <w:t xml:space="preserve">42 </w:t>
            </w:r>
            <w:r w:rsidRPr="009C0870">
              <w:rPr>
                <w:rFonts w:ascii="Times New Roman" w:hAnsi="Times New Roman"/>
              </w:rPr>
              <w:t xml:space="preserve">- Problemas de dimensionamento de carga da infraestrutura do provedor podem afetar o desempenho dos serviços de computação em nuvem </w:t>
            </w:r>
          </w:p>
        </w:tc>
      </w:tr>
      <w:tr w:rsidR="00C023F2" w:rsidRPr="00917620" w:rsidTr="00C023F2">
        <w:trPr>
          <w:trHeight w:val="315"/>
        </w:trPr>
        <w:tc>
          <w:tcPr>
            <w:tcW w:w="5980" w:type="dxa"/>
            <w:tcBorders>
              <w:top w:val="nil"/>
              <w:left w:val="single" w:sz="4" w:space="0" w:color="auto"/>
              <w:bottom w:val="single" w:sz="4" w:space="0" w:color="auto"/>
              <w:right w:val="single" w:sz="4" w:space="0" w:color="auto"/>
            </w:tcBorders>
            <w:shd w:val="clear" w:color="auto" w:fill="EDEDED"/>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auto" w:fill="EDEDED"/>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C023F2">
        <w:trPr>
          <w:trHeight w:val="1185"/>
        </w:trPr>
        <w:tc>
          <w:tcPr>
            <w:tcW w:w="5980" w:type="dxa"/>
            <w:tcBorders>
              <w:top w:val="nil"/>
              <w:left w:val="single" w:sz="4" w:space="0" w:color="auto"/>
              <w:bottom w:val="single" w:sz="4" w:space="0" w:color="auto"/>
              <w:right w:val="single" w:sz="4" w:space="0" w:color="auto"/>
            </w:tcBorders>
            <w:shd w:val="clear" w:color="auto" w:fill="EDEDED"/>
            <w:hideMark/>
          </w:tcPr>
          <w:p w:rsidR="00C023F2" w:rsidRPr="009C0870" w:rsidRDefault="00C023F2" w:rsidP="005F6EF9">
            <w:pPr>
              <w:rPr>
                <w:rFonts w:ascii="Times New Roman" w:hAnsi="Times New Roman"/>
              </w:rPr>
            </w:pPr>
            <w:r w:rsidRPr="007323BE">
              <w:rPr>
                <w:rFonts w:ascii="Times New Roman" w:hAnsi="Times New Roman"/>
              </w:rPr>
              <w:t xml:space="preserve">OS SLAs com o provedor de nuvem devem ser cuidadosamente definidos e </w:t>
            </w:r>
            <w:r w:rsidRPr="009C0870">
              <w:rPr>
                <w:rFonts w:ascii="Times New Roman" w:hAnsi="Times New Roman"/>
              </w:rPr>
              <w:t>exequíveis, o que inclui penalidades em caso de não cumprimento</w:t>
            </w:r>
          </w:p>
        </w:tc>
        <w:tc>
          <w:tcPr>
            <w:tcW w:w="3948" w:type="dxa"/>
            <w:tcBorders>
              <w:top w:val="nil"/>
              <w:left w:val="nil"/>
              <w:bottom w:val="single" w:sz="4" w:space="0" w:color="auto"/>
              <w:right w:val="single" w:sz="4" w:space="0" w:color="auto"/>
            </w:tcBorders>
            <w:shd w:val="clear" w:color="auto" w:fill="EDEDED"/>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APO10 - Manage Suppliers ; COBIT APO09 - Manage Service Agreements</w:t>
            </w:r>
          </w:p>
        </w:tc>
      </w:tr>
      <w:tr w:rsidR="00C023F2" w:rsidRPr="00917620" w:rsidTr="005F6EF9">
        <w:trPr>
          <w:trHeight w:val="315"/>
        </w:trPr>
        <w:tc>
          <w:tcPr>
            <w:tcW w:w="9928" w:type="dxa"/>
            <w:gridSpan w:val="2"/>
            <w:tcBorders>
              <w:top w:val="single" w:sz="4" w:space="0" w:color="auto"/>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Risco específico</w:t>
            </w:r>
          </w:p>
        </w:tc>
      </w:tr>
      <w:tr w:rsidR="00C023F2" w:rsidRPr="00917620" w:rsidTr="005F6EF9">
        <w:trPr>
          <w:trHeight w:val="420"/>
        </w:trPr>
        <w:tc>
          <w:tcPr>
            <w:tcW w:w="9928" w:type="dxa"/>
            <w:gridSpan w:val="2"/>
            <w:tcBorders>
              <w:top w:val="single" w:sz="4" w:space="0" w:color="auto"/>
              <w:left w:val="single" w:sz="4" w:space="0" w:color="auto"/>
              <w:bottom w:val="single" w:sz="4" w:space="0" w:color="auto"/>
              <w:right w:val="single" w:sz="4" w:space="0" w:color="auto"/>
            </w:tcBorders>
            <w:shd w:val="clear" w:color="000000" w:fill="EAF1DD"/>
            <w:hideMark/>
          </w:tcPr>
          <w:p w:rsidR="00C023F2" w:rsidRPr="009C0870" w:rsidRDefault="00C023F2" w:rsidP="005F6EF9">
            <w:pPr>
              <w:rPr>
                <w:rFonts w:ascii="Times New Roman" w:hAnsi="Times New Roman"/>
              </w:rPr>
            </w:pPr>
            <w:r w:rsidRPr="007323BE">
              <w:rPr>
                <w:rFonts w:ascii="Times New Roman" w:hAnsi="Times New Roman"/>
              </w:rPr>
              <w:t xml:space="preserve">43 </w:t>
            </w:r>
            <w:r w:rsidRPr="009C0870">
              <w:rPr>
                <w:rFonts w:ascii="Times New Roman" w:hAnsi="Times New Roman"/>
              </w:rPr>
              <w:t>- Incompatibilidade entre o modelo arquitetural do cliente e do provedor</w:t>
            </w:r>
          </w:p>
        </w:tc>
      </w:tr>
      <w:tr w:rsidR="00C023F2" w:rsidRPr="00917620" w:rsidTr="005F6EF9">
        <w:trPr>
          <w:trHeight w:val="315"/>
        </w:trPr>
        <w:tc>
          <w:tcPr>
            <w:tcW w:w="5980" w:type="dxa"/>
            <w:tcBorders>
              <w:top w:val="nil"/>
              <w:left w:val="single" w:sz="4" w:space="0" w:color="auto"/>
              <w:bottom w:val="single" w:sz="4" w:space="0" w:color="auto"/>
              <w:right w:val="single" w:sz="4" w:space="0" w:color="auto"/>
            </w:tcBorders>
            <w:shd w:val="clear" w:color="000000" w:fill="D7E4BC"/>
            <w:noWrap/>
            <w:hideMark/>
          </w:tcPr>
          <w:p w:rsidR="00C023F2" w:rsidRPr="007323BE" w:rsidRDefault="00C023F2" w:rsidP="005F6EF9">
            <w:pPr>
              <w:rPr>
                <w:rFonts w:ascii="Times New Roman" w:hAnsi="Times New Roman"/>
                <w:b/>
                <w:bCs/>
              </w:rPr>
            </w:pPr>
            <w:r w:rsidRPr="007323BE">
              <w:rPr>
                <w:rFonts w:ascii="Times New Roman" w:hAnsi="Times New Roman"/>
                <w:b/>
                <w:bCs/>
              </w:rPr>
              <w:t>Controles possíveis</w:t>
            </w:r>
          </w:p>
        </w:tc>
        <w:tc>
          <w:tcPr>
            <w:tcW w:w="3948" w:type="dxa"/>
            <w:tcBorders>
              <w:top w:val="nil"/>
              <w:left w:val="nil"/>
              <w:bottom w:val="single" w:sz="4" w:space="0" w:color="auto"/>
              <w:right w:val="single" w:sz="4" w:space="0" w:color="auto"/>
            </w:tcBorders>
            <w:shd w:val="clear" w:color="000000" w:fill="D7E4BC"/>
            <w:noWrap/>
            <w:hideMark/>
          </w:tcPr>
          <w:p w:rsidR="00C023F2" w:rsidRPr="009C0870" w:rsidRDefault="00C023F2" w:rsidP="005F6EF9">
            <w:pPr>
              <w:rPr>
                <w:rFonts w:ascii="Times New Roman" w:hAnsi="Times New Roman"/>
                <w:b/>
                <w:bCs/>
              </w:rPr>
            </w:pPr>
            <w:r w:rsidRPr="009C0870">
              <w:rPr>
                <w:rFonts w:ascii="Times New Roman" w:hAnsi="Times New Roman"/>
                <w:b/>
                <w:bCs/>
              </w:rPr>
              <w:t>Critérios</w:t>
            </w:r>
          </w:p>
        </w:tc>
      </w:tr>
      <w:tr w:rsidR="00C023F2" w:rsidRPr="00E70922" w:rsidTr="005F6EF9">
        <w:trPr>
          <w:trHeight w:val="1245"/>
        </w:trPr>
        <w:tc>
          <w:tcPr>
            <w:tcW w:w="5980" w:type="dxa"/>
            <w:tcBorders>
              <w:top w:val="single" w:sz="4" w:space="0" w:color="auto"/>
              <w:left w:val="single" w:sz="4" w:space="0" w:color="auto"/>
              <w:bottom w:val="single" w:sz="4" w:space="0" w:color="auto"/>
              <w:right w:val="single" w:sz="4" w:space="0" w:color="auto"/>
            </w:tcBorders>
            <w:shd w:val="clear" w:color="auto" w:fill="auto"/>
            <w:hideMark/>
          </w:tcPr>
          <w:p w:rsidR="00C023F2" w:rsidRPr="007323BE" w:rsidRDefault="00C023F2" w:rsidP="005F6EF9">
            <w:pPr>
              <w:rPr>
                <w:rFonts w:ascii="Times New Roman" w:hAnsi="Times New Roman"/>
              </w:rPr>
            </w:pPr>
            <w:r w:rsidRPr="007323BE">
              <w:rPr>
                <w:rFonts w:ascii="Times New Roman" w:hAnsi="Times New Roman"/>
              </w:rPr>
              <w:t>O estudo de viabilidade técnica (estudos técnicos preliminares) da contratação deve avaliar se alternativas de mercado e soluções disponíveis adequam-se à arquitetura do cliente, ou se a adaptação da arquitetura do cliente à do provedor é viável</w:t>
            </w:r>
          </w:p>
        </w:tc>
        <w:tc>
          <w:tcPr>
            <w:tcW w:w="3948" w:type="dxa"/>
            <w:tcBorders>
              <w:top w:val="single" w:sz="4" w:space="0" w:color="auto"/>
              <w:left w:val="nil"/>
              <w:bottom w:val="single" w:sz="4" w:space="0" w:color="auto"/>
              <w:right w:val="single" w:sz="4" w:space="0" w:color="auto"/>
            </w:tcBorders>
            <w:shd w:val="clear" w:color="auto" w:fill="auto"/>
            <w:hideMark/>
          </w:tcPr>
          <w:p w:rsidR="00C023F2" w:rsidRPr="009C0870" w:rsidRDefault="00C023F2" w:rsidP="005F6EF9">
            <w:pPr>
              <w:rPr>
                <w:rFonts w:ascii="Times New Roman" w:hAnsi="Times New Roman"/>
                <w:lang w:val="en-US"/>
              </w:rPr>
            </w:pPr>
            <w:r w:rsidRPr="009C0870">
              <w:rPr>
                <w:rFonts w:ascii="Times New Roman" w:hAnsi="Times New Roman"/>
                <w:lang w:val="en-US"/>
              </w:rPr>
              <w:t>COBIT BAI03 - Manage Solutions Identification and Build</w:t>
            </w:r>
          </w:p>
        </w:tc>
      </w:tr>
    </w:tbl>
    <w:p w:rsidR="00C023F2" w:rsidRPr="007323BE" w:rsidRDefault="00C023F2" w:rsidP="00C023F2">
      <w:pPr>
        <w:rPr>
          <w:rFonts w:ascii="Times New Roman" w:hAnsi="Times New Roman"/>
          <w:lang w:val="en-US"/>
        </w:rPr>
      </w:pPr>
    </w:p>
    <w:p w:rsidR="00C023F2" w:rsidRPr="009C0870" w:rsidRDefault="00C023F2" w:rsidP="00C023F2">
      <w:pPr>
        <w:rPr>
          <w:rFonts w:ascii="Times New Roman" w:hAnsi="Times New Roman"/>
          <w:lang w:val="en-US"/>
        </w:rPr>
      </w:pPr>
    </w:p>
    <w:p w:rsidR="00C023F2" w:rsidRPr="006A3784" w:rsidRDefault="00C023F2" w:rsidP="00C023F2">
      <w:pPr>
        <w:rPr>
          <w:rFonts w:ascii="Times New Roman" w:hAnsi="Times New Roman"/>
          <w:lang w:val="en-US"/>
        </w:rPr>
        <w:sectPr w:rsidR="00C023F2" w:rsidRPr="006A3784" w:rsidSect="00F309B9">
          <w:endnotePr>
            <w:numFmt w:val="decimal"/>
          </w:endnotePr>
          <w:pgSz w:w="11907" w:h="16840" w:code="9"/>
          <w:pgMar w:top="1418" w:right="567" w:bottom="851" w:left="1418" w:header="851" w:footer="567" w:gutter="0"/>
          <w:cols w:space="720"/>
          <w:noEndnote/>
        </w:sectPr>
      </w:pPr>
    </w:p>
    <w:p w:rsidR="00C023F2" w:rsidRPr="006A3784" w:rsidRDefault="00C023F2" w:rsidP="00C023F2">
      <w:pPr>
        <w:pStyle w:val="Ttulo1"/>
        <w:tabs>
          <w:tab w:val="clear" w:pos="567"/>
          <w:tab w:val="left" w:pos="1134"/>
        </w:tabs>
        <w:spacing w:before="240"/>
        <w:contextualSpacing w:val="0"/>
        <w:jc w:val="center"/>
      </w:pPr>
      <w:bookmarkStart w:id="2" w:name="_Toc421292169"/>
      <w:r w:rsidRPr="006A3784">
        <w:lastRenderedPageBreak/>
        <w:t>Anexo II - Matriz de auditoria de contratação de serviços de computação em nuvem</w:t>
      </w:r>
      <w:bookmarkEnd w:id="2"/>
    </w:p>
    <w:p w:rsidR="00C023F2" w:rsidRPr="006A3784" w:rsidRDefault="00C023F2" w:rsidP="00C023F2">
      <w:pPr>
        <w:rPr>
          <w:rFonts w:ascii="Times New Roman" w:hAnsi="Times New Roman"/>
        </w:rPr>
      </w:pPr>
    </w:p>
    <w:tbl>
      <w:tblPr>
        <w:tblW w:w="14612" w:type="dxa"/>
        <w:tblInd w:w="59" w:type="dxa"/>
        <w:tblLayout w:type="fixed"/>
        <w:tblCellMar>
          <w:left w:w="70" w:type="dxa"/>
          <w:right w:w="70" w:type="dxa"/>
        </w:tblCellMar>
        <w:tblLook w:val="04A0" w:firstRow="1" w:lastRow="0" w:firstColumn="1" w:lastColumn="0" w:noHBand="0" w:noVBand="1"/>
      </w:tblPr>
      <w:tblGrid>
        <w:gridCol w:w="3272"/>
        <w:gridCol w:w="2976"/>
        <w:gridCol w:w="5670"/>
        <w:gridCol w:w="2694"/>
      </w:tblGrid>
      <w:tr w:rsidR="00C023F2" w:rsidRPr="00917620" w:rsidTr="005F6EF9">
        <w:trPr>
          <w:trHeight w:val="645"/>
        </w:trPr>
        <w:tc>
          <w:tcPr>
            <w:tcW w:w="3272"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C023F2" w:rsidRPr="006A3784" w:rsidRDefault="00C023F2" w:rsidP="005F6EF9">
            <w:pPr>
              <w:rPr>
                <w:rFonts w:ascii="Times New Roman" w:hAnsi="Times New Roman"/>
              </w:rPr>
            </w:pPr>
            <w:r w:rsidRPr="006A3784">
              <w:rPr>
                <w:rFonts w:ascii="Times New Roman" w:hAnsi="Times New Roman"/>
              </w:rPr>
              <w:t>Questão de auditoria</w:t>
            </w:r>
          </w:p>
        </w:tc>
        <w:tc>
          <w:tcPr>
            <w:tcW w:w="2976" w:type="dxa"/>
            <w:tcBorders>
              <w:top w:val="single" w:sz="4" w:space="0" w:color="auto"/>
              <w:left w:val="nil"/>
              <w:bottom w:val="single" w:sz="4" w:space="0" w:color="auto"/>
              <w:right w:val="single" w:sz="4" w:space="0" w:color="auto"/>
            </w:tcBorders>
            <w:shd w:val="clear" w:color="000000" w:fill="D7E4BC"/>
            <w:noWrap/>
            <w:vAlign w:val="center"/>
            <w:hideMark/>
          </w:tcPr>
          <w:p w:rsidR="00C023F2" w:rsidRPr="006A3784" w:rsidRDefault="00C023F2" w:rsidP="005F6EF9">
            <w:pPr>
              <w:rPr>
                <w:rFonts w:ascii="Times New Roman" w:hAnsi="Times New Roman"/>
              </w:rPr>
            </w:pPr>
            <w:r w:rsidRPr="006A3784">
              <w:rPr>
                <w:rFonts w:ascii="Times New Roman" w:hAnsi="Times New Roman"/>
              </w:rPr>
              <w:t>Critérios</w:t>
            </w:r>
          </w:p>
        </w:tc>
        <w:tc>
          <w:tcPr>
            <w:tcW w:w="5670" w:type="dxa"/>
            <w:tcBorders>
              <w:top w:val="single" w:sz="4" w:space="0" w:color="auto"/>
              <w:left w:val="nil"/>
              <w:bottom w:val="nil"/>
              <w:right w:val="single" w:sz="4" w:space="0" w:color="auto"/>
            </w:tcBorders>
            <w:shd w:val="clear" w:color="000000" w:fill="D7E4BC"/>
            <w:vAlign w:val="center"/>
            <w:hideMark/>
          </w:tcPr>
          <w:p w:rsidR="00C023F2" w:rsidRPr="006A3784" w:rsidRDefault="00C023F2" w:rsidP="005F6EF9">
            <w:pPr>
              <w:rPr>
                <w:rFonts w:ascii="Times New Roman" w:hAnsi="Times New Roman"/>
              </w:rPr>
            </w:pPr>
            <w:r w:rsidRPr="006A3784">
              <w:rPr>
                <w:rFonts w:ascii="Times New Roman" w:hAnsi="Times New Roman"/>
              </w:rPr>
              <w:t>Procedimentos</w:t>
            </w:r>
          </w:p>
        </w:tc>
        <w:tc>
          <w:tcPr>
            <w:tcW w:w="2694" w:type="dxa"/>
            <w:tcBorders>
              <w:top w:val="single" w:sz="4" w:space="0" w:color="auto"/>
              <w:left w:val="nil"/>
              <w:bottom w:val="nil"/>
              <w:right w:val="single" w:sz="4" w:space="0" w:color="auto"/>
            </w:tcBorders>
            <w:shd w:val="clear" w:color="000000" w:fill="D7E4BC"/>
            <w:vAlign w:val="center"/>
            <w:hideMark/>
          </w:tcPr>
          <w:p w:rsidR="00C023F2" w:rsidRPr="006A3784" w:rsidRDefault="00C023F2" w:rsidP="005F6EF9">
            <w:pPr>
              <w:rPr>
                <w:rFonts w:ascii="Times New Roman" w:hAnsi="Times New Roman"/>
              </w:rPr>
            </w:pPr>
            <w:r w:rsidRPr="006A3784">
              <w:rPr>
                <w:rFonts w:ascii="Times New Roman" w:hAnsi="Times New Roman"/>
              </w:rPr>
              <w:t>Achados</w:t>
            </w:r>
          </w:p>
        </w:tc>
      </w:tr>
      <w:tr w:rsidR="00C023F2" w:rsidRPr="00917620" w:rsidTr="005F6EF9">
        <w:trPr>
          <w:trHeight w:val="480"/>
        </w:trPr>
        <w:tc>
          <w:tcPr>
            <w:tcW w:w="3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3F2" w:rsidRPr="009C0870" w:rsidRDefault="00C023F2" w:rsidP="005F6EF9">
            <w:pPr>
              <w:jc w:val="center"/>
              <w:rPr>
                <w:rFonts w:ascii="Times New Roman" w:hAnsi="Times New Roman"/>
                <w:sz w:val="18"/>
                <w:szCs w:val="18"/>
              </w:rPr>
            </w:pPr>
            <w:r w:rsidRPr="007323BE">
              <w:rPr>
                <w:rFonts w:ascii="Times New Roman" w:hAnsi="Times New Roman"/>
                <w:sz w:val="18"/>
                <w:szCs w:val="18"/>
              </w:rPr>
              <w:t xml:space="preserve">1. A gestão da segurança da informação, o controle dos ativos e os </w:t>
            </w:r>
            <w:r w:rsidRPr="009C0870">
              <w:rPr>
                <w:rFonts w:ascii="Times New Roman" w:hAnsi="Times New Roman"/>
                <w:sz w:val="18"/>
                <w:szCs w:val="18"/>
              </w:rPr>
              <w:t>riscos de segurança relativos à adoção de cloud foram tratados de forma efetiva pela organização?</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3F2" w:rsidRPr="009C0870" w:rsidRDefault="00C023F2" w:rsidP="005F6EF9">
            <w:pPr>
              <w:ind w:right="72"/>
              <w:jc w:val="center"/>
              <w:rPr>
                <w:rFonts w:ascii="Times New Roman" w:hAnsi="Times New Roman"/>
                <w:sz w:val="18"/>
                <w:szCs w:val="18"/>
              </w:rPr>
            </w:pPr>
            <w:r w:rsidRPr="009C0870">
              <w:rPr>
                <w:rFonts w:ascii="Times New Roman" w:hAnsi="Times New Roman"/>
                <w:sz w:val="18"/>
                <w:szCs w:val="18"/>
              </w:rPr>
              <w:t xml:space="preserve">COBIT DSS04 - Manage Continuity </w:t>
            </w:r>
          </w:p>
        </w:tc>
        <w:tc>
          <w:tcPr>
            <w:tcW w:w="5670" w:type="dxa"/>
            <w:tcBorders>
              <w:top w:val="single" w:sz="4" w:space="0" w:color="auto"/>
              <w:left w:val="nil"/>
              <w:bottom w:val="nil"/>
              <w:right w:val="single" w:sz="4" w:space="0" w:color="auto"/>
            </w:tcBorders>
            <w:shd w:val="clear" w:color="auto" w:fill="auto"/>
            <w:vAlign w:val="center"/>
            <w:hideMark/>
          </w:tcPr>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rPr>
              <w:t>Verificar a existência de plano de continuidade de negócio do fornecedor</w:t>
            </w:r>
          </w:p>
        </w:tc>
        <w:tc>
          <w:tcPr>
            <w:tcW w:w="26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rPr>
              <w:t>Deficiências nos controles de disponibilidade do serviço de computação em nuvem</w:t>
            </w:r>
          </w:p>
        </w:tc>
      </w:tr>
      <w:tr w:rsidR="00C023F2" w:rsidRPr="00917620" w:rsidTr="005F6EF9">
        <w:trPr>
          <w:trHeight w:val="480"/>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 xml:space="preserve">COBIT DSS04 - Manage Continuity </w:t>
            </w: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a existência de plano de continuidade de negócio do cliente</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892"/>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 xml:space="preserve">COBIT DSS04 - Manage Continuity </w:t>
            </w: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a compatibilidade entre os planos de continuidade de negócio do cliente e do fornecedor: as premissas de continuidade do cliente precisam estar razoavelmente atendidas nas garantias providas pelo fornecedor</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1274"/>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DSS04 - Manage Continuity;</w:t>
            </w:r>
          </w:p>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 xml:space="preserve"> CSA CCM BCR-09</w:t>
            </w: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o plano de continuidade de negócio do cliente deve considerar as partes do negócio que estão na nuvem ou que dela dependem, considerando os efeitos de indisponibilidade do serviço em nuvem sobre o negócio e estabelecendo prioridades para recuperação e período máximo tolerável para a indisponibilidade</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697"/>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 xml:space="preserve">COBIT DSS04 - Manage Continuity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o cliente avaliou a possibilidade de selecionar fornecedor que ofereça seus serviços em múltiplas regiões geográficas, para poder transferir serviços de uma região para outra</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660"/>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 xml:space="preserve">COBIT DSS04 - Manage Continuity </w:t>
            </w: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o cliente avaliou a possibilidade de selecionar mais de um fornecedor de serviços em nuvem, de forma a ter solução de contingência</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589"/>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 xml:space="preserve">COBIT DSS04 - Manage Continuity </w:t>
            </w: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o cliente avaliou a possibilidade de utilizar sua própria infraestrutura de TI como parte da solução de contingência</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838"/>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APO10 - Manage Suppliers;</w:t>
            </w:r>
          </w:p>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 xml:space="preserve"> COBIT APO09 - Manage Service Agreements</w:t>
            </w: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o contrato com o provedor de nuvem prevê SLAs cuidadosamente definidos e exequíveis, o que inclui penalidades em caso de não cumprimento de parâmetros de disponibilidade dos serviços</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bl>
    <w:p w:rsidR="00C023F2" w:rsidRPr="00917620" w:rsidRDefault="00C023F2" w:rsidP="00C023F2"/>
    <w:p w:rsidR="00C023F2" w:rsidRPr="00917620" w:rsidRDefault="00C023F2" w:rsidP="00C023F2"/>
    <w:p w:rsidR="00C023F2" w:rsidRPr="00917620" w:rsidRDefault="00C023F2" w:rsidP="00C023F2"/>
    <w:tbl>
      <w:tblPr>
        <w:tblW w:w="14612" w:type="dxa"/>
        <w:tblInd w:w="59" w:type="dxa"/>
        <w:tblLayout w:type="fixed"/>
        <w:tblCellMar>
          <w:left w:w="70" w:type="dxa"/>
          <w:right w:w="70" w:type="dxa"/>
        </w:tblCellMar>
        <w:tblLook w:val="04A0" w:firstRow="1" w:lastRow="0" w:firstColumn="1" w:lastColumn="0" w:noHBand="0" w:noVBand="1"/>
      </w:tblPr>
      <w:tblGrid>
        <w:gridCol w:w="3272"/>
        <w:gridCol w:w="2976"/>
        <w:gridCol w:w="5670"/>
        <w:gridCol w:w="2694"/>
      </w:tblGrid>
      <w:tr w:rsidR="00C023F2" w:rsidRPr="00917620" w:rsidTr="005F6EF9">
        <w:trPr>
          <w:trHeight w:val="645"/>
        </w:trPr>
        <w:tc>
          <w:tcPr>
            <w:tcW w:w="3272"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C023F2" w:rsidRPr="007323BE" w:rsidRDefault="00C023F2" w:rsidP="005F6EF9">
            <w:pPr>
              <w:rPr>
                <w:rFonts w:ascii="Times New Roman" w:hAnsi="Times New Roman"/>
              </w:rPr>
            </w:pPr>
            <w:r w:rsidRPr="007323BE">
              <w:rPr>
                <w:rFonts w:ascii="Times New Roman" w:hAnsi="Times New Roman"/>
              </w:rPr>
              <w:t>Questão de auditoria</w:t>
            </w:r>
          </w:p>
        </w:tc>
        <w:tc>
          <w:tcPr>
            <w:tcW w:w="2976" w:type="dxa"/>
            <w:tcBorders>
              <w:top w:val="single" w:sz="4" w:space="0" w:color="auto"/>
              <w:left w:val="nil"/>
              <w:bottom w:val="single" w:sz="4" w:space="0" w:color="auto"/>
              <w:right w:val="single" w:sz="4" w:space="0" w:color="auto"/>
            </w:tcBorders>
            <w:shd w:val="clear" w:color="000000" w:fill="D7E4BC"/>
            <w:noWrap/>
            <w:vAlign w:val="center"/>
            <w:hideMark/>
          </w:tcPr>
          <w:p w:rsidR="00C023F2" w:rsidRPr="009C0870" w:rsidRDefault="00C023F2" w:rsidP="005F6EF9">
            <w:pPr>
              <w:rPr>
                <w:rFonts w:ascii="Times New Roman" w:hAnsi="Times New Roman"/>
              </w:rPr>
            </w:pPr>
            <w:r w:rsidRPr="009C0870">
              <w:rPr>
                <w:rFonts w:ascii="Times New Roman" w:hAnsi="Times New Roman"/>
              </w:rPr>
              <w:t>Critérios</w:t>
            </w:r>
          </w:p>
        </w:tc>
        <w:tc>
          <w:tcPr>
            <w:tcW w:w="5670" w:type="dxa"/>
            <w:tcBorders>
              <w:top w:val="single" w:sz="4" w:space="0" w:color="auto"/>
              <w:left w:val="nil"/>
              <w:bottom w:val="nil"/>
              <w:right w:val="single" w:sz="4" w:space="0" w:color="auto"/>
            </w:tcBorders>
            <w:shd w:val="clear" w:color="000000" w:fill="D7E4BC"/>
            <w:vAlign w:val="center"/>
            <w:hideMark/>
          </w:tcPr>
          <w:p w:rsidR="00C023F2" w:rsidRPr="009C0870" w:rsidRDefault="00C023F2" w:rsidP="005F6EF9">
            <w:pPr>
              <w:rPr>
                <w:rFonts w:ascii="Times New Roman" w:hAnsi="Times New Roman"/>
              </w:rPr>
            </w:pPr>
            <w:r w:rsidRPr="009C0870">
              <w:rPr>
                <w:rFonts w:ascii="Times New Roman" w:hAnsi="Times New Roman"/>
              </w:rPr>
              <w:t>Procedimentos</w:t>
            </w:r>
          </w:p>
        </w:tc>
        <w:tc>
          <w:tcPr>
            <w:tcW w:w="2694" w:type="dxa"/>
            <w:tcBorders>
              <w:top w:val="single" w:sz="4" w:space="0" w:color="auto"/>
              <w:left w:val="nil"/>
              <w:bottom w:val="nil"/>
              <w:right w:val="single" w:sz="4" w:space="0" w:color="auto"/>
            </w:tcBorders>
            <w:shd w:val="clear" w:color="000000" w:fill="D7E4BC"/>
            <w:vAlign w:val="center"/>
            <w:hideMark/>
          </w:tcPr>
          <w:p w:rsidR="00C023F2" w:rsidRPr="009C0870" w:rsidRDefault="00C023F2" w:rsidP="005F6EF9">
            <w:pPr>
              <w:rPr>
                <w:rFonts w:ascii="Times New Roman" w:hAnsi="Times New Roman"/>
              </w:rPr>
            </w:pPr>
            <w:r w:rsidRPr="009C0870">
              <w:rPr>
                <w:rFonts w:ascii="Times New Roman" w:hAnsi="Times New Roman"/>
              </w:rPr>
              <w:t>Achados</w:t>
            </w:r>
          </w:p>
        </w:tc>
      </w:tr>
      <w:tr w:rsidR="00C023F2" w:rsidRPr="00917620" w:rsidTr="005F6EF9">
        <w:trPr>
          <w:trHeight w:val="1215"/>
        </w:trPr>
        <w:tc>
          <w:tcPr>
            <w:tcW w:w="3272" w:type="dxa"/>
            <w:vMerge w:val="restart"/>
            <w:tcBorders>
              <w:top w:val="single" w:sz="4" w:space="0" w:color="auto"/>
              <w:left w:val="single" w:sz="4" w:space="0" w:color="auto"/>
              <w:bottom w:val="single" w:sz="4" w:space="0" w:color="auto"/>
              <w:right w:val="single" w:sz="4" w:space="0" w:color="auto"/>
            </w:tcBorders>
            <w:vAlign w:val="center"/>
            <w:hideMark/>
          </w:tcPr>
          <w:p w:rsidR="00C023F2" w:rsidRPr="009C0870" w:rsidRDefault="00C023F2" w:rsidP="005F6EF9">
            <w:pPr>
              <w:jc w:val="center"/>
              <w:rPr>
                <w:rFonts w:ascii="Times New Roman" w:hAnsi="Times New Roman"/>
                <w:sz w:val="18"/>
                <w:szCs w:val="18"/>
              </w:rPr>
            </w:pPr>
            <w:r w:rsidRPr="007323BE">
              <w:rPr>
                <w:rFonts w:ascii="Times New Roman" w:hAnsi="Times New Roman"/>
                <w:sz w:val="18"/>
                <w:szCs w:val="18"/>
              </w:rPr>
              <w:lastRenderedPageBreak/>
              <w:t>1. A gestão da segurança da informação, o controle dos ativos e os riscos de segurança relativos à adoção de cloud foram tratados de</w:t>
            </w:r>
            <w:r w:rsidRPr="009C0870">
              <w:rPr>
                <w:rFonts w:ascii="Times New Roman" w:hAnsi="Times New Roman"/>
                <w:sz w:val="18"/>
                <w:szCs w:val="18"/>
              </w:rPr>
              <w:t xml:space="preserve"> forma efetiva pela organização?</w:t>
            </w:r>
          </w:p>
        </w:tc>
        <w:tc>
          <w:tcPr>
            <w:tcW w:w="2976" w:type="dxa"/>
            <w:tcBorders>
              <w:top w:val="single" w:sz="4" w:space="0" w:color="auto"/>
              <w:left w:val="single" w:sz="4" w:space="0" w:color="auto"/>
              <w:bottom w:val="nil"/>
              <w:right w:val="single" w:sz="4" w:space="0" w:color="auto"/>
            </w:tcBorders>
            <w:shd w:val="clear" w:color="000000" w:fill="FFFFFF"/>
            <w:vAlign w:val="center"/>
            <w:hideMark/>
          </w:tcPr>
          <w:p w:rsidR="00C023F2" w:rsidRPr="009C0870" w:rsidRDefault="00C023F2" w:rsidP="005F6EF9">
            <w:pPr>
              <w:jc w:val="center"/>
              <w:rPr>
                <w:rFonts w:ascii="Times New Roman" w:hAnsi="Times New Roman"/>
                <w:sz w:val="18"/>
                <w:szCs w:val="18"/>
                <w:lang w:val="en-US"/>
              </w:rPr>
            </w:pPr>
            <w:r w:rsidRPr="009C0870">
              <w:rPr>
                <w:rFonts w:ascii="Times New Roman" w:hAnsi="Times New Roman"/>
                <w:sz w:val="18"/>
                <w:szCs w:val="18"/>
                <w:lang w:val="en-US"/>
              </w:rPr>
              <w:t>COBIT APO13 - Manage</w:t>
            </w:r>
            <w:r w:rsidRPr="009C0870">
              <w:rPr>
                <w:rFonts w:ascii="Times New Roman" w:hAnsi="Times New Roman"/>
                <w:sz w:val="18"/>
                <w:szCs w:val="18"/>
                <w:lang w:val="en-US"/>
              </w:rPr>
              <w:br/>
              <w:t>Security;</w:t>
            </w:r>
          </w:p>
          <w:p w:rsidR="00C023F2" w:rsidRPr="009C0870" w:rsidRDefault="00C023F2" w:rsidP="005F6EF9">
            <w:pPr>
              <w:jc w:val="center"/>
              <w:rPr>
                <w:rFonts w:ascii="Times New Roman" w:hAnsi="Times New Roman"/>
                <w:sz w:val="18"/>
                <w:szCs w:val="18"/>
                <w:lang w:val="en-US"/>
              </w:rPr>
            </w:pPr>
            <w:r w:rsidRPr="009C0870">
              <w:rPr>
                <w:rFonts w:ascii="Times New Roman" w:hAnsi="Times New Roman"/>
                <w:sz w:val="18"/>
                <w:szCs w:val="18"/>
                <w:lang w:val="en-US"/>
              </w:rPr>
              <w:t xml:space="preserve"> COBIT BAI09 - Manage</w:t>
            </w:r>
            <w:r w:rsidRPr="009C0870">
              <w:rPr>
                <w:rFonts w:ascii="Times New Roman" w:hAnsi="Times New Roman"/>
                <w:sz w:val="18"/>
                <w:szCs w:val="18"/>
                <w:lang w:val="en-US"/>
              </w:rPr>
              <w:br/>
              <w:t>Assets;</w:t>
            </w:r>
            <w:r w:rsidRPr="009C0870">
              <w:rPr>
                <w:rFonts w:ascii="Times New Roman" w:hAnsi="Times New Roman"/>
                <w:sz w:val="18"/>
                <w:szCs w:val="18"/>
                <w:lang w:val="en-US"/>
              </w:rPr>
              <w:br/>
              <w:t xml:space="preserve"> CSA CCM DSI-01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rPr>
              <w:t>Verificar se os dados foram submetidos à classificação prévia da informação, antes de serem transmitidos para a nuvem</w:t>
            </w:r>
          </w:p>
        </w:tc>
        <w:tc>
          <w:tcPr>
            <w:tcW w:w="2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rPr>
              <w:t>Deficiências nos controles sobre confidencialidade e integridade dos dados</w:t>
            </w:r>
          </w:p>
        </w:tc>
      </w:tr>
      <w:tr w:rsidR="00C023F2" w:rsidRPr="00917620" w:rsidTr="005F6EF9">
        <w:trPr>
          <w:trHeight w:val="685"/>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nil"/>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COBIT DSS05 - Manage Security Services;</w:t>
            </w:r>
            <w:r w:rsidRPr="006A3784">
              <w:rPr>
                <w:rFonts w:ascii="Times New Roman" w:hAnsi="Times New Roman"/>
                <w:sz w:val="18"/>
                <w:szCs w:val="18"/>
              </w:rPr>
              <w:br/>
              <w:t xml:space="preserve"> CSA CCM IAM-02 e IAM-05</w:t>
            </w: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foi implementado controle de acesso lógico apropriado ao grau de confidencialidade dos dados armazenados na nuvem</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708"/>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nil"/>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 xml:space="preserve">COBIT DSS05 - Manage Security Services; </w:t>
            </w:r>
            <w:r w:rsidRPr="006A3784">
              <w:rPr>
                <w:rFonts w:ascii="Times New Roman" w:hAnsi="Times New Roman"/>
                <w:sz w:val="18"/>
                <w:szCs w:val="18"/>
                <w:lang w:val="en-US"/>
              </w:rPr>
              <w:br/>
              <w:t>CSA CCM DSI-01</w:t>
            </w: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a presença de controles para transferência e armazenamento de dados para a nuvem, como criptografia e uso de VPN adequada</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480"/>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 xml:space="preserve">COBIT DSS05 - Manage Security Services; </w:t>
            </w:r>
            <w:r w:rsidRPr="006A3784">
              <w:rPr>
                <w:rFonts w:ascii="Times New Roman" w:hAnsi="Times New Roman"/>
                <w:sz w:val="18"/>
                <w:szCs w:val="18"/>
                <w:lang w:val="en-US"/>
              </w:rPr>
              <w:br/>
              <w:t>CSA CCM EKM-02, EKM-03 e EKM-04</w:t>
            </w: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os dados não públicos armazenados no provedor estejam criptografados</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585"/>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o esquema criptográfico empregado seja adequado à classificação das informações</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585"/>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as chaves criptográficas não estejam sendo armazenadas na nuvem</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765"/>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as políticas e procedimentos para uso de criptografia, incluindo gerenciamento de chaves criptográficas estejam estabelecidos e seguidos pelo provedor e pelo cliente</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797"/>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nil"/>
              <w:left w:val="single" w:sz="4" w:space="0" w:color="auto"/>
              <w:bottom w:val="nil"/>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APO09 - Manage Service Agreements;</w:t>
            </w:r>
          </w:p>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lang w:val="en-US"/>
              </w:rPr>
              <w:t xml:space="preserve"> </w:t>
            </w:r>
            <w:r w:rsidRPr="006A3784">
              <w:rPr>
                <w:rFonts w:ascii="Times New Roman" w:hAnsi="Times New Roman"/>
                <w:sz w:val="18"/>
                <w:szCs w:val="18"/>
              </w:rPr>
              <w:t>COBIT APO10 - Manage Suppliers</w:t>
            </w: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há cláusulas contratuais estabelecendo limites do acesso do provedor aos dados do cliente</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836"/>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 xml:space="preserve">COBIT DSS05 - Manage Security Services; </w:t>
            </w:r>
            <w:r w:rsidRPr="006A3784">
              <w:rPr>
                <w:rFonts w:ascii="Times New Roman" w:hAnsi="Times New Roman"/>
                <w:sz w:val="18"/>
                <w:szCs w:val="18"/>
                <w:lang w:val="en-US"/>
              </w:rPr>
              <w:br/>
              <w:t>CSA CCM DSI-02</w:t>
            </w: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a existência de controles por parte do provedor para que dados sujeitos a requisitos geográficos não sejam migrados para além de fronteiras definidas em contrato</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551"/>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DSS05 - Manage Security Services</w:t>
            </w: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as garantias fornecidas pelo provedor demonstram o isolamento de recursos e de dados de seus clientes</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bl>
    <w:p w:rsidR="00C023F2" w:rsidRPr="00917620" w:rsidRDefault="00C023F2" w:rsidP="00C023F2"/>
    <w:p w:rsidR="00C023F2" w:rsidRPr="00917620" w:rsidRDefault="00C023F2" w:rsidP="00C023F2"/>
    <w:tbl>
      <w:tblPr>
        <w:tblW w:w="14612" w:type="dxa"/>
        <w:tblInd w:w="59" w:type="dxa"/>
        <w:tblLayout w:type="fixed"/>
        <w:tblCellMar>
          <w:left w:w="70" w:type="dxa"/>
          <w:right w:w="70" w:type="dxa"/>
        </w:tblCellMar>
        <w:tblLook w:val="04A0" w:firstRow="1" w:lastRow="0" w:firstColumn="1" w:lastColumn="0" w:noHBand="0" w:noVBand="1"/>
      </w:tblPr>
      <w:tblGrid>
        <w:gridCol w:w="3272"/>
        <w:gridCol w:w="2976"/>
        <w:gridCol w:w="5670"/>
        <w:gridCol w:w="2694"/>
      </w:tblGrid>
      <w:tr w:rsidR="00C023F2" w:rsidRPr="00917620" w:rsidTr="005F6EF9">
        <w:trPr>
          <w:trHeight w:val="645"/>
        </w:trPr>
        <w:tc>
          <w:tcPr>
            <w:tcW w:w="3272"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C023F2" w:rsidRPr="007323BE" w:rsidRDefault="00C023F2" w:rsidP="005F6EF9">
            <w:pPr>
              <w:rPr>
                <w:rFonts w:ascii="Times New Roman" w:hAnsi="Times New Roman"/>
              </w:rPr>
            </w:pPr>
            <w:r w:rsidRPr="007323BE">
              <w:rPr>
                <w:rFonts w:ascii="Times New Roman" w:hAnsi="Times New Roman"/>
              </w:rPr>
              <w:t>Questão de auditoria</w:t>
            </w:r>
          </w:p>
        </w:tc>
        <w:tc>
          <w:tcPr>
            <w:tcW w:w="2976" w:type="dxa"/>
            <w:tcBorders>
              <w:top w:val="single" w:sz="4" w:space="0" w:color="auto"/>
              <w:left w:val="nil"/>
              <w:bottom w:val="single" w:sz="4" w:space="0" w:color="auto"/>
              <w:right w:val="single" w:sz="4" w:space="0" w:color="auto"/>
            </w:tcBorders>
            <w:shd w:val="clear" w:color="000000" w:fill="D7E4BC"/>
            <w:noWrap/>
            <w:vAlign w:val="center"/>
            <w:hideMark/>
          </w:tcPr>
          <w:p w:rsidR="00C023F2" w:rsidRPr="009C0870" w:rsidRDefault="00C023F2" w:rsidP="005F6EF9">
            <w:pPr>
              <w:rPr>
                <w:rFonts w:ascii="Times New Roman" w:hAnsi="Times New Roman"/>
              </w:rPr>
            </w:pPr>
            <w:r w:rsidRPr="009C0870">
              <w:rPr>
                <w:rFonts w:ascii="Times New Roman" w:hAnsi="Times New Roman"/>
              </w:rPr>
              <w:t>Critérios</w:t>
            </w:r>
          </w:p>
        </w:tc>
        <w:tc>
          <w:tcPr>
            <w:tcW w:w="5670" w:type="dxa"/>
            <w:tcBorders>
              <w:top w:val="single" w:sz="4" w:space="0" w:color="auto"/>
              <w:left w:val="nil"/>
              <w:bottom w:val="nil"/>
              <w:right w:val="single" w:sz="4" w:space="0" w:color="auto"/>
            </w:tcBorders>
            <w:shd w:val="clear" w:color="000000" w:fill="D7E4BC"/>
            <w:vAlign w:val="center"/>
            <w:hideMark/>
          </w:tcPr>
          <w:p w:rsidR="00C023F2" w:rsidRPr="009C0870" w:rsidRDefault="00C023F2" w:rsidP="005F6EF9">
            <w:pPr>
              <w:rPr>
                <w:rFonts w:ascii="Times New Roman" w:hAnsi="Times New Roman"/>
              </w:rPr>
            </w:pPr>
            <w:r w:rsidRPr="009C0870">
              <w:rPr>
                <w:rFonts w:ascii="Times New Roman" w:hAnsi="Times New Roman"/>
              </w:rPr>
              <w:t>Procedimentos</w:t>
            </w:r>
          </w:p>
        </w:tc>
        <w:tc>
          <w:tcPr>
            <w:tcW w:w="2694" w:type="dxa"/>
            <w:tcBorders>
              <w:top w:val="single" w:sz="4" w:space="0" w:color="auto"/>
              <w:left w:val="nil"/>
              <w:bottom w:val="nil"/>
              <w:right w:val="single" w:sz="4" w:space="0" w:color="auto"/>
            </w:tcBorders>
            <w:shd w:val="clear" w:color="000000" w:fill="D7E4BC"/>
            <w:vAlign w:val="center"/>
            <w:hideMark/>
          </w:tcPr>
          <w:p w:rsidR="00C023F2" w:rsidRPr="009C0870" w:rsidRDefault="00C023F2" w:rsidP="005F6EF9">
            <w:pPr>
              <w:rPr>
                <w:rFonts w:ascii="Times New Roman" w:hAnsi="Times New Roman"/>
              </w:rPr>
            </w:pPr>
            <w:r w:rsidRPr="009C0870">
              <w:rPr>
                <w:rFonts w:ascii="Times New Roman" w:hAnsi="Times New Roman"/>
              </w:rPr>
              <w:t>Achados</w:t>
            </w:r>
          </w:p>
        </w:tc>
      </w:tr>
      <w:tr w:rsidR="00C023F2" w:rsidRPr="00917620" w:rsidTr="005F6EF9">
        <w:trPr>
          <w:trHeight w:val="781"/>
        </w:trPr>
        <w:tc>
          <w:tcPr>
            <w:tcW w:w="3272" w:type="dxa"/>
            <w:vMerge w:val="restart"/>
            <w:tcBorders>
              <w:top w:val="single" w:sz="4" w:space="0" w:color="auto"/>
              <w:left w:val="single" w:sz="4" w:space="0" w:color="auto"/>
              <w:bottom w:val="single" w:sz="4" w:space="0" w:color="auto"/>
              <w:right w:val="single" w:sz="4" w:space="0" w:color="auto"/>
            </w:tcBorders>
            <w:vAlign w:val="center"/>
            <w:hideMark/>
          </w:tcPr>
          <w:p w:rsidR="00C023F2" w:rsidRPr="009C0870" w:rsidRDefault="00C023F2" w:rsidP="005F6EF9">
            <w:pPr>
              <w:jc w:val="center"/>
              <w:rPr>
                <w:rFonts w:ascii="Times New Roman" w:hAnsi="Times New Roman"/>
                <w:sz w:val="18"/>
                <w:szCs w:val="18"/>
              </w:rPr>
            </w:pPr>
            <w:r w:rsidRPr="007323BE">
              <w:rPr>
                <w:rFonts w:ascii="Times New Roman" w:hAnsi="Times New Roman"/>
                <w:sz w:val="18"/>
                <w:szCs w:val="18"/>
              </w:rPr>
              <w:lastRenderedPageBreak/>
              <w:t>1. A gestão da segurança da informação, o controle dos ativos e os riscos de segurança relativos à adoção de cloud foram tratados de</w:t>
            </w:r>
            <w:r w:rsidRPr="009C0870">
              <w:rPr>
                <w:rFonts w:ascii="Times New Roman" w:hAnsi="Times New Roman"/>
                <w:sz w:val="18"/>
                <w:szCs w:val="18"/>
              </w:rPr>
              <w:t xml:space="preserve"> forma efetiva pela organização?</w:t>
            </w:r>
          </w:p>
        </w:tc>
        <w:tc>
          <w:tcPr>
            <w:tcW w:w="2976" w:type="dxa"/>
            <w:tcBorders>
              <w:top w:val="single" w:sz="4" w:space="0" w:color="auto"/>
              <w:left w:val="single" w:sz="4" w:space="0" w:color="auto"/>
              <w:bottom w:val="nil"/>
              <w:right w:val="single" w:sz="4" w:space="0" w:color="auto"/>
            </w:tcBorders>
            <w:shd w:val="clear" w:color="000000" w:fill="FFFFFF"/>
            <w:vAlign w:val="center"/>
            <w:hideMark/>
          </w:tcPr>
          <w:p w:rsidR="00C023F2" w:rsidRPr="009C0870" w:rsidRDefault="00C023F2" w:rsidP="005F6EF9">
            <w:pPr>
              <w:jc w:val="center"/>
              <w:rPr>
                <w:rFonts w:ascii="Times New Roman" w:hAnsi="Times New Roman"/>
                <w:sz w:val="18"/>
                <w:szCs w:val="18"/>
                <w:lang w:val="en-US"/>
              </w:rPr>
            </w:pPr>
            <w:r w:rsidRPr="009C0870">
              <w:rPr>
                <w:rFonts w:ascii="Times New Roman" w:hAnsi="Times New Roman"/>
                <w:sz w:val="18"/>
                <w:szCs w:val="18"/>
                <w:lang w:val="en-US"/>
              </w:rPr>
              <w:t>COBIT APO09 - Manage Service Agreements;</w:t>
            </w:r>
          </w:p>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lang w:val="en-US"/>
              </w:rPr>
              <w:t xml:space="preserve"> </w:t>
            </w:r>
            <w:r w:rsidRPr="009C0870">
              <w:rPr>
                <w:rFonts w:ascii="Times New Roman" w:hAnsi="Times New Roman"/>
                <w:sz w:val="18"/>
                <w:szCs w:val="18"/>
              </w:rPr>
              <w:t>COBIT APO10 - Manage Suppliers</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rPr>
              <w:t>Verificar se há cláusulas contratuais estabelecendo responsabilidade do provedor em garantir o isolamento de recursos e dados contra acesso indevido por outros clientes</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rPr>
              <w:t>Deficiências nos controles sobre confidencialidade e integridade dos dados</w:t>
            </w:r>
          </w:p>
        </w:tc>
      </w:tr>
      <w:tr w:rsidR="00C023F2" w:rsidRPr="00917620" w:rsidTr="005F6EF9">
        <w:trPr>
          <w:trHeight w:val="834"/>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nil"/>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COBIT DSS05 - Manage Security</w:t>
            </w: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o provedor provê controles eficazes e compatíveis com as políticas e procedimentos do cliente para gerenciamento de identidades de usuários e controle de acessos</w:t>
            </w:r>
          </w:p>
        </w:tc>
        <w:tc>
          <w:tcPr>
            <w:tcW w:w="2694"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585"/>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BAI06 - Manage Changes;</w:t>
            </w:r>
            <w:r w:rsidRPr="006A3784">
              <w:rPr>
                <w:rFonts w:ascii="Times New Roman" w:hAnsi="Times New Roman"/>
                <w:sz w:val="18"/>
                <w:szCs w:val="18"/>
                <w:lang w:val="en-US"/>
              </w:rPr>
              <w:br/>
              <w:t xml:space="preserve"> CSA CCM CCC-02</w:t>
            </w: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a existência de política para gestão de mudanças, que deve ter sido acordada entre provedor e cliente</w:t>
            </w:r>
          </w:p>
        </w:tc>
        <w:tc>
          <w:tcPr>
            <w:tcW w:w="26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Falhas nos processos de gestão de mudanças</w:t>
            </w:r>
          </w:p>
        </w:tc>
      </w:tr>
      <w:tr w:rsidR="00C023F2" w:rsidRPr="00917620" w:rsidTr="005F6EF9">
        <w:trPr>
          <w:trHeight w:val="827"/>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 xml:space="preserve">Verificar, no provedor, a existência de processos de gestão de mudanças que incluam comunicação prévia ao cliente acerca de mudanças a serem realizadas </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990"/>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DSS02 - Manage Service Requests and Incidents;</w:t>
            </w:r>
          </w:p>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 xml:space="preserve"> COBIT DSS05 - Manage Security Services; COBIT APO10 - Manage Suppliers; </w:t>
            </w:r>
            <w:r w:rsidRPr="006A3784">
              <w:rPr>
                <w:rFonts w:ascii="Times New Roman" w:hAnsi="Times New Roman"/>
                <w:sz w:val="18"/>
                <w:szCs w:val="18"/>
                <w:lang w:val="en-US"/>
              </w:rPr>
              <w:br/>
              <w:t>CSA CCM SEF-02 e SEF-03</w:t>
            </w:r>
          </w:p>
        </w:tc>
        <w:tc>
          <w:tcPr>
            <w:tcW w:w="5670" w:type="dxa"/>
            <w:tcBorders>
              <w:top w:val="nil"/>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os logs de auditoria do provedor registram atividades de acesso de usuários privilegiados, tentativas de acesso autorizados e não autorizados, exceções do sistema e outros eventos de segurança da informação</w:t>
            </w:r>
          </w:p>
        </w:tc>
        <w:tc>
          <w:tcPr>
            <w:tcW w:w="2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Falhas na gestão de incidentes de segurança da informação</w:t>
            </w:r>
            <w:r w:rsidRPr="006A3784">
              <w:rPr>
                <w:rFonts w:ascii="Times New Roman" w:hAnsi="Times New Roman"/>
                <w:sz w:val="18"/>
                <w:szCs w:val="18"/>
              </w:rPr>
              <w:br/>
              <w:t>Falhas na auditoria de eventos de segurança da informação</w:t>
            </w:r>
          </w:p>
        </w:tc>
      </w:tr>
      <w:tr w:rsidR="00C023F2" w:rsidRPr="00917620" w:rsidTr="005F6EF9">
        <w:trPr>
          <w:trHeight w:val="795"/>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 xml:space="preserve">Verificar que os logs de eventos de segurança da informação do provedor são mantidos em conformidade com as políticas e regulamentos aplicáveis, e que encontram-se de acordo com as políticas do cliente. </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480"/>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políticas e procedimentos, definidos em cláusulas contratuais, foram estabelecidos e são seguidos para triagem dos eventos relacionados à segurança, de modo a garantir o gerenciamento de incidentes completo e ágil.</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765"/>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eventos de segurança de informação são comunicados através de canais predefinidos de comunicação, de maneira rápida e eficiente, e de acordo com os requisitos legais, regulatórios e contratuais</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585"/>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DSS05 - Manage Security Services</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o cliente realiza cópia dos logs fornecidos pelo provedor, de acordo com sua própria política de retenção</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705"/>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o provedor fornece mecanismo para filtragem e cópia dos logs gerados pela infraestrutura de nuvem para a área do cliente</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bl>
    <w:p w:rsidR="00C023F2" w:rsidRPr="00917620" w:rsidRDefault="00C023F2" w:rsidP="00C023F2"/>
    <w:tbl>
      <w:tblPr>
        <w:tblW w:w="14612" w:type="dxa"/>
        <w:tblInd w:w="59" w:type="dxa"/>
        <w:tblLayout w:type="fixed"/>
        <w:tblCellMar>
          <w:left w:w="70" w:type="dxa"/>
          <w:right w:w="70" w:type="dxa"/>
        </w:tblCellMar>
        <w:tblLook w:val="04A0" w:firstRow="1" w:lastRow="0" w:firstColumn="1" w:lastColumn="0" w:noHBand="0" w:noVBand="1"/>
      </w:tblPr>
      <w:tblGrid>
        <w:gridCol w:w="3272"/>
        <w:gridCol w:w="2976"/>
        <w:gridCol w:w="5670"/>
        <w:gridCol w:w="2694"/>
      </w:tblGrid>
      <w:tr w:rsidR="00C023F2" w:rsidRPr="00917620" w:rsidTr="005F6EF9">
        <w:trPr>
          <w:trHeight w:val="645"/>
        </w:trPr>
        <w:tc>
          <w:tcPr>
            <w:tcW w:w="3272"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C023F2" w:rsidRPr="007323BE" w:rsidRDefault="00C023F2" w:rsidP="005F6EF9">
            <w:pPr>
              <w:rPr>
                <w:rFonts w:ascii="Times New Roman" w:hAnsi="Times New Roman"/>
              </w:rPr>
            </w:pPr>
            <w:r w:rsidRPr="007323BE">
              <w:rPr>
                <w:rFonts w:ascii="Times New Roman" w:hAnsi="Times New Roman"/>
              </w:rPr>
              <w:t>Questão de auditoria</w:t>
            </w:r>
          </w:p>
        </w:tc>
        <w:tc>
          <w:tcPr>
            <w:tcW w:w="2976" w:type="dxa"/>
            <w:tcBorders>
              <w:top w:val="single" w:sz="4" w:space="0" w:color="auto"/>
              <w:left w:val="nil"/>
              <w:bottom w:val="single" w:sz="4" w:space="0" w:color="auto"/>
              <w:right w:val="single" w:sz="4" w:space="0" w:color="auto"/>
            </w:tcBorders>
            <w:shd w:val="clear" w:color="000000" w:fill="D7E4BC"/>
            <w:noWrap/>
            <w:vAlign w:val="center"/>
            <w:hideMark/>
          </w:tcPr>
          <w:p w:rsidR="00C023F2" w:rsidRPr="009C0870" w:rsidRDefault="00C023F2" w:rsidP="005F6EF9">
            <w:pPr>
              <w:rPr>
                <w:rFonts w:ascii="Times New Roman" w:hAnsi="Times New Roman"/>
              </w:rPr>
            </w:pPr>
            <w:r w:rsidRPr="009C0870">
              <w:rPr>
                <w:rFonts w:ascii="Times New Roman" w:hAnsi="Times New Roman"/>
              </w:rPr>
              <w:t>Critérios</w:t>
            </w:r>
          </w:p>
        </w:tc>
        <w:tc>
          <w:tcPr>
            <w:tcW w:w="5670" w:type="dxa"/>
            <w:tcBorders>
              <w:top w:val="single" w:sz="4" w:space="0" w:color="auto"/>
              <w:left w:val="nil"/>
              <w:bottom w:val="nil"/>
              <w:right w:val="single" w:sz="4" w:space="0" w:color="auto"/>
            </w:tcBorders>
            <w:shd w:val="clear" w:color="000000" w:fill="D7E4BC"/>
            <w:vAlign w:val="center"/>
            <w:hideMark/>
          </w:tcPr>
          <w:p w:rsidR="00C023F2" w:rsidRPr="009C0870" w:rsidRDefault="00C023F2" w:rsidP="005F6EF9">
            <w:pPr>
              <w:rPr>
                <w:rFonts w:ascii="Times New Roman" w:hAnsi="Times New Roman"/>
              </w:rPr>
            </w:pPr>
            <w:r w:rsidRPr="009C0870">
              <w:rPr>
                <w:rFonts w:ascii="Times New Roman" w:hAnsi="Times New Roman"/>
              </w:rPr>
              <w:t>Procedimentos</w:t>
            </w:r>
          </w:p>
        </w:tc>
        <w:tc>
          <w:tcPr>
            <w:tcW w:w="2694" w:type="dxa"/>
            <w:tcBorders>
              <w:top w:val="single" w:sz="4" w:space="0" w:color="auto"/>
              <w:left w:val="nil"/>
              <w:bottom w:val="nil"/>
              <w:right w:val="single" w:sz="4" w:space="0" w:color="auto"/>
            </w:tcBorders>
            <w:shd w:val="clear" w:color="000000" w:fill="D7E4BC"/>
            <w:vAlign w:val="center"/>
            <w:hideMark/>
          </w:tcPr>
          <w:p w:rsidR="00C023F2" w:rsidRPr="009C0870" w:rsidRDefault="00C023F2" w:rsidP="005F6EF9">
            <w:pPr>
              <w:rPr>
                <w:rFonts w:ascii="Times New Roman" w:hAnsi="Times New Roman"/>
              </w:rPr>
            </w:pPr>
            <w:r w:rsidRPr="009C0870">
              <w:rPr>
                <w:rFonts w:ascii="Times New Roman" w:hAnsi="Times New Roman"/>
              </w:rPr>
              <w:t>Achados</w:t>
            </w:r>
          </w:p>
        </w:tc>
      </w:tr>
      <w:tr w:rsidR="00C023F2" w:rsidRPr="00917620" w:rsidTr="005F6EF9">
        <w:trPr>
          <w:trHeight w:val="900"/>
        </w:trPr>
        <w:tc>
          <w:tcPr>
            <w:tcW w:w="3272" w:type="dxa"/>
            <w:vMerge w:val="restart"/>
            <w:tcBorders>
              <w:top w:val="single" w:sz="4" w:space="0" w:color="auto"/>
              <w:left w:val="single" w:sz="4" w:space="0" w:color="auto"/>
              <w:bottom w:val="single" w:sz="4" w:space="0" w:color="auto"/>
              <w:right w:val="nil"/>
            </w:tcBorders>
            <w:vAlign w:val="center"/>
            <w:hideMark/>
          </w:tcPr>
          <w:p w:rsidR="00C023F2" w:rsidRPr="009C0870" w:rsidRDefault="00C023F2" w:rsidP="005F6EF9">
            <w:pPr>
              <w:jc w:val="center"/>
              <w:rPr>
                <w:rFonts w:ascii="Times New Roman" w:hAnsi="Times New Roman"/>
                <w:sz w:val="18"/>
                <w:szCs w:val="18"/>
              </w:rPr>
            </w:pPr>
            <w:r w:rsidRPr="007323BE">
              <w:rPr>
                <w:rFonts w:ascii="Times New Roman" w:hAnsi="Times New Roman"/>
                <w:sz w:val="18"/>
                <w:szCs w:val="18"/>
              </w:rPr>
              <w:lastRenderedPageBreak/>
              <w:t>1. A gestão da segurança da informação, o controle dos ativos e os riscos de segurança relativos à adoção de cloud foram tratados de</w:t>
            </w:r>
            <w:r w:rsidRPr="009C0870">
              <w:rPr>
                <w:rFonts w:ascii="Times New Roman" w:hAnsi="Times New Roman"/>
                <w:sz w:val="18"/>
                <w:szCs w:val="18"/>
              </w:rPr>
              <w:t xml:space="preserve"> forma efetiva pela organização?</w:t>
            </w:r>
          </w:p>
        </w:tc>
        <w:tc>
          <w:tcPr>
            <w:tcW w:w="29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rPr>
              <w:t>CSA CCM IAM-01</w:t>
            </w:r>
          </w:p>
        </w:tc>
        <w:tc>
          <w:tcPr>
            <w:tcW w:w="5670" w:type="dxa"/>
            <w:tcBorders>
              <w:top w:val="single" w:sz="4" w:space="0" w:color="auto"/>
              <w:left w:val="nil"/>
              <w:bottom w:val="nil"/>
              <w:right w:val="single" w:sz="4" w:space="0" w:color="auto"/>
            </w:tcBorders>
            <w:shd w:val="clear" w:color="auto" w:fill="auto"/>
            <w:vAlign w:val="center"/>
            <w:hideMark/>
          </w:tcPr>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rPr>
              <w:t>Verificar, no provedor, que o acesso e uso de ferramentas de auditoria que interajam com os sistemas de informação das organizações estejam devidamente segmentados e restritos, a fim de evitar comprometimentos e uso indevido de dados de log</w:t>
            </w:r>
          </w:p>
        </w:tc>
        <w:tc>
          <w:tcPr>
            <w:tcW w:w="26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3F2" w:rsidRPr="007D25E6" w:rsidRDefault="00C023F2" w:rsidP="005F6EF9">
            <w:pPr>
              <w:jc w:val="center"/>
              <w:rPr>
                <w:rFonts w:ascii="Times New Roman" w:hAnsi="Times New Roman"/>
                <w:sz w:val="18"/>
                <w:szCs w:val="18"/>
              </w:rPr>
            </w:pPr>
            <w:r w:rsidRPr="007D25E6">
              <w:rPr>
                <w:rFonts w:ascii="Times New Roman" w:hAnsi="Times New Roman"/>
                <w:sz w:val="18"/>
                <w:szCs w:val="18"/>
              </w:rPr>
              <w:t>Deficiências nos controles de confidencialidade dos dados</w:t>
            </w:r>
            <w:r w:rsidRPr="007D25E6">
              <w:rPr>
                <w:rFonts w:ascii="Times New Roman" w:hAnsi="Times New Roman"/>
                <w:sz w:val="18"/>
                <w:szCs w:val="18"/>
              </w:rPr>
              <w:br/>
              <w:t>Falhas na gestão de incidentes de segurança da informação</w:t>
            </w:r>
          </w:p>
        </w:tc>
      </w:tr>
      <w:tr w:rsidR="00C023F2" w:rsidRPr="00917620" w:rsidTr="005F6EF9">
        <w:trPr>
          <w:trHeight w:val="690"/>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o contrato entre cliente e provedor estabelece direitos claros e exclusivos de propriedade e acesso aos dados, inclusive referentes a logs</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675"/>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CSA CCM AIS-01, AIS-02, AIS-03 e AIS-04</w:t>
            </w: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o modelo de segurança das interfaces do provedor de computação em</w:t>
            </w:r>
            <w:r w:rsidRPr="006A3784">
              <w:rPr>
                <w:rFonts w:ascii="Times New Roman" w:hAnsi="Times New Roman"/>
                <w:sz w:val="18"/>
                <w:szCs w:val="18"/>
              </w:rPr>
              <w:br/>
              <w:t>nuvem foi desenvolvido com base em padrões de mercado</w:t>
            </w:r>
          </w:p>
        </w:tc>
        <w:tc>
          <w:tcPr>
            <w:tcW w:w="2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Falhas na segurança de APIs</w:t>
            </w:r>
          </w:p>
        </w:tc>
      </w:tr>
      <w:tr w:rsidR="00C023F2" w:rsidRPr="00917620" w:rsidTr="005F6EF9">
        <w:trPr>
          <w:trHeight w:val="630"/>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mecanismos de autenticação forte de usuários e controle de acesso para restringir o acesso aos dados do cliente foram implementados</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1106"/>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nil"/>
              <w:left w:val="single" w:sz="4" w:space="0" w:color="auto"/>
              <w:bottom w:val="nil"/>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COBIT APO10 - Manage Suppliers;</w:t>
            </w:r>
          </w:p>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 xml:space="preserve"> CSA CCM HRS-06, HRS-07, IAM-02, IAM-04, IAM-07 e IAM-09</w:t>
            </w: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há definição no contrato de obrigações do provedor quanto a requisitos mínimos de autorização e transparência de acesso do provedor aos ativos físicos e virtuais do cliente, bem como a respeito da necessidade de divulgação ao cliente de suas políticas e orientações específicas</w:t>
            </w:r>
          </w:p>
        </w:tc>
        <w:tc>
          <w:tcPr>
            <w:tcW w:w="2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Falhas contratuais relacionadas ao controle de acesso dos ativos físicos e virtuais</w:t>
            </w:r>
          </w:p>
        </w:tc>
      </w:tr>
      <w:tr w:rsidR="00C023F2" w:rsidRPr="00917620" w:rsidTr="005F6EF9">
        <w:trPr>
          <w:trHeight w:val="980"/>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nil"/>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APO10 - Manage Suppliers;</w:t>
            </w:r>
          </w:p>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 xml:space="preserve"> CSA CCM HRS-02, HRS-03, HRS-06, HRS-07, HRS-09, IAM-07 e IAM-10</w:t>
            </w: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lang w:val="en-US"/>
              </w:rPr>
              <w:t xml:space="preserve"> </w:t>
            </w:r>
            <w:r w:rsidRPr="006A3784">
              <w:rPr>
                <w:rFonts w:ascii="Times New Roman" w:hAnsi="Times New Roman"/>
                <w:sz w:val="18"/>
                <w:szCs w:val="18"/>
              </w:rPr>
              <w:t>Verificar a presença no contrato de definições das obrigações do provedor quanto a requisitos mínimos de contratação de pessoal e de monitoramento de suas atividades, bem como a respeito da necessidade de divulgação ao cliente de suas políticas e orientações específicas</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1408"/>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 xml:space="preserve">COBIT DSS05 - Manage Security Services; </w:t>
            </w:r>
            <w:r w:rsidRPr="006A3784">
              <w:rPr>
                <w:rFonts w:ascii="Times New Roman" w:hAnsi="Times New Roman"/>
                <w:sz w:val="18"/>
                <w:szCs w:val="18"/>
                <w:lang w:val="en-US"/>
              </w:rPr>
              <w:br/>
              <w:t>CSA CCM TVM-01 e TVM-02</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políticas, procedimentos e mecanismos estejam estabelecidos e implementados pelo provedor para gerenciamento de vulnerabilidades conhecidas e atualizações de software, garantindo que aplicações, sistemas e vulnerabilidades de dispositivos de rede sejam avaliadas, e que atualizações de segurança fornecidas sejam aplicadas em tempo hábil, priorizando os patches mais críticos</w:t>
            </w:r>
          </w:p>
        </w:tc>
        <w:tc>
          <w:tcPr>
            <w:tcW w:w="2694" w:type="dxa"/>
            <w:tcBorders>
              <w:top w:val="nil"/>
              <w:left w:val="nil"/>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Falhas na gestão da segurança da informação</w:t>
            </w:r>
            <w:r w:rsidRPr="006A3784">
              <w:rPr>
                <w:rFonts w:ascii="Times New Roman" w:hAnsi="Times New Roman"/>
                <w:sz w:val="18"/>
                <w:szCs w:val="18"/>
              </w:rPr>
              <w:br/>
              <w:t>Falhas nos controles de aplicação de atualizações e correções de segurança</w:t>
            </w:r>
          </w:p>
        </w:tc>
      </w:tr>
    </w:tbl>
    <w:p w:rsidR="00C023F2" w:rsidRPr="00917620" w:rsidRDefault="00C023F2" w:rsidP="00C023F2"/>
    <w:p w:rsidR="00C023F2" w:rsidRPr="00917620" w:rsidRDefault="00C023F2" w:rsidP="00C023F2"/>
    <w:p w:rsidR="00C023F2" w:rsidRPr="00917620" w:rsidRDefault="00C023F2" w:rsidP="00C023F2"/>
    <w:p w:rsidR="00C023F2" w:rsidRPr="00917620" w:rsidRDefault="00C023F2" w:rsidP="00C023F2"/>
    <w:tbl>
      <w:tblPr>
        <w:tblW w:w="14612" w:type="dxa"/>
        <w:tblInd w:w="59" w:type="dxa"/>
        <w:tblLayout w:type="fixed"/>
        <w:tblCellMar>
          <w:left w:w="70" w:type="dxa"/>
          <w:right w:w="70" w:type="dxa"/>
        </w:tblCellMar>
        <w:tblLook w:val="04A0" w:firstRow="1" w:lastRow="0" w:firstColumn="1" w:lastColumn="0" w:noHBand="0" w:noVBand="1"/>
      </w:tblPr>
      <w:tblGrid>
        <w:gridCol w:w="3272"/>
        <w:gridCol w:w="2976"/>
        <w:gridCol w:w="5670"/>
        <w:gridCol w:w="2694"/>
      </w:tblGrid>
      <w:tr w:rsidR="00C023F2" w:rsidRPr="00917620" w:rsidTr="005F6EF9">
        <w:trPr>
          <w:trHeight w:val="645"/>
        </w:trPr>
        <w:tc>
          <w:tcPr>
            <w:tcW w:w="3272"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C023F2" w:rsidRPr="007323BE" w:rsidRDefault="00C023F2" w:rsidP="005F6EF9">
            <w:pPr>
              <w:rPr>
                <w:rFonts w:ascii="Times New Roman" w:hAnsi="Times New Roman"/>
              </w:rPr>
            </w:pPr>
            <w:r w:rsidRPr="007323BE">
              <w:rPr>
                <w:rFonts w:ascii="Times New Roman" w:hAnsi="Times New Roman"/>
              </w:rPr>
              <w:t>Questão de auditoria</w:t>
            </w:r>
          </w:p>
        </w:tc>
        <w:tc>
          <w:tcPr>
            <w:tcW w:w="2976" w:type="dxa"/>
            <w:tcBorders>
              <w:top w:val="single" w:sz="4" w:space="0" w:color="auto"/>
              <w:left w:val="nil"/>
              <w:bottom w:val="single" w:sz="4" w:space="0" w:color="auto"/>
              <w:right w:val="single" w:sz="4" w:space="0" w:color="auto"/>
            </w:tcBorders>
            <w:shd w:val="clear" w:color="000000" w:fill="D7E4BC"/>
            <w:noWrap/>
            <w:vAlign w:val="center"/>
            <w:hideMark/>
          </w:tcPr>
          <w:p w:rsidR="00C023F2" w:rsidRPr="009C0870" w:rsidRDefault="00C023F2" w:rsidP="005F6EF9">
            <w:pPr>
              <w:rPr>
                <w:rFonts w:ascii="Times New Roman" w:hAnsi="Times New Roman"/>
              </w:rPr>
            </w:pPr>
            <w:r w:rsidRPr="009C0870">
              <w:rPr>
                <w:rFonts w:ascii="Times New Roman" w:hAnsi="Times New Roman"/>
              </w:rPr>
              <w:t>Critérios</w:t>
            </w:r>
          </w:p>
        </w:tc>
        <w:tc>
          <w:tcPr>
            <w:tcW w:w="5670" w:type="dxa"/>
            <w:tcBorders>
              <w:top w:val="single" w:sz="4" w:space="0" w:color="auto"/>
              <w:left w:val="nil"/>
              <w:bottom w:val="nil"/>
              <w:right w:val="single" w:sz="4" w:space="0" w:color="auto"/>
            </w:tcBorders>
            <w:shd w:val="clear" w:color="000000" w:fill="D7E4BC"/>
            <w:vAlign w:val="center"/>
            <w:hideMark/>
          </w:tcPr>
          <w:p w:rsidR="00C023F2" w:rsidRPr="009C0870" w:rsidRDefault="00C023F2" w:rsidP="005F6EF9">
            <w:pPr>
              <w:rPr>
                <w:rFonts w:ascii="Times New Roman" w:hAnsi="Times New Roman"/>
              </w:rPr>
            </w:pPr>
            <w:r w:rsidRPr="009C0870">
              <w:rPr>
                <w:rFonts w:ascii="Times New Roman" w:hAnsi="Times New Roman"/>
              </w:rPr>
              <w:t>Procedimentos</w:t>
            </w:r>
          </w:p>
        </w:tc>
        <w:tc>
          <w:tcPr>
            <w:tcW w:w="2694" w:type="dxa"/>
            <w:tcBorders>
              <w:top w:val="single" w:sz="4" w:space="0" w:color="auto"/>
              <w:left w:val="nil"/>
              <w:bottom w:val="nil"/>
              <w:right w:val="single" w:sz="4" w:space="0" w:color="auto"/>
            </w:tcBorders>
            <w:shd w:val="clear" w:color="000000" w:fill="D7E4BC"/>
            <w:vAlign w:val="center"/>
            <w:hideMark/>
          </w:tcPr>
          <w:p w:rsidR="00C023F2" w:rsidRPr="009C0870" w:rsidRDefault="00C023F2" w:rsidP="005F6EF9">
            <w:pPr>
              <w:rPr>
                <w:rFonts w:ascii="Times New Roman" w:hAnsi="Times New Roman"/>
              </w:rPr>
            </w:pPr>
            <w:r w:rsidRPr="009C0870">
              <w:rPr>
                <w:rFonts w:ascii="Times New Roman" w:hAnsi="Times New Roman"/>
              </w:rPr>
              <w:t>Achados</w:t>
            </w:r>
          </w:p>
        </w:tc>
      </w:tr>
      <w:tr w:rsidR="00C023F2" w:rsidRPr="00917620" w:rsidTr="005F6EF9">
        <w:trPr>
          <w:trHeight w:val="922"/>
        </w:trPr>
        <w:tc>
          <w:tcPr>
            <w:tcW w:w="3272" w:type="dxa"/>
            <w:vMerge w:val="restart"/>
            <w:tcBorders>
              <w:top w:val="single" w:sz="4" w:space="0" w:color="auto"/>
              <w:left w:val="single" w:sz="4" w:space="0" w:color="auto"/>
              <w:right w:val="single" w:sz="4" w:space="0" w:color="auto"/>
            </w:tcBorders>
            <w:shd w:val="clear" w:color="auto" w:fill="auto"/>
            <w:vAlign w:val="center"/>
            <w:hideMark/>
          </w:tcPr>
          <w:p w:rsidR="00C023F2" w:rsidRPr="009C0870" w:rsidRDefault="00C023F2" w:rsidP="005F6EF9">
            <w:pPr>
              <w:jc w:val="center"/>
              <w:rPr>
                <w:rFonts w:ascii="Times New Roman" w:hAnsi="Times New Roman"/>
                <w:sz w:val="18"/>
                <w:szCs w:val="18"/>
              </w:rPr>
            </w:pPr>
            <w:r w:rsidRPr="007323BE">
              <w:rPr>
                <w:rFonts w:ascii="Times New Roman" w:hAnsi="Times New Roman"/>
                <w:sz w:val="18"/>
                <w:szCs w:val="18"/>
              </w:rPr>
              <w:lastRenderedPageBreak/>
              <w:t xml:space="preserve">2. Os mecanismos de </w:t>
            </w:r>
            <w:r w:rsidRPr="009C0870">
              <w:rPr>
                <w:rFonts w:ascii="Times New Roman" w:hAnsi="Times New Roman"/>
                <w:sz w:val="18"/>
                <w:szCs w:val="18"/>
              </w:rPr>
              <w:t>governança de TI foram revistos, adaptados e implementados adequadamente, de maneira a abranger a adoção de computação em nuvem e gerenciar riscos inerentes à cloud?</w:t>
            </w:r>
          </w:p>
        </w:tc>
        <w:tc>
          <w:tcPr>
            <w:tcW w:w="2976" w:type="dxa"/>
            <w:tcBorders>
              <w:top w:val="single" w:sz="4" w:space="0" w:color="auto"/>
              <w:left w:val="single" w:sz="4" w:space="0" w:color="auto"/>
              <w:bottom w:val="nil"/>
              <w:right w:val="single" w:sz="4" w:space="0" w:color="auto"/>
            </w:tcBorders>
            <w:shd w:val="clear" w:color="000000" w:fill="FFFFFF"/>
            <w:vAlign w:val="center"/>
            <w:hideMark/>
          </w:tcPr>
          <w:p w:rsidR="00C023F2" w:rsidRPr="009C0870" w:rsidRDefault="00C023F2" w:rsidP="005F6EF9">
            <w:pPr>
              <w:jc w:val="center"/>
              <w:rPr>
                <w:rFonts w:ascii="Times New Roman" w:hAnsi="Times New Roman"/>
                <w:sz w:val="18"/>
                <w:szCs w:val="18"/>
                <w:lang w:val="en-US"/>
              </w:rPr>
            </w:pPr>
            <w:r w:rsidRPr="009C0870">
              <w:rPr>
                <w:rFonts w:ascii="Times New Roman" w:hAnsi="Times New Roman"/>
                <w:sz w:val="18"/>
                <w:szCs w:val="18"/>
                <w:lang w:val="en-US"/>
              </w:rPr>
              <w:t>COBIT APO02 - Manage Strategy;</w:t>
            </w:r>
          </w:p>
          <w:p w:rsidR="00C023F2" w:rsidRPr="009C0870" w:rsidRDefault="00C023F2" w:rsidP="005F6EF9">
            <w:pPr>
              <w:jc w:val="center"/>
              <w:rPr>
                <w:rFonts w:ascii="Times New Roman" w:hAnsi="Times New Roman"/>
                <w:sz w:val="18"/>
                <w:szCs w:val="18"/>
                <w:lang w:val="en-US"/>
              </w:rPr>
            </w:pPr>
            <w:r w:rsidRPr="009C0870">
              <w:rPr>
                <w:rFonts w:ascii="Times New Roman" w:hAnsi="Times New Roman"/>
                <w:sz w:val="18"/>
                <w:szCs w:val="18"/>
                <w:lang w:val="en-US"/>
              </w:rPr>
              <w:t xml:space="preserve"> COBIT APO08 - Manage Relationships</w:t>
            </w:r>
          </w:p>
        </w:tc>
        <w:tc>
          <w:tcPr>
            <w:tcW w:w="5670" w:type="dxa"/>
            <w:tcBorders>
              <w:top w:val="single" w:sz="4" w:space="0" w:color="auto"/>
              <w:left w:val="nil"/>
              <w:bottom w:val="nil"/>
              <w:right w:val="single" w:sz="4" w:space="0" w:color="auto"/>
            </w:tcBorders>
            <w:shd w:val="clear" w:color="auto" w:fill="auto"/>
            <w:vAlign w:val="center"/>
            <w:hideMark/>
          </w:tcPr>
          <w:p w:rsidR="00C023F2" w:rsidRPr="007D25E6" w:rsidRDefault="00C023F2" w:rsidP="005F6EF9">
            <w:pPr>
              <w:jc w:val="center"/>
              <w:rPr>
                <w:rFonts w:ascii="Times New Roman" w:hAnsi="Times New Roman"/>
                <w:sz w:val="18"/>
                <w:szCs w:val="18"/>
              </w:rPr>
            </w:pPr>
            <w:r w:rsidRPr="009C0870">
              <w:rPr>
                <w:rFonts w:ascii="Times New Roman" w:hAnsi="Times New Roman"/>
                <w:sz w:val="18"/>
                <w:szCs w:val="18"/>
              </w:rPr>
              <w:t xml:space="preserve">Verificar se a incorporação de computação em nuvem ao plano estratégico de TI </w:t>
            </w:r>
            <w:r w:rsidRPr="007D25E6">
              <w:rPr>
                <w:rFonts w:ascii="Times New Roman" w:hAnsi="Times New Roman"/>
                <w:sz w:val="18"/>
                <w:szCs w:val="18"/>
              </w:rPr>
              <w:t>foi precedida de análise adequada de modo a assegurar que serviços de nuvem são a solução mais apropriada para as necessidades da organização</w:t>
            </w:r>
          </w:p>
        </w:tc>
        <w:tc>
          <w:tcPr>
            <w:tcW w:w="26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O plano estratégico de TI não contempla aspectos de computação em nuvem</w:t>
            </w:r>
            <w:r w:rsidRPr="006A3784">
              <w:rPr>
                <w:rFonts w:ascii="Times New Roman" w:hAnsi="Times New Roman"/>
                <w:sz w:val="18"/>
                <w:szCs w:val="18"/>
              </w:rPr>
              <w:br/>
              <w:t>Falhas no plano estratégico de TI referentes aos aspectos de computação em nuvem</w:t>
            </w:r>
          </w:p>
        </w:tc>
      </w:tr>
      <w:tr w:rsidR="00C023F2" w:rsidRPr="00917620" w:rsidTr="005F6EF9">
        <w:trPr>
          <w:trHeight w:val="837"/>
        </w:trPr>
        <w:tc>
          <w:tcPr>
            <w:tcW w:w="3272" w:type="dxa"/>
            <w:vMerge/>
            <w:tcBorders>
              <w:left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nil"/>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APO02 - Manage Strategy;</w:t>
            </w:r>
          </w:p>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 xml:space="preserve"> COBIT APO08 - Manage Relationships</w:t>
            </w: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a incorporação de computação em nuvem ao plano estratégico de TI foi elaborada por um time de profissionais qualificados de TI e de negócio, e se todas as partes interessadas na organização formam consultadas</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976"/>
        </w:trPr>
        <w:tc>
          <w:tcPr>
            <w:tcW w:w="3272" w:type="dxa"/>
            <w:vMerge/>
            <w:tcBorders>
              <w:left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nil"/>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APO02 - Manage Strategy;</w:t>
            </w:r>
          </w:p>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 xml:space="preserve"> COBIT APO04 - Manage Innovation;</w:t>
            </w:r>
          </w:p>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 xml:space="preserve"> COBIT APO06 - Manage Budget and Costs</w:t>
            </w: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o planejamento orçamentário está alinhado com as condições de contratação de serviços de computação em nuvem, particularmente quanto à transformação de verba de investimento na compra de equipamentos de TIC para verba de custeio dos serviços de nuvem</w:t>
            </w:r>
          </w:p>
        </w:tc>
        <w:tc>
          <w:tcPr>
            <w:tcW w:w="2694" w:type="dxa"/>
            <w:tcBorders>
              <w:top w:val="nil"/>
              <w:left w:val="nil"/>
              <w:bottom w:val="nil"/>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Falhas no planejamento orçamentário quanto aos aspectos de computação em nuvem</w:t>
            </w:r>
          </w:p>
        </w:tc>
      </w:tr>
      <w:tr w:rsidR="00C023F2" w:rsidRPr="00917620" w:rsidTr="005F6EF9">
        <w:trPr>
          <w:trHeight w:val="990"/>
        </w:trPr>
        <w:tc>
          <w:tcPr>
            <w:tcW w:w="3272" w:type="dxa"/>
            <w:vMerge/>
            <w:tcBorders>
              <w:left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APO07 - Manage Human Resources;</w:t>
            </w:r>
          </w:p>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lang w:val="en-US"/>
              </w:rPr>
              <w:t xml:space="preserve"> </w:t>
            </w:r>
            <w:r w:rsidRPr="006A3784">
              <w:rPr>
                <w:rFonts w:ascii="Times New Roman" w:hAnsi="Times New Roman"/>
                <w:sz w:val="18"/>
                <w:szCs w:val="18"/>
              </w:rPr>
              <w:t>COBIT APO08 - Manage Relationships</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a existência de política de recursos humanos de TI que contemple redefinições de funções e realocações de pessoal, considerando as capacidades e perfis individuais</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 xml:space="preserve">Deficiências na política de recursos humanos de TI </w:t>
            </w:r>
          </w:p>
        </w:tc>
      </w:tr>
      <w:tr w:rsidR="00C023F2" w:rsidRPr="00917620" w:rsidTr="005F6EF9">
        <w:trPr>
          <w:trHeight w:val="1273"/>
        </w:trPr>
        <w:tc>
          <w:tcPr>
            <w:tcW w:w="3272" w:type="dxa"/>
            <w:vMerge/>
            <w:tcBorders>
              <w:left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APO07 - Manage Human Resources;</w:t>
            </w:r>
          </w:p>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 xml:space="preserve"> COBIT APO08 - Manage Relationships ; COBIT APO04 - Manage Innovation</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a existência de política institucional de incentivo à inovação, como forma de estimular o servidor e quebrar resistência à adoção de computação em nuvem</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Deficiências na política institucional de incentivo à inovação</w:t>
            </w:r>
          </w:p>
        </w:tc>
      </w:tr>
      <w:tr w:rsidR="00C023F2" w:rsidRPr="00917620" w:rsidTr="005F6EF9">
        <w:trPr>
          <w:trHeight w:val="1741"/>
        </w:trPr>
        <w:tc>
          <w:tcPr>
            <w:tcW w:w="3272" w:type="dxa"/>
            <w:vMerge/>
            <w:tcBorders>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3F2" w:rsidRPr="00E70922" w:rsidRDefault="00C023F2" w:rsidP="005F6EF9">
            <w:pPr>
              <w:jc w:val="center"/>
              <w:rPr>
                <w:rFonts w:ascii="Times New Roman" w:hAnsi="Times New Roman"/>
                <w:sz w:val="18"/>
                <w:szCs w:val="18"/>
              </w:rPr>
            </w:pPr>
            <w:r w:rsidRPr="00E70922">
              <w:rPr>
                <w:rFonts w:ascii="Times New Roman" w:hAnsi="Times New Roman"/>
                <w:sz w:val="18"/>
                <w:szCs w:val="18"/>
              </w:rPr>
              <w:br/>
              <w:t>CSA CCM GRM-10, AAC-01 e AAC-02</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foi prevista em cláusula contratual a necessidade de realização de auditorias por empresas terceiras, com a finalidade de auditar periodicamente a adequação dos controles do provedor em cima de um conjunto de critérios pré-definidos, e fornecer certificados de conformidade baseados nos resultados da auditoria</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Falhas contratuais relativas à governança</w:t>
            </w:r>
          </w:p>
        </w:tc>
      </w:tr>
    </w:tbl>
    <w:p w:rsidR="00C023F2" w:rsidRPr="00917620" w:rsidRDefault="00C023F2" w:rsidP="00C023F2"/>
    <w:p w:rsidR="00C023F2" w:rsidRPr="00917620" w:rsidRDefault="00C023F2" w:rsidP="00C023F2"/>
    <w:p w:rsidR="00C023F2" w:rsidRPr="00917620" w:rsidRDefault="00C023F2" w:rsidP="00C023F2"/>
    <w:p w:rsidR="00C023F2" w:rsidRPr="00917620" w:rsidRDefault="00C023F2" w:rsidP="00C023F2"/>
    <w:tbl>
      <w:tblPr>
        <w:tblW w:w="14612" w:type="dxa"/>
        <w:tblInd w:w="59" w:type="dxa"/>
        <w:tblLayout w:type="fixed"/>
        <w:tblCellMar>
          <w:left w:w="70" w:type="dxa"/>
          <w:right w:w="70" w:type="dxa"/>
        </w:tblCellMar>
        <w:tblLook w:val="04A0" w:firstRow="1" w:lastRow="0" w:firstColumn="1" w:lastColumn="0" w:noHBand="0" w:noVBand="1"/>
      </w:tblPr>
      <w:tblGrid>
        <w:gridCol w:w="3272"/>
        <w:gridCol w:w="2976"/>
        <w:gridCol w:w="5670"/>
        <w:gridCol w:w="2694"/>
      </w:tblGrid>
      <w:tr w:rsidR="00C023F2" w:rsidRPr="00917620" w:rsidTr="005F6EF9">
        <w:trPr>
          <w:trHeight w:val="645"/>
        </w:trPr>
        <w:tc>
          <w:tcPr>
            <w:tcW w:w="3272"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C023F2" w:rsidRPr="007323BE" w:rsidRDefault="00C023F2" w:rsidP="005F6EF9">
            <w:pPr>
              <w:rPr>
                <w:rFonts w:ascii="Times New Roman" w:hAnsi="Times New Roman"/>
              </w:rPr>
            </w:pPr>
            <w:r w:rsidRPr="007323BE">
              <w:rPr>
                <w:rFonts w:ascii="Times New Roman" w:hAnsi="Times New Roman"/>
              </w:rPr>
              <w:lastRenderedPageBreak/>
              <w:t>Questão de auditoria</w:t>
            </w:r>
          </w:p>
        </w:tc>
        <w:tc>
          <w:tcPr>
            <w:tcW w:w="2976" w:type="dxa"/>
            <w:tcBorders>
              <w:top w:val="single" w:sz="4" w:space="0" w:color="auto"/>
              <w:left w:val="nil"/>
              <w:bottom w:val="single" w:sz="4" w:space="0" w:color="auto"/>
              <w:right w:val="single" w:sz="4" w:space="0" w:color="auto"/>
            </w:tcBorders>
            <w:shd w:val="clear" w:color="000000" w:fill="D7E4BC"/>
            <w:noWrap/>
            <w:vAlign w:val="center"/>
            <w:hideMark/>
          </w:tcPr>
          <w:p w:rsidR="00C023F2" w:rsidRPr="009C0870" w:rsidRDefault="00C023F2" w:rsidP="005F6EF9">
            <w:pPr>
              <w:rPr>
                <w:rFonts w:ascii="Times New Roman" w:hAnsi="Times New Roman"/>
              </w:rPr>
            </w:pPr>
            <w:r w:rsidRPr="009C0870">
              <w:rPr>
                <w:rFonts w:ascii="Times New Roman" w:hAnsi="Times New Roman"/>
              </w:rPr>
              <w:t>Critérios</w:t>
            </w:r>
          </w:p>
        </w:tc>
        <w:tc>
          <w:tcPr>
            <w:tcW w:w="5670" w:type="dxa"/>
            <w:tcBorders>
              <w:top w:val="single" w:sz="4" w:space="0" w:color="auto"/>
              <w:left w:val="nil"/>
              <w:bottom w:val="nil"/>
              <w:right w:val="single" w:sz="4" w:space="0" w:color="auto"/>
            </w:tcBorders>
            <w:shd w:val="clear" w:color="000000" w:fill="D7E4BC"/>
            <w:vAlign w:val="center"/>
            <w:hideMark/>
          </w:tcPr>
          <w:p w:rsidR="00C023F2" w:rsidRPr="009C0870" w:rsidRDefault="00C023F2" w:rsidP="005F6EF9">
            <w:pPr>
              <w:rPr>
                <w:rFonts w:ascii="Times New Roman" w:hAnsi="Times New Roman"/>
              </w:rPr>
            </w:pPr>
            <w:r w:rsidRPr="009C0870">
              <w:rPr>
                <w:rFonts w:ascii="Times New Roman" w:hAnsi="Times New Roman"/>
              </w:rPr>
              <w:t>Procedimentos</w:t>
            </w:r>
          </w:p>
        </w:tc>
        <w:tc>
          <w:tcPr>
            <w:tcW w:w="2694" w:type="dxa"/>
            <w:tcBorders>
              <w:top w:val="single" w:sz="4" w:space="0" w:color="auto"/>
              <w:left w:val="nil"/>
              <w:bottom w:val="single" w:sz="4" w:space="0" w:color="auto"/>
              <w:right w:val="single" w:sz="4" w:space="0" w:color="auto"/>
            </w:tcBorders>
            <w:shd w:val="clear" w:color="000000" w:fill="D7E4BC"/>
            <w:vAlign w:val="center"/>
            <w:hideMark/>
          </w:tcPr>
          <w:p w:rsidR="00C023F2" w:rsidRPr="009C0870" w:rsidRDefault="00C023F2" w:rsidP="005F6EF9">
            <w:pPr>
              <w:rPr>
                <w:rFonts w:ascii="Times New Roman" w:hAnsi="Times New Roman"/>
              </w:rPr>
            </w:pPr>
            <w:r w:rsidRPr="009C0870">
              <w:rPr>
                <w:rFonts w:ascii="Times New Roman" w:hAnsi="Times New Roman"/>
              </w:rPr>
              <w:t>Achados</w:t>
            </w:r>
          </w:p>
        </w:tc>
      </w:tr>
      <w:tr w:rsidR="00C023F2" w:rsidRPr="00917620" w:rsidTr="005F6EF9">
        <w:trPr>
          <w:trHeight w:val="675"/>
        </w:trPr>
        <w:tc>
          <w:tcPr>
            <w:tcW w:w="3272" w:type="dxa"/>
            <w:vMerge w:val="restart"/>
            <w:tcBorders>
              <w:top w:val="single" w:sz="4" w:space="0" w:color="auto"/>
              <w:left w:val="single" w:sz="4" w:space="0" w:color="auto"/>
              <w:bottom w:val="single" w:sz="4" w:space="0" w:color="auto"/>
              <w:right w:val="single" w:sz="4" w:space="0" w:color="auto"/>
            </w:tcBorders>
            <w:vAlign w:val="center"/>
            <w:hideMark/>
          </w:tcPr>
          <w:p w:rsidR="00C023F2" w:rsidRPr="009C0870" w:rsidRDefault="00C023F2" w:rsidP="005F6EF9">
            <w:pPr>
              <w:jc w:val="center"/>
              <w:rPr>
                <w:rFonts w:ascii="Times New Roman" w:hAnsi="Times New Roman"/>
                <w:sz w:val="18"/>
                <w:szCs w:val="18"/>
              </w:rPr>
            </w:pPr>
            <w:r w:rsidRPr="007323BE">
              <w:rPr>
                <w:rFonts w:ascii="Times New Roman" w:hAnsi="Times New Roman"/>
                <w:sz w:val="18"/>
                <w:szCs w:val="18"/>
              </w:rPr>
              <w:t>2. Os mecanismos de governança de</w:t>
            </w:r>
            <w:r w:rsidRPr="009C0870">
              <w:rPr>
                <w:rFonts w:ascii="Times New Roman" w:hAnsi="Times New Roman"/>
                <w:sz w:val="18"/>
                <w:szCs w:val="18"/>
              </w:rPr>
              <w:t xml:space="preserve"> TI foram revistos, adaptados e implementados adequadamente, de maneira a abranger a adoção de computação em nuvem e gerenciar riscos inerentes à cloud?</w:t>
            </w:r>
          </w:p>
        </w:tc>
        <w:tc>
          <w:tcPr>
            <w:tcW w:w="2976" w:type="dxa"/>
            <w:tcBorders>
              <w:top w:val="nil"/>
              <w:left w:val="single" w:sz="4" w:space="0" w:color="auto"/>
              <w:bottom w:val="nil"/>
              <w:right w:val="single" w:sz="4" w:space="0" w:color="auto"/>
            </w:tcBorders>
            <w:shd w:val="clear" w:color="auto" w:fill="auto"/>
            <w:vAlign w:val="center"/>
            <w:hideMark/>
          </w:tcPr>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rPr>
              <w:t>COBIT APO10 - Manage Suppliers</w:t>
            </w:r>
          </w:p>
        </w:tc>
        <w:tc>
          <w:tcPr>
            <w:tcW w:w="5670" w:type="dxa"/>
            <w:tcBorders>
              <w:top w:val="single" w:sz="4" w:space="0" w:color="auto"/>
              <w:left w:val="nil"/>
              <w:bottom w:val="nil"/>
              <w:right w:val="single" w:sz="4" w:space="0" w:color="auto"/>
            </w:tcBorders>
            <w:shd w:val="clear" w:color="auto" w:fill="auto"/>
            <w:vAlign w:val="center"/>
            <w:hideMark/>
          </w:tcPr>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rPr>
              <w:t xml:space="preserve">Verificar se foram definidas cláusulas contratuais especificando nível esperado dos serviços (SLA) e mecanismos clássicos de gestão contratual de serviços terceirizados (comunicações formais, multas, rescisão etc) </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rPr>
              <w:t>Falhas contratuais relativas à governança</w:t>
            </w:r>
          </w:p>
        </w:tc>
      </w:tr>
      <w:tr w:rsidR="00C023F2" w:rsidRPr="00917620" w:rsidTr="005F6EF9">
        <w:trPr>
          <w:trHeight w:val="443"/>
        </w:trPr>
        <w:tc>
          <w:tcPr>
            <w:tcW w:w="3272" w:type="dxa"/>
            <w:vMerge/>
            <w:tcBorders>
              <w:left w:val="single" w:sz="4" w:space="0" w:color="auto"/>
              <w:bottom w:val="single" w:sz="4" w:space="0" w:color="auto"/>
              <w:right w:val="single" w:sz="4" w:space="0" w:color="auto"/>
            </w:tcBorders>
            <w:vAlign w:val="center"/>
            <w:hideMark/>
          </w:tcPr>
          <w:p w:rsidR="00C023F2" w:rsidRPr="006A3784" w:rsidRDefault="00C023F2" w:rsidP="005F6EF9">
            <w:pPr>
              <w:jc w:val="center"/>
              <w:rPr>
                <w:rFonts w:ascii="Times New Roman" w:hAnsi="Times New Roman"/>
                <w:sz w:val="18"/>
                <w:szCs w:val="18"/>
              </w:rPr>
            </w:pPr>
          </w:p>
        </w:tc>
        <w:tc>
          <w:tcPr>
            <w:tcW w:w="2976" w:type="dxa"/>
            <w:tcBorders>
              <w:top w:val="single" w:sz="4" w:space="0" w:color="auto"/>
              <w:left w:val="single" w:sz="4" w:space="0" w:color="auto"/>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COBIT APO10 - Manage Suppliers</w:t>
            </w: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foram definidas, no contrato, papéis e responsabilidades do provedor de serviços de nuvem e do cliente</w:t>
            </w:r>
          </w:p>
        </w:tc>
        <w:tc>
          <w:tcPr>
            <w:tcW w:w="2694"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846"/>
        </w:trPr>
        <w:tc>
          <w:tcPr>
            <w:tcW w:w="3272" w:type="dxa"/>
            <w:vMerge/>
            <w:tcBorders>
              <w:left w:val="single" w:sz="4" w:space="0" w:color="auto"/>
              <w:bottom w:val="single" w:sz="4" w:space="0" w:color="auto"/>
              <w:right w:val="single" w:sz="4" w:space="0" w:color="auto"/>
            </w:tcBorders>
            <w:vAlign w:val="center"/>
            <w:hideMark/>
          </w:tcPr>
          <w:p w:rsidR="00C023F2" w:rsidRPr="006A3784" w:rsidRDefault="00C023F2" w:rsidP="005F6EF9">
            <w:pPr>
              <w:jc w:val="center"/>
              <w:rPr>
                <w:rFonts w:ascii="Times New Roman" w:hAnsi="Times New Roman"/>
                <w:sz w:val="18"/>
                <w:szCs w:val="18"/>
              </w:rPr>
            </w:pPr>
          </w:p>
        </w:tc>
        <w:tc>
          <w:tcPr>
            <w:tcW w:w="2976" w:type="dxa"/>
            <w:tcBorders>
              <w:top w:val="single" w:sz="4" w:space="0" w:color="auto"/>
              <w:left w:val="single" w:sz="4" w:space="0" w:color="auto"/>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COBIT APO10 - Manage Suppliers</w:t>
            </w: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foram definidas cláusulas contratuais especificando mecanismos de segurança e proteção de propriedade intelectual, e quaisquer requisitos legais ou regulatórios</w:t>
            </w:r>
          </w:p>
        </w:tc>
        <w:tc>
          <w:tcPr>
            <w:tcW w:w="2694"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480"/>
        </w:trPr>
        <w:tc>
          <w:tcPr>
            <w:tcW w:w="3272" w:type="dxa"/>
            <w:vMerge/>
            <w:tcBorders>
              <w:left w:val="single" w:sz="4" w:space="0" w:color="auto"/>
              <w:bottom w:val="single" w:sz="4" w:space="0" w:color="auto"/>
              <w:right w:val="single" w:sz="4" w:space="0" w:color="auto"/>
            </w:tcBorders>
            <w:vAlign w:val="center"/>
            <w:hideMark/>
          </w:tcPr>
          <w:p w:rsidR="00C023F2" w:rsidRPr="006A3784" w:rsidRDefault="00C023F2" w:rsidP="005F6EF9">
            <w:pPr>
              <w:jc w:val="center"/>
              <w:rPr>
                <w:rFonts w:ascii="Times New Roman" w:hAnsi="Times New Roman"/>
                <w:sz w:val="18"/>
                <w:szCs w:val="18"/>
              </w:rPr>
            </w:pPr>
          </w:p>
        </w:tc>
        <w:tc>
          <w:tcPr>
            <w:tcW w:w="2976" w:type="dxa"/>
            <w:tcBorders>
              <w:top w:val="single" w:sz="4" w:space="0" w:color="auto"/>
              <w:left w:val="single" w:sz="4" w:space="0" w:color="auto"/>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COBIT APO10 - Manage Suppliers</w:t>
            </w: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foram estabelecidos processos ágeis de contratação e migração para provedores alternativos, em caso de falhas do provedor principal</w:t>
            </w:r>
          </w:p>
        </w:tc>
        <w:tc>
          <w:tcPr>
            <w:tcW w:w="2694"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561"/>
        </w:trPr>
        <w:tc>
          <w:tcPr>
            <w:tcW w:w="3272" w:type="dxa"/>
            <w:vMerge/>
            <w:tcBorders>
              <w:left w:val="single" w:sz="4" w:space="0" w:color="auto"/>
              <w:bottom w:val="single" w:sz="4" w:space="0" w:color="auto"/>
              <w:right w:val="single" w:sz="4" w:space="0" w:color="auto"/>
            </w:tcBorders>
            <w:vAlign w:val="center"/>
            <w:hideMark/>
          </w:tcPr>
          <w:p w:rsidR="00C023F2" w:rsidRPr="006A3784" w:rsidRDefault="00C023F2" w:rsidP="005F6EF9">
            <w:pPr>
              <w:jc w:val="cente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COBIT APO04 - Manage Innovation</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a existência de política institucional de incentivo à inovação de maneira a convertê-la em parte da cultura organizacional</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Ausência de política institucional de incentivo à inovação</w:t>
            </w:r>
          </w:p>
        </w:tc>
      </w:tr>
      <w:tr w:rsidR="00C023F2" w:rsidRPr="00917620" w:rsidTr="005F6EF9">
        <w:trPr>
          <w:trHeight w:val="852"/>
        </w:trPr>
        <w:tc>
          <w:tcPr>
            <w:tcW w:w="3272" w:type="dxa"/>
            <w:vMerge/>
            <w:tcBorders>
              <w:left w:val="single" w:sz="4" w:space="0" w:color="auto"/>
              <w:bottom w:val="single" w:sz="4" w:space="0" w:color="auto"/>
              <w:right w:val="single" w:sz="4" w:space="0" w:color="auto"/>
            </w:tcBorders>
            <w:vAlign w:val="center"/>
            <w:hideMark/>
          </w:tcPr>
          <w:p w:rsidR="00C023F2" w:rsidRPr="006A3784" w:rsidRDefault="00C023F2" w:rsidP="005F6EF9">
            <w:pPr>
              <w:jc w:val="center"/>
              <w:rPr>
                <w:rFonts w:ascii="Times New Roman" w:hAnsi="Times New Roman"/>
                <w:sz w:val="18"/>
                <w:szCs w:val="18"/>
              </w:rPr>
            </w:pPr>
          </w:p>
        </w:tc>
        <w:tc>
          <w:tcPr>
            <w:tcW w:w="2976" w:type="dxa"/>
            <w:tcBorders>
              <w:top w:val="single" w:sz="4" w:space="0" w:color="auto"/>
              <w:left w:val="single" w:sz="4" w:space="0" w:color="auto"/>
              <w:bottom w:val="nil"/>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 xml:space="preserve">COBIT MEA03 - Ensure Compliance With External Requirements; </w:t>
            </w:r>
            <w:r w:rsidRPr="006A3784">
              <w:rPr>
                <w:rFonts w:ascii="Times New Roman" w:hAnsi="Times New Roman"/>
                <w:sz w:val="18"/>
                <w:szCs w:val="18"/>
                <w:lang w:val="en-US"/>
              </w:rPr>
              <w:br/>
              <w:t>CSA CCM AAC-03</w:t>
            </w: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a organização é capaz de assegurar a conformidade dos dados e aplicações hospedadas na nuvem com os requisitos de padrões, legais e regulatórios, aos quais o negócio está sujeito, de maneira contínua e atualizada.</w:t>
            </w:r>
          </w:p>
        </w:tc>
        <w:tc>
          <w:tcPr>
            <w:tcW w:w="2694" w:type="dxa"/>
            <w:tcBorders>
              <w:top w:val="single" w:sz="4" w:space="0" w:color="auto"/>
              <w:left w:val="nil"/>
              <w:bottom w:val="nil"/>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Não aderência de dados e aplicações hospedados na nuvem a padrões e legislação pertinentes</w:t>
            </w:r>
          </w:p>
        </w:tc>
      </w:tr>
      <w:tr w:rsidR="00C023F2" w:rsidRPr="00917620" w:rsidTr="005F6EF9">
        <w:trPr>
          <w:trHeight w:val="695"/>
        </w:trPr>
        <w:tc>
          <w:tcPr>
            <w:tcW w:w="3272" w:type="dxa"/>
            <w:vMerge/>
            <w:tcBorders>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nil"/>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Decreto 8.135/2013;</w:t>
            </w:r>
            <w:r w:rsidRPr="006A3784">
              <w:rPr>
                <w:rFonts w:ascii="Times New Roman" w:hAnsi="Times New Roman"/>
                <w:sz w:val="18"/>
                <w:szCs w:val="18"/>
              </w:rPr>
              <w:br/>
              <w:t>Portaria Interministerial 141/2014</w:t>
            </w: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na fase de planejamento da contratação, observou-se a possibilidade de enquadramento do objeto como "comunicação de dados da APF" (art. 1º e art. 11 da Portaria Interministerial 141/2014)</w:t>
            </w:r>
          </w:p>
        </w:tc>
        <w:tc>
          <w:tcPr>
            <w:tcW w:w="26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Desconformidade, total ou parcial, da contratação de serviços de computação em nuvem aos requisitos legais e normativos brasileiros aplicáveis à APF</w:t>
            </w:r>
          </w:p>
        </w:tc>
      </w:tr>
      <w:tr w:rsidR="00C023F2" w:rsidRPr="00917620" w:rsidTr="005F6EF9">
        <w:trPr>
          <w:trHeight w:val="988"/>
        </w:trPr>
        <w:tc>
          <w:tcPr>
            <w:tcW w:w="3272" w:type="dxa"/>
            <w:vMerge/>
            <w:tcBorders>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Portaria Interministerial 141/2014</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a organização consultou a disponibilidade dos provedores públicos de atender as especificações técnicas e níveis de serviço do objeto da contratação, até o término da fase de planejamento da contratação (Portaria Interministerial 141/2014, art. 5º, § 3º)</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1116"/>
        </w:trPr>
        <w:tc>
          <w:tcPr>
            <w:tcW w:w="3272" w:type="dxa"/>
            <w:vMerge/>
            <w:tcBorders>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Portaria Interministerial 141/2014</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a organização observou os requisitos comuns de implementação dos serviços estabelecidos pela Portaria Interministerial 141/2014: padrões do e-Ping (art. 8º) e obrigações que devem estar contidas no termo de referência ou projeto básico e no contrato (art. 9º), especialmente no caso de contratação de fornecedor privado</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1185"/>
        </w:trPr>
        <w:tc>
          <w:tcPr>
            <w:tcW w:w="3272" w:type="dxa"/>
            <w:vMerge/>
            <w:tcBorders>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Portaria Interministerial 141/2014</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foram observados os requisitos específicos de implementação dos serviços estabelecidos pela Portaria Interministerial 141/2014: requisitos mínimos para serviços de redes de telecomunicações (art. 10) e critérios mínimos de segurança da informação (art. 12), especialmente no caso de contratação de fornecedor privado</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bl>
    <w:p w:rsidR="00C023F2" w:rsidRPr="00917620" w:rsidRDefault="00C023F2" w:rsidP="00C023F2"/>
    <w:tbl>
      <w:tblPr>
        <w:tblW w:w="14612" w:type="dxa"/>
        <w:tblInd w:w="59" w:type="dxa"/>
        <w:tblLayout w:type="fixed"/>
        <w:tblCellMar>
          <w:left w:w="70" w:type="dxa"/>
          <w:right w:w="70" w:type="dxa"/>
        </w:tblCellMar>
        <w:tblLook w:val="04A0" w:firstRow="1" w:lastRow="0" w:firstColumn="1" w:lastColumn="0" w:noHBand="0" w:noVBand="1"/>
      </w:tblPr>
      <w:tblGrid>
        <w:gridCol w:w="3272"/>
        <w:gridCol w:w="2976"/>
        <w:gridCol w:w="5670"/>
        <w:gridCol w:w="2694"/>
      </w:tblGrid>
      <w:tr w:rsidR="00C023F2" w:rsidRPr="00917620" w:rsidTr="005F6EF9">
        <w:trPr>
          <w:trHeight w:val="645"/>
        </w:trPr>
        <w:tc>
          <w:tcPr>
            <w:tcW w:w="3272"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C023F2" w:rsidRPr="007323BE" w:rsidRDefault="00C023F2" w:rsidP="005F6EF9">
            <w:pPr>
              <w:rPr>
                <w:rFonts w:ascii="Times New Roman" w:hAnsi="Times New Roman"/>
              </w:rPr>
            </w:pPr>
            <w:r w:rsidRPr="007323BE">
              <w:rPr>
                <w:rFonts w:ascii="Times New Roman" w:hAnsi="Times New Roman"/>
              </w:rPr>
              <w:t>Questão de auditoria</w:t>
            </w:r>
          </w:p>
        </w:tc>
        <w:tc>
          <w:tcPr>
            <w:tcW w:w="2976" w:type="dxa"/>
            <w:tcBorders>
              <w:top w:val="single" w:sz="4" w:space="0" w:color="auto"/>
              <w:left w:val="nil"/>
              <w:bottom w:val="single" w:sz="4" w:space="0" w:color="auto"/>
              <w:right w:val="single" w:sz="4" w:space="0" w:color="auto"/>
            </w:tcBorders>
            <w:shd w:val="clear" w:color="000000" w:fill="D7E4BC"/>
            <w:noWrap/>
            <w:vAlign w:val="center"/>
            <w:hideMark/>
          </w:tcPr>
          <w:p w:rsidR="00C023F2" w:rsidRPr="009C0870" w:rsidRDefault="00C023F2" w:rsidP="005F6EF9">
            <w:pPr>
              <w:rPr>
                <w:rFonts w:ascii="Times New Roman" w:hAnsi="Times New Roman"/>
              </w:rPr>
            </w:pPr>
            <w:r w:rsidRPr="009C0870">
              <w:rPr>
                <w:rFonts w:ascii="Times New Roman" w:hAnsi="Times New Roman"/>
              </w:rPr>
              <w:t>Critérios</w:t>
            </w:r>
          </w:p>
        </w:tc>
        <w:tc>
          <w:tcPr>
            <w:tcW w:w="5670" w:type="dxa"/>
            <w:tcBorders>
              <w:top w:val="single" w:sz="4" w:space="0" w:color="auto"/>
              <w:left w:val="nil"/>
              <w:bottom w:val="nil"/>
              <w:right w:val="single" w:sz="4" w:space="0" w:color="auto"/>
            </w:tcBorders>
            <w:shd w:val="clear" w:color="000000" w:fill="D7E4BC"/>
            <w:vAlign w:val="center"/>
            <w:hideMark/>
          </w:tcPr>
          <w:p w:rsidR="00C023F2" w:rsidRPr="009C0870" w:rsidRDefault="00C023F2" w:rsidP="005F6EF9">
            <w:pPr>
              <w:rPr>
                <w:rFonts w:ascii="Times New Roman" w:hAnsi="Times New Roman"/>
              </w:rPr>
            </w:pPr>
            <w:r w:rsidRPr="009C0870">
              <w:rPr>
                <w:rFonts w:ascii="Times New Roman" w:hAnsi="Times New Roman"/>
              </w:rPr>
              <w:t>Procedimentos</w:t>
            </w:r>
          </w:p>
        </w:tc>
        <w:tc>
          <w:tcPr>
            <w:tcW w:w="2694" w:type="dxa"/>
            <w:tcBorders>
              <w:top w:val="single" w:sz="4" w:space="0" w:color="auto"/>
              <w:left w:val="nil"/>
              <w:bottom w:val="single" w:sz="4" w:space="0" w:color="auto"/>
              <w:right w:val="single" w:sz="4" w:space="0" w:color="auto"/>
            </w:tcBorders>
            <w:shd w:val="clear" w:color="000000" w:fill="D7E4BC"/>
            <w:vAlign w:val="center"/>
            <w:hideMark/>
          </w:tcPr>
          <w:p w:rsidR="00C023F2" w:rsidRPr="009C0870" w:rsidRDefault="00C023F2" w:rsidP="005F6EF9">
            <w:pPr>
              <w:rPr>
                <w:rFonts w:ascii="Times New Roman" w:hAnsi="Times New Roman"/>
              </w:rPr>
            </w:pPr>
            <w:r w:rsidRPr="009C0870">
              <w:rPr>
                <w:rFonts w:ascii="Times New Roman" w:hAnsi="Times New Roman"/>
              </w:rPr>
              <w:t>Achados</w:t>
            </w:r>
          </w:p>
        </w:tc>
      </w:tr>
      <w:tr w:rsidR="00C023F2" w:rsidRPr="00917620" w:rsidTr="005F6EF9">
        <w:trPr>
          <w:trHeight w:val="1206"/>
        </w:trPr>
        <w:tc>
          <w:tcPr>
            <w:tcW w:w="3272" w:type="dxa"/>
            <w:vMerge w:val="restart"/>
            <w:tcBorders>
              <w:left w:val="single" w:sz="4" w:space="0" w:color="auto"/>
              <w:right w:val="single" w:sz="4" w:space="0" w:color="auto"/>
            </w:tcBorders>
            <w:vAlign w:val="center"/>
            <w:hideMark/>
          </w:tcPr>
          <w:p w:rsidR="00C023F2" w:rsidRPr="009C0870" w:rsidRDefault="00C023F2" w:rsidP="005F6EF9">
            <w:pPr>
              <w:jc w:val="center"/>
              <w:rPr>
                <w:rFonts w:ascii="Times New Roman" w:hAnsi="Times New Roman"/>
                <w:sz w:val="18"/>
                <w:szCs w:val="18"/>
              </w:rPr>
            </w:pPr>
            <w:r w:rsidRPr="007323BE">
              <w:rPr>
                <w:rFonts w:ascii="Times New Roman" w:hAnsi="Times New Roman"/>
                <w:sz w:val="18"/>
                <w:szCs w:val="18"/>
              </w:rPr>
              <w:t xml:space="preserve">2. Os mecanismos de governança de TI foram revistos, adaptados e implementados adequadamente, de maneira a abranger a adoção de computação em nuvem e </w:t>
            </w:r>
            <w:r w:rsidRPr="009C0870">
              <w:rPr>
                <w:rFonts w:ascii="Times New Roman" w:hAnsi="Times New Roman"/>
                <w:sz w:val="18"/>
                <w:szCs w:val="18"/>
              </w:rPr>
              <w:t>gerenciar riscos inerentes à cloud?</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rPr>
              <w:t>Portaria Interministerial 141/2014</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rPr>
              <w:t>Verificar que foram observados os requisitos de auditoria de programas e equipamentos estabelecidos pela Portaria Interministerial 141/2014 (arts. 13 e 14), os quais deverão estar previstos no termo de referência ou projeto básico e no contrato, especialmente no caso de contratação de fornecedor privado</w:t>
            </w:r>
          </w:p>
        </w:tc>
        <w:tc>
          <w:tcPr>
            <w:tcW w:w="2694" w:type="dxa"/>
            <w:vMerge w:val="restart"/>
            <w:tcBorders>
              <w:top w:val="single" w:sz="4" w:space="0" w:color="auto"/>
              <w:left w:val="single" w:sz="4" w:space="0" w:color="auto"/>
              <w:right w:val="single" w:sz="4" w:space="0" w:color="auto"/>
            </w:tcBorders>
            <w:vAlign w:val="center"/>
            <w:hideMark/>
          </w:tcPr>
          <w:p w:rsidR="00C023F2" w:rsidRPr="007D25E6" w:rsidRDefault="00C023F2" w:rsidP="005F6EF9">
            <w:pPr>
              <w:jc w:val="center"/>
              <w:rPr>
                <w:rFonts w:ascii="Times New Roman" w:hAnsi="Times New Roman"/>
                <w:sz w:val="18"/>
                <w:szCs w:val="18"/>
              </w:rPr>
            </w:pPr>
            <w:r w:rsidRPr="009C0870">
              <w:rPr>
                <w:rFonts w:ascii="Times New Roman" w:hAnsi="Times New Roman"/>
                <w:sz w:val="18"/>
                <w:szCs w:val="18"/>
              </w:rPr>
              <w:t>Desconformidade, t</w:t>
            </w:r>
            <w:r w:rsidRPr="007D25E6">
              <w:rPr>
                <w:rFonts w:ascii="Times New Roman" w:hAnsi="Times New Roman"/>
                <w:sz w:val="18"/>
                <w:szCs w:val="18"/>
              </w:rPr>
              <w:t>otal ou parcial, da contratação de serviços de computação em nuvem aos requisitos legais e normativos brasileiros aplicáveis à APF</w:t>
            </w:r>
          </w:p>
        </w:tc>
      </w:tr>
      <w:tr w:rsidR="00C023F2" w:rsidRPr="00917620" w:rsidTr="005F6EF9">
        <w:trPr>
          <w:trHeight w:val="645"/>
        </w:trPr>
        <w:tc>
          <w:tcPr>
            <w:tcW w:w="3272" w:type="dxa"/>
            <w:vMerge/>
            <w:tcBorders>
              <w:left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nil"/>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Item 4.2.3 da Norma Complementar 19/IN01/DSIC/GSIPR</w:t>
            </w: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no caso de infraestrutura de nuvem para sistemas estruturantes da APF, a organização contratou órgão ou entidade da APF</w:t>
            </w:r>
          </w:p>
        </w:tc>
        <w:tc>
          <w:tcPr>
            <w:tcW w:w="2694" w:type="dxa"/>
            <w:vMerge/>
            <w:tcBorders>
              <w:left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1176"/>
        </w:trPr>
        <w:tc>
          <w:tcPr>
            <w:tcW w:w="3272" w:type="dxa"/>
            <w:vMerge/>
            <w:tcBorders>
              <w:left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nil"/>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Item 5.1 da Norma Complementar 14/IN01/DSIC/GSIPR</w:t>
            </w: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antes de adotar a tecnologia de computação em nuvem, a organização observou as diretrizes da sua Política de Segurança da Informação e Comunicações (SIC), do seu processo de Gestão de Riscos de SIC e do seu processo de Gestão de Continuidade de Negócios nos aspectos relacionados à SIC</w:t>
            </w:r>
          </w:p>
        </w:tc>
        <w:tc>
          <w:tcPr>
            <w:tcW w:w="2694" w:type="dxa"/>
            <w:vMerge/>
            <w:tcBorders>
              <w:left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1785"/>
        </w:trPr>
        <w:tc>
          <w:tcPr>
            <w:tcW w:w="3272" w:type="dxa"/>
            <w:vMerge/>
            <w:tcBorders>
              <w:left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nil"/>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Item 5.2 da Norma Complementar 14/IN01/DSIC/GSIPR</w:t>
            </w: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ao contratar ou implementar um serviço de computação em nuvem, a organização verificou que o ambiente, incluindo infraestrutura e canal de comunicação, estava aderente às diretrizes e normas de SIC do GSI/PR, que a legislação brasileira prevaleça e que o contrato de prestação de serviço contenha cláusulas de segurança quanto às informações hospedadas na nuvem</w:t>
            </w:r>
          </w:p>
        </w:tc>
        <w:tc>
          <w:tcPr>
            <w:tcW w:w="2694" w:type="dxa"/>
            <w:vMerge/>
            <w:tcBorders>
              <w:left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1515"/>
        </w:trPr>
        <w:tc>
          <w:tcPr>
            <w:tcW w:w="3272" w:type="dxa"/>
            <w:vMerge/>
            <w:tcBorders>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Item 5.3 da Norma Complementar 14/IN01/DSIC/GSIPR</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a organização avaliou quais informações seriam hospedadas na nuvem, considerando o processo de classificação da informação, o valor do ativo de informação, os controles de acesso físicos e lógicos, o modelo de serviço e de implementação de computação em nuvem e a localização geográfica onde as informações seriam armazenadas</w:t>
            </w:r>
          </w:p>
        </w:tc>
        <w:tc>
          <w:tcPr>
            <w:tcW w:w="2694" w:type="dxa"/>
            <w:vMerge/>
            <w:tcBorders>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bl>
    <w:p w:rsidR="00C023F2" w:rsidRPr="00917620" w:rsidRDefault="00C023F2" w:rsidP="00C023F2"/>
    <w:p w:rsidR="00C023F2" w:rsidRPr="00917620" w:rsidRDefault="00C023F2" w:rsidP="00C023F2"/>
    <w:p w:rsidR="00C023F2" w:rsidRPr="00917620" w:rsidRDefault="00C023F2" w:rsidP="00C023F2"/>
    <w:p w:rsidR="00C023F2" w:rsidRPr="00917620" w:rsidRDefault="00C023F2" w:rsidP="00C023F2"/>
    <w:tbl>
      <w:tblPr>
        <w:tblW w:w="14612" w:type="dxa"/>
        <w:tblInd w:w="59" w:type="dxa"/>
        <w:tblLayout w:type="fixed"/>
        <w:tblCellMar>
          <w:left w:w="70" w:type="dxa"/>
          <w:right w:w="70" w:type="dxa"/>
        </w:tblCellMar>
        <w:tblLook w:val="04A0" w:firstRow="1" w:lastRow="0" w:firstColumn="1" w:lastColumn="0" w:noHBand="0" w:noVBand="1"/>
      </w:tblPr>
      <w:tblGrid>
        <w:gridCol w:w="3272"/>
        <w:gridCol w:w="2976"/>
        <w:gridCol w:w="5670"/>
        <w:gridCol w:w="2694"/>
      </w:tblGrid>
      <w:tr w:rsidR="00C023F2" w:rsidRPr="00917620" w:rsidTr="005F6EF9">
        <w:trPr>
          <w:trHeight w:val="645"/>
        </w:trPr>
        <w:tc>
          <w:tcPr>
            <w:tcW w:w="3272"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C023F2" w:rsidRPr="007323BE" w:rsidRDefault="00C023F2" w:rsidP="005F6EF9">
            <w:pPr>
              <w:rPr>
                <w:rFonts w:ascii="Times New Roman" w:hAnsi="Times New Roman"/>
              </w:rPr>
            </w:pPr>
            <w:r w:rsidRPr="007323BE">
              <w:rPr>
                <w:rFonts w:ascii="Times New Roman" w:hAnsi="Times New Roman"/>
              </w:rPr>
              <w:lastRenderedPageBreak/>
              <w:t>Questão de auditoria</w:t>
            </w:r>
          </w:p>
        </w:tc>
        <w:tc>
          <w:tcPr>
            <w:tcW w:w="2976" w:type="dxa"/>
            <w:tcBorders>
              <w:top w:val="single" w:sz="4" w:space="0" w:color="auto"/>
              <w:left w:val="nil"/>
              <w:bottom w:val="single" w:sz="4" w:space="0" w:color="auto"/>
              <w:right w:val="single" w:sz="4" w:space="0" w:color="auto"/>
            </w:tcBorders>
            <w:shd w:val="clear" w:color="000000" w:fill="D7E4BC"/>
            <w:noWrap/>
            <w:vAlign w:val="center"/>
            <w:hideMark/>
          </w:tcPr>
          <w:p w:rsidR="00C023F2" w:rsidRPr="009C0870" w:rsidRDefault="00C023F2" w:rsidP="005F6EF9">
            <w:pPr>
              <w:rPr>
                <w:rFonts w:ascii="Times New Roman" w:hAnsi="Times New Roman"/>
              </w:rPr>
            </w:pPr>
            <w:r w:rsidRPr="009C0870">
              <w:rPr>
                <w:rFonts w:ascii="Times New Roman" w:hAnsi="Times New Roman"/>
              </w:rPr>
              <w:t>Critérios</w:t>
            </w:r>
          </w:p>
        </w:tc>
        <w:tc>
          <w:tcPr>
            <w:tcW w:w="5670" w:type="dxa"/>
            <w:tcBorders>
              <w:top w:val="single" w:sz="4" w:space="0" w:color="auto"/>
              <w:left w:val="nil"/>
              <w:bottom w:val="single" w:sz="4" w:space="0" w:color="auto"/>
              <w:right w:val="single" w:sz="4" w:space="0" w:color="auto"/>
            </w:tcBorders>
            <w:shd w:val="clear" w:color="000000" w:fill="D7E4BC"/>
            <w:vAlign w:val="center"/>
            <w:hideMark/>
          </w:tcPr>
          <w:p w:rsidR="00C023F2" w:rsidRPr="009C0870" w:rsidRDefault="00C023F2" w:rsidP="005F6EF9">
            <w:pPr>
              <w:rPr>
                <w:rFonts w:ascii="Times New Roman" w:hAnsi="Times New Roman"/>
              </w:rPr>
            </w:pPr>
            <w:r w:rsidRPr="009C0870">
              <w:rPr>
                <w:rFonts w:ascii="Times New Roman" w:hAnsi="Times New Roman"/>
              </w:rPr>
              <w:t>Procedimentos</w:t>
            </w:r>
          </w:p>
        </w:tc>
        <w:tc>
          <w:tcPr>
            <w:tcW w:w="2694" w:type="dxa"/>
            <w:tcBorders>
              <w:top w:val="single" w:sz="4" w:space="0" w:color="auto"/>
              <w:left w:val="nil"/>
              <w:bottom w:val="single" w:sz="4" w:space="0" w:color="auto"/>
              <w:right w:val="single" w:sz="4" w:space="0" w:color="auto"/>
            </w:tcBorders>
            <w:shd w:val="clear" w:color="000000" w:fill="D7E4BC"/>
            <w:vAlign w:val="center"/>
            <w:hideMark/>
          </w:tcPr>
          <w:p w:rsidR="00C023F2" w:rsidRPr="009C0870" w:rsidRDefault="00C023F2" w:rsidP="005F6EF9">
            <w:pPr>
              <w:rPr>
                <w:rFonts w:ascii="Times New Roman" w:hAnsi="Times New Roman"/>
              </w:rPr>
            </w:pPr>
            <w:r w:rsidRPr="009C0870">
              <w:rPr>
                <w:rFonts w:ascii="Times New Roman" w:hAnsi="Times New Roman"/>
              </w:rPr>
              <w:t>Achados</w:t>
            </w:r>
          </w:p>
        </w:tc>
      </w:tr>
      <w:tr w:rsidR="00C023F2" w:rsidRPr="00917620" w:rsidTr="005F6EF9">
        <w:trPr>
          <w:trHeight w:val="781"/>
        </w:trPr>
        <w:tc>
          <w:tcPr>
            <w:tcW w:w="3272" w:type="dxa"/>
            <w:vMerge w:val="restart"/>
            <w:tcBorders>
              <w:top w:val="single" w:sz="4" w:space="0" w:color="auto"/>
              <w:left w:val="single" w:sz="4" w:space="0" w:color="auto"/>
              <w:bottom w:val="single" w:sz="4" w:space="0" w:color="auto"/>
              <w:right w:val="nil"/>
            </w:tcBorders>
            <w:shd w:val="clear" w:color="auto" w:fill="auto"/>
            <w:vAlign w:val="center"/>
            <w:hideMark/>
          </w:tcPr>
          <w:p w:rsidR="00C023F2" w:rsidRPr="009C0870" w:rsidRDefault="00C023F2" w:rsidP="005F6EF9">
            <w:pPr>
              <w:jc w:val="center"/>
              <w:rPr>
                <w:rFonts w:ascii="Times New Roman" w:hAnsi="Times New Roman"/>
                <w:sz w:val="18"/>
                <w:szCs w:val="18"/>
              </w:rPr>
            </w:pPr>
            <w:r w:rsidRPr="007323BE">
              <w:rPr>
                <w:rFonts w:ascii="Times New Roman" w:hAnsi="Times New Roman"/>
                <w:sz w:val="18"/>
                <w:szCs w:val="18"/>
              </w:rPr>
              <w:t xml:space="preserve">3. Foram definidos dispositivos contratuais e mecanismos de gestão contratual adequados para a contratação de serviços de computação em </w:t>
            </w:r>
            <w:r w:rsidRPr="009C0870">
              <w:rPr>
                <w:rFonts w:ascii="Times New Roman" w:hAnsi="Times New Roman"/>
                <w:sz w:val="18"/>
                <w:szCs w:val="18"/>
              </w:rPr>
              <w:t>nuvem?</w:t>
            </w:r>
          </w:p>
        </w:tc>
        <w:tc>
          <w:tcPr>
            <w:tcW w:w="29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3F2" w:rsidRPr="009C0870" w:rsidRDefault="00C023F2" w:rsidP="005F6EF9">
            <w:pPr>
              <w:jc w:val="center"/>
              <w:rPr>
                <w:rFonts w:ascii="Times New Roman" w:hAnsi="Times New Roman"/>
                <w:sz w:val="18"/>
                <w:szCs w:val="18"/>
                <w:lang w:val="en-US"/>
              </w:rPr>
            </w:pPr>
            <w:r w:rsidRPr="009C0870">
              <w:rPr>
                <w:rFonts w:ascii="Times New Roman" w:hAnsi="Times New Roman"/>
                <w:sz w:val="18"/>
                <w:szCs w:val="18"/>
                <w:lang w:val="en-US"/>
              </w:rPr>
              <w:t>COBIT APO9 - Manage Service Agreements</w:t>
            </w:r>
          </w:p>
        </w:tc>
        <w:tc>
          <w:tcPr>
            <w:tcW w:w="5670" w:type="dxa"/>
            <w:tcBorders>
              <w:top w:val="single" w:sz="4" w:space="0" w:color="auto"/>
              <w:left w:val="nil"/>
              <w:bottom w:val="nil"/>
              <w:right w:val="single" w:sz="4" w:space="0" w:color="auto"/>
            </w:tcBorders>
            <w:shd w:val="clear" w:color="auto" w:fill="auto"/>
            <w:vAlign w:val="center"/>
            <w:hideMark/>
          </w:tcPr>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rPr>
              <w:t>Verificar se foram previstos e implantados dispositivos contratuais para assegurar os níveis de serviço no caso de interrupções de serviço planejadas ou não planejadas</w:t>
            </w:r>
          </w:p>
        </w:tc>
        <w:tc>
          <w:tcPr>
            <w:tcW w:w="26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rPr>
              <w:t>Falhas contratuais relativas a acordos de níveis de serviço (SLAs)</w:t>
            </w:r>
            <w:r w:rsidRPr="009C0870">
              <w:rPr>
                <w:rFonts w:ascii="Times New Roman" w:hAnsi="Times New Roman"/>
                <w:sz w:val="18"/>
                <w:szCs w:val="18"/>
              </w:rPr>
              <w:br/>
              <w:t>Falhas na gestão contratual relativas a implantação de acordos de níveis de serviço (SLAs)</w:t>
            </w:r>
          </w:p>
        </w:tc>
      </w:tr>
      <w:tr w:rsidR="00C023F2" w:rsidRPr="00917620" w:rsidTr="005F6EF9">
        <w:trPr>
          <w:trHeight w:val="834"/>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foi definido em contrato modelo de remuneração vinculada aos níveis de serviço estabelecidos, prevendo glosas no caso de descumprimento de parâmetros mínimos</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705"/>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foram definidas em contrato sanções no caso de descumprimento reiterado de parâmetros mínimos de níveis de serviço estabelecidos</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984"/>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single" w:sz="4" w:space="0" w:color="auto"/>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 xml:space="preserve"> Verificar se foram previstas soluções de contingência independentes do provedor específico (portabilidade do serviço para outro fornecedor, contrato de contingência em caso de falha do fornecedor principal, espelhamento do serviço em infraestrutura própria etc)</w:t>
            </w:r>
          </w:p>
        </w:tc>
        <w:tc>
          <w:tcPr>
            <w:tcW w:w="2694" w:type="dxa"/>
            <w:tcBorders>
              <w:top w:val="nil"/>
              <w:left w:val="nil"/>
              <w:bottom w:val="nil"/>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Falhas na gestão de continuidade de negócios</w:t>
            </w:r>
          </w:p>
        </w:tc>
      </w:tr>
      <w:tr w:rsidR="00C023F2" w:rsidRPr="00917620" w:rsidTr="005F6EF9">
        <w:trPr>
          <w:trHeight w:val="843"/>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APO9 - Manage Service Agreements; COBIT APO13 - Manage Security</w:t>
            </w: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lang w:val="en-US"/>
              </w:rPr>
              <w:t xml:space="preserve"> </w:t>
            </w:r>
            <w:r w:rsidRPr="006A3784">
              <w:rPr>
                <w:rFonts w:ascii="Times New Roman" w:hAnsi="Times New Roman"/>
                <w:sz w:val="18"/>
                <w:szCs w:val="18"/>
              </w:rPr>
              <w:t>Verificar que há controles para assegurar que todas as vulnerabilidades sejam priorizadas e corrigidas dentro de SLAs acordados contratualmente entre cliente e provedor</w:t>
            </w:r>
          </w:p>
        </w:tc>
        <w:tc>
          <w:tcPr>
            <w:tcW w:w="26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Falhas contratuais relativas a acordos de níveis de serviço (SLAs)</w:t>
            </w:r>
            <w:r w:rsidRPr="006A3784">
              <w:rPr>
                <w:rFonts w:ascii="Times New Roman" w:hAnsi="Times New Roman"/>
                <w:sz w:val="18"/>
                <w:szCs w:val="18"/>
              </w:rPr>
              <w:br/>
              <w:t>Falhas na gestão contratual relativas a implantação de acordos de níveis de serviço (SLAs)</w:t>
            </w:r>
          </w:p>
        </w:tc>
      </w:tr>
      <w:tr w:rsidR="00C023F2" w:rsidRPr="00917620" w:rsidTr="005F6EF9">
        <w:trPr>
          <w:trHeight w:val="543"/>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Avaliar se o processo de gestão de vulnerabilidades do provedor é transparente ao cliente</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1855"/>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COBIT APO10 - Manage Suppliers</w:t>
            </w: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foram definidos e implantados no contrato: divisão de papéis entre cliente e provedor; e estabelecimento de indicadores claros e precisos tanto de ambiente como de segurança, com responsáveis pelo seu monitoramento e disponibilização</w:t>
            </w:r>
          </w:p>
        </w:tc>
        <w:tc>
          <w:tcPr>
            <w:tcW w:w="2694" w:type="dxa"/>
            <w:tcBorders>
              <w:top w:val="nil"/>
              <w:left w:val="nil"/>
              <w:bottom w:val="nil"/>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Falhas contratuais relativas à divisão de responsabilidades entre cliente e provedor</w:t>
            </w:r>
            <w:r w:rsidRPr="006A3784">
              <w:rPr>
                <w:rFonts w:ascii="Times New Roman" w:hAnsi="Times New Roman"/>
                <w:sz w:val="18"/>
                <w:szCs w:val="18"/>
              </w:rPr>
              <w:br/>
              <w:t xml:space="preserve"> Falhas contratuais no estabelecimento de indicadores</w:t>
            </w:r>
            <w:r w:rsidRPr="006A3784">
              <w:rPr>
                <w:rFonts w:ascii="Times New Roman" w:hAnsi="Times New Roman"/>
                <w:sz w:val="18"/>
                <w:szCs w:val="18"/>
              </w:rPr>
              <w:br/>
              <w:t>Falhas de gestão contratual relativas ao monitoramento de indicadores</w:t>
            </w:r>
          </w:p>
        </w:tc>
      </w:tr>
      <w:tr w:rsidR="00C023F2" w:rsidRPr="00917620" w:rsidTr="005F6EF9">
        <w:trPr>
          <w:trHeight w:val="1245"/>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nil"/>
              <w:left w:val="single" w:sz="4" w:space="0" w:color="auto"/>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APO06 - Manage Budget and Costs</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foram definidos e utilizados dispositivos contratuais para: verificações intermediárias do nível de uso da capacidade contratada e alertas quando atingidos patamares de recursos e tetos de recursos máximos utilizáveis em função do orçamento disponível;</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Falhas de gestão contratual relativas ao monitoramento do nível de uso da capacidade contratada, em função do orçamento disponível</w:t>
            </w:r>
          </w:p>
        </w:tc>
      </w:tr>
    </w:tbl>
    <w:p w:rsidR="00C023F2" w:rsidRPr="00917620" w:rsidRDefault="00C023F2" w:rsidP="00C023F2"/>
    <w:tbl>
      <w:tblPr>
        <w:tblW w:w="14612" w:type="dxa"/>
        <w:tblInd w:w="59" w:type="dxa"/>
        <w:tblLayout w:type="fixed"/>
        <w:tblCellMar>
          <w:left w:w="70" w:type="dxa"/>
          <w:right w:w="70" w:type="dxa"/>
        </w:tblCellMar>
        <w:tblLook w:val="04A0" w:firstRow="1" w:lastRow="0" w:firstColumn="1" w:lastColumn="0" w:noHBand="0" w:noVBand="1"/>
      </w:tblPr>
      <w:tblGrid>
        <w:gridCol w:w="3272"/>
        <w:gridCol w:w="2976"/>
        <w:gridCol w:w="5670"/>
        <w:gridCol w:w="2694"/>
      </w:tblGrid>
      <w:tr w:rsidR="00C023F2" w:rsidRPr="00917620" w:rsidTr="005F6EF9">
        <w:trPr>
          <w:trHeight w:val="645"/>
        </w:trPr>
        <w:tc>
          <w:tcPr>
            <w:tcW w:w="3272"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C023F2" w:rsidRPr="007323BE" w:rsidRDefault="00C023F2" w:rsidP="005F6EF9">
            <w:pPr>
              <w:rPr>
                <w:rFonts w:ascii="Times New Roman" w:hAnsi="Times New Roman"/>
              </w:rPr>
            </w:pPr>
            <w:r w:rsidRPr="007323BE">
              <w:rPr>
                <w:rFonts w:ascii="Times New Roman" w:hAnsi="Times New Roman"/>
              </w:rPr>
              <w:lastRenderedPageBreak/>
              <w:t>Questão de auditoria</w:t>
            </w:r>
          </w:p>
        </w:tc>
        <w:tc>
          <w:tcPr>
            <w:tcW w:w="2976" w:type="dxa"/>
            <w:tcBorders>
              <w:top w:val="single" w:sz="4" w:space="0" w:color="auto"/>
              <w:left w:val="nil"/>
              <w:bottom w:val="single" w:sz="4" w:space="0" w:color="auto"/>
              <w:right w:val="single" w:sz="4" w:space="0" w:color="auto"/>
            </w:tcBorders>
            <w:shd w:val="clear" w:color="000000" w:fill="D7E4BC"/>
            <w:noWrap/>
            <w:vAlign w:val="center"/>
            <w:hideMark/>
          </w:tcPr>
          <w:p w:rsidR="00C023F2" w:rsidRPr="009C0870" w:rsidRDefault="00C023F2" w:rsidP="005F6EF9">
            <w:pPr>
              <w:rPr>
                <w:rFonts w:ascii="Times New Roman" w:hAnsi="Times New Roman"/>
              </w:rPr>
            </w:pPr>
            <w:r w:rsidRPr="009C0870">
              <w:rPr>
                <w:rFonts w:ascii="Times New Roman" w:hAnsi="Times New Roman"/>
              </w:rPr>
              <w:t>Critérios</w:t>
            </w:r>
          </w:p>
        </w:tc>
        <w:tc>
          <w:tcPr>
            <w:tcW w:w="5670" w:type="dxa"/>
            <w:tcBorders>
              <w:top w:val="single" w:sz="4" w:space="0" w:color="auto"/>
              <w:left w:val="nil"/>
              <w:bottom w:val="single" w:sz="4" w:space="0" w:color="auto"/>
              <w:right w:val="single" w:sz="4" w:space="0" w:color="auto"/>
            </w:tcBorders>
            <w:shd w:val="clear" w:color="000000" w:fill="D7E4BC"/>
            <w:vAlign w:val="center"/>
            <w:hideMark/>
          </w:tcPr>
          <w:p w:rsidR="00C023F2" w:rsidRPr="009C0870" w:rsidRDefault="00C023F2" w:rsidP="005F6EF9">
            <w:pPr>
              <w:rPr>
                <w:rFonts w:ascii="Times New Roman" w:hAnsi="Times New Roman"/>
              </w:rPr>
            </w:pPr>
            <w:r w:rsidRPr="009C0870">
              <w:rPr>
                <w:rFonts w:ascii="Times New Roman" w:hAnsi="Times New Roman"/>
              </w:rPr>
              <w:t>Procedimentos</w:t>
            </w:r>
          </w:p>
        </w:tc>
        <w:tc>
          <w:tcPr>
            <w:tcW w:w="2694" w:type="dxa"/>
            <w:tcBorders>
              <w:top w:val="single" w:sz="4" w:space="0" w:color="auto"/>
              <w:left w:val="nil"/>
              <w:bottom w:val="single" w:sz="4" w:space="0" w:color="auto"/>
              <w:right w:val="single" w:sz="4" w:space="0" w:color="auto"/>
            </w:tcBorders>
            <w:shd w:val="clear" w:color="000000" w:fill="D7E4BC"/>
            <w:vAlign w:val="center"/>
            <w:hideMark/>
          </w:tcPr>
          <w:p w:rsidR="00C023F2" w:rsidRPr="009C0870" w:rsidRDefault="00C023F2" w:rsidP="005F6EF9">
            <w:pPr>
              <w:rPr>
                <w:rFonts w:ascii="Times New Roman" w:hAnsi="Times New Roman"/>
              </w:rPr>
            </w:pPr>
            <w:r w:rsidRPr="009C0870">
              <w:rPr>
                <w:rFonts w:ascii="Times New Roman" w:hAnsi="Times New Roman"/>
              </w:rPr>
              <w:t>Achados</w:t>
            </w:r>
          </w:p>
        </w:tc>
      </w:tr>
      <w:tr w:rsidR="00C023F2" w:rsidRPr="00917620" w:rsidTr="005F6EF9">
        <w:trPr>
          <w:trHeight w:val="1005"/>
        </w:trPr>
        <w:tc>
          <w:tcPr>
            <w:tcW w:w="3272" w:type="dxa"/>
            <w:vMerge w:val="restart"/>
            <w:tcBorders>
              <w:top w:val="single" w:sz="4" w:space="0" w:color="auto"/>
              <w:left w:val="single" w:sz="4" w:space="0" w:color="auto"/>
              <w:bottom w:val="single" w:sz="4" w:space="0" w:color="auto"/>
              <w:right w:val="nil"/>
            </w:tcBorders>
            <w:vAlign w:val="center"/>
            <w:hideMark/>
          </w:tcPr>
          <w:p w:rsidR="00C023F2" w:rsidRPr="009C0870" w:rsidRDefault="00C023F2" w:rsidP="005F6EF9">
            <w:pPr>
              <w:jc w:val="center"/>
              <w:rPr>
                <w:rFonts w:ascii="Times New Roman" w:hAnsi="Times New Roman"/>
                <w:sz w:val="18"/>
                <w:szCs w:val="18"/>
              </w:rPr>
            </w:pPr>
            <w:r w:rsidRPr="007323BE">
              <w:rPr>
                <w:rFonts w:ascii="Times New Roman" w:hAnsi="Times New Roman"/>
                <w:sz w:val="18"/>
                <w:szCs w:val="18"/>
              </w:rPr>
              <w:t xml:space="preserve">3. Foram definidos dispositivos contratuais e mecanismos de gestão contratual adequados para a contratação de serviços de computação em </w:t>
            </w:r>
            <w:r w:rsidRPr="009C0870">
              <w:rPr>
                <w:rFonts w:ascii="Times New Roman" w:hAnsi="Times New Roman"/>
                <w:sz w:val="18"/>
                <w:szCs w:val="18"/>
              </w:rPr>
              <w:t>nuvem?</w:t>
            </w:r>
          </w:p>
        </w:tc>
        <w:tc>
          <w:tcPr>
            <w:tcW w:w="2976" w:type="dxa"/>
            <w:vMerge w:val="restart"/>
            <w:tcBorders>
              <w:top w:val="single" w:sz="4" w:space="0" w:color="auto"/>
              <w:left w:val="single" w:sz="4" w:space="0" w:color="auto"/>
              <w:bottom w:val="nil"/>
              <w:right w:val="single" w:sz="4" w:space="0" w:color="auto"/>
            </w:tcBorders>
            <w:shd w:val="clear" w:color="000000" w:fill="FFFFFF"/>
            <w:vAlign w:val="center"/>
            <w:hideMark/>
          </w:tcPr>
          <w:p w:rsidR="00C023F2" w:rsidRPr="009C0870" w:rsidRDefault="00C023F2" w:rsidP="005F6EF9">
            <w:pPr>
              <w:jc w:val="center"/>
              <w:rPr>
                <w:rFonts w:ascii="Times New Roman" w:hAnsi="Times New Roman"/>
                <w:sz w:val="18"/>
                <w:szCs w:val="18"/>
                <w:lang w:val="en-US"/>
              </w:rPr>
            </w:pPr>
            <w:r w:rsidRPr="009C0870">
              <w:rPr>
                <w:rFonts w:ascii="Times New Roman" w:hAnsi="Times New Roman"/>
                <w:sz w:val="18"/>
                <w:szCs w:val="18"/>
                <w:lang w:val="en-US"/>
              </w:rPr>
              <w:t xml:space="preserve">COBIT BAI03 - Manage Solutions Identification and Build; </w:t>
            </w:r>
            <w:r w:rsidRPr="009C0870">
              <w:rPr>
                <w:rFonts w:ascii="Times New Roman" w:hAnsi="Times New Roman"/>
                <w:sz w:val="18"/>
                <w:szCs w:val="18"/>
                <w:lang w:val="en-US"/>
              </w:rPr>
              <w:br/>
              <w:t>CSA CCM IPY-01, IPY-02, IPY-03, IPY-04 e IPY-05</w:t>
            </w:r>
          </w:p>
        </w:tc>
        <w:tc>
          <w:tcPr>
            <w:tcW w:w="5670" w:type="dxa"/>
            <w:tcBorders>
              <w:top w:val="single" w:sz="4" w:space="0" w:color="auto"/>
              <w:left w:val="nil"/>
              <w:bottom w:val="nil"/>
              <w:right w:val="single" w:sz="4" w:space="0" w:color="auto"/>
            </w:tcBorders>
            <w:shd w:val="clear" w:color="auto" w:fill="auto"/>
            <w:vAlign w:val="center"/>
            <w:hideMark/>
          </w:tcPr>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rPr>
              <w:t>Verificar que os requisitos da organização para portabilidade e interoperabilidade foram avaliados antes da contratação de nuvem frente às alternativas disponíveis no mercado, a fim de mitigar relações de dependência com o provedor</w:t>
            </w:r>
          </w:p>
        </w:tc>
        <w:tc>
          <w:tcPr>
            <w:tcW w:w="2694" w:type="dxa"/>
            <w:vMerge w:val="restart"/>
            <w:tcBorders>
              <w:top w:val="single" w:sz="4" w:space="0" w:color="auto"/>
              <w:left w:val="single" w:sz="4" w:space="0" w:color="auto"/>
              <w:bottom w:val="nil"/>
              <w:right w:val="single" w:sz="4" w:space="0" w:color="auto"/>
            </w:tcBorders>
            <w:shd w:val="clear" w:color="000000" w:fill="FFFFFF"/>
            <w:vAlign w:val="center"/>
            <w:hideMark/>
          </w:tcPr>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rPr>
              <w:t>Falhas contratuais ou de gestão contratual relativas à independência do cliente quanto ao fornecedor (provedor) de computação em nuvem</w:t>
            </w:r>
          </w:p>
        </w:tc>
      </w:tr>
      <w:tr w:rsidR="00C023F2" w:rsidRPr="00917620" w:rsidTr="005F6EF9">
        <w:trPr>
          <w:trHeight w:val="765"/>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nil"/>
              <w:left w:val="single" w:sz="4" w:space="0" w:color="auto"/>
              <w:bottom w:val="nil"/>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 xml:space="preserve"> Verificar que foi garantido o uso, pelo provedor, de pacotes modulares, formatos abertos ou populares para dados e serviços</w:t>
            </w:r>
          </w:p>
        </w:tc>
        <w:tc>
          <w:tcPr>
            <w:tcW w:w="2694" w:type="dxa"/>
            <w:vMerge/>
            <w:tcBorders>
              <w:top w:val="single" w:sz="4" w:space="0" w:color="auto"/>
              <w:left w:val="single" w:sz="4" w:space="0" w:color="auto"/>
              <w:bottom w:val="nil"/>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765"/>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nil"/>
              <w:left w:val="single" w:sz="4" w:space="0" w:color="auto"/>
              <w:bottom w:val="nil"/>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 xml:space="preserve"> Verificar se há transparência por parte do provedor quanto a regulações e taxas aplicadas à transferência de dados</w:t>
            </w:r>
          </w:p>
        </w:tc>
        <w:tc>
          <w:tcPr>
            <w:tcW w:w="2694" w:type="dxa"/>
            <w:vMerge/>
            <w:tcBorders>
              <w:top w:val="single" w:sz="4" w:space="0" w:color="auto"/>
              <w:left w:val="single" w:sz="4" w:space="0" w:color="auto"/>
              <w:bottom w:val="nil"/>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1035"/>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nil"/>
              <w:left w:val="single" w:sz="4" w:space="0" w:color="auto"/>
              <w:bottom w:val="nil"/>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 xml:space="preserve"> Verificar que processos, procedimentos e recursos são estabelecidos e testados, de maneira a viabilizar a transferência de operações de um provedor de computação em nuvem para outro provedor alternativo</w:t>
            </w:r>
          </w:p>
        </w:tc>
        <w:tc>
          <w:tcPr>
            <w:tcW w:w="2694" w:type="dxa"/>
            <w:vMerge/>
            <w:tcBorders>
              <w:top w:val="single" w:sz="4" w:space="0" w:color="auto"/>
              <w:left w:val="single" w:sz="4" w:space="0" w:color="auto"/>
              <w:bottom w:val="nil"/>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945"/>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nil"/>
              <w:left w:val="single" w:sz="4" w:space="0" w:color="auto"/>
              <w:bottom w:val="nil"/>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Especialmente no caso de informações críticas para o negócio, verificar se existe execução de plano de backup independente do fornecedor, duplicando dados em intervalos periódicos</w:t>
            </w:r>
          </w:p>
        </w:tc>
        <w:tc>
          <w:tcPr>
            <w:tcW w:w="2694" w:type="dxa"/>
            <w:vMerge/>
            <w:tcBorders>
              <w:top w:val="single" w:sz="4" w:space="0" w:color="auto"/>
              <w:left w:val="single" w:sz="4" w:space="0" w:color="auto"/>
              <w:bottom w:val="nil"/>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465"/>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nil"/>
              <w:left w:val="single" w:sz="4" w:space="0" w:color="auto"/>
              <w:bottom w:val="nil"/>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que o contrato prevê condições e limites claros de custos para saída do provedor</w:t>
            </w:r>
          </w:p>
        </w:tc>
        <w:tc>
          <w:tcPr>
            <w:tcW w:w="2694" w:type="dxa"/>
            <w:vMerge/>
            <w:tcBorders>
              <w:top w:val="single" w:sz="4" w:space="0" w:color="auto"/>
              <w:left w:val="single" w:sz="4" w:space="0" w:color="auto"/>
              <w:bottom w:val="nil"/>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1200"/>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APO10 - Manage Suppliers;</w:t>
            </w:r>
          </w:p>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 xml:space="preserve"> COBIT APO12 - Manage Risk;</w:t>
            </w:r>
          </w:p>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 xml:space="preserve"> COBIT BAI03 - Manage Solutions Identification and Build</w:t>
            </w:r>
          </w:p>
        </w:tc>
        <w:tc>
          <w:tcPr>
            <w:tcW w:w="5670" w:type="dxa"/>
            <w:tcBorders>
              <w:top w:val="single" w:sz="4" w:space="0" w:color="auto"/>
              <w:left w:val="nil"/>
              <w:bottom w:val="nil"/>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o contrato inclui cláusula especificando que os direitos de propriedade sobre os dados armazenados na nuvem pela organização são exclusivos da organização</w:t>
            </w:r>
          </w:p>
        </w:tc>
        <w:tc>
          <w:tcPr>
            <w:tcW w:w="2694" w:type="dxa"/>
            <w:vMerge w:val="restart"/>
            <w:tcBorders>
              <w:top w:val="single" w:sz="4" w:space="0" w:color="auto"/>
              <w:left w:val="single" w:sz="4" w:space="0" w:color="auto"/>
              <w:right w:val="single" w:sz="4" w:space="0" w:color="auto"/>
            </w:tcBorders>
            <w:shd w:val="clear" w:color="000000" w:fill="FFFFFF"/>
            <w:noWrap/>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Falhas contratuais</w:t>
            </w:r>
          </w:p>
        </w:tc>
      </w:tr>
      <w:tr w:rsidR="00C023F2" w:rsidRPr="00917620" w:rsidTr="005F6EF9">
        <w:trPr>
          <w:trHeight w:val="615"/>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nil"/>
              <w:left w:val="single" w:sz="4" w:space="0" w:color="auto"/>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BAI03 - Manage Solutions Identification and Build</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 xml:space="preserve">Verificar se o contrato define em quais países os dados do cliente podem ser armazenados </w:t>
            </w:r>
          </w:p>
        </w:tc>
        <w:tc>
          <w:tcPr>
            <w:tcW w:w="2694" w:type="dxa"/>
            <w:vMerge/>
            <w:tcBorders>
              <w:left w:val="single" w:sz="4" w:space="0" w:color="auto"/>
              <w:right w:val="single" w:sz="4" w:space="0" w:color="auto"/>
            </w:tcBorders>
            <w:shd w:val="clear" w:color="000000" w:fill="FFFFFF"/>
            <w:noWrap/>
            <w:vAlign w:val="center"/>
            <w:hideMark/>
          </w:tcPr>
          <w:p w:rsidR="00C023F2" w:rsidRPr="006A3784" w:rsidRDefault="00C023F2" w:rsidP="005F6EF9">
            <w:pPr>
              <w:jc w:val="center"/>
              <w:rPr>
                <w:rFonts w:ascii="Times New Roman" w:hAnsi="Times New Roman"/>
                <w:sz w:val="18"/>
                <w:szCs w:val="18"/>
              </w:rPr>
            </w:pPr>
          </w:p>
        </w:tc>
      </w:tr>
      <w:tr w:rsidR="00C023F2" w:rsidRPr="00917620" w:rsidTr="005F6EF9">
        <w:trPr>
          <w:trHeight w:val="555"/>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DSS05 - Manage Security Services</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a existência de dispositivo contratual estabelecendo que o provedor atenda à política de exclusão de dados do cliente</w:t>
            </w:r>
          </w:p>
        </w:tc>
        <w:tc>
          <w:tcPr>
            <w:tcW w:w="2694" w:type="dxa"/>
            <w:vMerge/>
            <w:tcBorders>
              <w:left w:val="single" w:sz="4" w:space="0" w:color="auto"/>
              <w:bottom w:val="single" w:sz="4" w:space="0" w:color="auto"/>
              <w:right w:val="single" w:sz="4" w:space="0" w:color="auto"/>
            </w:tcBorders>
            <w:shd w:val="clear" w:color="000000" w:fill="FFFFFF"/>
            <w:noWrap/>
            <w:vAlign w:val="center"/>
            <w:hideMark/>
          </w:tcPr>
          <w:p w:rsidR="00C023F2" w:rsidRPr="006A3784" w:rsidRDefault="00C023F2" w:rsidP="005F6EF9">
            <w:pPr>
              <w:jc w:val="center"/>
              <w:rPr>
                <w:rFonts w:ascii="Times New Roman" w:hAnsi="Times New Roman"/>
                <w:sz w:val="18"/>
                <w:szCs w:val="18"/>
              </w:rPr>
            </w:pPr>
          </w:p>
        </w:tc>
      </w:tr>
    </w:tbl>
    <w:p w:rsidR="00C023F2" w:rsidRPr="00917620" w:rsidRDefault="00C023F2" w:rsidP="00C023F2"/>
    <w:p w:rsidR="00C023F2" w:rsidRPr="00917620" w:rsidRDefault="00C023F2" w:rsidP="00C023F2"/>
    <w:tbl>
      <w:tblPr>
        <w:tblW w:w="14612" w:type="dxa"/>
        <w:tblInd w:w="59" w:type="dxa"/>
        <w:tblLayout w:type="fixed"/>
        <w:tblCellMar>
          <w:left w:w="70" w:type="dxa"/>
          <w:right w:w="70" w:type="dxa"/>
        </w:tblCellMar>
        <w:tblLook w:val="04A0" w:firstRow="1" w:lastRow="0" w:firstColumn="1" w:lastColumn="0" w:noHBand="0" w:noVBand="1"/>
      </w:tblPr>
      <w:tblGrid>
        <w:gridCol w:w="3272"/>
        <w:gridCol w:w="2976"/>
        <w:gridCol w:w="5670"/>
        <w:gridCol w:w="2694"/>
      </w:tblGrid>
      <w:tr w:rsidR="00C023F2" w:rsidRPr="00917620" w:rsidTr="005F6EF9">
        <w:trPr>
          <w:trHeight w:val="645"/>
        </w:trPr>
        <w:tc>
          <w:tcPr>
            <w:tcW w:w="3272"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C023F2" w:rsidRPr="007323BE" w:rsidRDefault="00C023F2" w:rsidP="005F6EF9">
            <w:pPr>
              <w:rPr>
                <w:rFonts w:ascii="Times New Roman" w:hAnsi="Times New Roman"/>
              </w:rPr>
            </w:pPr>
            <w:r w:rsidRPr="007323BE">
              <w:rPr>
                <w:rFonts w:ascii="Times New Roman" w:hAnsi="Times New Roman"/>
              </w:rPr>
              <w:lastRenderedPageBreak/>
              <w:t>Questão de auditoria</w:t>
            </w:r>
          </w:p>
        </w:tc>
        <w:tc>
          <w:tcPr>
            <w:tcW w:w="2976" w:type="dxa"/>
            <w:tcBorders>
              <w:top w:val="single" w:sz="4" w:space="0" w:color="auto"/>
              <w:left w:val="nil"/>
              <w:bottom w:val="single" w:sz="4" w:space="0" w:color="auto"/>
              <w:right w:val="single" w:sz="4" w:space="0" w:color="auto"/>
            </w:tcBorders>
            <w:shd w:val="clear" w:color="000000" w:fill="D7E4BC"/>
            <w:noWrap/>
            <w:vAlign w:val="center"/>
            <w:hideMark/>
          </w:tcPr>
          <w:p w:rsidR="00C023F2" w:rsidRPr="009C0870" w:rsidRDefault="00C023F2" w:rsidP="005F6EF9">
            <w:pPr>
              <w:rPr>
                <w:rFonts w:ascii="Times New Roman" w:hAnsi="Times New Roman"/>
              </w:rPr>
            </w:pPr>
            <w:r w:rsidRPr="009C0870">
              <w:rPr>
                <w:rFonts w:ascii="Times New Roman" w:hAnsi="Times New Roman"/>
              </w:rPr>
              <w:t>Critérios</w:t>
            </w:r>
          </w:p>
        </w:tc>
        <w:tc>
          <w:tcPr>
            <w:tcW w:w="5670" w:type="dxa"/>
            <w:tcBorders>
              <w:top w:val="single" w:sz="4" w:space="0" w:color="auto"/>
              <w:left w:val="nil"/>
              <w:bottom w:val="single" w:sz="4" w:space="0" w:color="auto"/>
              <w:right w:val="single" w:sz="4" w:space="0" w:color="auto"/>
            </w:tcBorders>
            <w:shd w:val="clear" w:color="000000" w:fill="D7E4BC"/>
            <w:vAlign w:val="center"/>
            <w:hideMark/>
          </w:tcPr>
          <w:p w:rsidR="00C023F2" w:rsidRPr="009C0870" w:rsidRDefault="00C023F2" w:rsidP="005F6EF9">
            <w:pPr>
              <w:rPr>
                <w:rFonts w:ascii="Times New Roman" w:hAnsi="Times New Roman"/>
              </w:rPr>
            </w:pPr>
            <w:r w:rsidRPr="009C0870">
              <w:rPr>
                <w:rFonts w:ascii="Times New Roman" w:hAnsi="Times New Roman"/>
              </w:rPr>
              <w:t>Procedimentos</w:t>
            </w:r>
          </w:p>
        </w:tc>
        <w:tc>
          <w:tcPr>
            <w:tcW w:w="2694" w:type="dxa"/>
            <w:tcBorders>
              <w:top w:val="single" w:sz="4" w:space="0" w:color="auto"/>
              <w:left w:val="nil"/>
              <w:bottom w:val="single" w:sz="4" w:space="0" w:color="auto"/>
              <w:right w:val="single" w:sz="4" w:space="0" w:color="auto"/>
            </w:tcBorders>
            <w:shd w:val="clear" w:color="000000" w:fill="D7E4BC"/>
            <w:vAlign w:val="center"/>
            <w:hideMark/>
          </w:tcPr>
          <w:p w:rsidR="00C023F2" w:rsidRPr="009C0870" w:rsidRDefault="00C023F2" w:rsidP="005F6EF9">
            <w:pPr>
              <w:rPr>
                <w:rFonts w:ascii="Times New Roman" w:hAnsi="Times New Roman"/>
              </w:rPr>
            </w:pPr>
            <w:r w:rsidRPr="009C0870">
              <w:rPr>
                <w:rFonts w:ascii="Times New Roman" w:hAnsi="Times New Roman"/>
              </w:rPr>
              <w:t>Achados</w:t>
            </w:r>
          </w:p>
        </w:tc>
      </w:tr>
      <w:tr w:rsidR="00C023F2" w:rsidRPr="00917620" w:rsidTr="005F6EF9">
        <w:trPr>
          <w:trHeight w:val="1200"/>
        </w:trPr>
        <w:tc>
          <w:tcPr>
            <w:tcW w:w="3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3F2" w:rsidRPr="007323BE" w:rsidRDefault="00C023F2" w:rsidP="005F6EF9">
            <w:pPr>
              <w:jc w:val="center"/>
              <w:rPr>
                <w:rFonts w:ascii="Times New Roman" w:hAnsi="Times New Roman"/>
                <w:sz w:val="18"/>
                <w:szCs w:val="18"/>
              </w:rPr>
            </w:pPr>
            <w:r w:rsidRPr="007323BE">
              <w:rPr>
                <w:rFonts w:ascii="Times New Roman" w:hAnsi="Times New Roman"/>
                <w:sz w:val="18"/>
                <w:szCs w:val="18"/>
              </w:rPr>
              <w:t>4. Foram abordados e endereçados adequadamente aspectos e processos de gestão relacionados à arquitetura e infraestrutura de computação em nuvem?</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3F2" w:rsidRPr="009C0870" w:rsidRDefault="00C023F2" w:rsidP="005F6EF9">
            <w:pPr>
              <w:jc w:val="center"/>
              <w:rPr>
                <w:rFonts w:ascii="Times New Roman" w:hAnsi="Times New Roman"/>
                <w:sz w:val="18"/>
                <w:szCs w:val="18"/>
                <w:lang w:val="en-US"/>
              </w:rPr>
            </w:pPr>
            <w:r w:rsidRPr="009C0870">
              <w:rPr>
                <w:rFonts w:ascii="Times New Roman" w:hAnsi="Times New Roman"/>
                <w:sz w:val="18"/>
                <w:szCs w:val="18"/>
                <w:lang w:val="en-US"/>
              </w:rPr>
              <w:t xml:space="preserve">COBIT DSS05 - Manage Security Services; COBIT BAI010 - Manage Configuration; </w:t>
            </w:r>
            <w:r w:rsidRPr="009C0870">
              <w:rPr>
                <w:rFonts w:ascii="Times New Roman" w:hAnsi="Times New Roman"/>
                <w:sz w:val="18"/>
                <w:szCs w:val="18"/>
                <w:lang w:val="en-US"/>
              </w:rPr>
              <w:br/>
              <w:t>CSA CCM IVS-05, IVS-09 e IPY-05</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rPr>
              <w:t xml:space="preserve">Verificar se há dispositivos contratuais que estabeleçam responsabilidades do provedor quanto à implementação de controles para isolamento e segurança de sistema operacional, uso de soluções de virtualização que sejam padrões ou referências de mercado, e política de atualização de versão de </w:t>
            </w:r>
            <w:r w:rsidRPr="009C0870">
              <w:rPr>
                <w:rFonts w:ascii="Times New Roman" w:hAnsi="Times New Roman"/>
                <w:i/>
                <w:iCs/>
                <w:sz w:val="18"/>
                <w:szCs w:val="18"/>
              </w:rPr>
              <w:t xml:space="preserve">software </w:t>
            </w:r>
            <w:r w:rsidRPr="009C0870">
              <w:rPr>
                <w:rFonts w:ascii="Times New Roman" w:hAnsi="Times New Roman"/>
                <w:sz w:val="18"/>
                <w:szCs w:val="18"/>
              </w:rPr>
              <w:t xml:space="preserve">e aplicação de correções </w:t>
            </w:r>
          </w:p>
        </w:tc>
        <w:tc>
          <w:tcPr>
            <w:tcW w:w="2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23F2" w:rsidRPr="009C0870" w:rsidRDefault="00C023F2" w:rsidP="005F6EF9">
            <w:pPr>
              <w:jc w:val="center"/>
              <w:rPr>
                <w:rFonts w:ascii="Times New Roman" w:hAnsi="Times New Roman"/>
                <w:sz w:val="18"/>
                <w:szCs w:val="18"/>
              </w:rPr>
            </w:pPr>
            <w:r w:rsidRPr="009C0870">
              <w:rPr>
                <w:rFonts w:ascii="Times New Roman" w:hAnsi="Times New Roman"/>
                <w:sz w:val="18"/>
                <w:szCs w:val="18"/>
              </w:rPr>
              <w:t>Falhas relativas à infraestrutura de TI</w:t>
            </w:r>
          </w:p>
        </w:tc>
      </w:tr>
      <w:tr w:rsidR="00C023F2" w:rsidRPr="00917620" w:rsidTr="005F6EF9">
        <w:trPr>
          <w:trHeight w:val="699"/>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APO09 - Manage Service Agreements;</w:t>
            </w:r>
          </w:p>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 xml:space="preserve"> COBIT APO10 - Manage Suppliers;</w:t>
            </w:r>
          </w:p>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 xml:space="preserve"> COBIT DSS02 - Manage Service Requests and Incidents; </w:t>
            </w:r>
            <w:r w:rsidRPr="006A3784">
              <w:rPr>
                <w:rFonts w:ascii="Times New Roman" w:hAnsi="Times New Roman"/>
                <w:sz w:val="18"/>
                <w:szCs w:val="18"/>
                <w:lang w:val="en-US"/>
              </w:rPr>
              <w:br/>
              <w:t>CSA CCM SEF-02, SEF-03 e STA-02</w:t>
            </w: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o contrato detalha definições específicas de incidentes, eventos, ações a serem tomadas e responsabilidades do provedor e do cliente</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709"/>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o contrato define requisitos de interoperabilidade entre as ferramentas de gestão de incidentes do provedor e do cliente</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833"/>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val="restart"/>
            <w:tcBorders>
              <w:top w:val="nil"/>
              <w:left w:val="single" w:sz="4" w:space="0" w:color="auto"/>
              <w:bottom w:val="single" w:sz="4" w:space="0" w:color="000000"/>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BAI03 - Manage Solutions Identification and Build;</w:t>
            </w:r>
          </w:p>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 xml:space="preserve"> COBIT APO09 - Manage Service Agreements</w:t>
            </w: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os contratos do cliente com seus provedores de rede foram revisados a fim de adequá-los a novos parâmetros, como latência e perda de pacotes, próprios de requisitos das aplicações pretendidas em nuvem</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845"/>
        </w:trPr>
        <w:tc>
          <w:tcPr>
            <w:tcW w:w="3272" w:type="dxa"/>
            <w:vMerge/>
            <w:tcBorders>
              <w:top w:val="single" w:sz="4" w:space="0" w:color="auto"/>
              <w:left w:val="single" w:sz="4" w:space="0" w:color="auto"/>
              <w:bottom w:val="single" w:sz="4" w:space="0" w:color="auto"/>
              <w:right w:val="nil"/>
            </w:tcBorders>
            <w:vAlign w:val="center"/>
            <w:hideMark/>
          </w:tcPr>
          <w:p w:rsidR="00C023F2" w:rsidRPr="006A3784" w:rsidRDefault="00C023F2" w:rsidP="005F6EF9">
            <w:pPr>
              <w:rPr>
                <w:rFonts w:ascii="Times New Roman" w:hAnsi="Times New Roman"/>
                <w:sz w:val="18"/>
                <w:szCs w:val="18"/>
              </w:rPr>
            </w:pPr>
          </w:p>
        </w:tc>
        <w:tc>
          <w:tcPr>
            <w:tcW w:w="2976"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há mecanismos de monitoração das redes que consigam distinguir entre problemas internos, na rede dos provedores, ou fora do seu escopo</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840"/>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nil"/>
              <w:left w:val="single" w:sz="4" w:space="0" w:color="auto"/>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APO10 - Manage Suppliers;</w:t>
            </w:r>
          </w:p>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 xml:space="preserve"> COBIT APO09 - Manage Service Agreements</w:t>
            </w: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o contrato com o provedor de nuvem prevê SLAs cuidadosamente definidos e exequíveis, o que inclui penalidades em caso de não cumprimento de parâmetros de desempenho dos serviços</w:t>
            </w:r>
          </w:p>
        </w:tc>
        <w:tc>
          <w:tcPr>
            <w:tcW w:w="2694" w:type="dxa"/>
            <w:vMerge/>
            <w:tcBorders>
              <w:top w:val="nil"/>
              <w:left w:val="single" w:sz="4" w:space="0" w:color="auto"/>
              <w:bottom w:val="single" w:sz="4" w:space="0" w:color="000000"/>
              <w:right w:val="single" w:sz="4" w:space="0" w:color="auto"/>
            </w:tcBorders>
            <w:vAlign w:val="center"/>
            <w:hideMark/>
          </w:tcPr>
          <w:p w:rsidR="00C023F2" w:rsidRPr="006A3784" w:rsidRDefault="00C023F2" w:rsidP="005F6EF9">
            <w:pPr>
              <w:rPr>
                <w:rFonts w:ascii="Times New Roman" w:hAnsi="Times New Roman"/>
                <w:sz w:val="18"/>
                <w:szCs w:val="18"/>
              </w:rPr>
            </w:pPr>
          </w:p>
        </w:tc>
      </w:tr>
      <w:tr w:rsidR="00C023F2" w:rsidRPr="00917620" w:rsidTr="005F6EF9">
        <w:trPr>
          <w:trHeight w:val="1065"/>
        </w:trPr>
        <w:tc>
          <w:tcPr>
            <w:tcW w:w="3272" w:type="dxa"/>
            <w:vMerge/>
            <w:tcBorders>
              <w:top w:val="single" w:sz="4" w:space="0" w:color="auto"/>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c>
          <w:tcPr>
            <w:tcW w:w="2976" w:type="dxa"/>
            <w:tcBorders>
              <w:top w:val="nil"/>
              <w:left w:val="single" w:sz="4" w:space="0" w:color="auto"/>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lang w:val="en-US"/>
              </w:rPr>
            </w:pPr>
            <w:r w:rsidRPr="006A3784">
              <w:rPr>
                <w:rFonts w:ascii="Times New Roman" w:hAnsi="Times New Roman"/>
                <w:sz w:val="18"/>
                <w:szCs w:val="18"/>
                <w:lang w:val="en-US"/>
              </w:rPr>
              <w:t>COBIT BAI03 - Manage Solutions Identification and Build</w:t>
            </w:r>
          </w:p>
        </w:tc>
        <w:tc>
          <w:tcPr>
            <w:tcW w:w="5670" w:type="dxa"/>
            <w:tcBorders>
              <w:top w:val="nil"/>
              <w:left w:val="nil"/>
              <w:bottom w:val="single" w:sz="4" w:space="0" w:color="auto"/>
              <w:right w:val="single" w:sz="4" w:space="0" w:color="auto"/>
            </w:tcBorders>
            <w:shd w:val="clear" w:color="auto" w:fill="auto"/>
            <w:vAlign w:val="center"/>
            <w:hideMark/>
          </w:tcPr>
          <w:p w:rsidR="00C023F2" w:rsidRPr="006A3784" w:rsidRDefault="00C023F2" w:rsidP="005F6EF9">
            <w:pPr>
              <w:jc w:val="center"/>
              <w:rPr>
                <w:rFonts w:ascii="Times New Roman" w:hAnsi="Times New Roman"/>
                <w:sz w:val="18"/>
                <w:szCs w:val="18"/>
              </w:rPr>
            </w:pPr>
            <w:r w:rsidRPr="006A3784">
              <w:rPr>
                <w:rFonts w:ascii="Times New Roman" w:hAnsi="Times New Roman"/>
                <w:sz w:val="18"/>
                <w:szCs w:val="18"/>
              </w:rPr>
              <w:t>Verificar se o estudo de viabilidade técnica (estudos técnicos preliminares) da contratação avaliou a adequação de alternativas de mercado e soluções disponíveis à arquitetura do cliente, ou se a adaptação da arquitetura do cliente à do provedor é viável</w:t>
            </w:r>
          </w:p>
        </w:tc>
        <w:tc>
          <w:tcPr>
            <w:tcW w:w="2694" w:type="dxa"/>
            <w:vMerge/>
            <w:tcBorders>
              <w:top w:val="nil"/>
              <w:left w:val="single" w:sz="4" w:space="0" w:color="auto"/>
              <w:bottom w:val="single" w:sz="4" w:space="0" w:color="auto"/>
              <w:right w:val="single" w:sz="4" w:space="0" w:color="auto"/>
            </w:tcBorders>
            <w:vAlign w:val="center"/>
            <w:hideMark/>
          </w:tcPr>
          <w:p w:rsidR="00C023F2" w:rsidRPr="006A3784" w:rsidRDefault="00C023F2" w:rsidP="005F6EF9">
            <w:pPr>
              <w:rPr>
                <w:rFonts w:ascii="Times New Roman" w:hAnsi="Times New Roman"/>
                <w:sz w:val="18"/>
                <w:szCs w:val="18"/>
              </w:rPr>
            </w:pPr>
          </w:p>
        </w:tc>
      </w:tr>
    </w:tbl>
    <w:p w:rsidR="00C023F2" w:rsidRPr="007323BE" w:rsidRDefault="00C023F2" w:rsidP="00C023F2">
      <w:pPr>
        <w:rPr>
          <w:rFonts w:ascii="Times New Roman" w:hAnsi="Times New Roman"/>
        </w:rPr>
      </w:pPr>
    </w:p>
    <w:p w:rsidR="00C023F2" w:rsidRPr="009C0870" w:rsidRDefault="00C023F2" w:rsidP="00C023F2">
      <w:pPr>
        <w:rPr>
          <w:rFonts w:ascii="Times New Roman" w:hAnsi="Times New Roman"/>
        </w:rPr>
      </w:pPr>
    </w:p>
    <w:p w:rsidR="00C023F2" w:rsidRPr="006A3784" w:rsidRDefault="00C023F2" w:rsidP="00C023F2">
      <w:pPr>
        <w:rPr>
          <w:rFonts w:ascii="Times New Roman" w:hAnsi="Times New Roman"/>
        </w:rPr>
        <w:sectPr w:rsidR="00C023F2" w:rsidRPr="006A3784" w:rsidSect="00416E2F">
          <w:endnotePr>
            <w:numFmt w:val="decimal"/>
          </w:endnotePr>
          <w:pgSz w:w="16840" w:h="11907" w:orient="landscape" w:code="9"/>
          <w:pgMar w:top="567" w:right="851" w:bottom="1418" w:left="1418" w:header="851" w:footer="567" w:gutter="0"/>
          <w:cols w:space="720"/>
          <w:noEndnote/>
          <w:docGrid w:linePitch="326"/>
        </w:sectPr>
      </w:pPr>
    </w:p>
    <w:p w:rsidR="00C023F2" w:rsidRPr="006A3784" w:rsidRDefault="00C023F2" w:rsidP="00C023F2">
      <w:pPr>
        <w:pStyle w:val="Ttulo1"/>
        <w:tabs>
          <w:tab w:val="clear" w:pos="567"/>
          <w:tab w:val="left" w:pos="1134"/>
        </w:tabs>
        <w:spacing w:before="240"/>
        <w:contextualSpacing w:val="0"/>
        <w:jc w:val="center"/>
      </w:pPr>
      <w:bookmarkStart w:id="3" w:name="_Toc414629911"/>
      <w:bookmarkStart w:id="4" w:name="_Toc421292170"/>
      <w:r w:rsidRPr="006A3784">
        <w:lastRenderedPageBreak/>
        <w:t>Anexo III - Conceitos correlatos</w:t>
      </w:r>
      <w:bookmarkEnd w:id="3"/>
      <w:bookmarkEnd w:id="4"/>
    </w:p>
    <w:p w:rsidR="00C023F2" w:rsidRPr="006A3784" w:rsidRDefault="00C023F2" w:rsidP="00C023F2">
      <w:pPr>
        <w:pStyle w:val="Ttulo1"/>
        <w:tabs>
          <w:tab w:val="clear" w:pos="567"/>
          <w:tab w:val="left" w:pos="1276"/>
        </w:tabs>
        <w:spacing w:before="240"/>
        <w:ind w:left="357" w:hanging="357"/>
        <w:contextualSpacing w:val="0"/>
      </w:pPr>
      <w:bookmarkStart w:id="5" w:name="_Toc414629912"/>
      <w:bookmarkStart w:id="6" w:name="_Toc421292171"/>
      <w:r w:rsidRPr="006A3784">
        <w:t>1.</w:t>
      </w:r>
      <w:r w:rsidRPr="006A3784">
        <w:tab/>
        <w:t>Computação em nuvem e virtualização</w:t>
      </w:r>
      <w:bookmarkEnd w:id="5"/>
      <w:bookmarkEnd w:id="6"/>
    </w:p>
    <w:p w:rsidR="00C023F2" w:rsidRPr="002D6648" w:rsidRDefault="00C023F2" w:rsidP="00C023F2">
      <w:pPr>
        <w:jc w:val="both"/>
        <w:rPr>
          <w:rFonts w:ascii="Times New Roman" w:hAnsi="Times New Roman"/>
        </w:rPr>
      </w:pPr>
      <w:r w:rsidRPr="006A3784">
        <w:rPr>
          <w:rFonts w:ascii="Times New Roman" w:hAnsi="Times New Roman"/>
        </w:rPr>
        <w:t>1.</w:t>
      </w:r>
      <w:r w:rsidRPr="006A3784">
        <w:rPr>
          <w:rFonts w:ascii="Times New Roman" w:hAnsi="Times New Roman"/>
        </w:rPr>
        <w:tab/>
      </w:r>
      <w:r w:rsidRPr="002D6648">
        <w:rPr>
          <w:rFonts w:ascii="Times New Roman" w:hAnsi="Times New Roman"/>
        </w:rPr>
        <w:t>Os termos “computação em nuvem” e “virtualização” têm sido intrinsecamente associados e,</w:t>
      </w:r>
      <w:r w:rsidRPr="002D6648">
        <w:rPr>
          <w:rFonts w:ascii="Times New Roman" w:hAnsi="Times New Roman"/>
          <w:b/>
        </w:rPr>
        <w:t xml:space="preserve"> </w:t>
      </w:r>
      <w:r w:rsidRPr="002D6648">
        <w:rPr>
          <w:rFonts w:ascii="Times New Roman" w:hAnsi="Times New Roman"/>
        </w:rPr>
        <w:t>muitas vezes, utilizados como sinônimos. Apesar de computação em nuvem não ser sinônimo de virtualização, atualmente as tecnologias de virtualização são as que sustentam qualquer forma de implantação de nuvem.</w:t>
      </w:r>
    </w:p>
    <w:p w:rsidR="00C023F2" w:rsidRPr="002D6648" w:rsidRDefault="00C023F2" w:rsidP="00C023F2">
      <w:pPr>
        <w:jc w:val="both"/>
        <w:rPr>
          <w:rFonts w:ascii="Times New Roman" w:hAnsi="Times New Roman"/>
        </w:rPr>
      </w:pPr>
      <w:r w:rsidRPr="007323BE">
        <w:rPr>
          <w:rFonts w:ascii="Times New Roman" w:hAnsi="Times New Roman"/>
        </w:rPr>
        <w:t>2.</w:t>
      </w:r>
      <w:r w:rsidRPr="007323BE">
        <w:rPr>
          <w:rFonts w:ascii="Times New Roman" w:hAnsi="Times New Roman"/>
        </w:rPr>
        <w:tab/>
      </w:r>
      <w:r w:rsidRPr="002D6648">
        <w:rPr>
          <w:rFonts w:ascii="Times New Roman" w:hAnsi="Times New Roman"/>
        </w:rPr>
        <w:t xml:space="preserve">A arquitetura dos computadores servidores atuais foi inicialmente projetada para funcionar com apenas um sistema operacional e um aplicativo por vez. Como resultado, até mesmo </w:t>
      </w:r>
      <w:r w:rsidRPr="002D6648">
        <w:rPr>
          <w:rFonts w:ascii="Times New Roman" w:hAnsi="Times New Roman"/>
          <w:i/>
        </w:rPr>
        <w:t>data centers</w:t>
      </w:r>
      <w:r w:rsidRPr="002D6648">
        <w:rPr>
          <w:rFonts w:ascii="Times New Roman" w:hAnsi="Times New Roman"/>
        </w:rPr>
        <w:t xml:space="preserve"> pequenos precisam utilizar muitos servidores, cada um operando com apenas parte pequena de sua capacidade de processamento. A tecnologia de virtualização resolve esse problema ao permitir a execução de vários sistemas operacionais e aplicativos em um mesmo computador servidor, possibilitando a utilização de sua capacidade total</w:t>
      </w:r>
      <w:r w:rsidRPr="002D6648">
        <w:rPr>
          <w:rStyle w:val="Refdenotadefim"/>
          <w:rFonts w:ascii="Times New Roman" w:hAnsi="Times New Roman"/>
        </w:rPr>
        <w:endnoteReference w:id="1"/>
      </w:r>
      <w:r w:rsidRPr="002D6648">
        <w:rPr>
          <w:rFonts w:ascii="Times New Roman" w:hAnsi="Times New Roman"/>
        </w:rPr>
        <w:t>.</w:t>
      </w:r>
    </w:p>
    <w:p w:rsidR="00C023F2" w:rsidRPr="002D6648" w:rsidRDefault="00C023F2" w:rsidP="00C023F2">
      <w:pPr>
        <w:jc w:val="both"/>
        <w:rPr>
          <w:rFonts w:ascii="Times New Roman" w:hAnsi="Times New Roman"/>
        </w:rPr>
      </w:pPr>
      <w:r w:rsidRPr="007323BE">
        <w:rPr>
          <w:rFonts w:ascii="Times New Roman" w:hAnsi="Times New Roman"/>
        </w:rPr>
        <w:t>3.</w:t>
      </w:r>
      <w:r w:rsidRPr="007323BE">
        <w:rPr>
          <w:rFonts w:ascii="Times New Roman" w:hAnsi="Times New Roman"/>
        </w:rPr>
        <w:tab/>
      </w:r>
      <w:r w:rsidRPr="002D6648">
        <w:rPr>
          <w:rFonts w:ascii="Times New Roman" w:hAnsi="Times New Roman"/>
        </w:rPr>
        <w:t>A virtualização isoladamente não provê todas as características definidas pelo NIST para a computação em nuvem, como o autoprovisionamento e a rápida elasticidade. Os usuários não podem, simplesmente, criar máquinas virtuais de acordo com suas necessidades sem interação com a área de TI. Apesar da flexibilidade associada à virtualização, os recursos disponíveis para provisionamento não podem ser alocados a qualquer hora e em qualquer volume.</w:t>
      </w:r>
    </w:p>
    <w:p w:rsidR="00C023F2" w:rsidRPr="002D6648" w:rsidRDefault="00C023F2" w:rsidP="00C023F2">
      <w:pPr>
        <w:jc w:val="both"/>
        <w:rPr>
          <w:rFonts w:ascii="Times New Roman" w:hAnsi="Times New Roman"/>
        </w:rPr>
      </w:pPr>
      <w:r w:rsidRPr="007323BE">
        <w:rPr>
          <w:rFonts w:ascii="Times New Roman" w:hAnsi="Times New Roman"/>
        </w:rPr>
        <w:t>4.</w:t>
      </w:r>
      <w:r w:rsidRPr="007323BE">
        <w:rPr>
          <w:rFonts w:ascii="Times New Roman" w:hAnsi="Times New Roman"/>
        </w:rPr>
        <w:tab/>
      </w:r>
      <w:r w:rsidRPr="002D6648">
        <w:rPr>
          <w:rFonts w:ascii="Times New Roman" w:hAnsi="Times New Roman"/>
        </w:rPr>
        <w:t xml:space="preserve">Como a virtualização serve para tornar os ambientes computacionais independentes de </w:t>
      </w:r>
      <w:r w:rsidRPr="002D6648">
        <w:rPr>
          <w:rFonts w:ascii="Times New Roman" w:hAnsi="Times New Roman"/>
          <w:i/>
        </w:rPr>
        <w:t>hardware</w:t>
      </w:r>
      <w:r w:rsidRPr="002D6648">
        <w:rPr>
          <w:rFonts w:ascii="Times New Roman" w:hAnsi="Times New Roman"/>
        </w:rPr>
        <w:t>, um ambiente totalmente virtualizado é um primeiro passo na direção de se implantar uma nuvem, seja ela pública, privada ou híbrida. Apesar da virtualização de servidores ser a mais consolidada nas organizações, há que se pensar nela de maneira mais ampla, abrangendo outros ativos de TI, como armazenamento e rede.</w:t>
      </w:r>
    </w:p>
    <w:p w:rsidR="00C023F2" w:rsidRPr="002D6648" w:rsidRDefault="00C023F2" w:rsidP="00C023F2">
      <w:pPr>
        <w:jc w:val="both"/>
        <w:rPr>
          <w:rFonts w:ascii="Times New Roman" w:hAnsi="Times New Roman"/>
        </w:rPr>
      </w:pPr>
      <w:r w:rsidRPr="007323BE">
        <w:rPr>
          <w:rFonts w:ascii="Times New Roman" w:hAnsi="Times New Roman"/>
        </w:rPr>
        <w:t>5.</w:t>
      </w:r>
      <w:r w:rsidRPr="007323BE">
        <w:rPr>
          <w:rFonts w:ascii="Times New Roman" w:hAnsi="Times New Roman"/>
        </w:rPr>
        <w:tab/>
      </w:r>
      <w:r w:rsidRPr="002D6648">
        <w:rPr>
          <w:rFonts w:ascii="Times New Roman" w:hAnsi="Times New Roman"/>
        </w:rPr>
        <w:t>Se uma instituição já conseguiu virtualizar todo seu parque computacional, a transição para uma nuvem privada se dará pela adição de uma camada de orquestração e de um catálogo de serviços, o que claramente irá requerer organização e planejamento minucioso.</w:t>
      </w:r>
    </w:p>
    <w:p w:rsidR="00C023F2" w:rsidRPr="007323BE" w:rsidRDefault="00C023F2" w:rsidP="00C023F2">
      <w:pPr>
        <w:pStyle w:val="Ttulo1"/>
        <w:tabs>
          <w:tab w:val="clear" w:pos="567"/>
          <w:tab w:val="left" w:pos="1276"/>
        </w:tabs>
        <w:spacing w:before="240"/>
        <w:ind w:left="357" w:hanging="357"/>
        <w:contextualSpacing w:val="0"/>
      </w:pPr>
      <w:bookmarkStart w:id="7" w:name="_Toc414629913"/>
      <w:bookmarkStart w:id="8" w:name="_Toc421292172"/>
      <w:r w:rsidRPr="007323BE">
        <w:t>2.</w:t>
      </w:r>
      <w:r w:rsidRPr="007323BE">
        <w:tab/>
        <w:t>Automação e Orquestração</w:t>
      </w:r>
      <w:bookmarkEnd w:id="7"/>
      <w:bookmarkEnd w:id="8"/>
    </w:p>
    <w:p w:rsidR="00C023F2" w:rsidRPr="002D6648" w:rsidRDefault="00C023F2" w:rsidP="00C023F2">
      <w:pPr>
        <w:jc w:val="both"/>
        <w:rPr>
          <w:rFonts w:ascii="Times New Roman" w:hAnsi="Times New Roman"/>
        </w:rPr>
      </w:pPr>
      <w:r w:rsidRPr="007323BE">
        <w:rPr>
          <w:rFonts w:ascii="Times New Roman" w:hAnsi="Times New Roman"/>
        </w:rPr>
        <w:t>6.</w:t>
      </w:r>
      <w:r w:rsidRPr="007323BE">
        <w:rPr>
          <w:rFonts w:ascii="Times New Roman" w:hAnsi="Times New Roman"/>
        </w:rPr>
        <w:tab/>
      </w:r>
      <w:r w:rsidRPr="002D6648">
        <w:rPr>
          <w:rFonts w:ascii="Times New Roman" w:hAnsi="Times New Roman"/>
        </w:rPr>
        <w:t>Segundo a revista Information Week</w:t>
      </w:r>
      <w:r w:rsidRPr="002D6648">
        <w:rPr>
          <w:rStyle w:val="Refdenotadefim"/>
          <w:rFonts w:ascii="Times New Roman" w:hAnsi="Times New Roman"/>
          <w:i/>
        </w:rPr>
        <w:endnoteReference w:id="2"/>
      </w:r>
      <w:r w:rsidRPr="002D6648">
        <w:rPr>
          <w:rFonts w:ascii="Times New Roman" w:hAnsi="Times New Roman"/>
        </w:rPr>
        <w:t>, “automação é a fundação sobre a qual se constrói a orquestração” (tradução livre). Trata-se de processos programados que automatizam tarefas repetitivas. Um exemplo de um processo que é facilmente automatizado é o provisionamento de servidores virtuais.</w:t>
      </w:r>
    </w:p>
    <w:p w:rsidR="00C023F2" w:rsidRPr="002D6648" w:rsidRDefault="00C023F2" w:rsidP="00C023F2">
      <w:pPr>
        <w:jc w:val="both"/>
        <w:rPr>
          <w:rFonts w:ascii="Times New Roman" w:hAnsi="Times New Roman"/>
        </w:rPr>
      </w:pPr>
      <w:r w:rsidRPr="007323BE">
        <w:rPr>
          <w:rFonts w:ascii="Times New Roman" w:hAnsi="Times New Roman"/>
        </w:rPr>
        <w:t>7.</w:t>
      </w:r>
      <w:r w:rsidRPr="007323BE">
        <w:rPr>
          <w:rFonts w:ascii="Times New Roman" w:hAnsi="Times New Roman"/>
        </w:rPr>
        <w:tab/>
      </w:r>
      <w:r w:rsidRPr="002D6648">
        <w:rPr>
          <w:rFonts w:ascii="Times New Roman" w:hAnsi="Times New Roman"/>
        </w:rPr>
        <w:t>Já a orquestração utiliza a automação de processos como base. É um software que vincula vários produtos, tecnologias e processos para permitir a automação de TI fim a fim, cujo gerenciamento tipicamente ocorre por meio de um portal.</w:t>
      </w:r>
    </w:p>
    <w:p w:rsidR="00C023F2" w:rsidRPr="002D6648" w:rsidRDefault="00C023F2" w:rsidP="00C023F2">
      <w:pPr>
        <w:jc w:val="both"/>
        <w:rPr>
          <w:rFonts w:ascii="Times New Roman" w:hAnsi="Times New Roman"/>
        </w:rPr>
      </w:pPr>
      <w:r w:rsidRPr="007323BE">
        <w:rPr>
          <w:rFonts w:ascii="Times New Roman" w:hAnsi="Times New Roman"/>
        </w:rPr>
        <w:t>8.</w:t>
      </w:r>
      <w:r w:rsidRPr="007323BE">
        <w:rPr>
          <w:rFonts w:ascii="Times New Roman" w:hAnsi="Times New Roman"/>
        </w:rPr>
        <w:tab/>
      </w:r>
      <w:r w:rsidRPr="002D6648">
        <w:rPr>
          <w:rFonts w:ascii="Times New Roman" w:hAnsi="Times New Roman"/>
        </w:rPr>
        <w:t>Há, no mercado, muitos fornecedores vendendo ferramentas de orquestração para provimento de nuvens privadas ou híbridas como se fossem soluções de computação em nuvem, mas que são, na verdade, soluções para provimento de infraestrutura para computação em nuvem.</w:t>
      </w:r>
    </w:p>
    <w:p w:rsidR="00C023F2" w:rsidRPr="007323BE" w:rsidRDefault="00C023F2" w:rsidP="00C023F2">
      <w:pPr>
        <w:pStyle w:val="Ttulo1"/>
        <w:tabs>
          <w:tab w:val="clear" w:pos="567"/>
          <w:tab w:val="left" w:pos="1276"/>
        </w:tabs>
        <w:spacing w:before="240"/>
        <w:ind w:left="357" w:hanging="357"/>
        <w:contextualSpacing w:val="0"/>
      </w:pPr>
      <w:bookmarkStart w:id="9" w:name="_Toc414629914"/>
      <w:bookmarkStart w:id="10" w:name="_Toc421292173"/>
      <w:r w:rsidRPr="007323BE">
        <w:t>3.</w:t>
      </w:r>
      <w:r w:rsidRPr="007323BE">
        <w:tab/>
        <w:t>Nuvem gerenciada</w:t>
      </w:r>
      <w:bookmarkEnd w:id="9"/>
      <w:bookmarkEnd w:id="10"/>
    </w:p>
    <w:p w:rsidR="00C023F2" w:rsidRPr="002D6648" w:rsidRDefault="00C023F2" w:rsidP="00C023F2">
      <w:pPr>
        <w:jc w:val="both"/>
        <w:rPr>
          <w:rFonts w:ascii="Times New Roman" w:hAnsi="Times New Roman"/>
        </w:rPr>
      </w:pPr>
      <w:r w:rsidRPr="007323BE">
        <w:rPr>
          <w:rFonts w:ascii="Times New Roman" w:hAnsi="Times New Roman"/>
        </w:rPr>
        <w:t>9.</w:t>
      </w:r>
      <w:r w:rsidRPr="007323BE">
        <w:rPr>
          <w:rFonts w:ascii="Times New Roman" w:hAnsi="Times New Roman"/>
        </w:rPr>
        <w:tab/>
      </w:r>
      <w:r w:rsidRPr="002D6648">
        <w:rPr>
          <w:rFonts w:ascii="Times New Roman" w:hAnsi="Times New Roman"/>
        </w:rPr>
        <w:t>Além das classificações expostas anteriormente, ainda há o conceito de “nuvem gerenciada” (</w:t>
      </w:r>
      <w:r w:rsidRPr="002D6648">
        <w:rPr>
          <w:rFonts w:ascii="Times New Roman" w:hAnsi="Times New Roman"/>
          <w:i/>
        </w:rPr>
        <w:t>managed cloud</w:t>
      </w:r>
      <w:r w:rsidRPr="002D6648">
        <w:rPr>
          <w:rFonts w:ascii="Times New Roman" w:hAnsi="Times New Roman"/>
        </w:rPr>
        <w:t xml:space="preserve">).  Trata-se de solução de computação em nuvem associada a serviços de gerenciamento e operação. Esta terminologia está em crescente uso pelos provedores de serviços de TI, apesar de não ser ainda difundida na literatura.  Os serviços de gerenciamento de nuvem adicionam itens de serviços ao que tradicionalmente é ofertado, como por exemplo: </w:t>
      </w:r>
      <w:r w:rsidRPr="002D6648">
        <w:rPr>
          <w:rFonts w:ascii="Times New Roman" w:hAnsi="Times New Roman"/>
          <w:i/>
        </w:rPr>
        <w:t>backups</w:t>
      </w:r>
      <w:r w:rsidRPr="002D6648">
        <w:rPr>
          <w:rFonts w:ascii="Times New Roman" w:hAnsi="Times New Roman"/>
        </w:rPr>
        <w:t xml:space="preserve"> de dados, gerenciamento a nível de sistema operacional e aplicação, monitoramento e suporte técnico para sistemas operacionais e aplicações. Eles também alteram a fronteira de responsabilidades apresentada na Figura 4, aumentando as camadas gerenciadas pelo provedor, e, consequentemente, diminuindo o que é gerenciado pelo cliente ou consumidor.</w:t>
      </w:r>
    </w:p>
    <w:p w:rsidR="00C023F2" w:rsidRPr="007323BE" w:rsidRDefault="00C023F2" w:rsidP="00C023F2">
      <w:pPr>
        <w:pStyle w:val="Ttulo1"/>
        <w:tabs>
          <w:tab w:val="clear" w:pos="567"/>
          <w:tab w:val="left" w:pos="1276"/>
        </w:tabs>
        <w:spacing w:before="240"/>
        <w:ind w:left="357" w:hanging="357"/>
        <w:contextualSpacing w:val="0"/>
      </w:pPr>
      <w:bookmarkStart w:id="11" w:name="_Toc414629915"/>
      <w:bookmarkStart w:id="12" w:name="_Toc421292174"/>
      <w:r w:rsidRPr="007323BE">
        <w:t>4.</w:t>
      </w:r>
      <w:r w:rsidRPr="007323BE">
        <w:tab/>
        <w:t>Collocation e serviços gerenciados</w:t>
      </w:r>
      <w:bookmarkEnd w:id="11"/>
      <w:bookmarkEnd w:id="12"/>
    </w:p>
    <w:p w:rsidR="00C023F2" w:rsidRPr="002D6648" w:rsidRDefault="00C023F2" w:rsidP="00C023F2">
      <w:pPr>
        <w:jc w:val="both"/>
        <w:rPr>
          <w:rFonts w:ascii="Times New Roman" w:hAnsi="Times New Roman"/>
        </w:rPr>
      </w:pPr>
      <w:r w:rsidRPr="009C0870">
        <w:rPr>
          <w:rFonts w:ascii="Times New Roman" w:hAnsi="Times New Roman"/>
        </w:rPr>
        <w:t>10.</w:t>
      </w:r>
      <w:r w:rsidRPr="009C0870">
        <w:rPr>
          <w:rFonts w:ascii="Times New Roman" w:hAnsi="Times New Roman"/>
        </w:rPr>
        <w:tab/>
      </w:r>
      <w:r w:rsidRPr="002D6648">
        <w:rPr>
          <w:rFonts w:ascii="Times New Roman" w:hAnsi="Times New Roman"/>
        </w:rPr>
        <w:t xml:space="preserve">A revista </w:t>
      </w:r>
      <w:r w:rsidRPr="002D6648">
        <w:rPr>
          <w:rFonts w:ascii="Times New Roman" w:hAnsi="Times New Roman"/>
          <w:i/>
        </w:rPr>
        <w:t>online</w:t>
      </w:r>
      <w:r w:rsidRPr="002D6648">
        <w:rPr>
          <w:rFonts w:ascii="Times New Roman" w:hAnsi="Times New Roman"/>
        </w:rPr>
        <w:t xml:space="preserve"> Networkworld, em um artigo sobre serviços gerenciados de nuvem</w:t>
      </w:r>
      <w:r w:rsidRPr="002D6648">
        <w:rPr>
          <w:rStyle w:val="Refdenotadefim"/>
          <w:rFonts w:ascii="Times New Roman" w:hAnsi="Times New Roman"/>
          <w:i/>
        </w:rPr>
        <w:endnoteReference w:id="3"/>
      </w:r>
      <w:r w:rsidRPr="002D6648">
        <w:rPr>
          <w:rFonts w:ascii="Times New Roman" w:hAnsi="Times New Roman"/>
        </w:rPr>
        <w:t>, afirma que (tradução livre):</w:t>
      </w:r>
    </w:p>
    <w:p w:rsidR="00C023F2" w:rsidRPr="009C0870" w:rsidRDefault="00C023F2" w:rsidP="00C023F2">
      <w:pPr>
        <w:pStyle w:val="PargrafodaLista"/>
        <w:ind w:left="1134"/>
        <w:contextualSpacing w:val="0"/>
        <w:rPr>
          <w:sz w:val="22"/>
          <w:szCs w:val="22"/>
        </w:rPr>
      </w:pPr>
      <w:r w:rsidRPr="007323BE">
        <w:rPr>
          <w:sz w:val="22"/>
          <w:szCs w:val="22"/>
        </w:rPr>
        <w:lastRenderedPageBreak/>
        <w:t>O movimento para se ter mais aspectos gerenciados do mercado de nuvem é natural. A nuvem cresceu a partir da indústria de serviços gerenci</w:t>
      </w:r>
      <w:r w:rsidRPr="009C0870">
        <w:rPr>
          <w:sz w:val="22"/>
          <w:szCs w:val="22"/>
        </w:rPr>
        <w:t xml:space="preserve">ados, o qual, por sua vez, originou-se do mercado de </w:t>
      </w:r>
      <w:r w:rsidRPr="009C0870">
        <w:rPr>
          <w:i/>
          <w:sz w:val="22"/>
          <w:szCs w:val="22"/>
        </w:rPr>
        <w:t>collocation</w:t>
      </w:r>
      <w:r w:rsidRPr="009C0870">
        <w:rPr>
          <w:sz w:val="22"/>
          <w:szCs w:val="22"/>
        </w:rPr>
        <w:t>. As diferenças entre estas ofertas são pequenas, mas importantes:</w:t>
      </w:r>
    </w:p>
    <w:p w:rsidR="00C023F2" w:rsidRPr="002D6648" w:rsidRDefault="00C023F2" w:rsidP="00C023F2">
      <w:pPr>
        <w:tabs>
          <w:tab w:val="left" w:pos="1418"/>
        </w:tabs>
        <w:ind w:left="1134"/>
        <w:jc w:val="both"/>
        <w:rPr>
          <w:rFonts w:ascii="Times New Roman" w:hAnsi="Times New Roman"/>
        </w:rPr>
      </w:pPr>
      <w:r w:rsidRPr="009C0870">
        <w:rPr>
          <w:rFonts w:ascii="Times New Roman" w:hAnsi="Times New Roman"/>
        </w:rPr>
        <w:t>1)</w:t>
      </w:r>
      <w:r w:rsidRPr="009C0870">
        <w:rPr>
          <w:rFonts w:ascii="Times New Roman" w:hAnsi="Times New Roman"/>
        </w:rPr>
        <w:tab/>
      </w:r>
      <w:r w:rsidRPr="002D6648">
        <w:rPr>
          <w:rFonts w:ascii="Times New Roman" w:hAnsi="Times New Roman"/>
          <w:i/>
        </w:rPr>
        <w:t>Collocation</w:t>
      </w:r>
      <w:r w:rsidRPr="002D6648">
        <w:rPr>
          <w:rFonts w:ascii="Times New Roman" w:hAnsi="Times New Roman"/>
        </w:rPr>
        <w:t xml:space="preserve">: Os fornecedores de </w:t>
      </w:r>
      <w:r w:rsidRPr="002D6648">
        <w:rPr>
          <w:rFonts w:ascii="Times New Roman" w:hAnsi="Times New Roman"/>
          <w:i/>
        </w:rPr>
        <w:t>collocation</w:t>
      </w:r>
      <w:r w:rsidRPr="002D6648">
        <w:rPr>
          <w:rFonts w:ascii="Times New Roman" w:hAnsi="Times New Roman"/>
        </w:rPr>
        <w:t xml:space="preserve"> provêm as instalações físicas do </w:t>
      </w:r>
      <w:r w:rsidRPr="002D6648">
        <w:rPr>
          <w:rFonts w:ascii="Times New Roman" w:hAnsi="Times New Roman"/>
          <w:i/>
        </w:rPr>
        <w:t>data center</w:t>
      </w:r>
      <w:r w:rsidRPr="002D6648">
        <w:rPr>
          <w:rFonts w:ascii="Times New Roman" w:hAnsi="Times New Roman"/>
        </w:rPr>
        <w:t>, a energia e o ar condicionado, mas a propriedade e a gerência da infraestrutura de TI são dos clientes;</w:t>
      </w:r>
    </w:p>
    <w:p w:rsidR="00C023F2" w:rsidRPr="002D6648" w:rsidRDefault="00C023F2" w:rsidP="00C023F2">
      <w:pPr>
        <w:tabs>
          <w:tab w:val="left" w:pos="1418"/>
        </w:tabs>
        <w:ind w:left="1134"/>
        <w:jc w:val="both"/>
        <w:rPr>
          <w:rFonts w:ascii="Times New Roman" w:hAnsi="Times New Roman"/>
        </w:rPr>
      </w:pPr>
      <w:r w:rsidRPr="007323BE">
        <w:rPr>
          <w:rFonts w:ascii="Times New Roman" w:hAnsi="Times New Roman"/>
        </w:rPr>
        <w:t>2)</w:t>
      </w:r>
      <w:r w:rsidRPr="007323BE">
        <w:rPr>
          <w:rFonts w:ascii="Times New Roman" w:hAnsi="Times New Roman"/>
        </w:rPr>
        <w:tab/>
      </w:r>
      <w:r w:rsidRPr="002D6648">
        <w:rPr>
          <w:rFonts w:ascii="Times New Roman" w:hAnsi="Times New Roman"/>
        </w:rPr>
        <w:t>Serviços Gerenciados: Os fornecedores provêm a infraestrutura inteira que é dedicada aos clientes individuais, os quais gerenciam desde o sistema operacional até a aplicação;</w:t>
      </w:r>
    </w:p>
    <w:p w:rsidR="00C023F2" w:rsidRPr="002D6648" w:rsidRDefault="00C023F2" w:rsidP="00C023F2">
      <w:pPr>
        <w:tabs>
          <w:tab w:val="left" w:pos="1418"/>
        </w:tabs>
        <w:ind w:left="1134"/>
        <w:jc w:val="both"/>
        <w:rPr>
          <w:rFonts w:ascii="Times New Roman" w:hAnsi="Times New Roman"/>
        </w:rPr>
      </w:pPr>
      <w:r w:rsidRPr="007323BE">
        <w:rPr>
          <w:rFonts w:ascii="Times New Roman" w:hAnsi="Times New Roman"/>
        </w:rPr>
        <w:t>3)</w:t>
      </w:r>
      <w:r w:rsidRPr="007323BE">
        <w:rPr>
          <w:rFonts w:ascii="Times New Roman" w:hAnsi="Times New Roman"/>
        </w:rPr>
        <w:tab/>
      </w:r>
      <w:r w:rsidRPr="002D6648">
        <w:rPr>
          <w:rFonts w:ascii="Times New Roman" w:hAnsi="Times New Roman"/>
        </w:rPr>
        <w:t xml:space="preserve">Nuvem: É uma forma ainda mais automatizada de serviços gerenciados, na qual clientes acessam recursos hospedados sob demanda através de um portal </w:t>
      </w:r>
      <w:r w:rsidRPr="002D6648">
        <w:rPr>
          <w:rFonts w:ascii="Times New Roman" w:hAnsi="Times New Roman"/>
          <w:i/>
        </w:rPr>
        <w:t>web</w:t>
      </w:r>
      <w:r w:rsidRPr="002D6648">
        <w:rPr>
          <w:rFonts w:ascii="Times New Roman" w:hAnsi="Times New Roman"/>
        </w:rPr>
        <w:t xml:space="preserve"> ou uma API (</w:t>
      </w:r>
      <w:r w:rsidRPr="002D6648">
        <w:rPr>
          <w:rFonts w:ascii="Times New Roman" w:hAnsi="Times New Roman"/>
          <w:i/>
        </w:rPr>
        <w:t>Application Programming Interface</w:t>
      </w:r>
      <w:r w:rsidRPr="002D6648">
        <w:rPr>
          <w:rFonts w:ascii="Times New Roman" w:hAnsi="Times New Roman"/>
        </w:rPr>
        <w:t>);</w:t>
      </w:r>
    </w:p>
    <w:p w:rsidR="00C023F2" w:rsidRPr="002D6648" w:rsidRDefault="00C023F2" w:rsidP="00C023F2">
      <w:pPr>
        <w:tabs>
          <w:tab w:val="left" w:pos="1418"/>
        </w:tabs>
        <w:ind w:left="1134"/>
        <w:jc w:val="both"/>
        <w:rPr>
          <w:rFonts w:ascii="Times New Roman" w:hAnsi="Times New Roman"/>
        </w:rPr>
      </w:pPr>
      <w:r w:rsidRPr="007323BE">
        <w:rPr>
          <w:rFonts w:ascii="Times New Roman" w:hAnsi="Times New Roman"/>
        </w:rPr>
        <w:t>4)</w:t>
      </w:r>
      <w:r w:rsidRPr="007323BE">
        <w:rPr>
          <w:rFonts w:ascii="Times New Roman" w:hAnsi="Times New Roman"/>
        </w:rPr>
        <w:tab/>
      </w:r>
      <w:r w:rsidRPr="002D6648">
        <w:rPr>
          <w:rFonts w:ascii="Times New Roman" w:hAnsi="Times New Roman"/>
        </w:rPr>
        <w:t>Nuvem gerenciada: Adiciona uma nova camada ao topo de todos estes serviços, com os recursos de nuvem sendo gerenciados de maneira mais ativa e interventiva por parte do fornecedor.</w:t>
      </w:r>
    </w:p>
    <w:p w:rsidR="00C023F2" w:rsidRPr="002D6648" w:rsidRDefault="00C023F2" w:rsidP="00C023F2">
      <w:pPr>
        <w:jc w:val="both"/>
        <w:rPr>
          <w:rFonts w:ascii="Times New Roman" w:hAnsi="Times New Roman"/>
        </w:rPr>
      </w:pPr>
      <w:r w:rsidRPr="007323BE">
        <w:rPr>
          <w:rFonts w:ascii="Times New Roman" w:hAnsi="Times New Roman"/>
        </w:rPr>
        <w:t>11.</w:t>
      </w:r>
      <w:r w:rsidRPr="007323BE">
        <w:rPr>
          <w:rFonts w:ascii="Times New Roman" w:hAnsi="Times New Roman"/>
        </w:rPr>
        <w:tab/>
      </w:r>
      <w:r w:rsidRPr="002D6648">
        <w:rPr>
          <w:rFonts w:ascii="Times New Roman" w:hAnsi="Times New Roman"/>
        </w:rPr>
        <w:t>Tanto os serviços de collocation quanto os serviços gerenciados não são serviços de computação em nuvem, pois não apresentam todas as características definidas pelo NIST.</w:t>
      </w:r>
    </w:p>
    <w:p w:rsidR="00C023F2" w:rsidRPr="007323BE" w:rsidRDefault="00C023F2" w:rsidP="00C023F2">
      <w:pPr>
        <w:pStyle w:val="Ttulo1"/>
        <w:tabs>
          <w:tab w:val="clear" w:pos="567"/>
          <w:tab w:val="left" w:pos="1276"/>
        </w:tabs>
        <w:spacing w:before="240"/>
        <w:ind w:left="357" w:hanging="357"/>
        <w:contextualSpacing w:val="0"/>
      </w:pPr>
      <w:bookmarkStart w:id="13" w:name="_Toc421292175"/>
      <w:r w:rsidRPr="007323BE">
        <w:t>5.</w:t>
      </w:r>
      <w:r w:rsidRPr="007323BE">
        <w:tab/>
        <w:t>XaaS</w:t>
      </w:r>
      <w:bookmarkEnd w:id="13"/>
    </w:p>
    <w:p w:rsidR="00C023F2" w:rsidRPr="002D6648" w:rsidRDefault="00C023F2" w:rsidP="00C023F2">
      <w:pPr>
        <w:jc w:val="both"/>
        <w:rPr>
          <w:rFonts w:ascii="Times New Roman" w:hAnsi="Times New Roman"/>
        </w:rPr>
      </w:pPr>
      <w:r w:rsidRPr="007323BE">
        <w:rPr>
          <w:rFonts w:ascii="Times New Roman" w:hAnsi="Times New Roman"/>
        </w:rPr>
        <w:t>12.</w:t>
      </w:r>
      <w:r w:rsidRPr="007323BE">
        <w:rPr>
          <w:rFonts w:ascii="Times New Roman" w:hAnsi="Times New Roman"/>
        </w:rPr>
        <w:tab/>
      </w:r>
      <w:r w:rsidRPr="002D6648">
        <w:rPr>
          <w:rFonts w:ascii="Times New Roman" w:hAnsi="Times New Roman"/>
        </w:rPr>
        <w:t>É frequente encontrar na internet outros tipos de serviço de computação em nuvem comercializados como XaaS (“</w:t>
      </w:r>
      <w:r w:rsidRPr="002D6648">
        <w:rPr>
          <w:rFonts w:ascii="Times New Roman" w:hAnsi="Times New Roman"/>
          <w:i/>
        </w:rPr>
        <w:t>Anything as a Service</w:t>
      </w:r>
      <w:r w:rsidRPr="002D6648">
        <w:rPr>
          <w:rFonts w:ascii="Times New Roman" w:hAnsi="Times New Roman"/>
        </w:rPr>
        <w:t xml:space="preserve">”, ou em português, “Tudo como Serviço”), onde a letra “X” da sigla pode ser trocada pela inicial do serviço sendo ofertado. Apesar do XaaS ser rotulado como mais uma estratégia de </w:t>
      </w:r>
      <w:r w:rsidRPr="002D6648">
        <w:rPr>
          <w:rFonts w:ascii="Times New Roman" w:hAnsi="Times New Roman"/>
          <w:i/>
        </w:rPr>
        <w:t>marketing</w:t>
      </w:r>
      <w:r w:rsidRPr="002D6648">
        <w:rPr>
          <w:rFonts w:ascii="Times New Roman" w:hAnsi="Times New Roman"/>
        </w:rPr>
        <w:t>, ele está aderente ao conceito de utilização de várias camadas de abstração – neste sentido, qualquer serviço específico pode fazer parte de uma nova categoria, e ainda assim, basear-se em serviços das camadas inferiores.</w:t>
      </w:r>
    </w:p>
    <w:p w:rsidR="00C023F2" w:rsidRPr="002D6648" w:rsidRDefault="00C023F2" w:rsidP="00C023F2">
      <w:pPr>
        <w:jc w:val="both"/>
        <w:rPr>
          <w:rFonts w:ascii="Times New Roman" w:hAnsi="Times New Roman"/>
        </w:rPr>
      </w:pPr>
      <w:r w:rsidRPr="007323BE">
        <w:rPr>
          <w:rFonts w:ascii="Times New Roman" w:hAnsi="Times New Roman"/>
        </w:rPr>
        <w:t>13.</w:t>
      </w:r>
      <w:r w:rsidRPr="007323BE">
        <w:rPr>
          <w:rFonts w:ascii="Times New Roman" w:hAnsi="Times New Roman"/>
        </w:rPr>
        <w:tab/>
      </w:r>
      <w:r w:rsidRPr="002D6648">
        <w:rPr>
          <w:rFonts w:ascii="Times New Roman" w:hAnsi="Times New Roman"/>
        </w:rPr>
        <w:t>Um exemplo de XaaS</w:t>
      </w:r>
      <w:r w:rsidRPr="002D6648">
        <w:rPr>
          <w:rFonts w:ascii="Times New Roman" w:hAnsi="Times New Roman"/>
          <w:i/>
        </w:rPr>
        <w:t xml:space="preserve"> </w:t>
      </w:r>
      <w:r w:rsidRPr="002D6648">
        <w:rPr>
          <w:rFonts w:ascii="Times New Roman" w:hAnsi="Times New Roman"/>
        </w:rPr>
        <w:t>é o DaaS, ou Desktop</w:t>
      </w:r>
      <w:r w:rsidRPr="002D6648">
        <w:rPr>
          <w:rFonts w:ascii="Times New Roman" w:hAnsi="Times New Roman"/>
          <w:i/>
        </w:rPr>
        <w:t xml:space="preserve"> as a Service</w:t>
      </w:r>
      <w:r w:rsidRPr="002D6648">
        <w:rPr>
          <w:rFonts w:ascii="Times New Roman" w:hAnsi="Times New Roman"/>
        </w:rPr>
        <w:t xml:space="preserve">, descrito no site </w:t>
      </w:r>
      <w:r w:rsidRPr="002D6648">
        <w:rPr>
          <w:rFonts w:ascii="Times New Roman" w:hAnsi="Times New Roman"/>
          <w:i/>
        </w:rPr>
        <w:t>CloudTech</w:t>
      </w:r>
      <w:r w:rsidRPr="002D6648">
        <w:rPr>
          <w:rStyle w:val="Refdenotadefim"/>
          <w:rFonts w:ascii="Times New Roman" w:hAnsi="Times New Roman"/>
          <w:i/>
        </w:rPr>
        <w:endnoteReference w:id="4"/>
      </w:r>
      <w:r w:rsidRPr="002D6648">
        <w:rPr>
          <w:rFonts w:ascii="Times New Roman" w:hAnsi="Times New Roman"/>
        </w:rPr>
        <w:t xml:space="preserve">. Em um serviço de </w:t>
      </w:r>
      <w:r w:rsidRPr="002D6648">
        <w:rPr>
          <w:rFonts w:ascii="Times New Roman" w:hAnsi="Times New Roman"/>
          <w:i/>
        </w:rPr>
        <w:t>desktop</w:t>
      </w:r>
      <w:r w:rsidRPr="002D6648">
        <w:rPr>
          <w:rFonts w:ascii="Times New Roman" w:hAnsi="Times New Roman"/>
        </w:rPr>
        <w:t xml:space="preserve"> na nuvem, o provedor precisará disponibilizar de pelo menos duas camadas na nuvem:</w:t>
      </w:r>
    </w:p>
    <w:p w:rsidR="00C023F2" w:rsidRPr="002D6648" w:rsidRDefault="00C023F2" w:rsidP="00C023F2">
      <w:pPr>
        <w:tabs>
          <w:tab w:val="left" w:pos="1418"/>
        </w:tabs>
        <w:ind w:left="1134"/>
        <w:jc w:val="both"/>
        <w:rPr>
          <w:rFonts w:ascii="Times New Roman" w:hAnsi="Times New Roman"/>
        </w:rPr>
      </w:pPr>
      <w:r w:rsidRPr="007323BE">
        <w:rPr>
          <w:rFonts w:ascii="Times New Roman" w:hAnsi="Times New Roman"/>
        </w:rPr>
        <w:t>1)</w:t>
      </w:r>
      <w:r w:rsidRPr="007323BE">
        <w:rPr>
          <w:rFonts w:ascii="Times New Roman" w:hAnsi="Times New Roman"/>
        </w:rPr>
        <w:tab/>
      </w:r>
      <w:r w:rsidRPr="002D6648">
        <w:rPr>
          <w:rFonts w:ascii="Times New Roman" w:hAnsi="Times New Roman"/>
        </w:rPr>
        <w:t xml:space="preserve">servidores para rodar infraestrutura de </w:t>
      </w:r>
      <w:r w:rsidRPr="002D6648">
        <w:rPr>
          <w:rFonts w:ascii="Times New Roman" w:hAnsi="Times New Roman"/>
          <w:i/>
        </w:rPr>
        <w:t>desktop virtual</w:t>
      </w:r>
      <w:r w:rsidRPr="002D6648">
        <w:rPr>
          <w:rFonts w:ascii="Times New Roman" w:hAnsi="Times New Roman"/>
        </w:rPr>
        <w:t xml:space="preserve"> de um provedor de </w:t>
      </w:r>
      <w:r w:rsidRPr="002D6648">
        <w:rPr>
          <w:rFonts w:ascii="Times New Roman" w:hAnsi="Times New Roman"/>
          <w:i/>
        </w:rPr>
        <w:t>IaaS</w:t>
      </w:r>
      <w:r w:rsidRPr="002D6648">
        <w:rPr>
          <w:rFonts w:ascii="Times New Roman" w:hAnsi="Times New Roman"/>
        </w:rPr>
        <w:t>, e os serviços de manutenção e atualização dos equipamentos associados;</w:t>
      </w:r>
    </w:p>
    <w:p w:rsidR="00C023F2" w:rsidRPr="002D6648" w:rsidRDefault="00C023F2" w:rsidP="00C023F2">
      <w:pPr>
        <w:tabs>
          <w:tab w:val="left" w:pos="1418"/>
        </w:tabs>
        <w:ind w:left="1134"/>
        <w:jc w:val="both"/>
        <w:rPr>
          <w:rFonts w:ascii="Times New Roman" w:hAnsi="Times New Roman"/>
        </w:rPr>
      </w:pPr>
      <w:r w:rsidRPr="007323BE">
        <w:rPr>
          <w:rFonts w:ascii="Times New Roman" w:hAnsi="Times New Roman"/>
        </w:rPr>
        <w:t>2)</w:t>
      </w:r>
      <w:r w:rsidRPr="007323BE">
        <w:rPr>
          <w:rFonts w:ascii="Times New Roman" w:hAnsi="Times New Roman"/>
        </w:rPr>
        <w:tab/>
      </w:r>
      <w:r w:rsidRPr="002D6648">
        <w:rPr>
          <w:rFonts w:ascii="Times New Roman" w:hAnsi="Times New Roman"/>
        </w:rPr>
        <w:t xml:space="preserve">um pacote de </w:t>
      </w:r>
      <w:r w:rsidRPr="002D6648">
        <w:rPr>
          <w:rFonts w:ascii="Times New Roman" w:hAnsi="Times New Roman"/>
          <w:i/>
        </w:rPr>
        <w:t>office</w:t>
      </w:r>
      <w:r w:rsidRPr="002D6648">
        <w:rPr>
          <w:rFonts w:ascii="Times New Roman" w:hAnsi="Times New Roman"/>
        </w:rPr>
        <w:t>, como o Microsoft Office 365 (SaaS).</w:t>
      </w:r>
    </w:p>
    <w:p w:rsidR="00C023F2" w:rsidRPr="002D6648" w:rsidRDefault="00C023F2" w:rsidP="00C023F2">
      <w:pPr>
        <w:jc w:val="both"/>
        <w:rPr>
          <w:rFonts w:ascii="Times New Roman" w:hAnsi="Times New Roman"/>
        </w:rPr>
      </w:pPr>
      <w:r w:rsidRPr="007323BE">
        <w:rPr>
          <w:rFonts w:ascii="Times New Roman" w:hAnsi="Times New Roman"/>
        </w:rPr>
        <w:t>14.</w:t>
      </w:r>
      <w:r w:rsidRPr="007323BE">
        <w:rPr>
          <w:rFonts w:ascii="Times New Roman" w:hAnsi="Times New Roman"/>
        </w:rPr>
        <w:tab/>
      </w:r>
      <w:r w:rsidRPr="002D6648">
        <w:rPr>
          <w:rFonts w:ascii="Times New Roman" w:hAnsi="Times New Roman"/>
        </w:rPr>
        <w:t xml:space="preserve">Serão necessários, também, serviços de manutenção e aplicação de </w:t>
      </w:r>
      <w:r w:rsidRPr="002D6648">
        <w:rPr>
          <w:rFonts w:ascii="Times New Roman" w:hAnsi="Times New Roman"/>
          <w:i/>
        </w:rPr>
        <w:t>patches</w:t>
      </w:r>
      <w:r w:rsidRPr="002D6648">
        <w:rPr>
          <w:rFonts w:ascii="Times New Roman" w:hAnsi="Times New Roman"/>
        </w:rPr>
        <w:t xml:space="preserve"> de sistema operacional, e um terminal de acesso</w:t>
      </w:r>
      <w:r w:rsidRPr="002D6648">
        <w:rPr>
          <w:rFonts w:ascii="Times New Roman" w:hAnsi="Times New Roman"/>
          <w:i/>
        </w:rPr>
        <w:t>.</w:t>
      </w:r>
      <w:r w:rsidRPr="002D6648">
        <w:rPr>
          <w:rFonts w:ascii="Times New Roman" w:hAnsi="Times New Roman"/>
        </w:rPr>
        <w:t xml:space="preserve"> O provedor de DaaS será responsável por desenhar a solução, montá-la e gerenciá-la.</w:t>
      </w:r>
    </w:p>
    <w:p w:rsidR="00C023F2" w:rsidRPr="002D6648" w:rsidRDefault="00C023F2" w:rsidP="00C023F2">
      <w:pPr>
        <w:jc w:val="both"/>
        <w:rPr>
          <w:rFonts w:ascii="Times New Roman" w:hAnsi="Times New Roman"/>
        </w:rPr>
      </w:pPr>
    </w:p>
    <w:p w:rsidR="00C023F2" w:rsidRPr="007323BE" w:rsidRDefault="00C023F2" w:rsidP="00C023F2">
      <w:pPr>
        <w:jc w:val="both"/>
        <w:rPr>
          <w:rFonts w:ascii="Times New Roman" w:hAnsi="Times New Roman"/>
        </w:rPr>
      </w:pPr>
    </w:p>
    <w:p w:rsidR="00C023F2" w:rsidRPr="009C0870" w:rsidRDefault="00C023F2" w:rsidP="00C023F2">
      <w:pPr>
        <w:jc w:val="both"/>
        <w:rPr>
          <w:rFonts w:ascii="Times New Roman" w:hAnsi="Times New Roman"/>
        </w:rPr>
      </w:pPr>
    </w:p>
    <w:p w:rsidR="00C023F2" w:rsidRPr="009C0870" w:rsidRDefault="00C023F2" w:rsidP="00C023F2">
      <w:pPr>
        <w:jc w:val="both"/>
        <w:rPr>
          <w:rFonts w:ascii="Times New Roman" w:hAnsi="Times New Roman"/>
        </w:rPr>
      </w:pPr>
    </w:p>
    <w:p w:rsidR="00C023F2" w:rsidRPr="009C0870" w:rsidRDefault="00C023F2" w:rsidP="00C023F2">
      <w:pPr>
        <w:jc w:val="both"/>
        <w:rPr>
          <w:rFonts w:ascii="Times New Roman" w:hAnsi="Times New Roman"/>
        </w:rPr>
        <w:sectPr w:rsidR="00C023F2" w:rsidRPr="009C0870" w:rsidSect="00F309B9">
          <w:endnotePr>
            <w:numFmt w:val="decimal"/>
          </w:endnotePr>
          <w:pgSz w:w="11907" w:h="16840" w:code="9"/>
          <w:pgMar w:top="1418" w:right="567" w:bottom="851" w:left="1418" w:header="851" w:footer="567" w:gutter="0"/>
          <w:cols w:space="720"/>
          <w:noEndnote/>
        </w:sectPr>
      </w:pPr>
      <w:r w:rsidRPr="009C0870">
        <w:rPr>
          <w:rFonts w:ascii="Times New Roman" w:hAnsi="Times New Roman"/>
        </w:rPr>
        <w:br w:type="page"/>
      </w:r>
    </w:p>
    <w:p w:rsidR="00C023F2" w:rsidRPr="009C0870" w:rsidRDefault="00C023F2" w:rsidP="00C023F2">
      <w:pPr>
        <w:jc w:val="both"/>
        <w:rPr>
          <w:rFonts w:ascii="Times New Roman" w:hAnsi="Times New Roman"/>
        </w:rPr>
      </w:pPr>
    </w:p>
    <w:p w:rsidR="00F7480D" w:rsidRDefault="00F7480D"/>
    <w:sectPr w:rsidR="00F7480D" w:rsidSect="009F2E9F">
      <w:endnotePr>
        <w:numFmt w:val="decimal"/>
      </w:endnotePr>
      <w:type w:val="continuous"/>
      <w:pgSz w:w="11907" w:h="16840" w:code="9"/>
      <w:pgMar w:top="1418" w:right="567" w:bottom="851" w:left="1418" w:header="851"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0B" w:rsidRDefault="00926F0B" w:rsidP="00C023F2">
      <w:pPr>
        <w:spacing w:after="0" w:line="240" w:lineRule="auto"/>
      </w:pPr>
      <w:r>
        <w:separator/>
      </w:r>
    </w:p>
  </w:endnote>
  <w:endnote w:type="continuationSeparator" w:id="0">
    <w:p w:rsidR="00926F0B" w:rsidRDefault="00926F0B" w:rsidP="00C023F2">
      <w:pPr>
        <w:spacing w:after="0" w:line="240" w:lineRule="auto"/>
      </w:pPr>
      <w:r>
        <w:continuationSeparator/>
      </w:r>
    </w:p>
  </w:endnote>
  <w:endnote w:id="1">
    <w:p w:rsidR="00C023F2" w:rsidRPr="008D3306" w:rsidRDefault="00C023F2" w:rsidP="00C023F2">
      <w:pPr>
        <w:spacing w:before="240"/>
        <w:ind w:left="567" w:hanging="567"/>
        <w:jc w:val="both"/>
        <w:rPr>
          <w:rFonts w:ascii="Times New Roman" w:hAnsi="Times New Roman"/>
          <w:shd w:val="clear" w:color="auto" w:fill="FFFFFF"/>
          <w:lang w:val="en-US"/>
        </w:rPr>
      </w:pPr>
      <w:r>
        <w:rPr>
          <w:rStyle w:val="Refdenotadefim"/>
        </w:rPr>
        <w:endnoteRef/>
      </w:r>
      <w:r w:rsidRPr="00271CED">
        <w:t xml:space="preserve"> </w:t>
      </w:r>
      <w:r w:rsidRPr="00AD50DD">
        <w:tab/>
      </w:r>
      <w:r w:rsidRPr="00271CED">
        <w:rPr>
          <w:rFonts w:ascii="Times New Roman" w:hAnsi="Times New Roman"/>
        </w:rPr>
        <w:t>VMWARE.COM</w:t>
      </w:r>
      <w:r w:rsidRPr="00AD50DD">
        <w:rPr>
          <w:rFonts w:ascii="Times New Roman" w:hAnsi="Times New Roman"/>
        </w:rPr>
        <w:t>.</w:t>
      </w:r>
      <w:r w:rsidRPr="00271CED">
        <w:rPr>
          <w:rFonts w:ascii="Times New Roman" w:hAnsi="Times New Roman"/>
        </w:rPr>
        <w:t xml:space="preserve"> N</w:t>
      </w:r>
      <w:r>
        <w:rPr>
          <w:rFonts w:ascii="Times New Roman" w:hAnsi="Times New Roman"/>
        </w:rPr>
        <w:t>oções básicas da virtualização. Disponível em: &lt;</w:t>
      </w:r>
      <w:hyperlink r:id="rId1" w:history="1">
        <w:r w:rsidRPr="00AD50DD">
          <w:rPr>
            <w:rFonts w:ascii="Times New Roman" w:hAnsi="Times New Roman"/>
            <w:shd w:val="clear" w:color="auto" w:fill="FFFFFF"/>
          </w:rPr>
          <w:t>http://www.vmware.com/br/virtualization/virtualization-basics/what-is-virtualization.html</w:t>
        </w:r>
      </w:hyperlink>
      <w:r w:rsidRPr="00AD50DD">
        <w:rPr>
          <w:rFonts w:ascii="Times New Roman" w:hAnsi="Times New Roman"/>
          <w:shd w:val="clear" w:color="auto" w:fill="FFFFFF"/>
        </w:rPr>
        <w:t>​</w:t>
      </w:r>
      <w:r>
        <w:rPr>
          <w:rFonts w:ascii="Times New Roman" w:hAnsi="Times New Roman"/>
          <w:shd w:val="clear" w:color="auto" w:fill="FFFFFF"/>
        </w:rPr>
        <w:t xml:space="preserve">&gt;. </w:t>
      </w:r>
      <w:r w:rsidRPr="008D3306">
        <w:rPr>
          <w:rFonts w:ascii="Times New Roman" w:hAnsi="Times New Roman"/>
          <w:shd w:val="clear" w:color="auto" w:fill="FFFFFF"/>
          <w:lang w:val="en-US"/>
        </w:rPr>
        <w:t>Acessado em: 18/03/2015.</w:t>
      </w:r>
    </w:p>
  </w:endnote>
  <w:endnote w:id="2">
    <w:p w:rsidR="00C023F2" w:rsidRPr="00052BBB" w:rsidRDefault="00C023F2" w:rsidP="00C023F2">
      <w:pPr>
        <w:spacing w:before="240"/>
        <w:ind w:left="567" w:hanging="567"/>
        <w:jc w:val="both"/>
        <w:rPr>
          <w:rFonts w:ascii="Times New Roman" w:hAnsi="Times New Roman"/>
          <w:lang w:val="en-US"/>
        </w:rPr>
      </w:pPr>
      <w:r w:rsidRPr="0037610A">
        <w:rPr>
          <w:rStyle w:val="Refdenotadefim"/>
        </w:rPr>
        <w:endnoteRef/>
      </w:r>
      <w:r w:rsidRPr="0037610A">
        <w:rPr>
          <w:rFonts w:ascii="Times New Roman" w:hAnsi="Times New Roman"/>
          <w:lang w:val="en-US"/>
        </w:rPr>
        <w:t xml:space="preserve"> </w:t>
      </w:r>
      <w:r w:rsidRPr="0037610A">
        <w:rPr>
          <w:rFonts w:ascii="Times New Roman" w:hAnsi="Times New Roman"/>
          <w:lang w:val="en-US"/>
        </w:rPr>
        <w:tab/>
        <w:t xml:space="preserve">ONISICK, J. </w:t>
      </w:r>
      <w:r w:rsidRPr="0037610A">
        <w:rPr>
          <w:rFonts w:ascii="Times New Roman" w:hAnsi="Times New Roman"/>
          <w:i/>
          <w:lang w:val="en-US"/>
        </w:rPr>
        <w:t>Cloud Infrastructure</w:t>
      </w:r>
      <w:r w:rsidRPr="0037610A">
        <w:rPr>
          <w:rFonts w:ascii="Times New Roman" w:hAnsi="Times New Roman"/>
          <w:lang w:val="en-US"/>
        </w:rPr>
        <w:t xml:space="preserve">: Private Cloud Automation, Orchestration, And Measured Service. </w:t>
      </w:r>
      <w:r>
        <w:rPr>
          <w:rFonts w:ascii="Times New Roman" w:hAnsi="Times New Roman"/>
          <w:lang w:val="en-US"/>
        </w:rPr>
        <w:t xml:space="preserve">InformationWeek </w:t>
      </w:r>
      <w:r w:rsidRPr="00052BBB">
        <w:rPr>
          <w:rFonts w:ascii="Times New Roman" w:hAnsi="Times New Roman"/>
          <w:lang w:val="en-US"/>
        </w:rPr>
        <w:t>Network Computing, 06/23/2011.</w:t>
      </w:r>
      <w:r w:rsidRPr="00052BBB">
        <w:rPr>
          <w:rFonts w:ascii="Times New Roman" w:hAnsi="Times New Roman"/>
          <w:shd w:val="clear" w:color="auto" w:fill="FFFFFF"/>
          <w:lang w:val="en-US"/>
        </w:rPr>
        <w:t xml:space="preserve"> Disponível em: &lt;</w:t>
      </w:r>
      <w:r w:rsidRPr="00052BBB">
        <w:rPr>
          <w:rFonts w:ascii="Times New Roman" w:hAnsi="Times New Roman"/>
          <w:lang w:val="en-US"/>
        </w:rPr>
        <w:t>http://www.networkcomputing.com/</w:t>
      </w:r>
    </w:p>
    <w:p w:rsidR="00C023F2" w:rsidRPr="00052BBB" w:rsidRDefault="00C023F2" w:rsidP="00C023F2">
      <w:pPr>
        <w:ind w:left="567"/>
        <w:jc w:val="both"/>
        <w:rPr>
          <w:rFonts w:ascii="Times New Roman" w:hAnsi="Times New Roman"/>
          <w:lang w:val="en-US"/>
        </w:rPr>
      </w:pPr>
      <w:r w:rsidRPr="00052BBB">
        <w:rPr>
          <w:rFonts w:ascii="Times New Roman" w:hAnsi="Times New Roman"/>
          <w:lang w:val="en-US"/>
        </w:rPr>
        <w:t>cloud-infrastructure/private-cloud-automation-orchestration-and-measured-service/a/d-id/123284</w:t>
      </w:r>
    </w:p>
    <w:p w:rsidR="00C023F2" w:rsidRPr="0037610A" w:rsidRDefault="00C023F2" w:rsidP="00C023F2">
      <w:pPr>
        <w:ind w:left="567"/>
        <w:jc w:val="both"/>
        <w:rPr>
          <w:rFonts w:ascii="Times New Roman" w:hAnsi="Times New Roman"/>
          <w:lang w:val="en-US"/>
        </w:rPr>
      </w:pPr>
      <w:r w:rsidRPr="0037610A">
        <w:rPr>
          <w:rFonts w:ascii="Times New Roman" w:hAnsi="Times New Roman"/>
          <w:lang w:val="en-US"/>
        </w:rPr>
        <w:t>1?page_number=</w:t>
      </w:r>
      <w:r>
        <w:rPr>
          <w:rFonts w:ascii="Times New Roman" w:hAnsi="Times New Roman"/>
          <w:lang w:val="en-US"/>
        </w:rPr>
        <w:t>1</w:t>
      </w:r>
      <w:r w:rsidRPr="0037610A">
        <w:rPr>
          <w:rFonts w:ascii="Times New Roman" w:hAnsi="Times New Roman"/>
          <w:lang w:val="en-US"/>
        </w:rPr>
        <w:t>&gt;. Acessado em: 04/11/2014.</w:t>
      </w:r>
    </w:p>
  </w:endnote>
  <w:endnote w:id="3">
    <w:p w:rsidR="00C023F2" w:rsidRPr="0037610A" w:rsidRDefault="00C023F2" w:rsidP="00C023F2">
      <w:pPr>
        <w:spacing w:before="240"/>
        <w:ind w:left="567" w:hanging="567"/>
        <w:jc w:val="both"/>
        <w:rPr>
          <w:rFonts w:ascii="Times New Roman" w:hAnsi="Times New Roman"/>
          <w:lang w:val="en-US"/>
        </w:rPr>
      </w:pPr>
      <w:r w:rsidRPr="0037610A">
        <w:rPr>
          <w:rStyle w:val="Refdenotadefim"/>
        </w:rPr>
        <w:endnoteRef/>
      </w:r>
      <w:r w:rsidRPr="0037610A">
        <w:rPr>
          <w:rFonts w:ascii="Times New Roman" w:hAnsi="Times New Roman"/>
          <w:lang w:val="en-US"/>
        </w:rPr>
        <w:t xml:space="preserve"> </w:t>
      </w:r>
      <w:r w:rsidRPr="0037610A">
        <w:rPr>
          <w:rFonts w:ascii="Times New Roman" w:hAnsi="Times New Roman"/>
          <w:lang w:val="en-US"/>
        </w:rPr>
        <w:tab/>
        <w:t xml:space="preserve">BUTLER, B. </w:t>
      </w:r>
      <w:r w:rsidRPr="0037610A">
        <w:rPr>
          <w:rFonts w:ascii="Times New Roman" w:hAnsi="Times New Roman"/>
          <w:i/>
          <w:lang w:val="en-US"/>
        </w:rPr>
        <w:t>Rackspace rolls out new hosted computing tier: Managed cloud</w:t>
      </w:r>
      <w:r w:rsidRPr="0037610A">
        <w:rPr>
          <w:rFonts w:ascii="Times New Roman" w:hAnsi="Times New Roman"/>
          <w:lang w:val="en-US"/>
        </w:rPr>
        <w:t xml:space="preserve">. Net Work World, 15/07/2014. </w:t>
      </w:r>
      <w:r w:rsidRPr="0037610A">
        <w:rPr>
          <w:rFonts w:ascii="Times New Roman" w:hAnsi="Times New Roman"/>
          <w:shd w:val="clear" w:color="auto" w:fill="FFFFFF"/>
          <w:lang w:val="en-US"/>
        </w:rPr>
        <w:t>Disponível em:  &lt;</w:t>
      </w:r>
      <w:r w:rsidRPr="0037610A">
        <w:rPr>
          <w:rFonts w:ascii="Times New Roman" w:hAnsi="Times New Roman"/>
          <w:lang w:val="en-US"/>
        </w:rPr>
        <w:t>http://www.networkworld.com/article/2454284/cloud-computing/r</w:t>
      </w:r>
    </w:p>
    <w:p w:rsidR="00C023F2" w:rsidRPr="008D3306" w:rsidRDefault="00C023F2" w:rsidP="00C023F2">
      <w:pPr>
        <w:ind w:left="567"/>
        <w:jc w:val="both"/>
        <w:rPr>
          <w:rFonts w:ascii="Times New Roman" w:hAnsi="Times New Roman"/>
          <w:lang w:val="en-US"/>
        </w:rPr>
      </w:pPr>
      <w:r w:rsidRPr="0037610A">
        <w:rPr>
          <w:rFonts w:ascii="Times New Roman" w:hAnsi="Times New Roman"/>
          <w:lang w:val="en-US"/>
        </w:rPr>
        <w:t xml:space="preserve">ackspace-rolls-out-new-hosted-computing-tier-managed-cloud.html&gt;. </w:t>
      </w:r>
      <w:r w:rsidRPr="008D3306">
        <w:rPr>
          <w:rFonts w:ascii="Times New Roman" w:hAnsi="Times New Roman"/>
          <w:lang w:val="en-US"/>
        </w:rPr>
        <w:t>Acessado em: 03/11/2014.</w:t>
      </w:r>
    </w:p>
  </w:endnote>
  <w:endnote w:id="4">
    <w:p w:rsidR="00C023F2" w:rsidRPr="0037610A" w:rsidRDefault="00C023F2" w:rsidP="00C023F2">
      <w:pPr>
        <w:spacing w:before="240"/>
        <w:ind w:left="567" w:hanging="567"/>
        <w:jc w:val="both"/>
        <w:rPr>
          <w:rFonts w:ascii="Times New Roman" w:hAnsi="Times New Roman"/>
        </w:rPr>
      </w:pPr>
      <w:r w:rsidRPr="0037610A">
        <w:rPr>
          <w:rStyle w:val="Refdenotadefim"/>
        </w:rPr>
        <w:endnoteRef/>
      </w:r>
      <w:r w:rsidRPr="0037610A">
        <w:rPr>
          <w:rFonts w:ascii="Times New Roman" w:hAnsi="Times New Roman"/>
          <w:lang w:val="en-US"/>
        </w:rPr>
        <w:t xml:space="preserve">  </w:t>
      </w:r>
      <w:r w:rsidRPr="0037610A">
        <w:rPr>
          <w:rFonts w:ascii="Times New Roman" w:hAnsi="Times New Roman"/>
          <w:lang w:val="en-US"/>
        </w:rPr>
        <w:tab/>
        <w:t xml:space="preserve">DIXON, J. </w:t>
      </w:r>
      <w:r w:rsidRPr="0037610A">
        <w:rPr>
          <w:rFonts w:ascii="Times New Roman" w:hAnsi="Times New Roman"/>
          <w:i/>
          <w:shd w:val="clear" w:color="auto" w:fill="FFFFFF"/>
          <w:lang w:val="en-US"/>
        </w:rPr>
        <w:t xml:space="preserve">X as a service (XaaS): </w:t>
      </w:r>
      <w:r w:rsidRPr="0037610A">
        <w:rPr>
          <w:rFonts w:ascii="Times New Roman" w:hAnsi="Times New Roman"/>
          <w:shd w:val="clear" w:color="auto" w:fill="FFFFFF"/>
          <w:lang w:val="en-US"/>
        </w:rPr>
        <w:t>What the future of cloud computing will bring. Cloudtech. GreenPages Technology Solutions, 18/08/2014. Disponível em: &lt;</w:t>
      </w:r>
      <w:r w:rsidRPr="0037610A">
        <w:rPr>
          <w:rFonts w:ascii="Times New Roman" w:hAnsi="Times New Roman"/>
          <w:lang w:val="en-US"/>
        </w:rPr>
        <w:t xml:space="preserve">http://www.cloudcomputing-news.net/news/2014/aug/18/x-as-a-service-xaas-what-the-future-of-cloud-computing-will-bring/&gt;. </w:t>
      </w:r>
      <w:r w:rsidRPr="0037610A">
        <w:rPr>
          <w:rFonts w:ascii="Times New Roman" w:hAnsi="Times New Roman"/>
        </w:rPr>
        <w:t>Acessado em: 04/11/2014.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ianti Win95BT">
    <w:altName w:val="Chianti Win95BT"/>
    <w:panose1 w:val="00000000000000000000"/>
    <w:charset w:val="00"/>
    <w:family w:val="roman"/>
    <w:notTrueType/>
    <w:pitch w:val="default"/>
    <w:sig w:usb0="00000003" w:usb1="00000000" w:usb2="00000000" w:usb3="00000000" w:csb0="00000001" w:csb1="00000000"/>
  </w:font>
  <w:font w:name="Andale Sans U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0B" w:rsidRDefault="00926F0B" w:rsidP="00C023F2">
      <w:pPr>
        <w:spacing w:after="0" w:line="240" w:lineRule="auto"/>
      </w:pPr>
      <w:r>
        <w:separator/>
      </w:r>
    </w:p>
  </w:footnote>
  <w:footnote w:type="continuationSeparator" w:id="0">
    <w:p w:rsidR="00926F0B" w:rsidRDefault="00926F0B" w:rsidP="00C02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62C6ED4"/>
    <w:lvl w:ilvl="0">
      <w:start w:val="1"/>
      <w:numFmt w:val="decimal"/>
      <w:pStyle w:val="Numerada"/>
      <w:lvlText w:val="%1."/>
      <w:lvlJc w:val="left"/>
      <w:pPr>
        <w:tabs>
          <w:tab w:val="num" w:pos="360"/>
        </w:tabs>
        <w:ind w:left="360" w:hanging="360"/>
      </w:pPr>
    </w:lvl>
  </w:abstractNum>
  <w:abstractNum w:abstractNumId="1" w15:restartNumberingAfterBreak="0">
    <w:nsid w:val="02F17665"/>
    <w:multiLevelType w:val="multilevel"/>
    <w:tmpl w:val="5DA03D68"/>
    <w:lvl w:ilvl="0">
      <w:start w:val="1"/>
      <w:numFmt w:val="decimal"/>
      <w:pStyle w:val="Ttulo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TtulodeDeliberao"/>
      <w:lvlText w:val="%1.%2."/>
      <w:lvlJc w:val="left"/>
      <w:pPr>
        <w:ind w:left="1134" w:hanging="1134"/>
      </w:pPr>
      <w:rPr>
        <w:rFonts w:hint="default"/>
        <w:b w:val="0"/>
        <w:i w:val="0"/>
      </w:rPr>
    </w:lvl>
    <w:lvl w:ilvl="2">
      <w:start w:val="1"/>
      <w:numFmt w:val="decimal"/>
      <w:pStyle w:val="Campodedeliberao"/>
      <w:lvlText w:val="%1.%2.%3."/>
      <w:lvlJc w:val="left"/>
      <w:pPr>
        <w:ind w:left="1134" w:hanging="1134"/>
      </w:pPr>
      <w:rPr>
        <w:rFonts w:ascii="Times New Roman" w:hAnsi="Times New Roman" w:cs="Times New Roman"/>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134" w:hanging="1134"/>
      </w:pPr>
      <w:rPr>
        <w:rFonts w:hint="default"/>
        <w:b w:val="0"/>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615B99"/>
    <w:multiLevelType w:val="multilevel"/>
    <w:tmpl w:val="A4E44BF6"/>
    <w:lvl w:ilvl="0">
      <w:start w:val="1"/>
      <w:numFmt w:val="decimal"/>
      <w:lvlText w:val="%1)"/>
      <w:lvlJc w:val="left"/>
      <w:pPr>
        <w:ind w:left="927" w:hanging="360"/>
      </w:pPr>
      <w:rPr>
        <w:rFonts w:hint="default"/>
        <w:b w:val="0"/>
      </w:rPr>
    </w:lvl>
    <w:lvl w:ilvl="1">
      <w:start w:val="1"/>
      <w:numFmt w:val="decimal"/>
      <w:lvlText w:val="%2)"/>
      <w:lvlJc w:val="left"/>
      <w:pPr>
        <w:ind w:left="1000"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533C4F"/>
    <w:multiLevelType w:val="multilevel"/>
    <w:tmpl w:val="FCFE6246"/>
    <w:styleLink w:val="Estilo1"/>
    <w:lvl w:ilvl="0">
      <w:start w:val="1"/>
      <w:numFmt w:val="lowerLetter"/>
      <w:lvlText w:val="%1)"/>
      <w:lvlJc w:val="left"/>
      <w:pPr>
        <w:ind w:left="360" w:hanging="360"/>
      </w:pPr>
    </w:lvl>
    <w:lvl w:ilvl="1">
      <w:start w:val="1"/>
      <w:numFmt w:val="lowerRoman"/>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0DE66D8C"/>
    <w:multiLevelType w:val="hybridMultilevel"/>
    <w:tmpl w:val="23CA5CFA"/>
    <w:lvl w:ilvl="0" w:tplc="04160011">
      <w:start w:val="1"/>
      <w:numFmt w:val="decimal"/>
      <w:lvlText w:val="%1)"/>
      <w:lvlJc w:val="left"/>
      <w:pPr>
        <w:ind w:left="1854" w:hanging="360"/>
      </w:pPr>
      <w:rPr>
        <w:b w:val="0"/>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 w15:restartNumberingAfterBreak="0">
    <w:nsid w:val="0FA72BC9"/>
    <w:multiLevelType w:val="hybridMultilevel"/>
    <w:tmpl w:val="C3DC60D4"/>
    <w:lvl w:ilvl="0" w:tplc="04160017">
      <w:start w:val="1"/>
      <w:numFmt w:val="lowerLetter"/>
      <w:lvlText w:val="%1)"/>
      <w:lvlJc w:val="left"/>
      <w:pPr>
        <w:ind w:left="1854" w:hanging="360"/>
      </w:pPr>
    </w:lvl>
    <w:lvl w:ilvl="1" w:tplc="A746BC44">
      <w:start w:val="1"/>
      <w:numFmt w:val="lowerRoman"/>
      <w:lvlText w:val="%2)"/>
      <w:lvlJc w:val="left"/>
      <w:pPr>
        <w:ind w:left="2939" w:hanging="725"/>
      </w:pPr>
      <w:rPr>
        <w:rFonts w:hint="default"/>
      </w:r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 w15:restartNumberingAfterBreak="0">
    <w:nsid w:val="13AE243E"/>
    <w:multiLevelType w:val="multilevel"/>
    <w:tmpl w:val="37BA2C5A"/>
    <w:styleLink w:val="Estilo2"/>
    <w:lvl w:ilvl="0">
      <w:start w:val="1"/>
      <w:numFmt w:val="none"/>
      <w:lvlText w:val="B."/>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176F58"/>
    <w:multiLevelType w:val="multilevel"/>
    <w:tmpl w:val="942E56CE"/>
    <w:lvl w:ilvl="0">
      <w:start w:val="1"/>
      <w:numFmt w:val="decimal"/>
      <w:lvlText w:val="%1."/>
      <w:lvlJc w:val="left"/>
      <w:pPr>
        <w:ind w:left="357" w:hanging="357"/>
      </w:pPr>
      <w:rPr>
        <w:rFonts w:ascii="Times New Roman" w:hAnsi="Times New Roman" w:hint="default"/>
        <w:b/>
        <w:i w:val="0"/>
        <w:sz w:val="24"/>
      </w:rPr>
    </w:lvl>
    <w:lvl w:ilvl="1">
      <w:start w:val="1"/>
      <w:numFmt w:val="decimal"/>
      <w:lvlText w:val="%1.%2"/>
      <w:lvlJc w:val="left"/>
      <w:pPr>
        <w:ind w:left="499" w:hanging="357"/>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1.%2.%3"/>
      <w:lvlJc w:val="left"/>
      <w:pPr>
        <w:ind w:left="357" w:hanging="357"/>
      </w:pPr>
      <w:rPr>
        <w:rFonts w:ascii="Times New Roman" w:hAnsi="Times New Roman" w:hint="default"/>
        <w:b w:val="0"/>
        <w:i w:val="0"/>
        <w:sz w:val="24"/>
      </w:rPr>
    </w:lvl>
    <w:lvl w:ilvl="3">
      <w:start w:val="1"/>
      <w:numFmt w:val="decimal"/>
      <w:lvlText w:val="%4."/>
      <w:lvlJc w:val="left"/>
      <w:pPr>
        <w:ind w:left="12159" w:hanging="360"/>
      </w:pPr>
      <w:rPr>
        <w:rFonts w:hint="default"/>
      </w:rPr>
    </w:lvl>
    <w:lvl w:ilvl="4">
      <w:start w:val="1"/>
      <w:numFmt w:val="lowerLetter"/>
      <w:lvlText w:val="%5."/>
      <w:lvlJc w:val="left"/>
      <w:pPr>
        <w:ind w:left="12879" w:hanging="360"/>
      </w:pPr>
      <w:rPr>
        <w:rFonts w:hint="default"/>
      </w:rPr>
    </w:lvl>
    <w:lvl w:ilvl="5">
      <w:start w:val="1"/>
      <w:numFmt w:val="lowerRoman"/>
      <w:lvlText w:val="%6."/>
      <w:lvlJc w:val="right"/>
      <w:pPr>
        <w:ind w:left="13599" w:hanging="180"/>
      </w:pPr>
      <w:rPr>
        <w:rFonts w:hint="default"/>
      </w:rPr>
    </w:lvl>
    <w:lvl w:ilvl="6">
      <w:start w:val="1"/>
      <w:numFmt w:val="decimal"/>
      <w:lvlText w:val="%7."/>
      <w:lvlJc w:val="left"/>
      <w:pPr>
        <w:ind w:left="14319" w:hanging="360"/>
      </w:pPr>
      <w:rPr>
        <w:rFonts w:hint="default"/>
      </w:rPr>
    </w:lvl>
    <w:lvl w:ilvl="7">
      <w:start w:val="1"/>
      <w:numFmt w:val="lowerLetter"/>
      <w:lvlText w:val="%8."/>
      <w:lvlJc w:val="left"/>
      <w:pPr>
        <w:ind w:left="15039" w:hanging="360"/>
      </w:pPr>
      <w:rPr>
        <w:rFonts w:hint="default"/>
      </w:rPr>
    </w:lvl>
    <w:lvl w:ilvl="8">
      <w:start w:val="1"/>
      <w:numFmt w:val="lowerRoman"/>
      <w:lvlText w:val="%9."/>
      <w:lvlJc w:val="right"/>
      <w:pPr>
        <w:ind w:left="15759" w:hanging="180"/>
      </w:pPr>
      <w:rPr>
        <w:rFonts w:hint="default"/>
      </w:rPr>
    </w:lvl>
  </w:abstractNum>
  <w:abstractNum w:abstractNumId="8" w15:restartNumberingAfterBreak="0">
    <w:nsid w:val="1A421A96"/>
    <w:multiLevelType w:val="multilevel"/>
    <w:tmpl w:val="942E56CE"/>
    <w:lvl w:ilvl="0">
      <w:start w:val="1"/>
      <w:numFmt w:val="decimal"/>
      <w:lvlText w:val="%1."/>
      <w:lvlJc w:val="left"/>
      <w:pPr>
        <w:ind w:left="357" w:hanging="357"/>
      </w:pPr>
      <w:rPr>
        <w:rFonts w:ascii="Times New Roman" w:hAnsi="Times New Roman" w:hint="default"/>
        <w:b/>
        <w:i w:val="0"/>
        <w:sz w:val="24"/>
      </w:rPr>
    </w:lvl>
    <w:lvl w:ilvl="1">
      <w:start w:val="1"/>
      <w:numFmt w:val="decimal"/>
      <w:lvlText w:val="%1.%2"/>
      <w:lvlJc w:val="left"/>
      <w:pPr>
        <w:ind w:left="499" w:hanging="357"/>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1.%2.%3"/>
      <w:lvlJc w:val="left"/>
      <w:pPr>
        <w:ind w:left="357" w:hanging="357"/>
      </w:pPr>
      <w:rPr>
        <w:rFonts w:ascii="Times New Roman" w:hAnsi="Times New Roman" w:hint="default"/>
        <w:b w:val="0"/>
        <w:i w:val="0"/>
        <w:sz w:val="24"/>
      </w:rPr>
    </w:lvl>
    <w:lvl w:ilvl="3">
      <w:start w:val="1"/>
      <w:numFmt w:val="decimal"/>
      <w:lvlText w:val="%4."/>
      <w:lvlJc w:val="left"/>
      <w:pPr>
        <w:ind w:left="12159" w:hanging="360"/>
      </w:pPr>
      <w:rPr>
        <w:rFonts w:hint="default"/>
      </w:rPr>
    </w:lvl>
    <w:lvl w:ilvl="4">
      <w:start w:val="1"/>
      <w:numFmt w:val="lowerLetter"/>
      <w:lvlText w:val="%5."/>
      <w:lvlJc w:val="left"/>
      <w:pPr>
        <w:ind w:left="12879" w:hanging="360"/>
      </w:pPr>
      <w:rPr>
        <w:rFonts w:hint="default"/>
      </w:rPr>
    </w:lvl>
    <w:lvl w:ilvl="5">
      <w:start w:val="1"/>
      <w:numFmt w:val="lowerRoman"/>
      <w:lvlText w:val="%6."/>
      <w:lvlJc w:val="right"/>
      <w:pPr>
        <w:ind w:left="13599" w:hanging="180"/>
      </w:pPr>
      <w:rPr>
        <w:rFonts w:hint="default"/>
      </w:rPr>
    </w:lvl>
    <w:lvl w:ilvl="6">
      <w:start w:val="1"/>
      <w:numFmt w:val="decimal"/>
      <w:lvlText w:val="%7."/>
      <w:lvlJc w:val="left"/>
      <w:pPr>
        <w:ind w:left="14319" w:hanging="360"/>
      </w:pPr>
      <w:rPr>
        <w:rFonts w:hint="default"/>
      </w:rPr>
    </w:lvl>
    <w:lvl w:ilvl="7">
      <w:start w:val="1"/>
      <w:numFmt w:val="lowerLetter"/>
      <w:lvlText w:val="%8."/>
      <w:lvlJc w:val="left"/>
      <w:pPr>
        <w:ind w:left="15039" w:hanging="360"/>
      </w:pPr>
      <w:rPr>
        <w:rFonts w:hint="default"/>
      </w:rPr>
    </w:lvl>
    <w:lvl w:ilvl="8">
      <w:start w:val="1"/>
      <w:numFmt w:val="lowerRoman"/>
      <w:lvlText w:val="%9."/>
      <w:lvlJc w:val="right"/>
      <w:pPr>
        <w:ind w:left="15759" w:hanging="180"/>
      </w:pPr>
      <w:rPr>
        <w:rFonts w:hint="default"/>
      </w:rPr>
    </w:lvl>
  </w:abstractNum>
  <w:abstractNum w:abstractNumId="9" w15:restartNumberingAfterBreak="0">
    <w:nsid w:val="21462C4C"/>
    <w:multiLevelType w:val="hybridMultilevel"/>
    <w:tmpl w:val="8272B8CE"/>
    <w:lvl w:ilvl="0" w:tplc="04160011">
      <w:start w:val="1"/>
      <w:numFmt w:val="decimal"/>
      <w:lvlText w:val="%1)"/>
      <w:lvlJc w:val="left"/>
      <w:pPr>
        <w:ind w:left="1500" w:hanging="114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B6000D"/>
    <w:multiLevelType w:val="hybridMultilevel"/>
    <w:tmpl w:val="3B5EF28E"/>
    <w:lvl w:ilvl="0" w:tplc="04160011">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2A6935AB"/>
    <w:multiLevelType w:val="hybridMultilevel"/>
    <w:tmpl w:val="3B5EF28E"/>
    <w:lvl w:ilvl="0" w:tplc="04160011">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2C4C271D"/>
    <w:multiLevelType w:val="multilevel"/>
    <w:tmpl w:val="F3827CCA"/>
    <w:lvl w:ilvl="0">
      <w:start w:val="1"/>
      <w:numFmt w:val="decimal"/>
      <w:lvlText w:val="%1."/>
      <w:lvlJc w:val="left"/>
      <w:pPr>
        <w:ind w:left="927" w:hanging="360"/>
      </w:pPr>
      <w:rPr>
        <w:rFonts w:hint="default"/>
        <w:b w:val="0"/>
      </w:rPr>
    </w:lvl>
    <w:lvl w:ilvl="1">
      <w:start w:val="1"/>
      <w:numFmt w:val="decimal"/>
      <w:lvlText w:val="%2)"/>
      <w:lvlJc w:val="left"/>
      <w:pPr>
        <w:ind w:left="1000" w:hanging="432"/>
      </w:pPr>
      <w:rPr>
        <w:rFonts w:ascii="Times New Roman" w:eastAsia="Calibri" w:hAnsi="Times New Roman" w:cs="Times New Roman"/>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F849B6"/>
    <w:multiLevelType w:val="hybridMultilevel"/>
    <w:tmpl w:val="063C9B02"/>
    <w:lvl w:ilvl="0" w:tplc="04160011">
      <w:start w:val="1"/>
      <w:numFmt w:val="decimal"/>
      <w:lvlText w:val="%1)"/>
      <w:lvlJc w:val="left"/>
      <w:pPr>
        <w:ind w:left="1500" w:hanging="114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4805DB5"/>
    <w:multiLevelType w:val="multilevel"/>
    <w:tmpl w:val="0C20671A"/>
    <w:lvl w:ilvl="0">
      <w:start w:val="2"/>
      <w:numFmt w:val="decimal"/>
      <w:pStyle w:val="ItemDespacho"/>
      <w:lvlText w:val="%1."/>
      <w:lvlJc w:val="left"/>
      <w:pPr>
        <w:tabs>
          <w:tab w:val="num" w:pos="1611"/>
        </w:tabs>
        <w:ind w:left="1611" w:hanging="360"/>
      </w:pPr>
      <w:rPr>
        <w:rFonts w:hint="default"/>
      </w:rPr>
    </w:lvl>
    <w:lvl w:ilvl="1">
      <w:start w:val="1"/>
      <w:numFmt w:val="lowerLetter"/>
      <w:pStyle w:val="ItemDespachoLista"/>
      <w:lvlText w:val="%2)"/>
      <w:lvlJc w:val="left"/>
      <w:pPr>
        <w:tabs>
          <w:tab w:val="num" w:pos="2331"/>
        </w:tabs>
        <w:ind w:left="2331" w:hanging="360"/>
      </w:pPr>
    </w:lvl>
    <w:lvl w:ilvl="2">
      <w:start w:val="1"/>
      <w:numFmt w:val="lowerRoman"/>
      <w:lvlText w:val="%3."/>
      <w:lvlJc w:val="right"/>
      <w:pPr>
        <w:tabs>
          <w:tab w:val="num" w:pos="3051"/>
        </w:tabs>
        <w:ind w:left="3051" w:hanging="180"/>
      </w:pPr>
    </w:lvl>
    <w:lvl w:ilvl="3">
      <w:start w:val="1"/>
      <w:numFmt w:val="upperRoman"/>
      <w:lvlText w:val="%4."/>
      <w:lvlJc w:val="left"/>
      <w:pPr>
        <w:ind w:left="4131" w:hanging="720"/>
      </w:pPr>
      <w:rPr>
        <w:rFonts w:hint="default"/>
      </w:rPr>
    </w:lvl>
    <w:lvl w:ilvl="4">
      <w:start w:val="1"/>
      <w:numFmt w:val="lowerLetter"/>
      <w:lvlText w:val="%5."/>
      <w:lvlJc w:val="left"/>
      <w:pPr>
        <w:tabs>
          <w:tab w:val="num" w:pos="4491"/>
        </w:tabs>
        <w:ind w:left="4491" w:hanging="360"/>
      </w:pPr>
    </w:lvl>
    <w:lvl w:ilvl="5">
      <w:start w:val="1"/>
      <w:numFmt w:val="lowerRoman"/>
      <w:lvlText w:val="%6."/>
      <w:lvlJc w:val="right"/>
      <w:pPr>
        <w:tabs>
          <w:tab w:val="num" w:pos="5211"/>
        </w:tabs>
        <w:ind w:left="5211" w:hanging="180"/>
      </w:pPr>
    </w:lvl>
    <w:lvl w:ilvl="6" w:tentative="1">
      <w:start w:val="1"/>
      <w:numFmt w:val="decimal"/>
      <w:lvlText w:val="%7."/>
      <w:lvlJc w:val="left"/>
      <w:pPr>
        <w:tabs>
          <w:tab w:val="num" w:pos="5931"/>
        </w:tabs>
        <w:ind w:left="5931" w:hanging="360"/>
      </w:pPr>
    </w:lvl>
    <w:lvl w:ilvl="7" w:tentative="1">
      <w:start w:val="1"/>
      <w:numFmt w:val="lowerLetter"/>
      <w:lvlText w:val="%8."/>
      <w:lvlJc w:val="left"/>
      <w:pPr>
        <w:tabs>
          <w:tab w:val="num" w:pos="6651"/>
        </w:tabs>
        <w:ind w:left="6651" w:hanging="360"/>
      </w:pPr>
    </w:lvl>
    <w:lvl w:ilvl="8" w:tentative="1">
      <w:start w:val="1"/>
      <w:numFmt w:val="lowerRoman"/>
      <w:lvlText w:val="%9."/>
      <w:lvlJc w:val="right"/>
      <w:pPr>
        <w:tabs>
          <w:tab w:val="num" w:pos="7371"/>
        </w:tabs>
        <w:ind w:left="7371" w:hanging="180"/>
      </w:pPr>
    </w:lvl>
  </w:abstractNum>
  <w:abstractNum w:abstractNumId="15" w15:restartNumberingAfterBreak="0">
    <w:nsid w:val="3FCB1F4A"/>
    <w:multiLevelType w:val="hybridMultilevel"/>
    <w:tmpl w:val="A782A32E"/>
    <w:lvl w:ilvl="0" w:tplc="04160017">
      <w:start w:val="1"/>
      <w:numFmt w:val="lowerLetter"/>
      <w:lvlText w:val="%1)"/>
      <w:lvlJc w:val="left"/>
      <w:pPr>
        <w:ind w:left="1854" w:hanging="360"/>
      </w:pPr>
    </w:lvl>
    <w:lvl w:ilvl="1" w:tplc="A746BC44">
      <w:start w:val="1"/>
      <w:numFmt w:val="lowerRoman"/>
      <w:lvlText w:val="%2)"/>
      <w:lvlJc w:val="left"/>
      <w:pPr>
        <w:ind w:left="2939" w:hanging="725"/>
      </w:pPr>
      <w:rPr>
        <w:rFonts w:hint="default"/>
      </w:r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15:restartNumberingAfterBreak="0">
    <w:nsid w:val="494E0A92"/>
    <w:multiLevelType w:val="multilevel"/>
    <w:tmpl w:val="A77CC332"/>
    <w:lvl w:ilvl="0">
      <w:start w:val="1"/>
      <w:numFmt w:val="upperLetter"/>
      <w:lvlText w:val="%1."/>
      <w:lvlJc w:val="left"/>
      <w:pPr>
        <w:ind w:left="360" w:hanging="360"/>
      </w:pPr>
      <w:rPr>
        <w:rFonts w:hint="default"/>
      </w:rPr>
    </w:lvl>
    <w:lvl w:ilvl="1">
      <w:start w:val="1"/>
      <w:numFmt w:val="decimal"/>
      <w:pStyle w:val="Ttulo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C93AD4"/>
    <w:multiLevelType w:val="hybridMultilevel"/>
    <w:tmpl w:val="C174396A"/>
    <w:lvl w:ilvl="0" w:tplc="9294DBBA">
      <w:start w:val="1"/>
      <w:numFmt w:val="lowerLetter"/>
      <w:pStyle w:val="Pargrafodeitens"/>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8" w15:restartNumberingAfterBreak="0">
    <w:nsid w:val="58F9034E"/>
    <w:multiLevelType w:val="hybridMultilevel"/>
    <w:tmpl w:val="D48A4920"/>
    <w:lvl w:ilvl="0" w:tplc="04160017">
      <w:start w:val="1"/>
      <w:numFmt w:val="lowerLetter"/>
      <w:lvlText w:val="%1)"/>
      <w:lvlJc w:val="left"/>
      <w:pPr>
        <w:ind w:left="1854" w:hanging="360"/>
      </w:pPr>
    </w:lvl>
    <w:lvl w:ilvl="1" w:tplc="A746BC44">
      <w:start w:val="1"/>
      <w:numFmt w:val="lowerRoman"/>
      <w:lvlText w:val="%2)"/>
      <w:lvlJc w:val="left"/>
      <w:pPr>
        <w:ind w:left="2939" w:hanging="725"/>
      </w:pPr>
      <w:rPr>
        <w:rFonts w:hint="default"/>
      </w:r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 w15:restartNumberingAfterBreak="0">
    <w:nsid w:val="5B3F3C04"/>
    <w:multiLevelType w:val="hybridMultilevel"/>
    <w:tmpl w:val="5C22E30C"/>
    <w:lvl w:ilvl="0" w:tplc="04160017">
      <w:start w:val="1"/>
      <w:numFmt w:val="lowerLetter"/>
      <w:lvlText w:val="%1)"/>
      <w:lvlJc w:val="left"/>
      <w:pPr>
        <w:ind w:left="1854" w:hanging="360"/>
      </w:p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0" w15:restartNumberingAfterBreak="0">
    <w:nsid w:val="63225D28"/>
    <w:multiLevelType w:val="hybridMultilevel"/>
    <w:tmpl w:val="3B5EF28E"/>
    <w:lvl w:ilvl="0" w:tplc="04160011">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64A96999"/>
    <w:multiLevelType w:val="multilevel"/>
    <w:tmpl w:val="1DCEBDE8"/>
    <w:lvl w:ilvl="0">
      <w:start w:val="1"/>
      <w:numFmt w:val="decimal"/>
      <w:pStyle w:val="PargrafodaLista1"/>
      <w:lvlText w:val="%1."/>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ascii="Times New Roman" w:hAnsi="Times New Roman" w:cs="Times New Roman" w:hint="default"/>
        <w:b w:val="0"/>
        <w:sz w:val="24"/>
        <w:szCs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7028D8"/>
    <w:multiLevelType w:val="hybridMultilevel"/>
    <w:tmpl w:val="32B019BE"/>
    <w:lvl w:ilvl="0" w:tplc="94DE9D5A">
      <w:start w:val="2"/>
      <w:numFmt w:val="decimal"/>
      <w:pStyle w:val="CorpoRelatrio"/>
      <w:lvlText w:val="%1."/>
      <w:lvlJc w:val="left"/>
      <w:pPr>
        <w:ind w:left="720" w:hanging="360"/>
      </w:pPr>
      <w:rPr>
        <w:rFonts w:hint="default"/>
      </w:rPr>
    </w:lvl>
    <w:lvl w:ilvl="1" w:tplc="175455C2">
      <w:start w:val="1"/>
      <w:numFmt w:val="lowerLetter"/>
      <w:lvlText w:val="%2)"/>
      <w:lvlJc w:val="left"/>
      <w:pPr>
        <w:ind w:left="1440" w:hanging="360"/>
      </w:pPr>
    </w:lvl>
    <w:lvl w:ilvl="2" w:tplc="7B2E10AE">
      <w:start w:val="1"/>
      <w:numFmt w:val="lowerRoman"/>
      <w:lvlText w:val="%3."/>
      <w:lvlJc w:val="right"/>
      <w:pPr>
        <w:ind w:left="2160" w:hanging="180"/>
      </w:pPr>
    </w:lvl>
    <w:lvl w:ilvl="3" w:tplc="65D6468C" w:tentative="1">
      <w:start w:val="1"/>
      <w:numFmt w:val="decimal"/>
      <w:lvlText w:val="%4."/>
      <w:lvlJc w:val="left"/>
      <w:pPr>
        <w:ind w:left="2880" w:hanging="360"/>
      </w:pPr>
    </w:lvl>
    <w:lvl w:ilvl="4" w:tplc="C49AE8CC" w:tentative="1">
      <w:start w:val="1"/>
      <w:numFmt w:val="lowerLetter"/>
      <w:lvlText w:val="%5."/>
      <w:lvlJc w:val="left"/>
      <w:pPr>
        <w:ind w:left="3600" w:hanging="360"/>
      </w:pPr>
    </w:lvl>
    <w:lvl w:ilvl="5" w:tplc="9F5AEA3A" w:tentative="1">
      <w:start w:val="1"/>
      <w:numFmt w:val="lowerRoman"/>
      <w:lvlText w:val="%6."/>
      <w:lvlJc w:val="right"/>
      <w:pPr>
        <w:ind w:left="4320" w:hanging="180"/>
      </w:pPr>
    </w:lvl>
    <w:lvl w:ilvl="6" w:tplc="60AC3610" w:tentative="1">
      <w:start w:val="1"/>
      <w:numFmt w:val="decimal"/>
      <w:lvlText w:val="%7."/>
      <w:lvlJc w:val="left"/>
      <w:pPr>
        <w:ind w:left="5040" w:hanging="360"/>
      </w:pPr>
    </w:lvl>
    <w:lvl w:ilvl="7" w:tplc="922E88C2" w:tentative="1">
      <w:start w:val="1"/>
      <w:numFmt w:val="lowerLetter"/>
      <w:lvlText w:val="%8."/>
      <w:lvlJc w:val="left"/>
      <w:pPr>
        <w:ind w:left="5760" w:hanging="360"/>
      </w:pPr>
    </w:lvl>
    <w:lvl w:ilvl="8" w:tplc="0C36B4B8" w:tentative="1">
      <w:start w:val="1"/>
      <w:numFmt w:val="lowerRoman"/>
      <w:lvlText w:val="%9."/>
      <w:lvlJc w:val="right"/>
      <w:pPr>
        <w:ind w:left="6480" w:hanging="180"/>
      </w:pPr>
    </w:lvl>
  </w:abstractNum>
  <w:abstractNum w:abstractNumId="23" w15:restartNumberingAfterBreak="0">
    <w:nsid w:val="77500D51"/>
    <w:multiLevelType w:val="hybridMultilevel"/>
    <w:tmpl w:val="0EB69E42"/>
    <w:lvl w:ilvl="0" w:tplc="04160011">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4" w15:restartNumberingAfterBreak="0">
    <w:nsid w:val="7ADC1AB8"/>
    <w:multiLevelType w:val="hybridMultilevel"/>
    <w:tmpl w:val="6078657E"/>
    <w:lvl w:ilvl="0" w:tplc="0416000F">
      <w:start w:val="1"/>
      <w:numFmt w:val="decimal"/>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F09472F"/>
    <w:multiLevelType w:val="hybridMultilevel"/>
    <w:tmpl w:val="5C22E30C"/>
    <w:lvl w:ilvl="0" w:tplc="04160017">
      <w:start w:val="1"/>
      <w:numFmt w:val="lowerLetter"/>
      <w:lvlText w:val="%1)"/>
      <w:lvlJc w:val="left"/>
      <w:pPr>
        <w:ind w:left="1854" w:hanging="360"/>
      </w:p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3"/>
  </w:num>
  <w:num w:numId="2">
    <w:abstractNumId w:val="14"/>
  </w:num>
  <w:num w:numId="3">
    <w:abstractNumId w:val="12"/>
  </w:num>
  <w:num w:numId="4">
    <w:abstractNumId w:val="21"/>
  </w:num>
  <w:num w:numId="5">
    <w:abstractNumId w:val="0"/>
  </w:num>
  <w:num w:numId="6">
    <w:abstractNumId w:val="16"/>
  </w:num>
  <w:num w:numId="7">
    <w:abstractNumId w:val="6"/>
  </w:num>
  <w:num w:numId="8">
    <w:abstractNumId w:val="1"/>
  </w:num>
  <w:num w:numId="9">
    <w:abstractNumId w:val="17"/>
  </w:num>
  <w:num w:numId="10">
    <w:abstractNumId w:val="22"/>
  </w:num>
  <w:num w:numId="11">
    <w:abstractNumId w:val="7"/>
  </w:num>
  <w:num w:numId="12">
    <w:abstractNumId w:val="7"/>
    <w:lvlOverride w:ilvl="0">
      <w:lvl w:ilvl="0">
        <w:start w:val="1"/>
        <w:numFmt w:val="decimal"/>
        <w:lvlText w:val="%1."/>
        <w:lvlJc w:val="left"/>
        <w:pPr>
          <w:ind w:left="357" w:hanging="357"/>
        </w:pPr>
        <w:rPr>
          <w:rFonts w:ascii="Times New Roman" w:hAnsi="Times New Roman" w:hint="default"/>
          <w:b/>
          <w:i w:val="0"/>
          <w:sz w:val="24"/>
        </w:rPr>
      </w:lvl>
    </w:lvlOverride>
    <w:lvlOverride w:ilvl="1">
      <w:lvl w:ilvl="1">
        <w:start w:val="1"/>
        <w:numFmt w:val="decimal"/>
        <w:lvlText w:val="%1.%2"/>
        <w:lvlJc w:val="left"/>
        <w:pPr>
          <w:ind w:left="499" w:hanging="357"/>
        </w:pPr>
        <w:rPr>
          <w:rFonts w:ascii="Times New Roman" w:hAnsi="Times New Roman" w:hint="default"/>
          <w:b w:val="0"/>
          <w:i w:val="0"/>
          <w:caps w:val="0"/>
          <w:strike w:val="0"/>
          <w:dstrike w:val="0"/>
          <w:vanish w:val="0"/>
          <w:color w:val="auto"/>
          <w:sz w:val="24"/>
          <w:u w:val="none"/>
          <w:vertAlign w:val="baseline"/>
        </w:rPr>
      </w:lvl>
    </w:lvlOverride>
    <w:lvlOverride w:ilvl="2">
      <w:lvl w:ilvl="2">
        <w:start w:val="1"/>
        <w:numFmt w:val="decimal"/>
        <w:lvlText w:val="%1.%2.%3"/>
        <w:lvlJc w:val="left"/>
        <w:pPr>
          <w:ind w:left="357" w:hanging="357"/>
        </w:pPr>
        <w:rPr>
          <w:rFonts w:ascii="Times New Roman" w:hAnsi="Times New Roman" w:hint="default"/>
          <w:b w:val="0"/>
          <w:i w:val="0"/>
          <w:sz w:val="24"/>
        </w:rPr>
      </w:lvl>
    </w:lvlOverride>
    <w:lvlOverride w:ilvl="3">
      <w:lvl w:ilvl="3">
        <w:start w:val="1"/>
        <w:numFmt w:val="decimal"/>
        <w:lvlText w:val="%4."/>
        <w:lvlJc w:val="left"/>
        <w:pPr>
          <w:ind w:left="12159" w:hanging="360"/>
        </w:pPr>
        <w:rPr>
          <w:rFonts w:hint="default"/>
        </w:rPr>
      </w:lvl>
    </w:lvlOverride>
    <w:lvlOverride w:ilvl="4">
      <w:lvl w:ilvl="4">
        <w:start w:val="1"/>
        <w:numFmt w:val="lowerLetter"/>
        <w:lvlText w:val="%5."/>
        <w:lvlJc w:val="left"/>
        <w:pPr>
          <w:ind w:left="12879" w:hanging="360"/>
        </w:pPr>
        <w:rPr>
          <w:rFonts w:hint="default"/>
        </w:rPr>
      </w:lvl>
    </w:lvlOverride>
    <w:lvlOverride w:ilvl="5">
      <w:lvl w:ilvl="5">
        <w:start w:val="1"/>
        <w:numFmt w:val="lowerRoman"/>
        <w:lvlText w:val="%6."/>
        <w:lvlJc w:val="right"/>
        <w:pPr>
          <w:ind w:left="13599" w:hanging="180"/>
        </w:pPr>
        <w:rPr>
          <w:rFonts w:hint="default"/>
        </w:rPr>
      </w:lvl>
    </w:lvlOverride>
    <w:lvlOverride w:ilvl="6">
      <w:lvl w:ilvl="6">
        <w:start w:val="1"/>
        <w:numFmt w:val="decimal"/>
        <w:lvlText w:val="%7."/>
        <w:lvlJc w:val="left"/>
        <w:pPr>
          <w:ind w:left="14319" w:hanging="360"/>
        </w:pPr>
        <w:rPr>
          <w:rFonts w:hint="default"/>
        </w:rPr>
      </w:lvl>
    </w:lvlOverride>
    <w:lvlOverride w:ilvl="7">
      <w:lvl w:ilvl="7">
        <w:start w:val="1"/>
        <w:numFmt w:val="lowerLetter"/>
        <w:lvlText w:val="%8."/>
        <w:lvlJc w:val="left"/>
        <w:pPr>
          <w:ind w:left="15039" w:hanging="360"/>
        </w:pPr>
        <w:rPr>
          <w:rFonts w:hint="default"/>
        </w:rPr>
      </w:lvl>
    </w:lvlOverride>
    <w:lvlOverride w:ilvl="8">
      <w:lvl w:ilvl="8">
        <w:start w:val="1"/>
        <w:numFmt w:val="lowerRoman"/>
        <w:lvlText w:val="%9."/>
        <w:lvlJc w:val="right"/>
        <w:pPr>
          <w:ind w:left="15759" w:hanging="180"/>
        </w:pPr>
        <w:rPr>
          <w:rFonts w:hint="default"/>
        </w:rPr>
      </w:lvl>
    </w:lvlOverride>
  </w:num>
  <w:num w:numId="13">
    <w:abstractNumId w:val="13"/>
  </w:num>
  <w:num w:numId="14">
    <w:abstractNumId w:val="9"/>
  </w:num>
  <w:num w:numId="15">
    <w:abstractNumId w:val="24"/>
  </w:num>
  <w:num w:numId="16">
    <w:abstractNumId w:val="4"/>
  </w:num>
  <w:num w:numId="17">
    <w:abstractNumId w:val="25"/>
  </w:num>
  <w:num w:numId="18">
    <w:abstractNumId w:val="5"/>
  </w:num>
  <w:num w:numId="19">
    <w:abstractNumId w:val="11"/>
  </w:num>
  <w:num w:numId="20">
    <w:abstractNumId w:val="23"/>
  </w:num>
  <w:num w:numId="21">
    <w:abstractNumId w:val="19"/>
  </w:num>
  <w:num w:numId="22">
    <w:abstractNumId w:val="18"/>
  </w:num>
  <w:num w:numId="23">
    <w:abstractNumId w:val="15"/>
  </w:num>
  <w:num w:numId="24">
    <w:abstractNumId w:val="10"/>
  </w:num>
  <w:num w:numId="25">
    <w:abstractNumId w:val="20"/>
  </w:num>
  <w:num w:numId="26">
    <w:abstractNumId w:val="2"/>
  </w:num>
  <w:num w:numId="27">
    <w:abstractNumId w:val="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F2"/>
    <w:rsid w:val="00926F0B"/>
    <w:rsid w:val="00C023F2"/>
    <w:rsid w:val="00F748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5684E-9A60-492B-A43C-AD5A2AD0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har"/>
    <w:uiPriority w:val="99"/>
    <w:qFormat/>
    <w:rsid w:val="00C023F2"/>
    <w:pPr>
      <w:tabs>
        <w:tab w:val="left" w:pos="567"/>
        <w:tab w:val="left" w:pos="2835"/>
      </w:tabs>
      <w:spacing w:before="120" w:after="0" w:line="240" w:lineRule="auto"/>
      <w:contextualSpacing/>
      <w:jc w:val="both"/>
      <w:outlineLvl w:val="0"/>
    </w:pPr>
    <w:rPr>
      <w:rFonts w:ascii="Times New Roman" w:eastAsia="Times New Roman" w:hAnsi="Times New Roman"/>
      <w:b/>
      <w:sz w:val="24"/>
      <w:szCs w:val="24"/>
      <w:lang w:eastAsia="pt-BR"/>
    </w:rPr>
  </w:style>
  <w:style w:type="paragraph" w:styleId="Ttulo2">
    <w:name w:val="heading 2"/>
    <w:basedOn w:val="Ttulo1"/>
    <w:next w:val="Normal"/>
    <w:link w:val="Ttulo2Char"/>
    <w:uiPriority w:val="99"/>
    <w:qFormat/>
    <w:rsid w:val="00C023F2"/>
    <w:pPr>
      <w:numPr>
        <w:numId w:val="8"/>
      </w:numPr>
      <w:tabs>
        <w:tab w:val="clear" w:pos="567"/>
        <w:tab w:val="left" w:pos="1134"/>
      </w:tabs>
      <w:spacing w:after="120"/>
      <w:contextualSpacing w:val="0"/>
      <w:outlineLvl w:val="1"/>
    </w:pPr>
    <w:rPr>
      <w:b w:val="0"/>
      <w:u w:val="single"/>
    </w:rPr>
  </w:style>
  <w:style w:type="paragraph" w:styleId="Ttulo3">
    <w:name w:val="heading 3"/>
    <w:basedOn w:val="Normal"/>
    <w:next w:val="Normal"/>
    <w:link w:val="Ttulo3Char"/>
    <w:uiPriority w:val="99"/>
    <w:qFormat/>
    <w:rsid w:val="00C023F2"/>
    <w:pPr>
      <w:numPr>
        <w:ilvl w:val="1"/>
        <w:numId w:val="6"/>
      </w:numPr>
      <w:tabs>
        <w:tab w:val="left" w:pos="1134"/>
      </w:tabs>
      <w:spacing w:before="120" w:after="0" w:line="240" w:lineRule="auto"/>
      <w:ind w:left="0" w:firstLine="0"/>
      <w:outlineLvl w:val="2"/>
    </w:pPr>
    <w:rPr>
      <w:rFonts w:ascii="Times New Roman" w:eastAsia="Times New Roman" w:hAnsi="Times New Roman"/>
      <w:bCs/>
      <w:color w:val="000000"/>
      <w:sz w:val="24"/>
      <w:szCs w:val="24"/>
      <w:u w:val="single"/>
      <w:lang w:eastAsia="pt-BR"/>
    </w:rPr>
  </w:style>
  <w:style w:type="paragraph" w:styleId="Ttulo4">
    <w:name w:val="heading 4"/>
    <w:basedOn w:val="Normal"/>
    <w:next w:val="Normal"/>
    <w:link w:val="Ttulo4Char"/>
    <w:uiPriority w:val="9"/>
    <w:unhideWhenUsed/>
    <w:qFormat/>
    <w:rsid w:val="00C023F2"/>
    <w:pPr>
      <w:keepNext/>
      <w:spacing w:before="240" w:after="60" w:line="240" w:lineRule="auto"/>
      <w:outlineLvl w:val="3"/>
    </w:pPr>
    <w:rPr>
      <w:rFonts w:eastAsia="Times New Roman"/>
      <w:b/>
      <w:bCs/>
      <w:color w:val="000000"/>
      <w:sz w:val="28"/>
      <w:szCs w:val="28"/>
      <w:lang w:eastAsia="pt-BR"/>
    </w:rPr>
  </w:style>
  <w:style w:type="paragraph" w:styleId="Ttulo5">
    <w:name w:val="heading 5"/>
    <w:basedOn w:val="Normal"/>
    <w:next w:val="Normal"/>
    <w:link w:val="Ttulo5Char"/>
    <w:uiPriority w:val="9"/>
    <w:semiHidden/>
    <w:unhideWhenUsed/>
    <w:qFormat/>
    <w:rsid w:val="00C023F2"/>
    <w:pPr>
      <w:keepNext/>
      <w:keepLines/>
      <w:spacing w:before="40" w:after="0" w:line="240" w:lineRule="auto"/>
      <w:outlineLvl w:val="4"/>
    </w:pPr>
    <w:rPr>
      <w:rFonts w:ascii="Cambria" w:eastAsia="Times New Roman" w:hAnsi="Cambria"/>
      <w:color w:val="365F9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023F2"/>
    <w:rPr>
      <w:rFonts w:ascii="Times New Roman" w:eastAsia="Times New Roman" w:hAnsi="Times New Roman"/>
      <w:b/>
      <w:sz w:val="24"/>
      <w:szCs w:val="24"/>
    </w:rPr>
  </w:style>
  <w:style w:type="character" w:customStyle="1" w:styleId="Ttulo2Char">
    <w:name w:val="Título 2 Char"/>
    <w:basedOn w:val="Fontepargpadro"/>
    <w:link w:val="Ttulo2"/>
    <w:uiPriority w:val="99"/>
    <w:rsid w:val="00C023F2"/>
    <w:rPr>
      <w:rFonts w:ascii="Times New Roman" w:eastAsia="Times New Roman" w:hAnsi="Times New Roman"/>
      <w:sz w:val="24"/>
      <w:szCs w:val="24"/>
      <w:u w:val="single"/>
    </w:rPr>
  </w:style>
  <w:style w:type="character" w:customStyle="1" w:styleId="Ttulo3Char">
    <w:name w:val="Título 3 Char"/>
    <w:basedOn w:val="Fontepargpadro"/>
    <w:link w:val="Ttulo3"/>
    <w:uiPriority w:val="99"/>
    <w:rsid w:val="00C023F2"/>
    <w:rPr>
      <w:rFonts w:ascii="Times New Roman" w:eastAsia="Times New Roman" w:hAnsi="Times New Roman"/>
      <w:bCs/>
      <w:color w:val="000000"/>
      <w:sz w:val="24"/>
      <w:szCs w:val="24"/>
      <w:u w:val="single"/>
    </w:rPr>
  </w:style>
  <w:style w:type="character" w:customStyle="1" w:styleId="Ttulo4Char">
    <w:name w:val="Título 4 Char"/>
    <w:basedOn w:val="Fontepargpadro"/>
    <w:link w:val="Ttulo4"/>
    <w:uiPriority w:val="9"/>
    <w:rsid w:val="00C023F2"/>
    <w:rPr>
      <w:rFonts w:eastAsia="Times New Roman"/>
      <w:b/>
      <w:bCs/>
      <w:color w:val="000000"/>
      <w:sz w:val="28"/>
      <w:szCs w:val="28"/>
    </w:rPr>
  </w:style>
  <w:style w:type="character" w:customStyle="1" w:styleId="Ttulo5Char">
    <w:name w:val="Título 5 Char"/>
    <w:basedOn w:val="Fontepargpadro"/>
    <w:link w:val="Ttulo5"/>
    <w:uiPriority w:val="9"/>
    <w:semiHidden/>
    <w:rsid w:val="00C023F2"/>
    <w:rPr>
      <w:rFonts w:ascii="Cambria" w:eastAsia="Times New Roman" w:hAnsi="Cambria"/>
      <w:color w:val="365F91"/>
      <w:sz w:val="24"/>
      <w:szCs w:val="24"/>
    </w:rPr>
  </w:style>
  <w:style w:type="character" w:styleId="Refdecomentrio">
    <w:name w:val="annotation reference"/>
    <w:uiPriority w:val="99"/>
    <w:semiHidden/>
    <w:unhideWhenUsed/>
    <w:rsid w:val="00C023F2"/>
    <w:rPr>
      <w:sz w:val="16"/>
      <w:szCs w:val="16"/>
    </w:rPr>
  </w:style>
  <w:style w:type="paragraph" w:styleId="Textodecomentrio">
    <w:name w:val="annotation text"/>
    <w:basedOn w:val="Normal"/>
    <w:link w:val="TextodecomentrioChar"/>
    <w:uiPriority w:val="99"/>
    <w:unhideWhenUsed/>
    <w:rsid w:val="00C023F2"/>
    <w:pPr>
      <w:spacing w:before="120" w:after="0" w:line="240" w:lineRule="auto"/>
      <w:ind w:left="1134"/>
      <w:contextualSpacing/>
      <w:jc w:val="both"/>
    </w:pPr>
    <w:rPr>
      <w:rFonts w:ascii="Times New Roman" w:hAnsi="Times New Roman"/>
    </w:rPr>
  </w:style>
  <w:style w:type="character" w:customStyle="1" w:styleId="TextodecomentrioChar">
    <w:name w:val="Texto de comentário Char"/>
    <w:basedOn w:val="Fontepargpadro"/>
    <w:link w:val="Textodecomentrio"/>
    <w:uiPriority w:val="99"/>
    <w:rsid w:val="00C023F2"/>
    <w:rPr>
      <w:rFonts w:ascii="Times New Roman" w:hAnsi="Times New Roman"/>
      <w:sz w:val="22"/>
      <w:szCs w:val="22"/>
      <w:lang w:eastAsia="en-US"/>
    </w:rPr>
  </w:style>
  <w:style w:type="paragraph" w:styleId="Textodebalo">
    <w:name w:val="Balloon Text"/>
    <w:basedOn w:val="Normal"/>
    <w:link w:val="TextodebaloChar"/>
    <w:uiPriority w:val="99"/>
    <w:semiHidden/>
    <w:unhideWhenUsed/>
    <w:rsid w:val="00C023F2"/>
    <w:pPr>
      <w:spacing w:before="120" w:after="0" w:line="240" w:lineRule="auto"/>
    </w:pPr>
    <w:rPr>
      <w:rFonts w:ascii="Tahoma" w:eastAsia="Times New Roman" w:hAnsi="Tahoma" w:cs="Tahoma"/>
      <w:color w:val="000000"/>
      <w:sz w:val="16"/>
      <w:szCs w:val="16"/>
      <w:lang w:eastAsia="pt-BR"/>
    </w:rPr>
  </w:style>
  <w:style w:type="character" w:customStyle="1" w:styleId="TextodebaloChar">
    <w:name w:val="Texto de balão Char"/>
    <w:basedOn w:val="Fontepargpadro"/>
    <w:link w:val="Textodebalo"/>
    <w:uiPriority w:val="99"/>
    <w:semiHidden/>
    <w:rsid w:val="00C023F2"/>
    <w:rPr>
      <w:rFonts w:ascii="Tahoma" w:eastAsia="Times New Roman" w:hAnsi="Tahoma" w:cs="Tahoma"/>
      <w:color w:val="000000"/>
      <w:sz w:val="16"/>
      <w:szCs w:val="16"/>
    </w:rPr>
  </w:style>
  <w:style w:type="paragraph" w:styleId="Legenda">
    <w:name w:val="caption"/>
    <w:basedOn w:val="Normal"/>
    <w:next w:val="Normal"/>
    <w:unhideWhenUsed/>
    <w:qFormat/>
    <w:rsid w:val="00C023F2"/>
    <w:pPr>
      <w:spacing w:before="120" w:after="0" w:line="240" w:lineRule="auto"/>
    </w:pPr>
    <w:rPr>
      <w:rFonts w:ascii="Arial" w:eastAsia="Times New Roman" w:hAnsi="Arial" w:cs="Arial"/>
      <w:b/>
      <w:bCs/>
      <w:color w:val="000000"/>
      <w:sz w:val="20"/>
      <w:szCs w:val="20"/>
      <w:lang w:eastAsia="pt-BR"/>
    </w:rPr>
  </w:style>
  <w:style w:type="paragraph" w:styleId="PargrafodaLista">
    <w:name w:val="List Paragraph"/>
    <w:basedOn w:val="Normal"/>
    <w:uiPriority w:val="34"/>
    <w:qFormat/>
    <w:rsid w:val="00C023F2"/>
    <w:pPr>
      <w:tabs>
        <w:tab w:val="left" w:pos="1134"/>
      </w:tabs>
      <w:spacing w:before="120" w:after="0" w:line="240" w:lineRule="auto"/>
      <w:contextualSpacing/>
      <w:jc w:val="both"/>
    </w:pPr>
    <w:rPr>
      <w:rFonts w:ascii="Times New Roman" w:hAnsi="Times New Roman"/>
      <w:sz w:val="24"/>
      <w:szCs w:val="24"/>
    </w:rPr>
  </w:style>
  <w:style w:type="paragraph" w:styleId="Cabealho">
    <w:name w:val="header"/>
    <w:basedOn w:val="Normal"/>
    <w:link w:val="CabealhoChar"/>
    <w:uiPriority w:val="99"/>
    <w:unhideWhenUsed/>
    <w:rsid w:val="00C023F2"/>
    <w:pPr>
      <w:tabs>
        <w:tab w:val="center" w:pos="4252"/>
        <w:tab w:val="right" w:pos="8504"/>
      </w:tabs>
      <w:spacing w:before="120" w:after="0" w:line="240" w:lineRule="auto"/>
    </w:pPr>
    <w:rPr>
      <w:rFonts w:ascii="Arial" w:eastAsia="Times New Roman" w:hAnsi="Arial" w:cs="Arial"/>
      <w:color w:val="000000"/>
      <w:sz w:val="24"/>
      <w:szCs w:val="24"/>
      <w:lang w:eastAsia="pt-BR"/>
    </w:rPr>
  </w:style>
  <w:style w:type="character" w:customStyle="1" w:styleId="CabealhoChar">
    <w:name w:val="Cabeçalho Char"/>
    <w:basedOn w:val="Fontepargpadro"/>
    <w:link w:val="Cabealho"/>
    <w:uiPriority w:val="99"/>
    <w:rsid w:val="00C023F2"/>
    <w:rPr>
      <w:rFonts w:ascii="Arial" w:eastAsia="Times New Roman" w:hAnsi="Arial" w:cs="Arial"/>
      <w:color w:val="000000"/>
      <w:sz w:val="24"/>
      <w:szCs w:val="24"/>
    </w:rPr>
  </w:style>
  <w:style w:type="paragraph" w:styleId="Rodap">
    <w:name w:val="footer"/>
    <w:basedOn w:val="Normal"/>
    <w:link w:val="RodapChar"/>
    <w:uiPriority w:val="99"/>
    <w:unhideWhenUsed/>
    <w:rsid w:val="00C023F2"/>
    <w:pPr>
      <w:tabs>
        <w:tab w:val="center" w:pos="4252"/>
        <w:tab w:val="right" w:pos="8504"/>
      </w:tabs>
      <w:spacing w:before="120" w:after="0" w:line="240" w:lineRule="auto"/>
    </w:pPr>
    <w:rPr>
      <w:rFonts w:ascii="Arial" w:eastAsia="Times New Roman" w:hAnsi="Arial" w:cs="Arial"/>
      <w:color w:val="000000"/>
      <w:sz w:val="24"/>
      <w:szCs w:val="24"/>
      <w:lang w:eastAsia="pt-BR"/>
    </w:rPr>
  </w:style>
  <w:style w:type="character" w:customStyle="1" w:styleId="RodapChar">
    <w:name w:val="Rodapé Char"/>
    <w:basedOn w:val="Fontepargpadro"/>
    <w:link w:val="Rodap"/>
    <w:uiPriority w:val="99"/>
    <w:rsid w:val="00C023F2"/>
    <w:rPr>
      <w:rFonts w:ascii="Arial" w:eastAsia="Times New Roman" w:hAnsi="Arial" w:cs="Arial"/>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C023F2"/>
    <w:pPr>
      <w:widowControl w:val="0"/>
      <w:autoSpaceDE w:val="0"/>
      <w:autoSpaceDN w:val="0"/>
      <w:adjustRightInd w:val="0"/>
      <w:jc w:val="left"/>
    </w:pPr>
    <w:rPr>
      <w:rFonts w:ascii="Arial" w:eastAsia="Times New Roman" w:hAnsi="Arial" w:cs="Arial"/>
      <w:b/>
      <w:bCs/>
      <w:color w:val="000000"/>
      <w:lang w:eastAsia="pt-BR"/>
    </w:rPr>
  </w:style>
  <w:style w:type="character" w:customStyle="1" w:styleId="AssuntodocomentrioChar">
    <w:name w:val="Assunto do comentário Char"/>
    <w:basedOn w:val="TextodecomentrioChar"/>
    <w:link w:val="Assuntodocomentrio"/>
    <w:uiPriority w:val="99"/>
    <w:semiHidden/>
    <w:rsid w:val="00C023F2"/>
    <w:rPr>
      <w:rFonts w:ascii="Arial" w:eastAsia="Times New Roman" w:hAnsi="Arial" w:cs="Arial"/>
      <w:b/>
      <w:bCs/>
      <w:color w:val="000000"/>
      <w:sz w:val="22"/>
      <w:szCs w:val="22"/>
      <w:lang w:eastAsia="en-US"/>
    </w:rPr>
  </w:style>
  <w:style w:type="table" w:styleId="Tabelacomgrade">
    <w:name w:val="Table Grid"/>
    <w:basedOn w:val="Tabelanormal"/>
    <w:uiPriority w:val="59"/>
    <w:rsid w:val="00C023F2"/>
    <w:pPr>
      <w:spacing w:before="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23F2"/>
    <w:pPr>
      <w:autoSpaceDE w:val="0"/>
      <w:autoSpaceDN w:val="0"/>
      <w:adjustRightInd w:val="0"/>
      <w:spacing w:before="120"/>
    </w:pPr>
    <w:rPr>
      <w:rFonts w:ascii="Times New Roman" w:eastAsia="Times New Roman" w:hAnsi="Times New Roman"/>
      <w:color w:val="000000"/>
      <w:sz w:val="24"/>
      <w:szCs w:val="24"/>
    </w:rPr>
  </w:style>
  <w:style w:type="paragraph" w:styleId="CabealhodoSumrio">
    <w:name w:val="TOC Heading"/>
    <w:basedOn w:val="Ttulo1"/>
    <w:next w:val="Normal"/>
    <w:uiPriority w:val="39"/>
    <w:unhideWhenUsed/>
    <w:qFormat/>
    <w:rsid w:val="00C023F2"/>
    <w:pPr>
      <w:keepNext/>
      <w:keepLines/>
      <w:spacing w:before="480" w:line="276" w:lineRule="auto"/>
      <w:outlineLvl w:val="9"/>
    </w:pPr>
    <w:rPr>
      <w:rFonts w:ascii="Cambria" w:hAnsi="Cambria"/>
      <w:color w:val="365F91"/>
      <w:sz w:val="28"/>
      <w:szCs w:val="28"/>
      <w:lang w:eastAsia="en-US"/>
    </w:rPr>
  </w:style>
  <w:style w:type="paragraph" w:styleId="Sumrio1">
    <w:name w:val="toc 1"/>
    <w:basedOn w:val="Normal"/>
    <w:next w:val="Normal"/>
    <w:autoRedefine/>
    <w:uiPriority w:val="39"/>
    <w:unhideWhenUsed/>
    <w:rsid w:val="00C023F2"/>
    <w:pPr>
      <w:tabs>
        <w:tab w:val="left" w:pos="660"/>
        <w:tab w:val="right" w:leader="dot" w:pos="9912"/>
      </w:tabs>
      <w:spacing w:before="120" w:after="0" w:line="240" w:lineRule="auto"/>
      <w:ind w:left="709" w:hanging="709"/>
      <w:outlineLvl w:val="2"/>
    </w:pPr>
    <w:rPr>
      <w:rFonts w:ascii="Times New Roman" w:eastAsia="Times New Roman" w:hAnsi="Times New Roman" w:cs="Arial"/>
      <w:color w:val="000000"/>
      <w:sz w:val="24"/>
      <w:szCs w:val="24"/>
      <w:lang w:eastAsia="pt-BR"/>
    </w:rPr>
  </w:style>
  <w:style w:type="paragraph" w:styleId="Sumrio2">
    <w:name w:val="toc 2"/>
    <w:basedOn w:val="Normal"/>
    <w:next w:val="Normal"/>
    <w:autoRedefine/>
    <w:uiPriority w:val="39"/>
    <w:unhideWhenUsed/>
    <w:rsid w:val="00C023F2"/>
    <w:pPr>
      <w:spacing w:before="120" w:after="0" w:line="240" w:lineRule="auto"/>
      <w:ind w:left="240"/>
    </w:pPr>
    <w:rPr>
      <w:rFonts w:ascii="Times New Roman" w:eastAsia="Times New Roman" w:hAnsi="Times New Roman" w:cs="Arial"/>
      <w:color w:val="000000"/>
      <w:sz w:val="24"/>
      <w:szCs w:val="24"/>
      <w:lang w:eastAsia="pt-BR"/>
    </w:rPr>
  </w:style>
  <w:style w:type="paragraph" w:styleId="Sumrio3">
    <w:name w:val="toc 3"/>
    <w:basedOn w:val="Normal"/>
    <w:next w:val="Normal"/>
    <w:autoRedefine/>
    <w:uiPriority w:val="39"/>
    <w:unhideWhenUsed/>
    <w:rsid w:val="00C023F2"/>
    <w:pPr>
      <w:spacing w:before="120" w:after="0" w:line="240" w:lineRule="auto"/>
      <w:ind w:left="480"/>
    </w:pPr>
    <w:rPr>
      <w:rFonts w:ascii="Times New Roman" w:eastAsia="Times New Roman" w:hAnsi="Times New Roman" w:cs="Arial"/>
      <w:color w:val="000000"/>
      <w:sz w:val="24"/>
      <w:szCs w:val="24"/>
      <w:lang w:eastAsia="pt-BR"/>
    </w:rPr>
  </w:style>
  <w:style w:type="character" w:styleId="Hyperlink">
    <w:name w:val="Hyperlink"/>
    <w:uiPriority w:val="99"/>
    <w:unhideWhenUsed/>
    <w:rsid w:val="00C023F2"/>
    <w:rPr>
      <w:color w:val="0000FF"/>
      <w:u w:val="single"/>
    </w:rPr>
  </w:style>
  <w:style w:type="paragraph" w:styleId="ndicedeilustraes">
    <w:name w:val="table of figures"/>
    <w:basedOn w:val="Normal"/>
    <w:next w:val="Normal"/>
    <w:uiPriority w:val="99"/>
    <w:unhideWhenUsed/>
    <w:rsid w:val="00C023F2"/>
    <w:pPr>
      <w:spacing w:before="120" w:after="0" w:line="240" w:lineRule="auto"/>
    </w:pPr>
    <w:rPr>
      <w:rFonts w:ascii="Times New Roman" w:eastAsia="Times New Roman" w:hAnsi="Times New Roman" w:cs="Arial"/>
      <w:color w:val="000000"/>
      <w:sz w:val="24"/>
      <w:szCs w:val="24"/>
      <w:lang w:eastAsia="pt-BR"/>
    </w:rPr>
  </w:style>
  <w:style w:type="numbering" w:customStyle="1" w:styleId="Estilo1">
    <w:name w:val="Estilo1"/>
    <w:uiPriority w:val="99"/>
    <w:rsid w:val="00C023F2"/>
    <w:pPr>
      <w:numPr>
        <w:numId w:val="1"/>
      </w:numPr>
    </w:pPr>
  </w:style>
  <w:style w:type="paragraph" w:styleId="NormalWeb">
    <w:name w:val="Normal (Web)"/>
    <w:basedOn w:val="Normal"/>
    <w:uiPriority w:val="99"/>
    <w:unhideWhenUsed/>
    <w:rsid w:val="00C023F2"/>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rsid w:val="00C023F2"/>
    <w:pPr>
      <w:tabs>
        <w:tab w:val="left" w:pos="567"/>
      </w:tabs>
      <w:spacing w:before="120" w:after="0" w:line="240" w:lineRule="auto"/>
      <w:jc w:val="both"/>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rsid w:val="00C023F2"/>
    <w:rPr>
      <w:rFonts w:ascii="Times New Roman" w:eastAsia="Times New Roman" w:hAnsi="Times New Roman"/>
      <w:sz w:val="24"/>
    </w:rPr>
  </w:style>
  <w:style w:type="paragraph" w:styleId="Corpodetexto2">
    <w:name w:val="Body Text 2"/>
    <w:basedOn w:val="Normal"/>
    <w:link w:val="Corpodetexto2Char"/>
    <w:semiHidden/>
    <w:rsid w:val="00C023F2"/>
    <w:pPr>
      <w:tabs>
        <w:tab w:val="left" w:pos="567"/>
        <w:tab w:val="left" w:pos="5670"/>
      </w:tabs>
      <w:spacing w:before="120" w:after="0" w:line="240" w:lineRule="auto"/>
      <w:jc w:val="center"/>
    </w:pPr>
    <w:rPr>
      <w:rFonts w:ascii="Times New Roman" w:eastAsia="Times New Roman" w:hAnsi="Times New Roman"/>
      <w:sz w:val="24"/>
      <w:szCs w:val="20"/>
      <w:lang w:eastAsia="pt-BR"/>
    </w:rPr>
  </w:style>
  <w:style w:type="character" w:customStyle="1" w:styleId="Corpodetexto2Char">
    <w:name w:val="Corpo de texto 2 Char"/>
    <w:basedOn w:val="Fontepargpadro"/>
    <w:link w:val="Corpodetexto2"/>
    <w:semiHidden/>
    <w:rsid w:val="00C023F2"/>
    <w:rPr>
      <w:rFonts w:ascii="Times New Roman" w:eastAsia="Times New Roman" w:hAnsi="Times New Roman"/>
      <w:sz w:val="24"/>
    </w:rPr>
  </w:style>
  <w:style w:type="paragraph" w:styleId="Textodenotadefim">
    <w:name w:val="endnote text"/>
    <w:basedOn w:val="Normal"/>
    <w:link w:val="TextodenotadefimChar"/>
    <w:unhideWhenUsed/>
    <w:rsid w:val="00C023F2"/>
    <w:pPr>
      <w:spacing w:before="120" w:after="0" w:line="240" w:lineRule="auto"/>
    </w:pPr>
    <w:rPr>
      <w:rFonts w:ascii="Arial" w:eastAsia="Times New Roman" w:hAnsi="Arial" w:cs="Arial"/>
      <w:color w:val="000000"/>
      <w:sz w:val="20"/>
      <w:szCs w:val="20"/>
      <w:lang w:eastAsia="pt-BR"/>
    </w:rPr>
  </w:style>
  <w:style w:type="character" w:customStyle="1" w:styleId="TextodenotadefimChar">
    <w:name w:val="Texto de nota de fim Char"/>
    <w:basedOn w:val="Fontepargpadro"/>
    <w:link w:val="Textodenotadefim"/>
    <w:rsid w:val="00C023F2"/>
    <w:rPr>
      <w:rFonts w:ascii="Arial" w:eastAsia="Times New Roman" w:hAnsi="Arial" w:cs="Arial"/>
      <w:color w:val="000000"/>
    </w:rPr>
  </w:style>
  <w:style w:type="character" w:styleId="Refdenotadefim">
    <w:name w:val="endnote reference"/>
    <w:uiPriority w:val="99"/>
    <w:semiHidden/>
    <w:unhideWhenUsed/>
    <w:rsid w:val="00C023F2"/>
    <w:rPr>
      <w:vertAlign w:val="superscript"/>
    </w:rPr>
  </w:style>
  <w:style w:type="paragraph" w:styleId="Recuodecorpodetexto">
    <w:name w:val="Body Text Indent"/>
    <w:basedOn w:val="Normal"/>
    <w:link w:val="RecuodecorpodetextoChar"/>
    <w:uiPriority w:val="99"/>
    <w:semiHidden/>
    <w:unhideWhenUsed/>
    <w:rsid w:val="00C023F2"/>
    <w:pPr>
      <w:spacing w:before="120" w:after="120" w:line="240" w:lineRule="auto"/>
      <w:ind w:left="283"/>
    </w:pPr>
    <w:rPr>
      <w:rFonts w:ascii="Arial" w:eastAsia="Times New Roman" w:hAnsi="Arial" w:cs="Arial"/>
      <w:color w:val="000000"/>
      <w:sz w:val="24"/>
      <w:szCs w:val="24"/>
      <w:lang w:eastAsia="pt-BR"/>
    </w:rPr>
  </w:style>
  <w:style w:type="character" w:customStyle="1" w:styleId="RecuodecorpodetextoChar">
    <w:name w:val="Recuo de corpo de texto Char"/>
    <w:basedOn w:val="Fontepargpadro"/>
    <w:link w:val="Recuodecorpodetexto"/>
    <w:uiPriority w:val="99"/>
    <w:semiHidden/>
    <w:rsid w:val="00C023F2"/>
    <w:rPr>
      <w:rFonts w:ascii="Arial" w:eastAsia="Times New Roman" w:hAnsi="Arial" w:cs="Arial"/>
      <w:color w:val="000000"/>
      <w:sz w:val="24"/>
      <w:szCs w:val="24"/>
    </w:rPr>
  </w:style>
  <w:style w:type="paragraph" w:customStyle="1" w:styleId="ItemDespacho">
    <w:name w:val="#ItemDespacho"/>
    <w:basedOn w:val="Normal"/>
    <w:rsid w:val="00C023F2"/>
    <w:pPr>
      <w:numPr>
        <w:numId w:val="2"/>
      </w:numPr>
      <w:spacing w:before="60" w:after="0" w:line="240" w:lineRule="auto"/>
      <w:jc w:val="both"/>
    </w:pPr>
    <w:rPr>
      <w:rFonts w:ascii="Times New Roman" w:eastAsia="Times New Roman" w:hAnsi="Times New Roman"/>
      <w:sz w:val="24"/>
      <w:szCs w:val="20"/>
      <w:lang w:eastAsia="pt-BR"/>
    </w:rPr>
  </w:style>
  <w:style w:type="paragraph" w:customStyle="1" w:styleId="ItemDespachoLista">
    <w:name w:val="#ItemDespachoLista"/>
    <w:basedOn w:val="ItemDespacho"/>
    <w:rsid w:val="00C023F2"/>
    <w:pPr>
      <w:numPr>
        <w:ilvl w:val="1"/>
      </w:numPr>
      <w:spacing w:before="0"/>
    </w:pPr>
  </w:style>
  <w:style w:type="paragraph" w:styleId="Textoembloco">
    <w:name w:val="Block Text"/>
    <w:basedOn w:val="Normal"/>
    <w:semiHidden/>
    <w:rsid w:val="00C023F2"/>
    <w:pPr>
      <w:spacing w:before="120" w:after="120" w:line="240" w:lineRule="auto"/>
      <w:ind w:left="567" w:right="566"/>
      <w:jc w:val="both"/>
    </w:pPr>
    <w:rPr>
      <w:rFonts w:ascii="Times New Roman" w:eastAsia="Times New Roman" w:hAnsi="Times New Roman"/>
      <w:i/>
      <w:snapToGrid w:val="0"/>
      <w:color w:val="000000"/>
      <w:sz w:val="24"/>
      <w:szCs w:val="20"/>
      <w:lang w:eastAsia="pt-BR"/>
    </w:rPr>
  </w:style>
  <w:style w:type="paragraph" w:styleId="Recuodecorpodetexto2">
    <w:name w:val="Body Text Indent 2"/>
    <w:basedOn w:val="Normal"/>
    <w:link w:val="Recuodecorpodetexto2Char"/>
    <w:uiPriority w:val="99"/>
    <w:semiHidden/>
    <w:unhideWhenUsed/>
    <w:rsid w:val="00C023F2"/>
    <w:pPr>
      <w:spacing w:before="120" w:after="120" w:line="480" w:lineRule="auto"/>
      <w:ind w:left="283"/>
    </w:pPr>
    <w:rPr>
      <w:rFonts w:ascii="Arial" w:eastAsia="Times New Roman" w:hAnsi="Arial" w:cs="Arial"/>
      <w:color w:val="000000"/>
      <w:sz w:val="24"/>
      <w:szCs w:val="24"/>
      <w:lang w:eastAsia="pt-BR"/>
    </w:rPr>
  </w:style>
  <w:style w:type="character" w:customStyle="1" w:styleId="Recuodecorpodetexto2Char">
    <w:name w:val="Recuo de corpo de texto 2 Char"/>
    <w:basedOn w:val="Fontepargpadro"/>
    <w:link w:val="Recuodecorpodetexto2"/>
    <w:uiPriority w:val="99"/>
    <w:semiHidden/>
    <w:rsid w:val="00C023F2"/>
    <w:rPr>
      <w:rFonts w:ascii="Arial" w:eastAsia="Times New Roman" w:hAnsi="Arial" w:cs="Arial"/>
      <w:color w:val="000000"/>
      <w:sz w:val="24"/>
      <w:szCs w:val="24"/>
    </w:rPr>
  </w:style>
  <w:style w:type="paragraph" w:styleId="Sumrio4">
    <w:name w:val="toc 4"/>
    <w:basedOn w:val="Normal"/>
    <w:next w:val="Normal"/>
    <w:autoRedefine/>
    <w:uiPriority w:val="39"/>
    <w:unhideWhenUsed/>
    <w:rsid w:val="00C023F2"/>
    <w:pPr>
      <w:spacing w:before="120" w:after="100" w:line="276" w:lineRule="auto"/>
      <w:ind w:left="660"/>
    </w:pPr>
    <w:rPr>
      <w:rFonts w:eastAsia="Times New Roman"/>
      <w:lang w:eastAsia="pt-BR"/>
    </w:rPr>
  </w:style>
  <w:style w:type="paragraph" w:styleId="Sumrio5">
    <w:name w:val="toc 5"/>
    <w:basedOn w:val="Normal"/>
    <w:next w:val="Normal"/>
    <w:autoRedefine/>
    <w:uiPriority w:val="39"/>
    <w:unhideWhenUsed/>
    <w:rsid w:val="00C023F2"/>
    <w:pPr>
      <w:spacing w:before="120" w:after="100" w:line="276" w:lineRule="auto"/>
      <w:ind w:left="880"/>
    </w:pPr>
    <w:rPr>
      <w:rFonts w:eastAsia="Times New Roman"/>
      <w:lang w:eastAsia="pt-BR"/>
    </w:rPr>
  </w:style>
  <w:style w:type="paragraph" w:styleId="Sumrio6">
    <w:name w:val="toc 6"/>
    <w:basedOn w:val="Normal"/>
    <w:next w:val="Normal"/>
    <w:autoRedefine/>
    <w:uiPriority w:val="39"/>
    <w:unhideWhenUsed/>
    <w:rsid w:val="00C023F2"/>
    <w:pPr>
      <w:spacing w:before="120" w:after="100" w:line="276" w:lineRule="auto"/>
      <w:ind w:left="1100"/>
    </w:pPr>
    <w:rPr>
      <w:rFonts w:eastAsia="Times New Roman"/>
      <w:lang w:eastAsia="pt-BR"/>
    </w:rPr>
  </w:style>
  <w:style w:type="paragraph" w:styleId="Sumrio7">
    <w:name w:val="toc 7"/>
    <w:basedOn w:val="Normal"/>
    <w:next w:val="Normal"/>
    <w:autoRedefine/>
    <w:uiPriority w:val="39"/>
    <w:unhideWhenUsed/>
    <w:rsid w:val="00C023F2"/>
    <w:pPr>
      <w:spacing w:before="120" w:after="100" w:line="276" w:lineRule="auto"/>
      <w:ind w:left="1320"/>
    </w:pPr>
    <w:rPr>
      <w:rFonts w:eastAsia="Times New Roman"/>
      <w:lang w:eastAsia="pt-BR"/>
    </w:rPr>
  </w:style>
  <w:style w:type="paragraph" w:styleId="Sumrio8">
    <w:name w:val="toc 8"/>
    <w:basedOn w:val="Normal"/>
    <w:next w:val="Normal"/>
    <w:autoRedefine/>
    <w:uiPriority w:val="39"/>
    <w:unhideWhenUsed/>
    <w:rsid w:val="00C023F2"/>
    <w:pPr>
      <w:spacing w:before="120" w:after="100" w:line="276" w:lineRule="auto"/>
      <w:ind w:left="1540"/>
    </w:pPr>
    <w:rPr>
      <w:rFonts w:eastAsia="Times New Roman"/>
      <w:lang w:eastAsia="pt-BR"/>
    </w:rPr>
  </w:style>
  <w:style w:type="paragraph" w:styleId="Sumrio9">
    <w:name w:val="toc 9"/>
    <w:basedOn w:val="Normal"/>
    <w:next w:val="Normal"/>
    <w:autoRedefine/>
    <w:uiPriority w:val="39"/>
    <w:unhideWhenUsed/>
    <w:rsid w:val="00C023F2"/>
    <w:pPr>
      <w:spacing w:before="120" w:after="100" w:line="276" w:lineRule="auto"/>
      <w:ind w:left="1760"/>
    </w:pPr>
    <w:rPr>
      <w:rFonts w:eastAsia="Times New Roman"/>
      <w:lang w:eastAsia="pt-BR"/>
    </w:rPr>
  </w:style>
  <w:style w:type="paragraph" w:customStyle="1" w:styleId="PargrafodaLista1">
    <w:name w:val="Parágrafo da Lista1"/>
    <w:aliases w:val="Citação da Lista;Título da Lista"/>
    <w:basedOn w:val="Normal"/>
    <w:autoRedefine/>
    <w:uiPriority w:val="34"/>
    <w:qFormat/>
    <w:rsid w:val="00C023F2"/>
    <w:pPr>
      <w:numPr>
        <w:numId w:val="4"/>
      </w:numPr>
      <w:tabs>
        <w:tab w:val="clear" w:pos="360"/>
        <w:tab w:val="num" w:pos="0"/>
        <w:tab w:val="left" w:pos="1134"/>
      </w:tabs>
      <w:spacing w:before="120" w:after="0" w:line="240" w:lineRule="auto"/>
      <w:ind w:left="0" w:firstLine="0"/>
      <w:jc w:val="both"/>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semiHidden/>
    <w:unhideWhenUsed/>
    <w:rsid w:val="00C023F2"/>
    <w:pPr>
      <w:spacing w:before="120" w:after="0" w:line="240" w:lineRule="auto"/>
    </w:pPr>
    <w:rPr>
      <w:rFonts w:ascii="Arial" w:eastAsia="Times New Roman" w:hAnsi="Arial" w:cs="Arial"/>
      <w:color w:val="000000"/>
      <w:sz w:val="20"/>
      <w:szCs w:val="20"/>
      <w:lang w:eastAsia="pt-BR"/>
    </w:rPr>
  </w:style>
  <w:style w:type="character" w:customStyle="1" w:styleId="TextodenotaderodapChar">
    <w:name w:val="Texto de nota de rodapé Char"/>
    <w:basedOn w:val="Fontepargpadro"/>
    <w:link w:val="Textodenotaderodap"/>
    <w:uiPriority w:val="99"/>
    <w:semiHidden/>
    <w:rsid w:val="00C023F2"/>
    <w:rPr>
      <w:rFonts w:ascii="Arial" w:eastAsia="Times New Roman" w:hAnsi="Arial" w:cs="Arial"/>
      <w:color w:val="000000"/>
    </w:rPr>
  </w:style>
  <w:style w:type="character" w:styleId="Refdenotaderodap">
    <w:name w:val="footnote reference"/>
    <w:uiPriority w:val="99"/>
    <w:semiHidden/>
    <w:unhideWhenUsed/>
    <w:rsid w:val="00C023F2"/>
    <w:rPr>
      <w:vertAlign w:val="superscript"/>
    </w:rPr>
  </w:style>
  <w:style w:type="paragraph" w:styleId="MapadoDocumento">
    <w:name w:val="Document Map"/>
    <w:basedOn w:val="Normal"/>
    <w:link w:val="MapadoDocumentoChar"/>
    <w:uiPriority w:val="99"/>
    <w:semiHidden/>
    <w:unhideWhenUsed/>
    <w:rsid w:val="00C023F2"/>
    <w:pPr>
      <w:spacing w:before="120" w:after="0" w:line="240" w:lineRule="auto"/>
    </w:pPr>
    <w:rPr>
      <w:rFonts w:ascii="Tahoma" w:eastAsia="Times New Roman" w:hAnsi="Tahoma" w:cs="Tahoma"/>
      <w:color w:val="000000"/>
      <w:sz w:val="16"/>
      <w:szCs w:val="16"/>
      <w:lang w:eastAsia="pt-BR"/>
    </w:rPr>
  </w:style>
  <w:style w:type="character" w:customStyle="1" w:styleId="MapadoDocumentoChar">
    <w:name w:val="Mapa do Documento Char"/>
    <w:basedOn w:val="Fontepargpadro"/>
    <w:link w:val="MapadoDocumento"/>
    <w:uiPriority w:val="99"/>
    <w:semiHidden/>
    <w:rsid w:val="00C023F2"/>
    <w:rPr>
      <w:rFonts w:ascii="Tahoma" w:eastAsia="Times New Roman" w:hAnsi="Tahoma" w:cs="Tahoma"/>
      <w:color w:val="000000"/>
      <w:sz w:val="16"/>
      <w:szCs w:val="16"/>
    </w:rPr>
  </w:style>
  <w:style w:type="paragraph" w:customStyle="1" w:styleId="Ttulodedeliberao0">
    <w:name w:val="Título de deliberação"/>
    <w:basedOn w:val="PargrafodaLista"/>
    <w:qFormat/>
    <w:rsid w:val="00C023F2"/>
    <w:pPr>
      <w:contextualSpacing w:val="0"/>
    </w:pPr>
    <w:rPr>
      <w:b/>
      <w:lang w:val="en-US"/>
    </w:rPr>
  </w:style>
  <w:style w:type="paragraph" w:customStyle="1" w:styleId="Campodedeliberao">
    <w:name w:val="Campo de deliberação"/>
    <w:basedOn w:val="PargrafodaLista"/>
    <w:next w:val="PargrafodaLista"/>
    <w:qFormat/>
    <w:rsid w:val="00C023F2"/>
    <w:pPr>
      <w:numPr>
        <w:ilvl w:val="2"/>
        <w:numId w:val="8"/>
      </w:numPr>
      <w:contextualSpacing w:val="0"/>
    </w:pPr>
    <w:rPr>
      <w:bCs/>
      <w:u w:val="single"/>
    </w:rPr>
  </w:style>
  <w:style w:type="paragraph" w:styleId="Numerada">
    <w:name w:val="List Number"/>
    <w:basedOn w:val="Normal"/>
    <w:rsid w:val="00C023F2"/>
    <w:pPr>
      <w:numPr>
        <w:numId w:val="5"/>
      </w:numPr>
      <w:spacing w:before="120" w:after="0" w:line="240" w:lineRule="auto"/>
      <w:ind w:right="284"/>
      <w:contextualSpacing/>
      <w:jc w:val="both"/>
    </w:pPr>
    <w:rPr>
      <w:rFonts w:ascii="Times New Roman" w:eastAsia="Times New Roman" w:hAnsi="Times New Roman"/>
      <w:sz w:val="24"/>
      <w:szCs w:val="20"/>
      <w:lang w:eastAsia="pt-BR"/>
    </w:rPr>
  </w:style>
  <w:style w:type="character" w:styleId="Forte">
    <w:name w:val="Strong"/>
    <w:uiPriority w:val="22"/>
    <w:qFormat/>
    <w:rsid w:val="00C023F2"/>
    <w:rPr>
      <w:b/>
      <w:bCs/>
    </w:rPr>
  </w:style>
  <w:style w:type="character" w:customStyle="1" w:styleId="apple-converted-space">
    <w:name w:val="apple-converted-space"/>
    <w:rsid w:val="00C023F2"/>
  </w:style>
  <w:style w:type="paragraph" w:customStyle="1" w:styleId="Pa19">
    <w:name w:val="Pa19"/>
    <w:basedOn w:val="Default"/>
    <w:next w:val="Default"/>
    <w:uiPriority w:val="99"/>
    <w:rsid w:val="00C023F2"/>
    <w:pPr>
      <w:spacing w:line="201" w:lineRule="atLeast"/>
    </w:pPr>
    <w:rPr>
      <w:rFonts w:ascii="Chianti Win95BT" w:hAnsi="Chianti Win95BT"/>
      <w:color w:val="auto"/>
    </w:rPr>
  </w:style>
  <w:style w:type="paragraph" w:customStyle="1" w:styleId="Pa22">
    <w:name w:val="Pa22"/>
    <w:basedOn w:val="Default"/>
    <w:next w:val="Default"/>
    <w:uiPriority w:val="99"/>
    <w:rsid w:val="00C023F2"/>
    <w:pPr>
      <w:spacing w:line="201" w:lineRule="atLeast"/>
    </w:pPr>
    <w:rPr>
      <w:rFonts w:ascii="Chianti Win95BT" w:hAnsi="Chianti Win95BT"/>
      <w:color w:val="auto"/>
    </w:rPr>
  </w:style>
  <w:style w:type="paragraph" w:customStyle="1" w:styleId="TtulodeDeliberao">
    <w:name w:val="Título de Deliberação"/>
    <w:basedOn w:val="Ttulo3"/>
    <w:next w:val="TextodeCitao"/>
    <w:link w:val="TtulodeDeliberaoChar"/>
    <w:qFormat/>
    <w:rsid w:val="00C023F2"/>
    <w:pPr>
      <w:numPr>
        <w:numId w:val="8"/>
      </w:numPr>
    </w:pPr>
    <w:rPr>
      <w:lang w:val="en-US"/>
    </w:rPr>
  </w:style>
  <w:style w:type="paragraph" w:customStyle="1" w:styleId="TextodeCitao">
    <w:name w:val="Texto de Citação"/>
    <w:basedOn w:val="Textodecomentrio"/>
    <w:link w:val="TextodeCitaoChar"/>
    <w:qFormat/>
    <w:rsid w:val="00C023F2"/>
  </w:style>
  <w:style w:type="character" w:customStyle="1" w:styleId="TtulodeDeliberaoChar">
    <w:name w:val="Título de Deliberação Char"/>
    <w:link w:val="TtulodeDeliberao"/>
    <w:rsid w:val="00C023F2"/>
    <w:rPr>
      <w:rFonts w:ascii="Times New Roman" w:eastAsia="Times New Roman" w:hAnsi="Times New Roman"/>
      <w:bCs/>
      <w:color w:val="000000"/>
      <w:sz w:val="24"/>
      <w:szCs w:val="24"/>
      <w:u w:val="single"/>
      <w:lang w:val="en-US"/>
    </w:rPr>
  </w:style>
  <w:style w:type="paragraph" w:customStyle="1" w:styleId="Pargrafodeitens">
    <w:name w:val="Parágrafo de itens"/>
    <w:basedOn w:val="Normal"/>
    <w:link w:val="PargrafodeitensChar"/>
    <w:qFormat/>
    <w:rsid w:val="00C023F2"/>
    <w:pPr>
      <w:numPr>
        <w:numId w:val="9"/>
      </w:numPr>
      <w:spacing w:before="60" w:after="0" w:line="240" w:lineRule="auto"/>
      <w:jc w:val="both"/>
    </w:pPr>
    <w:rPr>
      <w:rFonts w:ascii="Times New Roman" w:eastAsia="Times New Roman" w:hAnsi="Times New Roman"/>
      <w:color w:val="000000"/>
      <w:sz w:val="24"/>
      <w:szCs w:val="24"/>
      <w:lang w:eastAsia="pt-BR"/>
    </w:rPr>
  </w:style>
  <w:style w:type="character" w:customStyle="1" w:styleId="TextodeCitaoChar">
    <w:name w:val="Texto de Citação Char"/>
    <w:link w:val="TextodeCitao"/>
    <w:rsid w:val="00C023F2"/>
    <w:rPr>
      <w:rFonts w:ascii="Times New Roman" w:hAnsi="Times New Roman"/>
      <w:sz w:val="22"/>
      <w:szCs w:val="22"/>
      <w:lang w:eastAsia="en-US"/>
    </w:rPr>
  </w:style>
  <w:style w:type="character" w:customStyle="1" w:styleId="PargrafodeitensChar">
    <w:name w:val="Parágrafo de itens Char"/>
    <w:link w:val="Pargrafodeitens"/>
    <w:rsid w:val="00C023F2"/>
    <w:rPr>
      <w:rFonts w:ascii="Times New Roman" w:eastAsia="Times New Roman" w:hAnsi="Times New Roman"/>
      <w:color w:val="000000"/>
      <w:sz w:val="24"/>
      <w:szCs w:val="24"/>
    </w:rPr>
  </w:style>
  <w:style w:type="paragraph" w:styleId="Reviso">
    <w:name w:val="Revision"/>
    <w:hidden/>
    <w:uiPriority w:val="99"/>
    <w:semiHidden/>
    <w:rsid w:val="00C023F2"/>
    <w:pPr>
      <w:spacing w:before="120"/>
    </w:pPr>
    <w:rPr>
      <w:rFonts w:ascii="Arial" w:eastAsia="Times New Roman" w:hAnsi="Arial" w:cs="Arial"/>
      <w:color w:val="000000"/>
      <w:sz w:val="24"/>
      <w:szCs w:val="24"/>
    </w:rPr>
  </w:style>
  <w:style w:type="numbering" w:customStyle="1" w:styleId="Estilo2">
    <w:name w:val="Estilo2"/>
    <w:uiPriority w:val="99"/>
    <w:rsid w:val="00C023F2"/>
    <w:pPr>
      <w:numPr>
        <w:numId w:val="7"/>
      </w:numPr>
    </w:pPr>
  </w:style>
  <w:style w:type="paragraph" w:customStyle="1" w:styleId="CorpoRelatrio">
    <w:name w:val="Corpo Relatório"/>
    <w:basedOn w:val="Normal"/>
    <w:link w:val="CorpoRelatrioChar"/>
    <w:qFormat/>
    <w:rsid w:val="00C023F2"/>
    <w:pPr>
      <w:numPr>
        <w:numId w:val="10"/>
      </w:numPr>
      <w:tabs>
        <w:tab w:val="left" w:pos="1134"/>
        <w:tab w:val="left" w:pos="9356"/>
      </w:tabs>
      <w:spacing w:before="120" w:after="120" w:line="240" w:lineRule="auto"/>
      <w:jc w:val="both"/>
    </w:pPr>
    <w:rPr>
      <w:rFonts w:ascii="Times New Roman" w:eastAsia="Times New Roman" w:hAnsi="Times New Roman"/>
      <w:snapToGrid w:val="0"/>
      <w:sz w:val="24"/>
      <w:szCs w:val="24"/>
      <w:lang w:eastAsia="pt-BR"/>
    </w:rPr>
  </w:style>
  <w:style w:type="character" w:customStyle="1" w:styleId="CorpoRelatrioChar">
    <w:name w:val="Corpo Relatório Char"/>
    <w:link w:val="CorpoRelatrio"/>
    <w:rsid w:val="00C023F2"/>
    <w:rPr>
      <w:rFonts w:ascii="Times New Roman" w:eastAsia="Times New Roman" w:hAnsi="Times New Roman"/>
      <w:snapToGrid w:val="0"/>
      <w:sz w:val="24"/>
      <w:szCs w:val="24"/>
    </w:rPr>
  </w:style>
  <w:style w:type="paragraph" w:customStyle="1" w:styleId="Standard">
    <w:name w:val="Standard"/>
    <w:rsid w:val="00C023F2"/>
    <w:pPr>
      <w:widowControl w:val="0"/>
      <w:suppressAutoHyphens/>
      <w:autoSpaceDN w:val="0"/>
      <w:spacing w:before="120"/>
      <w:textAlignment w:val="baseline"/>
    </w:pPr>
    <w:rPr>
      <w:rFonts w:ascii="Times New Roman" w:eastAsia="Andale Sans UI" w:hAnsi="Times New Roman" w:cs="Tahoma"/>
      <w:kern w:val="3"/>
      <w:sz w:val="24"/>
      <w:szCs w:val="24"/>
      <w:lang w:val="de-DE" w:eastAsia="ja-JP" w:bidi="fa-IR"/>
    </w:rPr>
  </w:style>
  <w:style w:type="character" w:styleId="HiperlinkVisitado">
    <w:name w:val="FollowedHyperlink"/>
    <w:uiPriority w:val="99"/>
    <w:semiHidden/>
    <w:unhideWhenUsed/>
    <w:rsid w:val="00C023F2"/>
    <w:rPr>
      <w:color w:val="800080"/>
      <w:u w:val="single"/>
    </w:rPr>
  </w:style>
  <w:style w:type="paragraph" w:customStyle="1" w:styleId="artigo">
    <w:name w:val="artigo"/>
    <w:basedOn w:val="Normal"/>
    <w:rsid w:val="00C023F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r-snippet-review-count4">
    <w:name w:val="pr-snippet-review-count4"/>
    <w:basedOn w:val="Normal"/>
    <w:rsid w:val="00C023F2"/>
    <w:pPr>
      <w:spacing w:before="120" w:after="0" w:line="300" w:lineRule="atLeast"/>
    </w:pPr>
    <w:rPr>
      <w:rFonts w:ascii="Times New Roman" w:eastAsia="Times New Roman" w:hAnsi="Times New Roman"/>
      <w:vanish/>
      <w:sz w:val="24"/>
      <w:szCs w:val="24"/>
      <w:lang w:eastAsia="pt-BR"/>
    </w:rPr>
  </w:style>
  <w:style w:type="character" w:styleId="nfase">
    <w:name w:val="Emphasis"/>
    <w:uiPriority w:val="20"/>
    <w:qFormat/>
    <w:rsid w:val="00C023F2"/>
    <w:rPr>
      <w:i/>
      <w:iCs/>
    </w:rPr>
  </w:style>
  <w:style w:type="character" w:customStyle="1" w:styleId="caps">
    <w:name w:val="caps"/>
    <w:rsid w:val="00C023F2"/>
  </w:style>
  <w:style w:type="character" w:customStyle="1" w:styleId="st">
    <w:name w:val="st"/>
    <w:rsid w:val="00C023F2"/>
  </w:style>
  <w:style w:type="paragraph" w:customStyle="1" w:styleId="autor">
    <w:name w:val="autor"/>
    <w:basedOn w:val="Normal"/>
    <w:rsid w:val="00C023F2"/>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C023F2"/>
    <w:rPr>
      <w:rFonts w:ascii="Arial" w:eastAsia="Times New Roman" w:hAnsi="Arial" w:cs="Arial"/>
      <w:color w:val="000000"/>
      <w:sz w:val="24"/>
      <w:szCs w:val="24"/>
    </w:rPr>
  </w:style>
  <w:style w:type="paragraph" w:styleId="Ttulo">
    <w:name w:val="Title"/>
    <w:basedOn w:val="Normal"/>
    <w:next w:val="Normal"/>
    <w:link w:val="TtuloChar"/>
    <w:uiPriority w:val="10"/>
    <w:qFormat/>
    <w:rsid w:val="00C023F2"/>
    <w:pPr>
      <w:spacing w:after="0" w:line="240" w:lineRule="auto"/>
      <w:contextualSpacing/>
    </w:pPr>
    <w:rPr>
      <w:rFonts w:ascii="Cambria" w:eastAsia="Times New Roman" w:hAnsi="Cambria"/>
      <w:spacing w:val="-10"/>
      <w:kern w:val="28"/>
      <w:sz w:val="56"/>
      <w:szCs w:val="56"/>
      <w:lang w:eastAsia="pt-BR"/>
    </w:rPr>
  </w:style>
  <w:style w:type="character" w:customStyle="1" w:styleId="TtuloChar">
    <w:name w:val="Título Char"/>
    <w:basedOn w:val="Fontepargpadro"/>
    <w:link w:val="Ttulo"/>
    <w:uiPriority w:val="10"/>
    <w:rsid w:val="00C023F2"/>
    <w:rPr>
      <w:rFonts w:ascii="Cambria" w:eastAsia="Times New Roman" w:hAnsi="Cambria"/>
      <w:spacing w:val="-10"/>
      <w:kern w:val="28"/>
      <w:sz w:val="56"/>
      <w:szCs w:val="56"/>
    </w:rPr>
  </w:style>
  <w:style w:type="paragraph" w:customStyle="1" w:styleId="Item2">
    <w:name w:val="Item 2"/>
    <w:basedOn w:val="Normal"/>
    <w:qFormat/>
    <w:rsid w:val="00C023F2"/>
    <w:pPr>
      <w:tabs>
        <w:tab w:val="left" w:pos="993"/>
      </w:tabs>
      <w:spacing w:before="120" w:after="120" w:line="240" w:lineRule="auto"/>
      <w:ind w:left="992" w:hanging="567"/>
      <w:jc w:val="both"/>
      <w:outlineLvl w:val="1"/>
    </w:pPr>
    <w:rPr>
      <w:rFonts w:ascii="Times New Roman" w:eastAsia="Times New Roman" w:hAnsi="Times New Roman"/>
      <w:bCs/>
      <w:sz w:val="24"/>
      <w:szCs w:val="24"/>
      <w:lang w:eastAsia="pt-BR"/>
    </w:rPr>
  </w:style>
  <w:style w:type="paragraph" w:customStyle="1" w:styleId="Item3">
    <w:name w:val="Item 3"/>
    <w:basedOn w:val="Item2"/>
    <w:qFormat/>
    <w:rsid w:val="00C023F2"/>
    <w:pPr>
      <w:tabs>
        <w:tab w:val="clear" w:pos="993"/>
        <w:tab w:val="num" w:pos="360"/>
      </w:tabs>
      <w:ind w:left="1843" w:hanging="851"/>
      <w:outlineLvl w:val="2"/>
    </w:pPr>
  </w:style>
  <w:style w:type="paragraph" w:customStyle="1" w:styleId="Item4">
    <w:name w:val="Item 4"/>
    <w:basedOn w:val="Item3"/>
    <w:qFormat/>
    <w:rsid w:val="00C023F2"/>
    <w:pPr>
      <w:ind w:left="2835" w:hanging="992"/>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vmware.com/br/virtualization/virtualization-basics/what-is-virtualization.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8537</Words>
  <Characters>46105</Characters>
  <Application>Microsoft Office Word</Application>
  <DocSecurity>0</DocSecurity>
  <Lines>384</Lines>
  <Paragraphs>109</Paragraphs>
  <ScaleCrop>false</ScaleCrop>
  <Company>TCU</Company>
  <LinksUpToDate>false</LinksUpToDate>
  <CharactersWithSpaces>54533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Coutinho</dc:creator>
  <cp:keywords/>
  <dc:description/>
  <cp:lastModifiedBy>Pedro Coutinho</cp:lastModifiedBy>
  <cp:revision>1</cp:revision>
  <dcterms:created xsi:type="dcterms:W3CDTF">2015-09-17T12:03:00Z</dcterms:created>
  <dcterms:modified xsi:type="dcterms:W3CDTF">2015-09-17T12:04:00Z</dcterms:modified>
</cp:coreProperties>
</file>