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D60327" w:rsidRDefault="002F3875" w:rsidP="0055771A">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306530">
        <w:rPr>
          <w:rFonts w:ascii="Times New Roman" w:hAnsi="Times New Roman"/>
          <w:b/>
          <w:i w:val="0"/>
          <w:sz w:val="22"/>
          <w:szCs w:val="22"/>
          <w:lang w:val="pt-BR"/>
        </w:rPr>
        <w:t>61</w:t>
      </w:r>
    </w:p>
    <w:p w:rsidR="00C61626" w:rsidRPr="003A0B0D" w:rsidRDefault="00681D68" w:rsidP="0055771A">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306530">
        <w:rPr>
          <w:rFonts w:ascii="Times New Roman" w:hAnsi="Times New Roman"/>
          <w:b/>
          <w:i w:val="0"/>
          <w:sz w:val="22"/>
          <w:szCs w:val="22"/>
          <w:lang w:val="pt-BR"/>
        </w:rPr>
        <w:t>22</w:t>
      </w:r>
      <w:r w:rsidR="004301EC">
        <w:rPr>
          <w:rFonts w:ascii="Times New Roman" w:hAnsi="Times New Roman"/>
          <w:b/>
          <w:i w:val="0"/>
          <w:sz w:val="22"/>
          <w:szCs w:val="22"/>
          <w:lang w:val="pt-BR"/>
        </w:rPr>
        <w:t xml:space="preserve"> </w:t>
      </w:r>
      <w:r w:rsidR="00340266">
        <w:rPr>
          <w:rFonts w:ascii="Times New Roman" w:hAnsi="Times New Roman"/>
          <w:b/>
          <w:i w:val="0"/>
          <w:sz w:val="22"/>
          <w:szCs w:val="22"/>
          <w:lang w:val="pt-BR"/>
        </w:rPr>
        <w:t xml:space="preserve">e </w:t>
      </w:r>
      <w:r w:rsidR="00306530">
        <w:rPr>
          <w:rFonts w:ascii="Times New Roman" w:hAnsi="Times New Roman"/>
          <w:b/>
          <w:i w:val="0"/>
          <w:sz w:val="22"/>
          <w:szCs w:val="22"/>
          <w:lang w:val="pt-BR"/>
        </w:rPr>
        <w:t>23</w:t>
      </w:r>
      <w:r w:rsidR="00340266">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2D2A87">
        <w:rPr>
          <w:rFonts w:ascii="Times New Roman" w:hAnsi="Times New Roman"/>
          <w:b/>
          <w:i w:val="0"/>
          <w:sz w:val="22"/>
          <w:szCs w:val="22"/>
          <w:lang w:val="pt-BR"/>
        </w:rPr>
        <w:t>setemb</w:t>
      </w:r>
      <w:r w:rsidR="00771BAD">
        <w:rPr>
          <w:rFonts w:ascii="Times New Roman" w:hAnsi="Times New Roman"/>
          <w:b/>
          <w:i w:val="0"/>
          <w:sz w:val="22"/>
          <w:szCs w:val="22"/>
          <w:lang w:val="pt-BR"/>
        </w:rPr>
        <w:t>r</w:t>
      </w:r>
      <w:r w:rsidR="00975EA5">
        <w:rPr>
          <w:rFonts w:ascii="Times New Roman" w:hAnsi="Times New Roman"/>
          <w:b/>
          <w:i w:val="0"/>
          <w:sz w:val="22"/>
          <w:szCs w:val="22"/>
          <w:lang w:val="pt-BR"/>
        </w:rPr>
        <w:t>o</w:t>
      </w:r>
      <w:r w:rsidR="00E15D59">
        <w:rPr>
          <w:rFonts w:ascii="Times New Roman" w:hAnsi="Times New Roman"/>
          <w:b/>
          <w:i w:val="0"/>
          <w:sz w:val="22"/>
          <w:szCs w:val="22"/>
          <w:lang w:val="pt-BR"/>
        </w:rPr>
        <w:t xml:space="preserve"> </w:t>
      </w:r>
      <w:r w:rsidR="00340266">
        <w:rPr>
          <w:rFonts w:ascii="Times New Roman" w:hAnsi="Times New Roman"/>
          <w:b/>
          <w:i w:val="0"/>
          <w:sz w:val="22"/>
          <w:szCs w:val="22"/>
          <w:lang w:val="pt-BR"/>
        </w:rPr>
        <w:t>d</w:t>
      </w:r>
      <w:r w:rsidR="00E15D59">
        <w:rPr>
          <w:rFonts w:ascii="Times New Roman" w:hAnsi="Times New Roman"/>
          <w:b/>
          <w:i w:val="0"/>
          <w:sz w:val="22"/>
          <w:szCs w:val="22"/>
          <w:lang w:val="pt-BR"/>
        </w:rPr>
        <w:t>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5D6E13" w:rsidRPr="005D6E13" w:rsidRDefault="005D6E13" w:rsidP="0055771A">
      <w:pPr>
        <w:pStyle w:val="Corpodetexto2"/>
        <w:spacing w:after="60" w:line="240" w:lineRule="auto"/>
        <w:ind w:left="0"/>
        <w:rPr>
          <w:sz w:val="22"/>
          <w:szCs w:val="22"/>
          <w:lang w:val="pt-BR"/>
        </w:rPr>
      </w:pPr>
      <w:r w:rsidRPr="005D6E13">
        <w:rPr>
          <w:sz w:val="22"/>
          <w:szCs w:val="22"/>
          <w:lang w:val="pt-BR"/>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 xml:space="preserve">disponíveis. As informações aqui apresentadas não são </w:t>
      </w:r>
      <w:proofErr w:type="gramStart"/>
      <w:r w:rsidRPr="005D6E13">
        <w:rPr>
          <w:sz w:val="22"/>
          <w:szCs w:val="22"/>
          <w:lang w:val="pt-BR"/>
        </w:rPr>
        <w:t>repositórios</w:t>
      </w:r>
      <w:proofErr w:type="gramEnd"/>
      <w:r w:rsidRPr="005D6E13">
        <w:rPr>
          <w:sz w:val="22"/>
          <w:szCs w:val="22"/>
          <w:lang w:val="pt-BR"/>
        </w:rPr>
        <w:t xml:space="preserve"> oficiais de jurisprudência.</w:t>
      </w:r>
    </w:p>
    <w:p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BC5C14" w:rsidRDefault="00BC5C14" w:rsidP="0055771A">
      <w:pPr>
        <w:autoSpaceDE w:val="0"/>
        <w:autoSpaceDN w:val="0"/>
        <w:adjustRightInd w:val="0"/>
        <w:spacing w:after="60"/>
        <w:ind w:left="0"/>
        <w:rPr>
          <w:b/>
          <w:sz w:val="22"/>
          <w:szCs w:val="22"/>
          <w:lang w:eastAsia="pt-BR"/>
        </w:rPr>
      </w:pPr>
      <w:r>
        <w:rPr>
          <w:b/>
          <w:sz w:val="22"/>
          <w:szCs w:val="22"/>
          <w:lang w:eastAsia="pt-BR"/>
        </w:rPr>
        <w:t>Plenário</w:t>
      </w:r>
    </w:p>
    <w:p w:rsidR="00593765" w:rsidRPr="00623DCE" w:rsidRDefault="00623DCE" w:rsidP="0055771A">
      <w:pPr>
        <w:spacing w:after="60"/>
        <w:ind w:left="0"/>
        <w:rPr>
          <w:sz w:val="22"/>
          <w:szCs w:val="22"/>
        </w:rPr>
      </w:pPr>
      <w:r>
        <w:rPr>
          <w:color w:val="000000"/>
          <w:sz w:val="22"/>
          <w:szCs w:val="22"/>
        </w:rPr>
        <w:t>1. No</w:t>
      </w:r>
      <w:r w:rsidRPr="00623DCE">
        <w:rPr>
          <w:color w:val="000000"/>
          <w:sz w:val="22"/>
          <w:szCs w:val="22"/>
        </w:rPr>
        <w:t xml:space="preserve"> âmbito do Sistema S, o administrador pode exigir, no todo ou em parte, apenas a documentação listada no regulamento licitatório próprio da entidade, na forma estabelecida pelo edital, uma vez que o rol de exigências de habilitação em licitação é taxativo.</w:t>
      </w:r>
    </w:p>
    <w:p w:rsidR="00E80945" w:rsidRPr="005A7ED9" w:rsidRDefault="00076E1D" w:rsidP="0055771A">
      <w:pPr>
        <w:autoSpaceDE w:val="0"/>
        <w:autoSpaceDN w:val="0"/>
        <w:adjustRightInd w:val="0"/>
        <w:spacing w:after="60"/>
        <w:ind w:left="0"/>
        <w:rPr>
          <w:b/>
          <w:bCs/>
          <w:sz w:val="22"/>
          <w:szCs w:val="22"/>
          <w:lang w:eastAsia="pt-BR"/>
        </w:rPr>
      </w:pPr>
      <w:r>
        <w:rPr>
          <w:b/>
          <w:bCs/>
          <w:sz w:val="22"/>
          <w:szCs w:val="22"/>
          <w:lang w:eastAsia="pt-BR"/>
        </w:rPr>
        <w:t>Segund</w:t>
      </w:r>
      <w:r w:rsidR="00E80945" w:rsidRPr="005A7ED9">
        <w:rPr>
          <w:b/>
          <w:bCs/>
          <w:sz w:val="22"/>
          <w:szCs w:val="22"/>
          <w:lang w:eastAsia="pt-BR"/>
        </w:rPr>
        <w:t>a Câmara</w:t>
      </w:r>
    </w:p>
    <w:p w:rsidR="00623DCE" w:rsidRPr="00623DCE" w:rsidRDefault="00324E54" w:rsidP="0055771A">
      <w:pPr>
        <w:autoSpaceDE w:val="0"/>
        <w:autoSpaceDN w:val="0"/>
        <w:adjustRightInd w:val="0"/>
        <w:spacing w:after="60"/>
        <w:ind w:left="0"/>
        <w:rPr>
          <w:bCs/>
          <w:sz w:val="22"/>
          <w:szCs w:val="22"/>
          <w:lang w:eastAsia="pt-BR"/>
        </w:rPr>
      </w:pPr>
      <w:r w:rsidRPr="00324E54">
        <w:rPr>
          <w:bCs/>
          <w:sz w:val="22"/>
          <w:szCs w:val="22"/>
          <w:lang w:eastAsia="pt-BR"/>
        </w:rPr>
        <w:t xml:space="preserve">2. </w:t>
      </w:r>
      <w:r w:rsidR="00623DCE" w:rsidRPr="00623DCE">
        <w:rPr>
          <w:sz w:val="22"/>
          <w:szCs w:val="18"/>
        </w:rPr>
        <w:t>O Certificado de Boas Práticas de Fabricação e Controle (CBPF), emitido pela Anvisa, pode ser exigido como condição de qualificação técnica em licitações destinadas à aquisição de medicamentos (art. 30, inciso IV, da Lei 8.666/93).</w:t>
      </w:r>
    </w:p>
    <w:p w:rsidR="009C029D" w:rsidRPr="00CB7ADF" w:rsidRDefault="009C029D" w:rsidP="009C029D">
      <w:pPr>
        <w:spacing w:after="60"/>
        <w:ind w:left="0"/>
        <w:rPr>
          <w:rFonts w:eastAsia="Times New Roman"/>
          <w:b/>
          <w:color w:val="000000"/>
          <w:sz w:val="22"/>
          <w:szCs w:val="22"/>
          <w:lang w:eastAsia="pt-BR"/>
        </w:rPr>
      </w:pPr>
      <w:r w:rsidRPr="00CB7ADF">
        <w:rPr>
          <w:rFonts w:eastAsia="Times New Roman"/>
          <w:b/>
          <w:color w:val="000000"/>
          <w:sz w:val="22"/>
          <w:szCs w:val="22"/>
          <w:lang w:eastAsia="pt-BR"/>
        </w:rPr>
        <w:t>Inovação Legislativa</w:t>
      </w:r>
    </w:p>
    <w:p w:rsidR="009C029D" w:rsidRDefault="009C029D" w:rsidP="009C029D">
      <w:pPr>
        <w:spacing w:after="60"/>
        <w:ind w:left="0"/>
        <w:rPr>
          <w:rFonts w:eastAsia="Times New Roman"/>
          <w:color w:val="000000"/>
          <w:sz w:val="22"/>
          <w:szCs w:val="22"/>
          <w:lang w:eastAsia="pt-BR"/>
        </w:rPr>
      </w:pPr>
      <w:r>
        <w:rPr>
          <w:rFonts w:eastAsia="Times New Roman"/>
          <w:color w:val="000000"/>
          <w:sz w:val="22"/>
          <w:szCs w:val="22"/>
          <w:lang w:eastAsia="pt-BR"/>
        </w:rPr>
        <w:t>Decreto 8.538, de 6/10/15.</w:t>
      </w:r>
    </w:p>
    <w:p w:rsidR="00623DCE" w:rsidRPr="009C029D" w:rsidRDefault="009C029D" w:rsidP="009C029D">
      <w:pPr>
        <w:spacing w:after="60"/>
        <w:ind w:left="0"/>
        <w:rPr>
          <w:rFonts w:eastAsia="Times New Roman"/>
          <w:color w:val="000000"/>
          <w:sz w:val="22"/>
          <w:szCs w:val="22"/>
          <w:lang w:eastAsia="pt-BR"/>
        </w:rPr>
      </w:pPr>
      <w:r>
        <w:rPr>
          <w:rFonts w:eastAsia="Times New Roman"/>
          <w:color w:val="000000"/>
          <w:sz w:val="22"/>
          <w:szCs w:val="22"/>
          <w:lang w:eastAsia="pt-BR"/>
        </w:rPr>
        <w:t>Decreto 8.540, de 9/10/15</w:t>
      </w:r>
      <w:r>
        <w:rPr>
          <w:rFonts w:eastAsia="Times New Roman"/>
          <w:color w:val="000000"/>
          <w:sz w:val="22"/>
          <w:szCs w:val="22"/>
          <w:lang w:eastAsia="pt-BR"/>
        </w:rPr>
        <w:t>.</w:t>
      </w:r>
    </w:p>
    <w:p w:rsidR="00846D10" w:rsidRDefault="00846D10" w:rsidP="00492AF9">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PLENÁRIO</w:t>
      </w:r>
    </w:p>
    <w:p w:rsidR="00921705" w:rsidRPr="003436F1" w:rsidRDefault="00921705" w:rsidP="00B84CBC">
      <w:pPr>
        <w:shd w:val="clear" w:color="auto" w:fill="FFFFFF"/>
        <w:spacing w:after="0"/>
        <w:ind w:left="0"/>
        <w:rPr>
          <w:rFonts w:eastAsia="Times New Roman"/>
          <w:b/>
          <w:i/>
          <w:color w:val="000000"/>
          <w:sz w:val="22"/>
          <w:szCs w:val="22"/>
          <w:lang w:eastAsia="pt-BR"/>
        </w:rPr>
      </w:pPr>
    </w:p>
    <w:p w:rsidR="00623DCE" w:rsidRPr="00623DCE" w:rsidRDefault="003436F1" w:rsidP="0055771A">
      <w:pPr>
        <w:spacing w:after="0"/>
        <w:ind w:left="0"/>
        <w:rPr>
          <w:b/>
          <w:sz w:val="22"/>
          <w:szCs w:val="22"/>
        </w:rPr>
      </w:pPr>
      <w:r w:rsidRPr="00623DCE">
        <w:rPr>
          <w:rFonts w:eastAsia="Times New Roman"/>
          <w:b/>
          <w:bCs/>
          <w:sz w:val="22"/>
          <w:szCs w:val="22"/>
          <w:lang w:eastAsia="pt-BR"/>
        </w:rPr>
        <w:t>1</w:t>
      </w:r>
      <w:r w:rsidR="009D5AE6" w:rsidRPr="00623DCE">
        <w:rPr>
          <w:rFonts w:eastAsia="Times New Roman"/>
          <w:b/>
          <w:bCs/>
          <w:sz w:val="22"/>
          <w:szCs w:val="22"/>
          <w:lang w:eastAsia="pt-BR"/>
        </w:rPr>
        <w:t xml:space="preserve">. </w:t>
      </w:r>
      <w:r w:rsidR="00623DCE" w:rsidRPr="00623DCE">
        <w:rPr>
          <w:b/>
          <w:color w:val="000000"/>
          <w:sz w:val="22"/>
          <w:szCs w:val="22"/>
        </w:rPr>
        <w:t>No âmbito do Sistema S, o administrador pode exigir, no todo ou em parte, apenas a documentação listada no regulamento licitatório próprio da entidade, na forma estabelecida pelo edital, uma vez que o rol de exigências de habilitação em licitação é taxativo.</w:t>
      </w:r>
    </w:p>
    <w:p w:rsidR="00921705" w:rsidRDefault="00967CA9" w:rsidP="0055771A">
      <w:pPr>
        <w:shd w:val="clear" w:color="auto" w:fill="FFFFFF"/>
        <w:spacing w:after="0"/>
        <w:ind w:left="0"/>
        <w:rPr>
          <w:rFonts w:eastAsia="Times New Roman"/>
          <w:b/>
          <w:i/>
          <w:color w:val="000000"/>
          <w:sz w:val="22"/>
          <w:szCs w:val="22"/>
          <w:lang w:eastAsia="pt-BR"/>
        </w:rPr>
      </w:pPr>
      <w:r>
        <w:rPr>
          <w:rFonts w:eastAsia="Times New Roman"/>
          <w:color w:val="000000"/>
          <w:sz w:val="22"/>
          <w:szCs w:val="22"/>
          <w:lang w:eastAsia="pt-BR"/>
        </w:rPr>
        <w:t xml:space="preserve">Representação formulada por sociedade empresária questionara supostas irregularidades em concorrência promovida pelo </w:t>
      </w:r>
      <w:r w:rsidRPr="00967CA9">
        <w:rPr>
          <w:rFonts w:eastAsia="Times New Roman"/>
          <w:color w:val="000000"/>
          <w:sz w:val="22"/>
          <w:szCs w:val="22"/>
          <w:lang w:eastAsia="pt-BR"/>
        </w:rPr>
        <w:t xml:space="preserve">Serviço Social do Comércio – Administração Regional do Distrito Federal (SESC/AR-DF), </w:t>
      </w:r>
      <w:r>
        <w:rPr>
          <w:rFonts w:eastAsia="Times New Roman"/>
          <w:color w:val="000000"/>
          <w:sz w:val="22"/>
          <w:szCs w:val="22"/>
          <w:lang w:eastAsia="pt-BR"/>
        </w:rPr>
        <w:t>destinada à</w:t>
      </w:r>
      <w:r w:rsidRPr="00967CA9">
        <w:rPr>
          <w:rFonts w:eastAsia="Times New Roman"/>
          <w:color w:val="000000"/>
          <w:sz w:val="22"/>
          <w:szCs w:val="22"/>
          <w:lang w:eastAsia="pt-BR"/>
        </w:rPr>
        <w:t xml:space="preserve"> contratação de empresa para elaboração de projetos complementares, planejamento e acompanhamento das obras de construção de seu edifício sede</w:t>
      </w:r>
      <w:r>
        <w:rPr>
          <w:rFonts w:eastAsia="Times New Roman"/>
          <w:color w:val="000000"/>
          <w:sz w:val="22"/>
          <w:szCs w:val="22"/>
          <w:lang w:eastAsia="pt-BR"/>
        </w:rPr>
        <w:t>.</w:t>
      </w:r>
      <w:r w:rsidR="00B45B86">
        <w:rPr>
          <w:rFonts w:eastAsia="Times New Roman"/>
          <w:color w:val="000000"/>
          <w:sz w:val="22"/>
          <w:szCs w:val="22"/>
          <w:lang w:eastAsia="pt-BR"/>
        </w:rPr>
        <w:t xml:space="preserve"> Questionara a representante, </w:t>
      </w:r>
      <w:r w:rsidR="0099343D">
        <w:rPr>
          <w:rFonts w:eastAsia="Times New Roman"/>
          <w:color w:val="000000"/>
          <w:sz w:val="22"/>
          <w:szCs w:val="22"/>
          <w:lang w:eastAsia="pt-BR"/>
        </w:rPr>
        <w:t xml:space="preserve">entre outros aspectos, possível exigência restritiva, com base na qual fora inabilitada, consubstanciada na exigência </w:t>
      </w:r>
      <w:proofErr w:type="spellStart"/>
      <w:r w:rsidR="0099343D">
        <w:rPr>
          <w:rFonts w:eastAsia="Times New Roman"/>
          <w:color w:val="000000"/>
          <w:sz w:val="22"/>
          <w:szCs w:val="22"/>
          <w:lang w:eastAsia="pt-BR"/>
        </w:rPr>
        <w:t>editalícia</w:t>
      </w:r>
      <w:proofErr w:type="spellEnd"/>
      <w:r w:rsidR="0099343D">
        <w:rPr>
          <w:rFonts w:eastAsia="Times New Roman"/>
          <w:color w:val="000000"/>
          <w:sz w:val="22"/>
          <w:szCs w:val="22"/>
          <w:lang w:eastAsia="pt-BR"/>
        </w:rPr>
        <w:t xml:space="preserve"> de apresentação de certidão negativa de protesto</w:t>
      </w:r>
      <w:r w:rsidR="0077473A">
        <w:rPr>
          <w:rFonts w:eastAsia="Times New Roman"/>
          <w:color w:val="000000"/>
          <w:sz w:val="22"/>
          <w:szCs w:val="22"/>
          <w:lang w:eastAsia="pt-BR"/>
        </w:rPr>
        <w:t xml:space="preserve"> de títulos da localidade da licitante</w:t>
      </w:r>
      <w:r w:rsidR="0099343D">
        <w:rPr>
          <w:rFonts w:eastAsia="Times New Roman"/>
          <w:color w:val="000000"/>
          <w:sz w:val="22"/>
          <w:szCs w:val="22"/>
          <w:lang w:eastAsia="pt-BR"/>
        </w:rPr>
        <w:t xml:space="preserve">. Analisando o mérito, após a suspensão cautelar do certame e a promoção das oitivas regimentais, anotou o relator que </w:t>
      </w:r>
      <w:r w:rsidR="0099343D" w:rsidRPr="0099343D">
        <w:rPr>
          <w:rFonts w:eastAsia="Times New Roman"/>
          <w:i/>
          <w:color w:val="000000"/>
          <w:sz w:val="22"/>
          <w:szCs w:val="22"/>
          <w:lang w:eastAsia="pt-BR"/>
        </w:rPr>
        <w:t>“a exigência para que os licitantes apresentassem certidão negativa referente a protesto (item 6.1.3.a) não encontra respaldo no Regulamento de Licitações e Contratos do SESC/AR-DF nem tampouco na Lei 8.666/1993, sendo inadmitida pela jurisprudência deste Tribunal”</w:t>
      </w:r>
      <w:r w:rsidR="0099343D">
        <w:rPr>
          <w:rFonts w:eastAsia="Times New Roman"/>
          <w:color w:val="000000"/>
          <w:sz w:val="22"/>
          <w:szCs w:val="22"/>
          <w:lang w:eastAsia="pt-BR"/>
        </w:rPr>
        <w:t>.</w:t>
      </w:r>
      <w:r w:rsidR="004173CE">
        <w:rPr>
          <w:rFonts w:eastAsia="Times New Roman"/>
          <w:color w:val="000000"/>
          <w:sz w:val="22"/>
          <w:szCs w:val="22"/>
          <w:lang w:eastAsia="pt-BR"/>
        </w:rPr>
        <w:t xml:space="preserve"> Nesse passo, afastou o argumento do </w:t>
      </w:r>
      <w:r w:rsidR="004173CE" w:rsidRPr="004173CE">
        <w:rPr>
          <w:rFonts w:eastAsia="Times New Roman"/>
          <w:color w:val="000000"/>
          <w:sz w:val="22"/>
          <w:szCs w:val="22"/>
          <w:lang w:eastAsia="pt-BR"/>
        </w:rPr>
        <w:t>SESC/AR-DF</w:t>
      </w:r>
      <w:r w:rsidR="004173CE">
        <w:rPr>
          <w:rFonts w:eastAsia="Times New Roman"/>
          <w:color w:val="000000"/>
          <w:sz w:val="22"/>
          <w:szCs w:val="22"/>
          <w:lang w:eastAsia="pt-BR"/>
        </w:rPr>
        <w:t xml:space="preserve"> no sentido de que os critérios de habilitação de licitantes enumerados no art. 12 de seu regulamento de licitações não seriam taxativos, cabendo ao edital estabelecer as exigências e os documentos necessários. Ao contrário, prosseguiu, tal afirmativa </w:t>
      </w:r>
      <w:r w:rsidR="004173CE" w:rsidRPr="004173CE">
        <w:rPr>
          <w:rFonts w:eastAsia="Times New Roman"/>
          <w:i/>
          <w:color w:val="000000"/>
          <w:sz w:val="22"/>
          <w:szCs w:val="22"/>
          <w:lang w:eastAsia="pt-BR"/>
        </w:rPr>
        <w:t>“não é condizente com a interpretação desta Corte sobre dispositivo semelhante da Lei de Licitações. O rol das exigências de habilitação é taxativo”</w:t>
      </w:r>
      <w:r w:rsidR="004173CE" w:rsidRPr="004173CE">
        <w:rPr>
          <w:rFonts w:eastAsia="Times New Roman"/>
          <w:color w:val="000000"/>
          <w:sz w:val="22"/>
          <w:szCs w:val="22"/>
          <w:lang w:eastAsia="pt-BR"/>
        </w:rPr>
        <w:t>.</w:t>
      </w:r>
      <w:r w:rsidR="004173CE">
        <w:rPr>
          <w:rFonts w:eastAsia="Times New Roman"/>
          <w:color w:val="000000"/>
          <w:sz w:val="22"/>
          <w:szCs w:val="22"/>
          <w:lang w:eastAsia="pt-BR"/>
        </w:rPr>
        <w:t xml:space="preserve"> Ademais, acrescentou, </w:t>
      </w:r>
      <w:r w:rsidR="004173CE" w:rsidRPr="004173CE">
        <w:rPr>
          <w:rFonts w:eastAsia="Times New Roman"/>
          <w:i/>
          <w:color w:val="000000"/>
          <w:sz w:val="22"/>
          <w:szCs w:val="22"/>
          <w:lang w:eastAsia="pt-BR"/>
        </w:rPr>
        <w:t xml:space="preserve">“depreende-se da estrita leitura do caput </w:t>
      </w:r>
      <w:r w:rsidR="006A0958">
        <w:rPr>
          <w:rFonts w:eastAsia="Times New Roman"/>
          <w:i/>
          <w:color w:val="000000"/>
          <w:sz w:val="22"/>
          <w:szCs w:val="22"/>
          <w:lang w:eastAsia="pt-BR"/>
        </w:rPr>
        <w:t>do artigo (‘</w:t>
      </w:r>
      <w:r w:rsidR="004173CE" w:rsidRPr="004173CE">
        <w:rPr>
          <w:rFonts w:eastAsia="Times New Roman"/>
          <w:i/>
          <w:color w:val="000000"/>
          <w:sz w:val="22"/>
          <w:szCs w:val="22"/>
          <w:lang w:eastAsia="pt-BR"/>
        </w:rPr>
        <w:t>Para a habilitação nas licitações poderá, observado o disposto no parágrafo único, ser exigida dos interessados, no todo ou em parte, conforme se estabelecer no instrumento convocatóri</w:t>
      </w:r>
      <w:r w:rsidR="006A0958">
        <w:rPr>
          <w:rFonts w:eastAsia="Times New Roman"/>
          <w:i/>
          <w:color w:val="000000"/>
          <w:sz w:val="22"/>
          <w:szCs w:val="22"/>
          <w:lang w:eastAsia="pt-BR"/>
        </w:rPr>
        <w:t xml:space="preserve">o, documentação relativa a: </w:t>
      </w:r>
      <w:r w:rsidR="00383333">
        <w:rPr>
          <w:rFonts w:eastAsia="Times New Roman"/>
          <w:i/>
          <w:color w:val="000000"/>
          <w:sz w:val="22"/>
          <w:szCs w:val="22"/>
          <w:lang w:eastAsia="pt-BR"/>
        </w:rPr>
        <w:t>(</w:t>
      </w:r>
      <w:r w:rsidR="006A0958">
        <w:rPr>
          <w:rFonts w:eastAsia="Times New Roman"/>
          <w:i/>
          <w:color w:val="000000"/>
          <w:sz w:val="22"/>
          <w:szCs w:val="22"/>
          <w:lang w:eastAsia="pt-BR"/>
        </w:rPr>
        <w:t>...</w:t>
      </w:r>
      <w:r w:rsidR="00383333">
        <w:rPr>
          <w:rFonts w:eastAsia="Times New Roman"/>
          <w:i/>
          <w:color w:val="000000"/>
          <w:sz w:val="22"/>
          <w:szCs w:val="22"/>
          <w:lang w:eastAsia="pt-BR"/>
        </w:rPr>
        <w:t>)</w:t>
      </w:r>
      <w:r w:rsidR="006A0958">
        <w:rPr>
          <w:rFonts w:eastAsia="Times New Roman"/>
          <w:i/>
          <w:color w:val="000000"/>
          <w:sz w:val="22"/>
          <w:szCs w:val="22"/>
          <w:lang w:eastAsia="pt-BR"/>
        </w:rPr>
        <w:t>’</w:t>
      </w:r>
      <w:r w:rsidR="004173CE" w:rsidRPr="004173CE">
        <w:rPr>
          <w:rFonts w:eastAsia="Times New Roman"/>
          <w:i/>
          <w:color w:val="000000"/>
          <w:sz w:val="22"/>
          <w:szCs w:val="22"/>
          <w:lang w:eastAsia="pt-BR"/>
        </w:rPr>
        <w:t>) que o administrador pode exigir toda a documentação listada ou apenas parte dela, conforme estabelecido no edital, mas não mais do que isso”</w:t>
      </w:r>
      <w:r w:rsidR="004173CE">
        <w:rPr>
          <w:rFonts w:eastAsia="Times New Roman"/>
          <w:color w:val="000000"/>
          <w:sz w:val="22"/>
          <w:szCs w:val="22"/>
          <w:lang w:eastAsia="pt-BR"/>
        </w:rPr>
        <w:t>.</w:t>
      </w:r>
      <w:r w:rsidR="0042786A">
        <w:rPr>
          <w:rFonts w:eastAsia="Times New Roman"/>
          <w:color w:val="000000"/>
          <w:sz w:val="22"/>
          <w:szCs w:val="22"/>
          <w:lang w:eastAsia="pt-BR"/>
        </w:rPr>
        <w:t xml:space="preserve"> A propósito, </w:t>
      </w:r>
      <w:r w:rsidR="0042786A" w:rsidRPr="0042786A">
        <w:rPr>
          <w:rFonts w:eastAsia="Times New Roman"/>
          <w:i/>
          <w:color w:val="000000"/>
          <w:sz w:val="22"/>
          <w:szCs w:val="22"/>
          <w:lang w:eastAsia="pt-BR"/>
        </w:rPr>
        <w:t>“não fosse taxativo o rol, não haveria no regulamento limitação objetiva alguma à formulação de exigência de habilitação, abrindo-se oportunidade para demandar dos licitantes comprovações e certidões as mais diversas e potencialmente restritivas à competitividade e, ao mesmo tempo, inadequadas e inaptas para os fins a que se destinam, tais como comprovação da ‘idoneidade financeira’”</w:t>
      </w:r>
      <w:r w:rsidR="0042786A">
        <w:rPr>
          <w:rFonts w:eastAsia="Times New Roman"/>
          <w:color w:val="000000"/>
          <w:sz w:val="22"/>
          <w:szCs w:val="22"/>
          <w:lang w:eastAsia="pt-BR"/>
        </w:rPr>
        <w:t xml:space="preserve">. No caso concreto, restou demonstrado que </w:t>
      </w:r>
      <w:r w:rsidR="0042786A" w:rsidRPr="0042786A">
        <w:rPr>
          <w:rFonts w:eastAsia="Times New Roman"/>
          <w:i/>
          <w:color w:val="000000"/>
          <w:sz w:val="22"/>
          <w:szCs w:val="22"/>
          <w:lang w:eastAsia="pt-BR"/>
        </w:rPr>
        <w:t xml:space="preserve">“a exigência de apresentar certidões negativas de protestos, como critério de qualificação econômico-financeira, inabilitou as duas melhores colocadas no certame, com prejuízo à </w:t>
      </w:r>
      <w:r w:rsidR="0042786A" w:rsidRPr="0042786A">
        <w:rPr>
          <w:rFonts w:eastAsia="Times New Roman"/>
          <w:i/>
          <w:color w:val="000000"/>
          <w:sz w:val="22"/>
          <w:szCs w:val="22"/>
          <w:lang w:eastAsia="pt-BR"/>
        </w:rPr>
        <w:lastRenderedPageBreak/>
        <w:t>obtenção da proposta mais vantajosa (econômica) para o SESC/AR-DF”</w:t>
      </w:r>
      <w:r w:rsidR="0042786A">
        <w:rPr>
          <w:rFonts w:eastAsia="Times New Roman"/>
          <w:color w:val="000000"/>
          <w:sz w:val="22"/>
          <w:szCs w:val="22"/>
          <w:lang w:eastAsia="pt-BR"/>
        </w:rPr>
        <w:t>.</w:t>
      </w:r>
      <w:r w:rsidR="00FE3B19">
        <w:rPr>
          <w:rFonts w:eastAsia="Times New Roman"/>
          <w:color w:val="000000"/>
          <w:sz w:val="22"/>
          <w:szCs w:val="22"/>
          <w:lang w:eastAsia="pt-BR"/>
        </w:rPr>
        <w:t xml:space="preserve"> Nesses termos, acolheu o Plenário a proposta da relatoria, julgando procedente a representação e, dentre outros comandos, assinando prazo para que o SESC/AR-DF promova a </w:t>
      </w:r>
      <w:r w:rsidR="00C96D3D">
        <w:rPr>
          <w:rFonts w:eastAsia="Times New Roman"/>
          <w:color w:val="000000"/>
          <w:sz w:val="22"/>
          <w:szCs w:val="22"/>
          <w:lang w:eastAsia="pt-BR"/>
        </w:rPr>
        <w:t xml:space="preserve">anulação do contrato analisado. </w:t>
      </w:r>
      <w:hyperlink r:id="rId9" w:history="1">
        <w:r w:rsidR="00C96D3D" w:rsidRPr="00C96D3D">
          <w:rPr>
            <w:rStyle w:val="Hyperlink"/>
            <w:b/>
            <w:i/>
            <w:sz w:val="22"/>
            <w:szCs w:val="22"/>
            <w:shd w:val="clear" w:color="auto" w:fill="FFFFFF"/>
          </w:rPr>
          <w:t>Acórdão 2375/2015-Plenário</w:t>
        </w:r>
      </w:hyperlink>
      <w:r w:rsidR="00AC33E2" w:rsidRPr="00AC33E2">
        <w:rPr>
          <w:rFonts w:eastAsia="Times New Roman"/>
          <w:b/>
          <w:i/>
          <w:color w:val="000000"/>
          <w:sz w:val="22"/>
          <w:szCs w:val="22"/>
          <w:lang w:eastAsia="pt-BR"/>
        </w:rPr>
        <w:t>, TC 013.444/2015-8, relator Ministro</w:t>
      </w:r>
      <w:r w:rsidR="00AC33E2">
        <w:rPr>
          <w:rFonts w:eastAsia="Times New Roman"/>
          <w:b/>
          <w:i/>
          <w:color w:val="000000"/>
          <w:sz w:val="22"/>
          <w:szCs w:val="22"/>
          <w:lang w:eastAsia="pt-BR"/>
        </w:rPr>
        <w:t>-Substituto</w:t>
      </w:r>
      <w:r w:rsidR="00AC33E2" w:rsidRPr="00AC33E2">
        <w:rPr>
          <w:rFonts w:eastAsia="Times New Roman"/>
          <w:b/>
          <w:i/>
          <w:color w:val="000000"/>
          <w:sz w:val="22"/>
          <w:szCs w:val="22"/>
          <w:lang w:eastAsia="pt-BR"/>
        </w:rPr>
        <w:t xml:space="preserve"> </w:t>
      </w:r>
      <w:proofErr w:type="spellStart"/>
      <w:r w:rsidR="00AC33E2">
        <w:rPr>
          <w:rFonts w:eastAsia="Times New Roman"/>
          <w:b/>
          <w:i/>
          <w:color w:val="000000"/>
          <w:sz w:val="22"/>
          <w:szCs w:val="22"/>
          <w:lang w:eastAsia="pt-BR"/>
        </w:rPr>
        <w:t>Weder</w:t>
      </w:r>
      <w:proofErr w:type="spellEnd"/>
      <w:r w:rsidR="00AC33E2">
        <w:rPr>
          <w:rFonts w:eastAsia="Times New Roman"/>
          <w:b/>
          <w:i/>
          <w:color w:val="000000"/>
          <w:sz w:val="22"/>
          <w:szCs w:val="22"/>
          <w:lang w:eastAsia="pt-BR"/>
        </w:rPr>
        <w:t xml:space="preserve"> de Oliveira</w:t>
      </w:r>
      <w:r w:rsidR="00AC33E2" w:rsidRPr="00AC33E2">
        <w:rPr>
          <w:rFonts w:eastAsia="Times New Roman"/>
          <w:b/>
          <w:i/>
          <w:color w:val="000000"/>
          <w:sz w:val="22"/>
          <w:szCs w:val="22"/>
          <w:lang w:eastAsia="pt-BR"/>
        </w:rPr>
        <w:t xml:space="preserve">, </w:t>
      </w:r>
      <w:r w:rsidR="00EB47DC">
        <w:rPr>
          <w:rFonts w:eastAsia="Times New Roman"/>
          <w:b/>
          <w:i/>
          <w:color w:val="000000"/>
          <w:sz w:val="22"/>
          <w:szCs w:val="22"/>
          <w:lang w:eastAsia="pt-BR"/>
        </w:rPr>
        <w:t>23</w:t>
      </w:r>
      <w:r w:rsidR="00AC33E2" w:rsidRPr="00AC33E2">
        <w:rPr>
          <w:rFonts w:eastAsia="Times New Roman"/>
          <w:b/>
          <w:i/>
          <w:color w:val="000000"/>
          <w:sz w:val="22"/>
          <w:szCs w:val="22"/>
          <w:lang w:eastAsia="pt-BR"/>
        </w:rPr>
        <w:t>.9.2015.</w:t>
      </w:r>
    </w:p>
    <w:p w:rsidR="00624E4E" w:rsidRPr="00AC33E2" w:rsidRDefault="00624E4E" w:rsidP="00B84CBC">
      <w:pPr>
        <w:shd w:val="clear" w:color="auto" w:fill="FFFFFF"/>
        <w:spacing w:after="0"/>
        <w:ind w:left="0"/>
        <w:rPr>
          <w:rFonts w:eastAsia="Times New Roman"/>
          <w:b/>
          <w:i/>
          <w:color w:val="000000"/>
          <w:sz w:val="22"/>
          <w:szCs w:val="22"/>
          <w:lang w:eastAsia="pt-BR"/>
        </w:rPr>
      </w:pPr>
    </w:p>
    <w:p w:rsidR="00076030" w:rsidRPr="00BB21FB" w:rsidRDefault="00862758" w:rsidP="00076030">
      <w:pPr>
        <w:pBdr>
          <w:top w:val="threeDEmboss" w:sz="24" w:space="5" w:color="auto"/>
        </w:pBdr>
        <w:tabs>
          <w:tab w:val="left" w:pos="284"/>
          <w:tab w:val="left" w:pos="4172"/>
          <w:tab w:val="center" w:pos="4818"/>
        </w:tabs>
        <w:spacing w:after="0"/>
        <w:ind w:left="0"/>
        <w:jc w:val="center"/>
        <w:rPr>
          <w:b/>
          <w:bCs/>
          <w:smallCaps/>
        </w:rPr>
      </w:pPr>
      <w:r>
        <w:rPr>
          <w:b/>
          <w:bCs/>
          <w:smallCaps/>
          <w:sz w:val="28"/>
        </w:rPr>
        <w:t>segund</w:t>
      </w:r>
      <w:r w:rsidR="00076030" w:rsidRPr="00053A08">
        <w:rPr>
          <w:b/>
          <w:bCs/>
          <w:smallCaps/>
          <w:sz w:val="28"/>
        </w:rPr>
        <w:t>a câmara</w:t>
      </w:r>
    </w:p>
    <w:p w:rsidR="00921705" w:rsidRPr="003436F1" w:rsidRDefault="00921705" w:rsidP="00B84CBC">
      <w:pPr>
        <w:shd w:val="clear" w:color="auto" w:fill="FFFFFF"/>
        <w:spacing w:after="0"/>
        <w:ind w:left="0"/>
        <w:rPr>
          <w:rFonts w:eastAsia="Times New Roman"/>
          <w:b/>
          <w:i/>
          <w:color w:val="000000"/>
          <w:sz w:val="22"/>
          <w:szCs w:val="22"/>
          <w:lang w:eastAsia="pt-BR"/>
        </w:rPr>
      </w:pPr>
    </w:p>
    <w:p w:rsidR="00623DCE" w:rsidRPr="00623DCE" w:rsidRDefault="00623DCE" w:rsidP="0055771A">
      <w:pPr>
        <w:autoSpaceDE w:val="0"/>
        <w:autoSpaceDN w:val="0"/>
        <w:adjustRightInd w:val="0"/>
        <w:spacing w:after="0"/>
        <w:ind w:left="0"/>
        <w:rPr>
          <w:b/>
          <w:bCs/>
          <w:sz w:val="22"/>
          <w:szCs w:val="22"/>
          <w:lang w:eastAsia="pt-BR"/>
        </w:rPr>
      </w:pPr>
      <w:r w:rsidRPr="00623DCE">
        <w:rPr>
          <w:b/>
          <w:bCs/>
          <w:sz w:val="22"/>
          <w:szCs w:val="22"/>
          <w:lang w:eastAsia="pt-BR"/>
        </w:rPr>
        <w:t xml:space="preserve">2. </w:t>
      </w:r>
      <w:r w:rsidRPr="00623DCE">
        <w:rPr>
          <w:b/>
          <w:sz w:val="22"/>
          <w:szCs w:val="18"/>
        </w:rPr>
        <w:t>O Certificado de Boas Práticas de Fabricação e Controle (CBPF), emitido pela Anvisa, pode ser exigido como condição de qualificação técnica em licitações destinadas à aquisição de medicamentos (art. 30, inciso IV, da Lei 8.666/93).</w:t>
      </w:r>
    </w:p>
    <w:p w:rsidR="00921705" w:rsidRDefault="007747F1" w:rsidP="0055771A">
      <w:pPr>
        <w:shd w:val="clear" w:color="auto" w:fill="FFFFFF"/>
        <w:spacing w:after="0"/>
        <w:ind w:left="0"/>
        <w:rPr>
          <w:rFonts w:eastAsia="Times New Roman"/>
          <w:b/>
          <w:i/>
          <w:color w:val="000000"/>
          <w:sz w:val="22"/>
          <w:szCs w:val="22"/>
          <w:lang w:eastAsia="pt-BR"/>
        </w:rPr>
      </w:pPr>
      <w:r w:rsidRPr="007747F1">
        <w:rPr>
          <w:rFonts w:eastAsia="Times New Roman"/>
          <w:color w:val="000000"/>
          <w:sz w:val="22"/>
          <w:szCs w:val="22"/>
          <w:lang w:eastAsia="pt-BR"/>
        </w:rPr>
        <w:t xml:space="preserve">Representação formulada por sociedade empresária questionara supostas irregularidades em </w:t>
      </w:r>
      <w:r>
        <w:rPr>
          <w:rFonts w:eastAsia="Times New Roman"/>
          <w:color w:val="000000"/>
          <w:sz w:val="22"/>
          <w:szCs w:val="22"/>
          <w:lang w:eastAsia="pt-BR"/>
        </w:rPr>
        <w:t>edital de pregão presencial</w:t>
      </w:r>
      <w:r w:rsidR="00725354">
        <w:rPr>
          <w:rFonts w:eastAsia="Times New Roman"/>
          <w:color w:val="000000"/>
          <w:sz w:val="22"/>
          <w:szCs w:val="22"/>
          <w:lang w:eastAsia="pt-BR"/>
        </w:rPr>
        <w:t xml:space="preserve"> promovido</w:t>
      </w:r>
      <w:r>
        <w:rPr>
          <w:rFonts w:eastAsia="Times New Roman"/>
          <w:color w:val="000000"/>
          <w:sz w:val="22"/>
          <w:szCs w:val="22"/>
          <w:lang w:eastAsia="pt-BR"/>
        </w:rPr>
        <w:t xml:space="preserve"> </w:t>
      </w:r>
      <w:r w:rsidR="00725354" w:rsidRPr="00725354">
        <w:rPr>
          <w:rFonts w:eastAsia="Times New Roman"/>
          <w:color w:val="000000"/>
          <w:sz w:val="22"/>
          <w:szCs w:val="22"/>
          <w:lang w:eastAsia="pt-BR"/>
        </w:rPr>
        <w:t xml:space="preserve">pela Fundação Municipal de Saúde de Teresina/PI, </w:t>
      </w:r>
      <w:r w:rsidR="00725354">
        <w:rPr>
          <w:rFonts w:eastAsia="Times New Roman"/>
          <w:color w:val="000000"/>
          <w:sz w:val="22"/>
          <w:szCs w:val="22"/>
          <w:lang w:eastAsia="pt-BR"/>
        </w:rPr>
        <w:t xml:space="preserve">para a </w:t>
      </w:r>
      <w:r w:rsidR="00725354" w:rsidRPr="00725354">
        <w:rPr>
          <w:rFonts w:eastAsia="Times New Roman"/>
          <w:color w:val="000000"/>
          <w:sz w:val="22"/>
          <w:szCs w:val="22"/>
          <w:lang w:eastAsia="pt-BR"/>
        </w:rPr>
        <w:t>aquisição de medicamentos, por meio de sistema de registro de preços.</w:t>
      </w:r>
      <w:r w:rsidR="00017207">
        <w:rPr>
          <w:rFonts w:eastAsia="Times New Roman"/>
          <w:color w:val="000000"/>
          <w:sz w:val="22"/>
          <w:szCs w:val="22"/>
          <w:lang w:eastAsia="pt-BR"/>
        </w:rPr>
        <w:t xml:space="preserve"> Em síntese, alegara a representante que </w:t>
      </w:r>
      <w:r w:rsidR="00017207" w:rsidRPr="00017207">
        <w:rPr>
          <w:rFonts w:eastAsia="Times New Roman"/>
          <w:i/>
          <w:color w:val="000000"/>
          <w:sz w:val="22"/>
          <w:szCs w:val="22"/>
          <w:lang w:eastAsia="pt-BR"/>
        </w:rPr>
        <w:t>“a apresentação de Certificado de Boas Práticas de Fabricação e Controle (CBPF), exigida pela Portaria MS nº 2.814, de 29 de maio de 1998 (há mais de 16 anos), já estaria ultrapassada, pois as indústrias só teriam direito ao registro do medicamento junto à Agência Nacional de Vigilância Sanitária (Anvisa) se possuíssem o CBPF, o qual deveria ser renovado em até 120 dias do fim da validade, após a publicação do laudo de inspeção pela Anvisa, muito embora pudessem existir empresas aguardando a inspeção há mais de 2 anos, de modo que a não aceitação na licitação do laudo de inspeção com parecer pela aprovação seria ilegal”</w:t>
      </w:r>
      <w:r w:rsidR="00017207">
        <w:rPr>
          <w:rFonts w:eastAsia="Times New Roman"/>
          <w:color w:val="000000"/>
          <w:sz w:val="22"/>
          <w:szCs w:val="22"/>
          <w:lang w:eastAsia="pt-BR"/>
        </w:rPr>
        <w:t>.</w:t>
      </w:r>
      <w:r w:rsidR="001078DE">
        <w:rPr>
          <w:rFonts w:eastAsia="Times New Roman"/>
          <w:color w:val="000000"/>
          <w:sz w:val="22"/>
          <w:szCs w:val="22"/>
          <w:lang w:eastAsia="pt-BR"/>
        </w:rPr>
        <w:t xml:space="preserve"> Analisando o mérito, após a realização das oitivas regimentais, anotou o relator que </w:t>
      </w:r>
      <w:r w:rsidR="001078DE" w:rsidRPr="001078DE">
        <w:rPr>
          <w:rFonts w:eastAsia="Times New Roman"/>
          <w:i/>
          <w:color w:val="000000"/>
          <w:sz w:val="22"/>
          <w:szCs w:val="22"/>
          <w:lang w:eastAsia="pt-BR"/>
        </w:rPr>
        <w:t>“a jurisprudência mais recente do TCU não mais se fixou em considerar ilegal a exigência do CBPF, mesmo reconhecendo que o procedimento pudesse violar a exaustividade do rol de exigências para qualificação técnica, previsto no art. 30 da Lei nº 8.666, de 1993”</w:t>
      </w:r>
      <w:r w:rsidR="001078DE">
        <w:rPr>
          <w:rFonts w:eastAsia="Times New Roman"/>
          <w:color w:val="000000"/>
          <w:sz w:val="22"/>
          <w:szCs w:val="22"/>
          <w:lang w:eastAsia="pt-BR"/>
        </w:rPr>
        <w:t xml:space="preserve">. No caso concreto, aduziu o relator, </w:t>
      </w:r>
      <w:r w:rsidR="001078DE" w:rsidRPr="001078DE">
        <w:rPr>
          <w:rFonts w:eastAsia="Times New Roman"/>
          <w:i/>
          <w:color w:val="000000"/>
          <w:sz w:val="22"/>
          <w:szCs w:val="22"/>
          <w:lang w:eastAsia="pt-BR"/>
        </w:rPr>
        <w:t>“a exigência do CBPF não se mostrou capaz de afetar a isonomia e a competitividade do certame, se prestando a garantir o interesse público presente nas aquisições de medicamentos com a observância dos devidos cuidados sanitários na sua fabricação, destacando-se que o gestor público motivou o ato a partir de orientações normativas emanadas do Ministério da Saúde e da Anvisa, indicando que tal requisito atendia à legislação sanitária”</w:t>
      </w:r>
      <w:r w:rsidR="001078DE">
        <w:rPr>
          <w:rFonts w:eastAsia="Times New Roman"/>
          <w:color w:val="000000"/>
          <w:sz w:val="22"/>
          <w:szCs w:val="22"/>
          <w:lang w:eastAsia="pt-BR"/>
        </w:rPr>
        <w:t xml:space="preserve">. De fato, prosseguiu, </w:t>
      </w:r>
      <w:r w:rsidR="001078DE" w:rsidRPr="001078DE">
        <w:rPr>
          <w:rFonts w:eastAsia="Times New Roman"/>
          <w:i/>
          <w:color w:val="000000"/>
          <w:sz w:val="22"/>
          <w:szCs w:val="22"/>
          <w:lang w:eastAsia="pt-BR"/>
        </w:rPr>
        <w:t>“o CBPF é exigência aplicável a todas as empresas que fabricam ou comercializam medicamentos, de forma a garantir a qualidade do processo e o controle dos fatores de risco à saúde do usuário, de sorte que esta certificação está prevista no Sistema Nacional de Vigilância Sanitária, conforme se depreende das normas aplicáveis ao controle de medicamentos, em especial, da Lei n</w:t>
      </w:r>
      <w:r w:rsidR="001078DE" w:rsidRPr="001078DE">
        <w:rPr>
          <w:rFonts w:eastAsia="Times New Roman"/>
          <w:i/>
          <w:color w:val="000000"/>
          <w:sz w:val="22"/>
          <w:szCs w:val="22"/>
          <w:vertAlign w:val="superscript"/>
          <w:lang w:eastAsia="pt-BR"/>
        </w:rPr>
        <w:t>o </w:t>
      </w:r>
      <w:r w:rsidR="001078DE" w:rsidRPr="001078DE">
        <w:rPr>
          <w:rFonts w:eastAsia="Times New Roman"/>
          <w:i/>
          <w:color w:val="000000"/>
          <w:sz w:val="22"/>
          <w:szCs w:val="22"/>
          <w:lang w:eastAsia="pt-BR"/>
        </w:rPr>
        <w:t>6.360, de 23 de setembro de 1976, e da Lei nº 9.782, de 26 de janeiro de 1999, e dos Decretos n</w:t>
      </w:r>
      <w:r w:rsidR="001078DE" w:rsidRPr="001078DE">
        <w:rPr>
          <w:rFonts w:eastAsia="Times New Roman"/>
          <w:i/>
          <w:color w:val="000000"/>
          <w:sz w:val="22"/>
          <w:szCs w:val="22"/>
          <w:vertAlign w:val="superscript"/>
          <w:lang w:eastAsia="pt-BR"/>
        </w:rPr>
        <w:t>o </w:t>
      </w:r>
      <w:r w:rsidR="001078DE" w:rsidRPr="001078DE">
        <w:rPr>
          <w:rFonts w:eastAsia="Times New Roman"/>
          <w:i/>
          <w:color w:val="000000"/>
          <w:sz w:val="22"/>
          <w:szCs w:val="22"/>
          <w:lang w:eastAsia="pt-BR"/>
        </w:rPr>
        <w:t>79.094, de 5 de janeiro de 1977, e do Decreto nº 8.077, de 14 de agosto de 2013”</w:t>
      </w:r>
      <w:r w:rsidR="001078DE">
        <w:rPr>
          <w:rFonts w:eastAsia="Times New Roman"/>
          <w:color w:val="000000"/>
          <w:sz w:val="22"/>
          <w:szCs w:val="22"/>
          <w:lang w:eastAsia="pt-BR"/>
        </w:rPr>
        <w:t xml:space="preserve">. Ademais, relembrou, </w:t>
      </w:r>
      <w:r w:rsidR="000A74CB">
        <w:rPr>
          <w:rFonts w:eastAsia="Times New Roman"/>
          <w:color w:val="000000"/>
          <w:sz w:val="22"/>
          <w:szCs w:val="22"/>
          <w:lang w:eastAsia="pt-BR"/>
        </w:rPr>
        <w:t xml:space="preserve">a </w:t>
      </w:r>
      <w:r w:rsidR="000A74CB" w:rsidRPr="000A74CB">
        <w:rPr>
          <w:rFonts w:eastAsia="Times New Roman"/>
          <w:color w:val="000000"/>
          <w:sz w:val="22"/>
          <w:szCs w:val="22"/>
          <w:lang w:eastAsia="pt-BR"/>
        </w:rPr>
        <w:t>Portaria In</w:t>
      </w:r>
      <w:r w:rsidR="0057402D">
        <w:rPr>
          <w:rFonts w:eastAsia="Times New Roman"/>
          <w:color w:val="000000"/>
          <w:sz w:val="22"/>
          <w:szCs w:val="22"/>
          <w:lang w:eastAsia="pt-BR"/>
        </w:rPr>
        <w:t>terministerial MP/MS/MCT/MDIC</w:t>
      </w:r>
      <w:r w:rsidR="000A74CB" w:rsidRPr="000A74CB">
        <w:rPr>
          <w:rFonts w:eastAsia="Times New Roman"/>
          <w:color w:val="000000"/>
          <w:sz w:val="22"/>
          <w:szCs w:val="22"/>
          <w:lang w:eastAsia="pt-BR"/>
        </w:rPr>
        <w:t xml:space="preserve"> 128, de 29 de maio de 2008, que estabelece diretrizes para a contratação pública de medicamentos e fármacos pelo Sistema Único de Saúde (SUS),</w:t>
      </w:r>
      <w:r w:rsidR="000A74CB">
        <w:rPr>
          <w:rFonts w:eastAsia="Times New Roman"/>
          <w:color w:val="000000"/>
          <w:sz w:val="22"/>
          <w:szCs w:val="22"/>
          <w:lang w:eastAsia="pt-BR"/>
        </w:rPr>
        <w:t xml:space="preserve"> prevê expressamente que “</w:t>
      </w:r>
      <w:r w:rsidR="000A74CB">
        <w:rPr>
          <w:rFonts w:eastAsia="Times New Roman"/>
          <w:i/>
          <w:color w:val="000000"/>
          <w:sz w:val="22"/>
          <w:szCs w:val="22"/>
          <w:lang w:eastAsia="pt-BR"/>
        </w:rPr>
        <w:t>n</w:t>
      </w:r>
      <w:r w:rsidR="000A74CB" w:rsidRPr="000A74CB">
        <w:rPr>
          <w:rFonts w:eastAsia="Times New Roman"/>
          <w:i/>
          <w:color w:val="000000"/>
          <w:sz w:val="22"/>
          <w:szCs w:val="22"/>
          <w:lang w:eastAsia="pt-BR"/>
        </w:rPr>
        <w:t xml:space="preserve">as aquisições de medicamentos acabados, </w:t>
      </w:r>
      <w:r w:rsidR="000A74CB" w:rsidRPr="000A74CB">
        <w:rPr>
          <w:rFonts w:eastAsia="Times New Roman"/>
          <w:i/>
          <w:color w:val="000000"/>
          <w:sz w:val="22"/>
          <w:szCs w:val="22"/>
          <w:u w:val="single"/>
          <w:lang w:eastAsia="pt-BR"/>
        </w:rPr>
        <w:t>deverá estar prevista no instrumento convocatório a exigência de apresentação do certificado de registro do produto e do certificado de boas práticas de fabricação do produtor, emitidos pela ANVISA</w:t>
      </w:r>
      <w:r w:rsidR="000A74CB" w:rsidRPr="000A74CB">
        <w:rPr>
          <w:rFonts w:eastAsia="Times New Roman"/>
          <w:i/>
          <w:color w:val="000000"/>
          <w:sz w:val="22"/>
          <w:szCs w:val="22"/>
          <w:lang w:eastAsia="pt-BR"/>
        </w:rPr>
        <w:t>, bem como declaração do produtor, sujeita à comprovação, referente à origem do produto acabado e do insumo farmacêutico ativo que o compõe”</w:t>
      </w:r>
      <w:r w:rsidR="000A74CB">
        <w:rPr>
          <w:rFonts w:eastAsia="Times New Roman"/>
          <w:color w:val="000000"/>
          <w:sz w:val="22"/>
          <w:szCs w:val="22"/>
          <w:lang w:eastAsia="pt-BR"/>
        </w:rPr>
        <w:t xml:space="preserve"> (art. 2º, § 1º). Em conclusão</w:t>
      </w:r>
      <w:r w:rsidR="000A74CB" w:rsidRPr="000A74CB">
        <w:rPr>
          <w:rFonts w:eastAsia="Times New Roman"/>
          <w:color w:val="000000"/>
          <w:sz w:val="22"/>
          <w:szCs w:val="22"/>
          <w:lang w:eastAsia="pt-BR"/>
        </w:rPr>
        <w:t>,</w:t>
      </w:r>
      <w:r w:rsidR="000A74CB">
        <w:rPr>
          <w:rFonts w:eastAsia="Times New Roman"/>
          <w:color w:val="000000"/>
          <w:sz w:val="22"/>
          <w:szCs w:val="22"/>
          <w:lang w:eastAsia="pt-BR"/>
        </w:rPr>
        <w:t xml:space="preserve"> anotou o relator, </w:t>
      </w:r>
      <w:r w:rsidR="000A74CB" w:rsidRPr="000A74CB">
        <w:rPr>
          <w:rFonts w:eastAsia="Times New Roman"/>
          <w:i/>
          <w:color w:val="000000"/>
          <w:sz w:val="22"/>
          <w:szCs w:val="22"/>
          <w:lang w:eastAsia="pt-BR"/>
        </w:rPr>
        <w:t>“vê-se que o CBPF poderia ser exigido, como foi no aludido certame, com arrimo inclusive no art. 30, inciso IV, da Lei nº 8.666, de 1993, que prevê a possibilidade de exigir prova de atendimento de requisito previsto em lei especial no escopo da documentação relativa à habilitação técnica”</w:t>
      </w:r>
      <w:r w:rsidR="000A74CB" w:rsidRPr="000A74CB">
        <w:rPr>
          <w:rFonts w:eastAsia="Times New Roman"/>
          <w:color w:val="000000"/>
          <w:sz w:val="22"/>
          <w:szCs w:val="22"/>
          <w:lang w:eastAsia="pt-BR"/>
        </w:rPr>
        <w:t>.</w:t>
      </w:r>
      <w:r w:rsidR="0057402D">
        <w:rPr>
          <w:rFonts w:eastAsia="Times New Roman"/>
          <w:color w:val="000000"/>
          <w:sz w:val="22"/>
          <w:szCs w:val="22"/>
          <w:lang w:eastAsia="pt-BR"/>
        </w:rPr>
        <w:t xml:space="preserve"> </w:t>
      </w:r>
      <w:r w:rsidR="002F5CE8">
        <w:rPr>
          <w:rFonts w:eastAsia="Times New Roman"/>
          <w:color w:val="000000"/>
          <w:sz w:val="22"/>
          <w:szCs w:val="22"/>
          <w:lang w:eastAsia="pt-BR"/>
        </w:rPr>
        <w:t>O</w:t>
      </w:r>
      <w:r w:rsidR="002F48B0">
        <w:rPr>
          <w:rFonts w:eastAsia="Times New Roman"/>
          <w:color w:val="000000"/>
          <w:sz w:val="22"/>
          <w:szCs w:val="22"/>
          <w:lang w:eastAsia="pt-BR"/>
        </w:rPr>
        <w:t xml:space="preserve"> C</w:t>
      </w:r>
      <w:r w:rsidR="002C1391">
        <w:rPr>
          <w:rFonts w:eastAsia="Times New Roman"/>
          <w:color w:val="000000"/>
          <w:sz w:val="22"/>
          <w:szCs w:val="22"/>
          <w:lang w:eastAsia="pt-BR"/>
        </w:rPr>
        <w:t>olegiado</w:t>
      </w:r>
      <w:r w:rsidR="002F5CE8">
        <w:rPr>
          <w:rFonts w:eastAsia="Times New Roman"/>
          <w:color w:val="000000"/>
          <w:sz w:val="22"/>
          <w:szCs w:val="22"/>
          <w:lang w:eastAsia="pt-BR"/>
        </w:rPr>
        <w:t>, seguindo a proposta do relator, julgou</w:t>
      </w:r>
      <w:r w:rsidR="002C1391">
        <w:rPr>
          <w:rFonts w:eastAsia="Times New Roman"/>
          <w:color w:val="000000"/>
          <w:sz w:val="22"/>
          <w:szCs w:val="22"/>
          <w:lang w:eastAsia="pt-BR"/>
        </w:rPr>
        <w:t xml:space="preserve"> improcedente a </w:t>
      </w:r>
      <w:r w:rsidR="002F5CE8">
        <w:rPr>
          <w:rFonts w:eastAsia="Times New Roman"/>
          <w:color w:val="000000"/>
          <w:sz w:val="22"/>
          <w:szCs w:val="22"/>
          <w:lang w:eastAsia="pt-BR"/>
        </w:rPr>
        <w:t>representação e considerou</w:t>
      </w:r>
      <w:r w:rsidR="002C1391">
        <w:rPr>
          <w:rFonts w:eastAsia="Times New Roman"/>
          <w:color w:val="000000"/>
          <w:sz w:val="22"/>
          <w:szCs w:val="22"/>
          <w:lang w:eastAsia="pt-BR"/>
        </w:rPr>
        <w:t xml:space="preserve"> prejudicado</w:t>
      </w:r>
      <w:r w:rsidR="002F5CE8">
        <w:rPr>
          <w:rFonts w:eastAsia="Times New Roman"/>
          <w:color w:val="000000"/>
          <w:sz w:val="22"/>
          <w:szCs w:val="22"/>
          <w:lang w:eastAsia="pt-BR"/>
        </w:rPr>
        <w:t xml:space="preserve"> o pedido de medida cautelar formulado pela representante para suspensão da licitação,</w:t>
      </w:r>
      <w:r w:rsidR="00237734">
        <w:rPr>
          <w:rFonts w:eastAsia="Times New Roman"/>
          <w:color w:val="000000"/>
          <w:sz w:val="22"/>
          <w:szCs w:val="22"/>
          <w:lang w:eastAsia="pt-BR"/>
        </w:rPr>
        <w:t xml:space="preserve"> ante o encerramento do certame</w:t>
      </w:r>
      <w:r w:rsidR="002F48B0">
        <w:rPr>
          <w:rFonts w:eastAsia="Times New Roman"/>
          <w:color w:val="000000"/>
          <w:sz w:val="22"/>
          <w:szCs w:val="22"/>
          <w:lang w:eastAsia="pt-BR"/>
        </w:rPr>
        <w:t xml:space="preserve">. </w:t>
      </w:r>
      <w:hyperlink r:id="rId10" w:history="1">
        <w:r w:rsidR="00CB2444" w:rsidRPr="00CB2444">
          <w:rPr>
            <w:rStyle w:val="Hyperlink"/>
            <w:b/>
            <w:i/>
            <w:sz w:val="22"/>
            <w:szCs w:val="22"/>
            <w:shd w:val="clear" w:color="auto" w:fill="FFFFFF"/>
          </w:rPr>
          <w:t>Acórdão 7783/2015-Segunda Câmara</w:t>
        </w:r>
      </w:hyperlink>
      <w:r w:rsidR="00CB2444">
        <w:rPr>
          <w:rFonts w:eastAsia="Times New Roman"/>
          <w:color w:val="000000"/>
          <w:sz w:val="22"/>
          <w:szCs w:val="22"/>
          <w:lang w:eastAsia="pt-BR"/>
        </w:rPr>
        <w:t xml:space="preserve">, </w:t>
      </w:r>
      <w:r w:rsidR="00177A91" w:rsidRPr="00177A91">
        <w:rPr>
          <w:rFonts w:eastAsia="Times New Roman"/>
          <w:b/>
          <w:i/>
          <w:color w:val="000000"/>
          <w:sz w:val="22"/>
          <w:szCs w:val="22"/>
          <w:lang w:eastAsia="pt-BR"/>
        </w:rPr>
        <w:t xml:space="preserve">TC 028.396/2014-6, relator </w:t>
      </w:r>
      <w:r w:rsidR="00177A91">
        <w:rPr>
          <w:rFonts w:eastAsia="Times New Roman"/>
          <w:b/>
          <w:i/>
          <w:color w:val="000000"/>
          <w:sz w:val="22"/>
          <w:szCs w:val="22"/>
          <w:lang w:eastAsia="pt-BR"/>
        </w:rPr>
        <w:t>Ministro-Substituto André Luís de Carvalho</w:t>
      </w:r>
      <w:r w:rsidR="00177A91" w:rsidRPr="00177A91">
        <w:rPr>
          <w:rFonts w:eastAsia="Times New Roman"/>
          <w:b/>
          <w:i/>
          <w:color w:val="000000"/>
          <w:sz w:val="22"/>
          <w:szCs w:val="22"/>
          <w:lang w:eastAsia="pt-BR"/>
        </w:rPr>
        <w:t xml:space="preserve">, </w:t>
      </w:r>
      <w:r w:rsidR="00EB47DC">
        <w:rPr>
          <w:rFonts w:eastAsia="Times New Roman"/>
          <w:b/>
          <w:i/>
          <w:color w:val="000000"/>
          <w:sz w:val="22"/>
          <w:szCs w:val="22"/>
          <w:lang w:eastAsia="pt-BR"/>
        </w:rPr>
        <w:t>22</w:t>
      </w:r>
      <w:r w:rsidR="00177A91" w:rsidRPr="00177A91">
        <w:rPr>
          <w:rFonts w:eastAsia="Times New Roman"/>
          <w:b/>
          <w:i/>
          <w:color w:val="000000"/>
          <w:sz w:val="22"/>
          <w:szCs w:val="22"/>
          <w:lang w:eastAsia="pt-BR"/>
        </w:rPr>
        <w:t>/9/2015.</w:t>
      </w:r>
      <w:r w:rsidR="002F48B0">
        <w:rPr>
          <w:rFonts w:eastAsia="Times New Roman"/>
          <w:b/>
          <w:i/>
          <w:color w:val="000000"/>
          <w:sz w:val="22"/>
          <w:szCs w:val="22"/>
          <w:lang w:eastAsia="pt-BR"/>
        </w:rPr>
        <w:t xml:space="preserve"> </w:t>
      </w:r>
    </w:p>
    <w:p w:rsidR="009C029D" w:rsidRDefault="009C029D" w:rsidP="0055771A">
      <w:pPr>
        <w:shd w:val="clear" w:color="auto" w:fill="FFFFFF"/>
        <w:spacing w:after="0"/>
        <w:ind w:left="0"/>
        <w:rPr>
          <w:rFonts w:eastAsia="Times New Roman"/>
          <w:b/>
          <w:i/>
          <w:color w:val="000000"/>
          <w:sz w:val="22"/>
          <w:szCs w:val="22"/>
          <w:lang w:eastAsia="pt-BR"/>
        </w:rPr>
      </w:pPr>
    </w:p>
    <w:p w:rsidR="009C029D" w:rsidRPr="00F7326C" w:rsidRDefault="009C029D" w:rsidP="009C029D">
      <w:pPr>
        <w:pBdr>
          <w:top w:val="threeDEmboss" w:sz="24" w:space="6" w:color="auto"/>
        </w:pBdr>
        <w:tabs>
          <w:tab w:val="left" w:pos="284"/>
          <w:tab w:val="left" w:pos="4172"/>
          <w:tab w:val="center" w:pos="4818"/>
        </w:tabs>
        <w:spacing w:before="60" w:after="0"/>
        <w:ind w:left="0"/>
        <w:jc w:val="center"/>
        <w:rPr>
          <w:b/>
          <w:bCs/>
          <w:smallCaps/>
          <w:sz w:val="22"/>
          <w:szCs w:val="22"/>
        </w:rPr>
      </w:pPr>
      <w:r>
        <w:rPr>
          <w:b/>
          <w:bCs/>
          <w:smallCaps/>
          <w:sz w:val="22"/>
          <w:szCs w:val="22"/>
        </w:rPr>
        <w:t>INOVAÇÃO LEGISLATIVA</w:t>
      </w:r>
    </w:p>
    <w:p w:rsidR="009C029D" w:rsidRDefault="009C029D" w:rsidP="009C029D">
      <w:pPr>
        <w:ind w:left="0"/>
        <w:rPr>
          <w:rFonts w:eastAsia="Times New Roman"/>
          <w:b/>
          <w:sz w:val="22"/>
          <w:szCs w:val="22"/>
        </w:rPr>
      </w:pPr>
    </w:p>
    <w:p w:rsidR="009C029D" w:rsidRPr="009C029D" w:rsidRDefault="00E060E7" w:rsidP="009C029D">
      <w:pPr>
        <w:ind w:left="0"/>
        <w:rPr>
          <w:rFonts w:eastAsia="Times New Roman"/>
          <w:b/>
          <w:sz w:val="22"/>
          <w:szCs w:val="22"/>
        </w:rPr>
      </w:pPr>
      <w:hyperlink r:id="rId11" w:tgtFrame="_blank" w:history="1">
        <w:r w:rsidRPr="00E060E7">
          <w:rPr>
            <w:b/>
            <w:color w:val="0000FF"/>
            <w:sz w:val="22"/>
            <w:szCs w:val="22"/>
            <w:shd w:val="clear" w:color="auto" w:fill="FFFFFF"/>
          </w:rPr>
          <w:t>Decreto 8.538, de 6/10/15</w:t>
        </w:r>
      </w:hyperlink>
      <w:r w:rsidRPr="00E060E7">
        <w:rPr>
          <w:sz w:val="22"/>
          <w:szCs w:val="22"/>
        </w:rPr>
        <w:t>:</w:t>
      </w:r>
      <w:r>
        <w:t xml:space="preserve"> </w:t>
      </w:r>
      <w:r w:rsidR="009C029D" w:rsidRPr="009C029D">
        <w:rPr>
          <w:sz w:val="22"/>
          <w:szCs w:val="22"/>
        </w:rPr>
        <w:t>Regulamenta o tratamento favorecido, diferenciado e simplificado para as microempresas, empresas de pequeno porte, agricultores familiares, produtores rurais pessoa física, microempreendedores individuais e sociedades cooperativas de consumo nas contratações públicas de bens,</w:t>
      </w:r>
      <w:r>
        <w:rPr>
          <w:sz w:val="22"/>
          <w:szCs w:val="22"/>
        </w:rPr>
        <w:t xml:space="preserve"> serviços e obras no âmbito da Administração Pública F</w:t>
      </w:r>
      <w:r w:rsidR="009C029D" w:rsidRPr="009C029D">
        <w:rPr>
          <w:sz w:val="22"/>
          <w:szCs w:val="22"/>
        </w:rPr>
        <w:t>ederal.</w:t>
      </w:r>
    </w:p>
    <w:p w:rsidR="00637A5E" w:rsidRPr="00E060E7" w:rsidRDefault="009C029D" w:rsidP="00E060E7">
      <w:pPr>
        <w:ind w:left="0"/>
        <w:rPr>
          <w:sz w:val="22"/>
          <w:szCs w:val="22"/>
        </w:rPr>
      </w:pPr>
      <w:hyperlink r:id="rId12" w:history="1">
        <w:r>
          <w:rPr>
            <w:rStyle w:val="Hyperlink"/>
            <w:rFonts w:eastAsia="Times New Roman"/>
            <w:b/>
            <w:sz w:val="22"/>
            <w:szCs w:val="22"/>
          </w:rPr>
          <w:t>Decreto</w:t>
        </w:r>
        <w:r w:rsidRPr="009C029D">
          <w:rPr>
            <w:rStyle w:val="Hyperlink"/>
            <w:rFonts w:eastAsia="Times New Roman"/>
            <w:b/>
            <w:sz w:val="22"/>
            <w:szCs w:val="22"/>
          </w:rPr>
          <w:t xml:space="preserve"> 8</w:t>
        </w:r>
      </w:hyperlink>
      <w:hyperlink r:id="rId13" w:history="1">
        <w:r>
          <w:rPr>
            <w:rStyle w:val="Hyperlink"/>
            <w:rFonts w:eastAsia="Times New Roman"/>
            <w:b/>
            <w:sz w:val="22"/>
            <w:szCs w:val="22"/>
          </w:rPr>
          <w:t>.540, de 9/10/</w:t>
        </w:r>
        <w:r w:rsidRPr="009C029D">
          <w:rPr>
            <w:rStyle w:val="Hyperlink"/>
            <w:rFonts w:eastAsia="Times New Roman"/>
            <w:b/>
            <w:sz w:val="22"/>
            <w:szCs w:val="22"/>
          </w:rPr>
          <w:t>15</w:t>
        </w:r>
      </w:hyperlink>
      <w:r>
        <w:rPr>
          <w:rFonts w:eastAsia="Times New Roman"/>
          <w:sz w:val="22"/>
          <w:szCs w:val="22"/>
        </w:rPr>
        <w:t>:</w:t>
      </w:r>
      <w:r w:rsidRPr="009C029D">
        <w:rPr>
          <w:rFonts w:eastAsia="Times New Roman"/>
          <w:sz w:val="22"/>
          <w:szCs w:val="22"/>
        </w:rPr>
        <w:t xml:space="preserve"> </w:t>
      </w:r>
      <w:r w:rsidR="00E060E7">
        <w:rPr>
          <w:rFonts w:eastAsia="Times New Roman"/>
          <w:color w:val="000000"/>
          <w:sz w:val="22"/>
          <w:szCs w:val="22"/>
        </w:rPr>
        <w:t>Estabelece, no âmbito da Administração Pública F</w:t>
      </w:r>
      <w:r w:rsidRPr="009C029D">
        <w:rPr>
          <w:rFonts w:eastAsia="Times New Roman"/>
          <w:color w:val="000000"/>
          <w:sz w:val="22"/>
          <w:szCs w:val="22"/>
        </w:rPr>
        <w:t>ederal direta, autárquica e fundacional, medidas de racionalização do gasto público nas contratações para aquisição de bens e prestação de serviços e na utilização de telefones celulares corporativos e outros dispositivos.</w:t>
      </w: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lastRenderedPageBreak/>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4" w:history="1">
              <w:r w:rsidR="00A509F2" w:rsidRPr="008710EF">
                <w:rPr>
                  <w:rStyle w:val="Hyperlink"/>
                  <w:b/>
                  <w:i/>
                  <w:sz w:val="18"/>
                  <w:szCs w:val="18"/>
                </w:rPr>
                <w:t>infojuris@tcu.gov.br</w:t>
              </w:r>
            </w:hyperlink>
          </w:p>
        </w:tc>
      </w:tr>
    </w:tbl>
    <w:p w:rsidR="004A3A81" w:rsidRDefault="004A3A81" w:rsidP="00C2329B">
      <w:pPr>
        <w:ind w:left="0"/>
        <w:rPr>
          <w:sz w:val="22"/>
          <w:szCs w:val="22"/>
        </w:rPr>
      </w:pPr>
    </w:p>
    <w:p w:rsidR="00650BC1" w:rsidRDefault="00650BC1" w:rsidP="00C2329B">
      <w:pPr>
        <w:ind w:left="0"/>
        <w:rPr>
          <w:sz w:val="22"/>
          <w:szCs w:val="22"/>
        </w:rPr>
      </w:pPr>
      <w:bookmarkStart w:id="0" w:name="_GoBack"/>
      <w:bookmarkEnd w:id="0"/>
    </w:p>
    <w:sectPr w:rsidR="00650BC1" w:rsidSect="00616945">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5D" w:rsidRDefault="00FD395D" w:rsidP="008B0547">
      <w:pPr>
        <w:spacing w:after="0"/>
      </w:pPr>
      <w:r>
        <w:separator/>
      </w:r>
    </w:p>
  </w:endnote>
  <w:endnote w:type="continuationSeparator" w:id="0">
    <w:p w:rsidR="00FD395D" w:rsidRDefault="00FD395D"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E060E7">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5D" w:rsidRDefault="00FD395D" w:rsidP="008B0547">
      <w:pPr>
        <w:spacing w:after="0"/>
      </w:pPr>
      <w:r>
        <w:separator/>
      </w:r>
    </w:p>
  </w:footnote>
  <w:footnote w:type="continuationSeparator" w:id="0">
    <w:p w:rsidR="00FD395D" w:rsidRDefault="00FD395D"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6A541CD"/>
    <w:multiLevelType w:val="hybridMultilevel"/>
    <w:tmpl w:val="73FC08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8742F5"/>
    <w:multiLevelType w:val="hybridMultilevel"/>
    <w:tmpl w:val="87042368"/>
    <w:lvl w:ilvl="0" w:tplc="2960D45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2"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4"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5"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6"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4805AD"/>
    <w:multiLevelType w:val="hybridMultilevel"/>
    <w:tmpl w:val="6B18FEB6"/>
    <w:lvl w:ilvl="0" w:tplc="ACEC7E8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3"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
  </w:num>
  <w:num w:numId="3">
    <w:abstractNumId w:val="22"/>
    <w:lvlOverride w:ilvl="0">
      <w:startOverride w:val="1"/>
    </w:lvlOverride>
  </w:num>
  <w:num w:numId="4">
    <w:abstractNumId w:val="14"/>
  </w:num>
  <w:num w:numId="5">
    <w:abstractNumId w:val="8"/>
  </w:num>
  <w:num w:numId="6">
    <w:abstractNumId w:val="7"/>
  </w:num>
  <w:num w:numId="7">
    <w:abstractNumId w:val="13"/>
  </w:num>
  <w:num w:numId="8">
    <w:abstractNumId w:val="15"/>
  </w:num>
  <w:num w:numId="9">
    <w:abstractNumId w:val="3"/>
  </w:num>
  <w:num w:numId="10">
    <w:abstractNumId w:val="5"/>
  </w:num>
  <w:num w:numId="11">
    <w:abstractNumId w:val="18"/>
  </w:num>
  <w:num w:numId="12">
    <w:abstractNumId w:val="19"/>
  </w:num>
  <w:num w:numId="13">
    <w:abstractNumId w:val="21"/>
  </w:num>
  <w:num w:numId="14">
    <w:abstractNumId w:val="20"/>
  </w:num>
  <w:num w:numId="15">
    <w:abstractNumId w:val="24"/>
  </w:num>
  <w:num w:numId="16">
    <w:abstractNumId w:val="0"/>
  </w:num>
  <w:num w:numId="17">
    <w:abstractNumId w:val="6"/>
  </w:num>
  <w:num w:numId="18">
    <w:abstractNumId w:val="4"/>
  </w:num>
  <w:num w:numId="19">
    <w:abstractNumId w:val="16"/>
  </w:num>
  <w:num w:numId="20">
    <w:abstractNumId w:val="1"/>
  </w:num>
  <w:num w:numId="21">
    <w:abstractNumId w:val="23"/>
  </w:num>
  <w:num w:numId="22">
    <w:abstractNumId w:val="12"/>
  </w:num>
  <w:num w:numId="23">
    <w:abstractNumId w:val="9"/>
  </w:num>
  <w:num w:numId="24">
    <w:abstractNumId w:val="10"/>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59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78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17A"/>
    <w:rsid w:val="00007C63"/>
    <w:rsid w:val="00007FA6"/>
    <w:rsid w:val="0001037C"/>
    <w:rsid w:val="000103D9"/>
    <w:rsid w:val="00010A77"/>
    <w:rsid w:val="00010F62"/>
    <w:rsid w:val="00011074"/>
    <w:rsid w:val="00011683"/>
    <w:rsid w:val="00011807"/>
    <w:rsid w:val="00011892"/>
    <w:rsid w:val="000118BC"/>
    <w:rsid w:val="000118CC"/>
    <w:rsid w:val="00011A79"/>
    <w:rsid w:val="00011BA0"/>
    <w:rsid w:val="00011D5A"/>
    <w:rsid w:val="000120AD"/>
    <w:rsid w:val="00012264"/>
    <w:rsid w:val="00012287"/>
    <w:rsid w:val="00012468"/>
    <w:rsid w:val="00012469"/>
    <w:rsid w:val="00012656"/>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207"/>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B2E"/>
    <w:rsid w:val="00027C86"/>
    <w:rsid w:val="00027EFC"/>
    <w:rsid w:val="000300A2"/>
    <w:rsid w:val="000304BD"/>
    <w:rsid w:val="00030996"/>
    <w:rsid w:val="00030C19"/>
    <w:rsid w:val="00030C68"/>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63E"/>
    <w:rsid w:val="00035A82"/>
    <w:rsid w:val="00035D4C"/>
    <w:rsid w:val="00035FBF"/>
    <w:rsid w:val="000360F1"/>
    <w:rsid w:val="00036249"/>
    <w:rsid w:val="00036449"/>
    <w:rsid w:val="00036818"/>
    <w:rsid w:val="00036F23"/>
    <w:rsid w:val="000371C1"/>
    <w:rsid w:val="0003724C"/>
    <w:rsid w:val="00037A0A"/>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14A"/>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A08"/>
    <w:rsid w:val="00053BB0"/>
    <w:rsid w:val="000540DB"/>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CD8"/>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09A"/>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6E7"/>
    <w:rsid w:val="00075CE6"/>
    <w:rsid w:val="00075D3C"/>
    <w:rsid w:val="00075DC2"/>
    <w:rsid w:val="00076030"/>
    <w:rsid w:val="000761CD"/>
    <w:rsid w:val="0007670D"/>
    <w:rsid w:val="000768BB"/>
    <w:rsid w:val="00076909"/>
    <w:rsid w:val="00076CF7"/>
    <w:rsid w:val="00076E1D"/>
    <w:rsid w:val="00077346"/>
    <w:rsid w:val="00077A56"/>
    <w:rsid w:val="00077BA4"/>
    <w:rsid w:val="0008010D"/>
    <w:rsid w:val="00080148"/>
    <w:rsid w:val="0008019A"/>
    <w:rsid w:val="00080237"/>
    <w:rsid w:val="00080245"/>
    <w:rsid w:val="000807D4"/>
    <w:rsid w:val="00080B82"/>
    <w:rsid w:val="00080CAA"/>
    <w:rsid w:val="00080D3E"/>
    <w:rsid w:val="00080D6E"/>
    <w:rsid w:val="0008154F"/>
    <w:rsid w:val="00081635"/>
    <w:rsid w:val="0008178A"/>
    <w:rsid w:val="00081A4D"/>
    <w:rsid w:val="00081C5B"/>
    <w:rsid w:val="00081DD6"/>
    <w:rsid w:val="00081DFB"/>
    <w:rsid w:val="0008246E"/>
    <w:rsid w:val="000824AF"/>
    <w:rsid w:val="00083289"/>
    <w:rsid w:val="0008343E"/>
    <w:rsid w:val="00083514"/>
    <w:rsid w:val="000835D8"/>
    <w:rsid w:val="00083761"/>
    <w:rsid w:val="0008397F"/>
    <w:rsid w:val="00083B97"/>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4C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9E7"/>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CED"/>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54"/>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960"/>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890"/>
    <w:rsid w:val="000C5D70"/>
    <w:rsid w:val="000C5FDE"/>
    <w:rsid w:val="000C61FA"/>
    <w:rsid w:val="000C6279"/>
    <w:rsid w:val="000C69B3"/>
    <w:rsid w:val="000C6D64"/>
    <w:rsid w:val="000C6F6F"/>
    <w:rsid w:val="000C7281"/>
    <w:rsid w:val="000C743C"/>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9A2"/>
    <w:rsid w:val="000D2CBD"/>
    <w:rsid w:val="000D359B"/>
    <w:rsid w:val="000D3759"/>
    <w:rsid w:val="000D37B0"/>
    <w:rsid w:val="000D3B5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D7E4F"/>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9B9"/>
    <w:rsid w:val="000F2D05"/>
    <w:rsid w:val="000F2D48"/>
    <w:rsid w:val="000F2F92"/>
    <w:rsid w:val="000F2FD9"/>
    <w:rsid w:val="000F3258"/>
    <w:rsid w:val="000F3282"/>
    <w:rsid w:val="000F33B5"/>
    <w:rsid w:val="000F33FD"/>
    <w:rsid w:val="000F3520"/>
    <w:rsid w:val="000F3D2B"/>
    <w:rsid w:val="000F3E8F"/>
    <w:rsid w:val="000F3EFB"/>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3C0"/>
    <w:rsid w:val="00104AAD"/>
    <w:rsid w:val="00104C71"/>
    <w:rsid w:val="00104D93"/>
    <w:rsid w:val="001052CD"/>
    <w:rsid w:val="001055B3"/>
    <w:rsid w:val="00105F75"/>
    <w:rsid w:val="00106075"/>
    <w:rsid w:val="00106101"/>
    <w:rsid w:val="001064E1"/>
    <w:rsid w:val="00106500"/>
    <w:rsid w:val="001071C7"/>
    <w:rsid w:val="00107244"/>
    <w:rsid w:val="001072E1"/>
    <w:rsid w:val="00107486"/>
    <w:rsid w:val="001078DE"/>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66"/>
    <w:rsid w:val="00112F9E"/>
    <w:rsid w:val="00113168"/>
    <w:rsid w:val="0011373A"/>
    <w:rsid w:val="00113A1F"/>
    <w:rsid w:val="00113B55"/>
    <w:rsid w:val="00113CA5"/>
    <w:rsid w:val="00114137"/>
    <w:rsid w:val="0011429C"/>
    <w:rsid w:val="001142A2"/>
    <w:rsid w:val="00114511"/>
    <w:rsid w:val="00114ABD"/>
    <w:rsid w:val="00115305"/>
    <w:rsid w:val="0011552F"/>
    <w:rsid w:val="001156BA"/>
    <w:rsid w:val="0011582E"/>
    <w:rsid w:val="00115911"/>
    <w:rsid w:val="00116039"/>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D49"/>
    <w:rsid w:val="00130EF3"/>
    <w:rsid w:val="00131188"/>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560"/>
    <w:rsid w:val="001378A3"/>
    <w:rsid w:val="00137908"/>
    <w:rsid w:val="00137A34"/>
    <w:rsid w:val="00137B22"/>
    <w:rsid w:val="00137D7E"/>
    <w:rsid w:val="00137FE3"/>
    <w:rsid w:val="00140100"/>
    <w:rsid w:val="00140820"/>
    <w:rsid w:val="001408D8"/>
    <w:rsid w:val="00140984"/>
    <w:rsid w:val="00140C58"/>
    <w:rsid w:val="00140CA5"/>
    <w:rsid w:val="00140DD7"/>
    <w:rsid w:val="00140FED"/>
    <w:rsid w:val="0014137E"/>
    <w:rsid w:val="00141D7A"/>
    <w:rsid w:val="00141DE9"/>
    <w:rsid w:val="001420D1"/>
    <w:rsid w:val="001420FE"/>
    <w:rsid w:val="00142212"/>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C11"/>
    <w:rsid w:val="00164DAA"/>
    <w:rsid w:val="00164F82"/>
    <w:rsid w:val="0016510E"/>
    <w:rsid w:val="00165590"/>
    <w:rsid w:val="0016572F"/>
    <w:rsid w:val="001658D6"/>
    <w:rsid w:val="001665B9"/>
    <w:rsid w:val="001667C0"/>
    <w:rsid w:val="00166B40"/>
    <w:rsid w:val="00166C60"/>
    <w:rsid w:val="00167271"/>
    <w:rsid w:val="00167274"/>
    <w:rsid w:val="001672BC"/>
    <w:rsid w:val="00167ECD"/>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77A91"/>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1EF1"/>
    <w:rsid w:val="0018200B"/>
    <w:rsid w:val="00182450"/>
    <w:rsid w:val="0018254A"/>
    <w:rsid w:val="001829A6"/>
    <w:rsid w:val="00182A21"/>
    <w:rsid w:val="00183A7D"/>
    <w:rsid w:val="00183DA4"/>
    <w:rsid w:val="00183EA0"/>
    <w:rsid w:val="00183F58"/>
    <w:rsid w:val="001841C2"/>
    <w:rsid w:val="00184202"/>
    <w:rsid w:val="00184259"/>
    <w:rsid w:val="001843DB"/>
    <w:rsid w:val="0018476F"/>
    <w:rsid w:val="001847D6"/>
    <w:rsid w:val="0018495A"/>
    <w:rsid w:val="00184DD0"/>
    <w:rsid w:val="00184E93"/>
    <w:rsid w:val="001855E1"/>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8C9"/>
    <w:rsid w:val="00192929"/>
    <w:rsid w:val="00192DC1"/>
    <w:rsid w:val="00194053"/>
    <w:rsid w:val="001943EB"/>
    <w:rsid w:val="00194949"/>
    <w:rsid w:val="00194BE9"/>
    <w:rsid w:val="00194C5E"/>
    <w:rsid w:val="00194CA4"/>
    <w:rsid w:val="00194E35"/>
    <w:rsid w:val="00194EDA"/>
    <w:rsid w:val="00194F03"/>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111"/>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4A6"/>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66A"/>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512"/>
    <w:rsid w:val="001C6A2C"/>
    <w:rsid w:val="001C6B8C"/>
    <w:rsid w:val="001C6D43"/>
    <w:rsid w:val="001C6E55"/>
    <w:rsid w:val="001C71E3"/>
    <w:rsid w:val="001C729A"/>
    <w:rsid w:val="001C72D6"/>
    <w:rsid w:val="001C7349"/>
    <w:rsid w:val="001C7892"/>
    <w:rsid w:val="001C7AEE"/>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D43"/>
    <w:rsid w:val="001D2E56"/>
    <w:rsid w:val="001D2F09"/>
    <w:rsid w:val="001D33CC"/>
    <w:rsid w:val="001D3401"/>
    <w:rsid w:val="001D34EB"/>
    <w:rsid w:val="001D35B4"/>
    <w:rsid w:val="001D3A4D"/>
    <w:rsid w:val="001D3F21"/>
    <w:rsid w:val="001D44B8"/>
    <w:rsid w:val="001D4515"/>
    <w:rsid w:val="001D451E"/>
    <w:rsid w:val="001D476E"/>
    <w:rsid w:val="001D4A98"/>
    <w:rsid w:val="001D5190"/>
    <w:rsid w:val="001D51D8"/>
    <w:rsid w:val="001D5339"/>
    <w:rsid w:val="001D541A"/>
    <w:rsid w:val="001D559E"/>
    <w:rsid w:val="001D56C3"/>
    <w:rsid w:val="001D5E38"/>
    <w:rsid w:val="001D5F66"/>
    <w:rsid w:val="001D5FB0"/>
    <w:rsid w:val="001D6198"/>
    <w:rsid w:val="001D62BC"/>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9B9"/>
    <w:rsid w:val="001E1E28"/>
    <w:rsid w:val="001E1E6E"/>
    <w:rsid w:val="001E2620"/>
    <w:rsid w:val="001E27E7"/>
    <w:rsid w:val="001E2AF5"/>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0B0"/>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0D41"/>
    <w:rsid w:val="001F0F0C"/>
    <w:rsid w:val="001F1223"/>
    <w:rsid w:val="001F1235"/>
    <w:rsid w:val="001F182A"/>
    <w:rsid w:val="001F1D23"/>
    <w:rsid w:val="001F1E8F"/>
    <w:rsid w:val="001F1FE2"/>
    <w:rsid w:val="001F2327"/>
    <w:rsid w:val="001F2874"/>
    <w:rsid w:val="001F2B05"/>
    <w:rsid w:val="001F2B1F"/>
    <w:rsid w:val="001F3157"/>
    <w:rsid w:val="001F348E"/>
    <w:rsid w:val="001F34F8"/>
    <w:rsid w:val="001F40C4"/>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2AF"/>
    <w:rsid w:val="0021340B"/>
    <w:rsid w:val="00213901"/>
    <w:rsid w:val="00213987"/>
    <w:rsid w:val="002139A2"/>
    <w:rsid w:val="00213B3D"/>
    <w:rsid w:val="00213FBB"/>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940"/>
    <w:rsid w:val="00217B1B"/>
    <w:rsid w:val="0022026A"/>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BFB"/>
    <w:rsid w:val="00226D9D"/>
    <w:rsid w:val="00227776"/>
    <w:rsid w:val="00227936"/>
    <w:rsid w:val="00230096"/>
    <w:rsid w:val="002301D3"/>
    <w:rsid w:val="002304EE"/>
    <w:rsid w:val="002308C7"/>
    <w:rsid w:val="00230CAD"/>
    <w:rsid w:val="002317C9"/>
    <w:rsid w:val="002317EE"/>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34"/>
    <w:rsid w:val="00237789"/>
    <w:rsid w:val="002401FC"/>
    <w:rsid w:val="0024056C"/>
    <w:rsid w:val="00240D9D"/>
    <w:rsid w:val="00240E4C"/>
    <w:rsid w:val="00241240"/>
    <w:rsid w:val="002415A6"/>
    <w:rsid w:val="00242061"/>
    <w:rsid w:val="002421B1"/>
    <w:rsid w:val="00242BCF"/>
    <w:rsid w:val="00242E6D"/>
    <w:rsid w:val="00243011"/>
    <w:rsid w:val="00243511"/>
    <w:rsid w:val="0024353D"/>
    <w:rsid w:val="002435FC"/>
    <w:rsid w:val="00243768"/>
    <w:rsid w:val="00243797"/>
    <w:rsid w:val="00243859"/>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6F94"/>
    <w:rsid w:val="0024701E"/>
    <w:rsid w:val="00247218"/>
    <w:rsid w:val="002472D3"/>
    <w:rsid w:val="002476B6"/>
    <w:rsid w:val="00247E76"/>
    <w:rsid w:val="00247E8F"/>
    <w:rsid w:val="00250146"/>
    <w:rsid w:val="00250777"/>
    <w:rsid w:val="00250AD6"/>
    <w:rsid w:val="00250C0E"/>
    <w:rsid w:val="00250F5B"/>
    <w:rsid w:val="002510D5"/>
    <w:rsid w:val="00251572"/>
    <w:rsid w:val="0025173D"/>
    <w:rsid w:val="0025202D"/>
    <w:rsid w:val="002523CF"/>
    <w:rsid w:val="002527A3"/>
    <w:rsid w:val="0025280C"/>
    <w:rsid w:val="002528AB"/>
    <w:rsid w:val="00252907"/>
    <w:rsid w:val="002529E0"/>
    <w:rsid w:val="00252BB0"/>
    <w:rsid w:val="00252BB3"/>
    <w:rsid w:val="00253242"/>
    <w:rsid w:val="002537C5"/>
    <w:rsid w:val="0025383B"/>
    <w:rsid w:val="00253A05"/>
    <w:rsid w:val="00253D3A"/>
    <w:rsid w:val="00253DA1"/>
    <w:rsid w:val="002540E8"/>
    <w:rsid w:val="00254467"/>
    <w:rsid w:val="00254590"/>
    <w:rsid w:val="002549FC"/>
    <w:rsid w:val="00254B75"/>
    <w:rsid w:val="00254B8C"/>
    <w:rsid w:val="00254E6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82D"/>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2FDB"/>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5B3"/>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A11"/>
    <w:rsid w:val="00273B8D"/>
    <w:rsid w:val="00273CF0"/>
    <w:rsid w:val="00273E72"/>
    <w:rsid w:val="0027402A"/>
    <w:rsid w:val="00274068"/>
    <w:rsid w:val="002748ED"/>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1F9A"/>
    <w:rsid w:val="00282593"/>
    <w:rsid w:val="00282A37"/>
    <w:rsid w:val="00282D63"/>
    <w:rsid w:val="002830F6"/>
    <w:rsid w:val="0028328B"/>
    <w:rsid w:val="00283507"/>
    <w:rsid w:val="002836C7"/>
    <w:rsid w:val="002836D4"/>
    <w:rsid w:val="002836ED"/>
    <w:rsid w:val="00283DD1"/>
    <w:rsid w:val="00283F64"/>
    <w:rsid w:val="002840D0"/>
    <w:rsid w:val="0028421D"/>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23E"/>
    <w:rsid w:val="0029450E"/>
    <w:rsid w:val="00294B1A"/>
    <w:rsid w:val="00294C0F"/>
    <w:rsid w:val="00294F77"/>
    <w:rsid w:val="0029551E"/>
    <w:rsid w:val="0029574D"/>
    <w:rsid w:val="00295922"/>
    <w:rsid w:val="00295C85"/>
    <w:rsid w:val="002962CB"/>
    <w:rsid w:val="002962D4"/>
    <w:rsid w:val="0029691D"/>
    <w:rsid w:val="00297206"/>
    <w:rsid w:val="00297465"/>
    <w:rsid w:val="002975D4"/>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1ED7"/>
    <w:rsid w:val="002A2129"/>
    <w:rsid w:val="002A2D08"/>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1C1"/>
    <w:rsid w:val="002A538D"/>
    <w:rsid w:val="002A5A02"/>
    <w:rsid w:val="002A5A51"/>
    <w:rsid w:val="002A5A64"/>
    <w:rsid w:val="002A5CF5"/>
    <w:rsid w:val="002A5D74"/>
    <w:rsid w:val="002A5F01"/>
    <w:rsid w:val="002A5F5D"/>
    <w:rsid w:val="002A5FBE"/>
    <w:rsid w:val="002A6ABB"/>
    <w:rsid w:val="002A6CE6"/>
    <w:rsid w:val="002A797E"/>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528"/>
    <w:rsid w:val="002B49D7"/>
    <w:rsid w:val="002B4A50"/>
    <w:rsid w:val="002B4B05"/>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391"/>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42D"/>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0DE"/>
    <w:rsid w:val="002D1359"/>
    <w:rsid w:val="002D155C"/>
    <w:rsid w:val="002D1637"/>
    <w:rsid w:val="002D1688"/>
    <w:rsid w:val="002D16B8"/>
    <w:rsid w:val="002D1729"/>
    <w:rsid w:val="002D1819"/>
    <w:rsid w:val="002D1B69"/>
    <w:rsid w:val="002D1BA5"/>
    <w:rsid w:val="002D1C46"/>
    <w:rsid w:val="002D1D4F"/>
    <w:rsid w:val="002D25B7"/>
    <w:rsid w:val="002D264F"/>
    <w:rsid w:val="002D26EC"/>
    <w:rsid w:val="002D2884"/>
    <w:rsid w:val="002D2A87"/>
    <w:rsid w:val="002D2BF5"/>
    <w:rsid w:val="002D2D0E"/>
    <w:rsid w:val="002D2D9E"/>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76A"/>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29"/>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C2F"/>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8B0"/>
    <w:rsid w:val="002F4DDB"/>
    <w:rsid w:val="002F4DF3"/>
    <w:rsid w:val="002F4EC1"/>
    <w:rsid w:val="002F5497"/>
    <w:rsid w:val="002F556F"/>
    <w:rsid w:val="002F5678"/>
    <w:rsid w:val="002F5818"/>
    <w:rsid w:val="002F5CE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1390"/>
    <w:rsid w:val="00302044"/>
    <w:rsid w:val="003020F4"/>
    <w:rsid w:val="003023A1"/>
    <w:rsid w:val="003025C7"/>
    <w:rsid w:val="0030360F"/>
    <w:rsid w:val="00303790"/>
    <w:rsid w:val="00303984"/>
    <w:rsid w:val="00303E57"/>
    <w:rsid w:val="00303FAF"/>
    <w:rsid w:val="00304072"/>
    <w:rsid w:val="00304161"/>
    <w:rsid w:val="00304201"/>
    <w:rsid w:val="003043A7"/>
    <w:rsid w:val="003043C9"/>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530"/>
    <w:rsid w:val="00306651"/>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7A6"/>
    <w:rsid w:val="0031089E"/>
    <w:rsid w:val="00310B1D"/>
    <w:rsid w:val="00310BD7"/>
    <w:rsid w:val="00310CE6"/>
    <w:rsid w:val="00310D69"/>
    <w:rsid w:val="00310E45"/>
    <w:rsid w:val="00310EA6"/>
    <w:rsid w:val="00311329"/>
    <w:rsid w:val="00311663"/>
    <w:rsid w:val="00311668"/>
    <w:rsid w:val="003116D4"/>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54"/>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0A0"/>
    <w:rsid w:val="00330144"/>
    <w:rsid w:val="003302D8"/>
    <w:rsid w:val="0033032C"/>
    <w:rsid w:val="003304A1"/>
    <w:rsid w:val="0033052A"/>
    <w:rsid w:val="00330999"/>
    <w:rsid w:val="0033103C"/>
    <w:rsid w:val="00331316"/>
    <w:rsid w:val="0033133C"/>
    <w:rsid w:val="0033161D"/>
    <w:rsid w:val="00331864"/>
    <w:rsid w:val="003319A1"/>
    <w:rsid w:val="00331FF5"/>
    <w:rsid w:val="0033244F"/>
    <w:rsid w:val="0033283F"/>
    <w:rsid w:val="00332BF1"/>
    <w:rsid w:val="00332C1D"/>
    <w:rsid w:val="00332EF9"/>
    <w:rsid w:val="00332F67"/>
    <w:rsid w:val="00333005"/>
    <w:rsid w:val="00333597"/>
    <w:rsid w:val="00333611"/>
    <w:rsid w:val="003340BD"/>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6EB7"/>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6F1"/>
    <w:rsid w:val="00343FC9"/>
    <w:rsid w:val="003444BC"/>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48C6"/>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A1"/>
    <w:rsid w:val="003576DA"/>
    <w:rsid w:val="003577EB"/>
    <w:rsid w:val="00357B6E"/>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18E"/>
    <w:rsid w:val="00363230"/>
    <w:rsid w:val="0036407C"/>
    <w:rsid w:val="003644B2"/>
    <w:rsid w:val="00364897"/>
    <w:rsid w:val="00364B80"/>
    <w:rsid w:val="00364D53"/>
    <w:rsid w:val="00364D74"/>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946"/>
    <w:rsid w:val="00372E83"/>
    <w:rsid w:val="003730E2"/>
    <w:rsid w:val="0037314C"/>
    <w:rsid w:val="003731C2"/>
    <w:rsid w:val="003733F4"/>
    <w:rsid w:val="00373747"/>
    <w:rsid w:val="00373860"/>
    <w:rsid w:val="00373DBC"/>
    <w:rsid w:val="00373DDB"/>
    <w:rsid w:val="00373F9C"/>
    <w:rsid w:val="00374076"/>
    <w:rsid w:val="00374220"/>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B26"/>
    <w:rsid w:val="00381FDA"/>
    <w:rsid w:val="003820FF"/>
    <w:rsid w:val="003824B9"/>
    <w:rsid w:val="003824E4"/>
    <w:rsid w:val="003824EB"/>
    <w:rsid w:val="00382610"/>
    <w:rsid w:val="003827AA"/>
    <w:rsid w:val="00382B1B"/>
    <w:rsid w:val="00383044"/>
    <w:rsid w:val="00383333"/>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536"/>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5EF5"/>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869"/>
    <w:rsid w:val="003A4970"/>
    <w:rsid w:val="003A49E2"/>
    <w:rsid w:val="003A4CC6"/>
    <w:rsid w:val="003A4D01"/>
    <w:rsid w:val="003A4F18"/>
    <w:rsid w:val="003A5479"/>
    <w:rsid w:val="003A54DE"/>
    <w:rsid w:val="003A57F9"/>
    <w:rsid w:val="003A5C1B"/>
    <w:rsid w:val="003A5DC7"/>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ACC"/>
    <w:rsid w:val="003B0C0A"/>
    <w:rsid w:val="003B0D76"/>
    <w:rsid w:val="003B0EA0"/>
    <w:rsid w:val="003B155C"/>
    <w:rsid w:val="003B16DB"/>
    <w:rsid w:val="003B1E19"/>
    <w:rsid w:val="003B1F33"/>
    <w:rsid w:val="003B20B4"/>
    <w:rsid w:val="003B2B5F"/>
    <w:rsid w:val="003B2E10"/>
    <w:rsid w:val="003B31D7"/>
    <w:rsid w:val="003B33CE"/>
    <w:rsid w:val="003B343D"/>
    <w:rsid w:val="003B391B"/>
    <w:rsid w:val="003B3A2C"/>
    <w:rsid w:val="003B416D"/>
    <w:rsid w:val="003B43C3"/>
    <w:rsid w:val="003B467B"/>
    <w:rsid w:val="003B4848"/>
    <w:rsid w:val="003B4936"/>
    <w:rsid w:val="003B4A94"/>
    <w:rsid w:val="003B4C03"/>
    <w:rsid w:val="003B4F8A"/>
    <w:rsid w:val="003B551C"/>
    <w:rsid w:val="003B56D7"/>
    <w:rsid w:val="003B5847"/>
    <w:rsid w:val="003B5882"/>
    <w:rsid w:val="003B5A7E"/>
    <w:rsid w:val="003B5D24"/>
    <w:rsid w:val="003B5EAE"/>
    <w:rsid w:val="003B62EA"/>
    <w:rsid w:val="003B6508"/>
    <w:rsid w:val="003B6B11"/>
    <w:rsid w:val="003B6CDF"/>
    <w:rsid w:val="003B78D5"/>
    <w:rsid w:val="003B79D6"/>
    <w:rsid w:val="003B7CC1"/>
    <w:rsid w:val="003B7F1E"/>
    <w:rsid w:val="003C00C3"/>
    <w:rsid w:val="003C0117"/>
    <w:rsid w:val="003C0338"/>
    <w:rsid w:val="003C04DA"/>
    <w:rsid w:val="003C0A82"/>
    <w:rsid w:val="003C0DAF"/>
    <w:rsid w:val="003C1074"/>
    <w:rsid w:val="003C10B2"/>
    <w:rsid w:val="003C11E9"/>
    <w:rsid w:val="003C123E"/>
    <w:rsid w:val="003C1267"/>
    <w:rsid w:val="003C137A"/>
    <w:rsid w:val="003C1467"/>
    <w:rsid w:val="003C179A"/>
    <w:rsid w:val="003C1911"/>
    <w:rsid w:val="003C1B05"/>
    <w:rsid w:val="003C1B4F"/>
    <w:rsid w:val="003C1C96"/>
    <w:rsid w:val="003C1CD8"/>
    <w:rsid w:val="003C1D7D"/>
    <w:rsid w:val="003C2288"/>
    <w:rsid w:val="003C2B48"/>
    <w:rsid w:val="003C2C98"/>
    <w:rsid w:val="003C31E0"/>
    <w:rsid w:val="003C331C"/>
    <w:rsid w:val="003C3336"/>
    <w:rsid w:val="003C3727"/>
    <w:rsid w:val="003C380E"/>
    <w:rsid w:val="003C39E6"/>
    <w:rsid w:val="003C3A11"/>
    <w:rsid w:val="003C3BAE"/>
    <w:rsid w:val="003C3E2C"/>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468"/>
    <w:rsid w:val="003D5526"/>
    <w:rsid w:val="003D5B17"/>
    <w:rsid w:val="003D5B32"/>
    <w:rsid w:val="003D660C"/>
    <w:rsid w:val="003D6961"/>
    <w:rsid w:val="003D709E"/>
    <w:rsid w:val="003D73BD"/>
    <w:rsid w:val="003D79C7"/>
    <w:rsid w:val="003D7AF7"/>
    <w:rsid w:val="003D7B70"/>
    <w:rsid w:val="003D7CCE"/>
    <w:rsid w:val="003D7F6D"/>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ED6"/>
    <w:rsid w:val="003E5242"/>
    <w:rsid w:val="003E5587"/>
    <w:rsid w:val="003E57A2"/>
    <w:rsid w:val="003E5824"/>
    <w:rsid w:val="003E588C"/>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328"/>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5C6"/>
    <w:rsid w:val="00401930"/>
    <w:rsid w:val="00401983"/>
    <w:rsid w:val="00401ABD"/>
    <w:rsid w:val="00401B73"/>
    <w:rsid w:val="004023F7"/>
    <w:rsid w:val="00402919"/>
    <w:rsid w:val="00402B9B"/>
    <w:rsid w:val="00402C93"/>
    <w:rsid w:val="00402CED"/>
    <w:rsid w:val="00403437"/>
    <w:rsid w:val="0040363C"/>
    <w:rsid w:val="004036AF"/>
    <w:rsid w:val="0040371E"/>
    <w:rsid w:val="00403A08"/>
    <w:rsid w:val="00403A0F"/>
    <w:rsid w:val="00403BE7"/>
    <w:rsid w:val="00403F51"/>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6FA"/>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3CE"/>
    <w:rsid w:val="004174A0"/>
    <w:rsid w:val="00417956"/>
    <w:rsid w:val="004179AE"/>
    <w:rsid w:val="00417F88"/>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5E"/>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86A"/>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6A05"/>
    <w:rsid w:val="00437337"/>
    <w:rsid w:val="0043734E"/>
    <w:rsid w:val="004373B8"/>
    <w:rsid w:val="00437550"/>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221"/>
    <w:rsid w:val="004432EB"/>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B8C"/>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8B3"/>
    <w:rsid w:val="00454D9A"/>
    <w:rsid w:val="0045576D"/>
    <w:rsid w:val="00456230"/>
    <w:rsid w:val="0045665B"/>
    <w:rsid w:val="00456819"/>
    <w:rsid w:val="00456A56"/>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4F50"/>
    <w:rsid w:val="004650F5"/>
    <w:rsid w:val="00465422"/>
    <w:rsid w:val="00465562"/>
    <w:rsid w:val="00465C8E"/>
    <w:rsid w:val="00465CB6"/>
    <w:rsid w:val="00465DFD"/>
    <w:rsid w:val="0046630F"/>
    <w:rsid w:val="004663C3"/>
    <w:rsid w:val="004666C7"/>
    <w:rsid w:val="0046686F"/>
    <w:rsid w:val="00466E73"/>
    <w:rsid w:val="00466F69"/>
    <w:rsid w:val="0046706B"/>
    <w:rsid w:val="004677A5"/>
    <w:rsid w:val="00467815"/>
    <w:rsid w:val="00467916"/>
    <w:rsid w:val="00467D9B"/>
    <w:rsid w:val="00467DD1"/>
    <w:rsid w:val="0047000B"/>
    <w:rsid w:val="004703CF"/>
    <w:rsid w:val="004709A0"/>
    <w:rsid w:val="00470B8B"/>
    <w:rsid w:val="00470D19"/>
    <w:rsid w:val="00471284"/>
    <w:rsid w:val="004712D4"/>
    <w:rsid w:val="0047147A"/>
    <w:rsid w:val="004715E7"/>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9A7"/>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17AC"/>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53F"/>
    <w:rsid w:val="00485673"/>
    <w:rsid w:val="00485B71"/>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80"/>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CE2"/>
    <w:rsid w:val="00497F5E"/>
    <w:rsid w:val="004A00B0"/>
    <w:rsid w:val="004A10F9"/>
    <w:rsid w:val="004A16BB"/>
    <w:rsid w:val="004A171B"/>
    <w:rsid w:val="004A1A36"/>
    <w:rsid w:val="004A1C9C"/>
    <w:rsid w:val="004A1D91"/>
    <w:rsid w:val="004A207E"/>
    <w:rsid w:val="004A2148"/>
    <w:rsid w:val="004A2151"/>
    <w:rsid w:val="004A2358"/>
    <w:rsid w:val="004A2385"/>
    <w:rsid w:val="004A27CE"/>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724"/>
    <w:rsid w:val="004B2835"/>
    <w:rsid w:val="004B28C5"/>
    <w:rsid w:val="004B323F"/>
    <w:rsid w:val="004B326B"/>
    <w:rsid w:val="004B329D"/>
    <w:rsid w:val="004B32F8"/>
    <w:rsid w:val="004B3476"/>
    <w:rsid w:val="004B36AE"/>
    <w:rsid w:val="004B3DB4"/>
    <w:rsid w:val="004B3FAE"/>
    <w:rsid w:val="004B40A8"/>
    <w:rsid w:val="004B4672"/>
    <w:rsid w:val="004B4745"/>
    <w:rsid w:val="004B4766"/>
    <w:rsid w:val="004B4837"/>
    <w:rsid w:val="004B5819"/>
    <w:rsid w:val="004B58F5"/>
    <w:rsid w:val="004B5B48"/>
    <w:rsid w:val="004B5C63"/>
    <w:rsid w:val="004B5E52"/>
    <w:rsid w:val="004B605A"/>
    <w:rsid w:val="004B6174"/>
    <w:rsid w:val="004B6663"/>
    <w:rsid w:val="004B67A4"/>
    <w:rsid w:val="004B6A3D"/>
    <w:rsid w:val="004B6BC6"/>
    <w:rsid w:val="004B6E89"/>
    <w:rsid w:val="004B6F99"/>
    <w:rsid w:val="004B7414"/>
    <w:rsid w:val="004B74AD"/>
    <w:rsid w:val="004B781D"/>
    <w:rsid w:val="004B7997"/>
    <w:rsid w:val="004B7AB6"/>
    <w:rsid w:val="004B7E45"/>
    <w:rsid w:val="004B7FE2"/>
    <w:rsid w:val="004C01A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340"/>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69B"/>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2CA"/>
    <w:rsid w:val="004E357A"/>
    <w:rsid w:val="004E35EE"/>
    <w:rsid w:val="004E3800"/>
    <w:rsid w:val="004E3861"/>
    <w:rsid w:val="004E390B"/>
    <w:rsid w:val="004E434A"/>
    <w:rsid w:val="004E4A0B"/>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90"/>
    <w:rsid w:val="004F60A6"/>
    <w:rsid w:val="004F68C9"/>
    <w:rsid w:val="004F6E0C"/>
    <w:rsid w:val="004F70F0"/>
    <w:rsid w:val="004F712C"/>
    <w:rsid w:val="004F7174"/>
    <w:rsid w:val="004F7AF1"/>
    <w:rsid w:val="004F7C43"/>
    <w:rsid w:val="004F7D96"/>
    <w:rsid w:val="004F7E98"/>
    <w:rsid w:val="00500320"/>
    <w:rsid w:val="005005C8"/>
    <w:rsid w:val="00500DD0"/>
    <w:rsid w:val="00500EDC"/>
    <w:rsid w:val="00500F4E"/>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BB7"/>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750"/>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A60"/>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D8C"/>
    <w:rsid w:val="00516F04"/>
    <w:rsid w:val="00517005"/>
    <w:rsid w:val="00517153"/>
    <w:rsid w:val="005171D1"/>
    <w:rsid w:val="005174C6"/>
    <w:rsid w:val="00517868"/>
    <w:rsid w:val="00517CD4"/>
    <w:rsid w:val="00520066"/>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D06"/>
    <w:rsid w:val="00523EB9"/>
    <w:rsid w:val="0052417B"/>
    <w:rsid w:val="00524469"/>
    <w:rsid w:val="00524A9C"/>
    <w:rsid w:val="00525397"/>
    <w:rsid w:val="00525956"/>
    <w:rsid w:val="00525A82"/>
    <w:rsid w:val="00525B0E"/>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5FEA"/>
    <w:rsid w:val="00536332"/>
    <w:rsid w:val="0053655B"/>
    <w:rsid w:val="00536601"/>
    <w:rsid w:val="0053684B"/>
    <w:rsid w:val="00536B78"/>
    <w:rsid w:val="00536BE9"/>
    <w:rsid w:val="00537174"/>
    <w:rsid w:val="005373DF"/>
    <w:rsid w:val="00537433"/>
    <w:rsid w:val="005376F2"/>
    <w:rsid w:val="00537A19"/>
    <w:rsid w:val="00537A4C"/>
    <w:rsid w:val="00540308"/>
    <w:rsid w:val="00540322"/>
    <w:rsid w:val="00540BDC"/>
    <w:rsid w:val="00540D81"/>
    <w:rsid w:val="00541519"/>
    <w:rsid w:val="00541BF0"/>
    <w:rsid w:val="00541C34"/>
    <w:rsid w:val="00542330"/>
    <w:rsid w:val="00542821"/>
    <w:rsid w:val="00542B06"/>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DC8"/>
    <w:rsid w:val="00544FCF"/>
    <w:rsid w:val="005450A2"/>
    <w:rsid w:val="005450DC"/>
    <w:rsid w:val="0054524E"/>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47BDB"/>
    <w:rsid w:val="00547CE6"/>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5EE0"/>
    <w:rsid w:val="00556356"/>
    <w:rsid w:val="00556D0E"/>
    <w:rsid w:val="0055716D"/>
    <w:rsid w:val="005571A6"/>
    <w:rsid w:val="005572B8"/>
    <w:rsid w:val="005572CC"/>
    <w:rsid w:val="005572CD"/>
    <w:rsid w:val="0055745F"/>
    <w:rsid w:val="00557621"/>
    <w:rsid w:val="0055771A"/>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3FC8"/>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67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02D"/>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23D"/>
    <w:rsid w:val="00590750"/>
    <w:rsid w:val="00590907"/>
    <w:rsid w:val="00590B0F"/>
    <w:rsid w:val="005911A2"/>
    <w:rsid w:val="0059130F"/>
    <w:rsid w:val="00591459"/>
    <w:rsid w:val="00592283"/>
    <w:rsid w:val="00592385"/>
    <w:rsid w:val="005923A1"/>
    <w:rsid w:val="0059241D"/>
    <w:rsid w:val="00592491"/>
    <w:rsid w:val="0059266B"/>
    <w:rsid w:val="00592AC1"/>
    <w:rsid w:val="0059346F"/>
    <w:rsid w:val="00593765"/>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AC6"/>
    <w:rsid w:val="00596C07"/>
    <w:rsid w:val="00596CA8"/>
    <w:rsid w:val="00596DB6"/>
    <w:rsid w:val="00597074"/>
    <w:rsid w:val="005976DB"/>
    <w:rsid w:val="00597AA7"/>
    <w:rsid w:val="00597B2F"/>
    <w:rsid w:val="00597CA1"/>
    <w:rsid w:val="005A0273"/>
    <w:rsid w:val="005A0956"/>
    <w:rsid w:val="005A0A13"/>
    <w:rsid w:val="005A115D"/>
    <w:rsid w:val="005A16DC"/>
    <w:rsid w:val="005A17D7"/>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A92"/>
    <w:rsid w:val="005A5DE6"/>
    <w:rsid w:val="005A5E6F"/>
    <w:rsid w:val="005A626B"/>
    <w:rsid w:val="005A6381"/>
    <w:rsid w:val="005A6858"/>
    <w:rsid w:val="005A697D"/>
    <w:rsid w:val="005A6AFA"/>
    <w:rsid w:val="005A6BA0"/>
    <w:rsid w:val="005A72F2"/>
    <w:rsid w:val="005A7E22"/>
    <w:rsid w:val="005A7ED9"/>
    <w:rsid w:val="005B0096"/>
    <w:rsid w:val="005B02C2"/>
    <w:rsid w:val="005B0341"/>
    <w:rsid w:val="005B0399"/>
    <w:rsid w:val="005B0855"/>
    <w:rsid w:val="005B09C2"/>
    <w:rsid w:val="005B0A4B"/>
    <w:rsid w:val="005B0CA7"/>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4D"/>
    <w:rsid w:val="005B74D2"/>
    <w:rsid w:val="005B770C"/>
    <w:rsid w:val="005B7B3E"/>
    <w:rsid w:val="005B7D74"/>
    <w:rsid w:val="005C01D1"/>
    <w:rsid w:val="005C04FD"/>
    <w:rsid w:val="005C0CD5"/>
    <w:rsid w:val="005C128B"/>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E34"/>
    <w:rsid w:val="005C5EC6"/>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3B"/>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4E8"/>
    <w:rsid w:val="006046CA"/>
    <w:rsid w:val="006047D4"/>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4D8"/>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DB"/>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78B"/>
    <w:rsid w:val="00616910"/>
    <w:rsid w:val="00616945"/>
    <w:rsid w:val="006169EE"/>
    <w:rsid w:val="00616FF4"/>
    <w:rsid w:val="00617050"/>
    <w:rsid w:val="006171E8"/>
    <w:rsid w:val="006171E9"/>
    <w:rsid w:val="00617982"/>
    <w:rsid w:val="00617BE1"/>
    <w:rsid w:val="00617C13"/>
    <w:rsid w:val="00617F7C"/>
    <w:rsid w:val="00620E86"/>
    <w:rsid w:val="006210E1"/>
    <w:rsid w:val="00621286"/>
    <w:rsid w:val="0062155F"/>
    <w:rsid w:val="006217BD"/>
    <w:rsid w:val="006219DD"/>
    <w:rsid w:val="00621AD4"/>
    <w:rsid w:val="00621D63"/>
    <w:rsid w:val="00621E48"/>
    <w:rsid w:val="00622172"/>
    <w:rsid w:val="00622A16"/>
    <w:rsid w:val="00622DBA"/>
    <w:rsid w:val="00622EA7"/>
    <w:rsid w:val="00623472"/>
    <w:rsid w:val="0062372F"/>
    <w:rsid w:val="00623940"/>
    <w:rsid w:val="00623DAF"/>
    <w:rsid w:val="00623DCE"/>
    <w:rsid w:val="006242BF"/>
    <w:rsid w:val="00624678"/>
    <w:rsid w:val="006246FE"/>
    <w:rsid w:val="00624717"/>
    <w:rsid w:val="00624E4E"/>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2AFD"/>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5E"/>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26D"/>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55F"/>
    <w:rsid w:val="006507FC"/>
    <w:rsid w:val="006507FD"/>
    <w:rsid w:val="0065082F"/>
    <w:rsid w:val="006509F9"/>
    <w:rsid w:val="00650BC1"/>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422"/>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264"/>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DA2"/>
    <w:rsid w:val="0066601A"/>
    <w:rsid w:val="006660F5"/>
    <w:rsid w:val="00666238"/>
    <w:rsid w:val="00666285"/>
    <w:rsid w:val="00666443"/>
    <w:rsid w:val="00666480"/>
    <w:rsid w:val="006667CC"/>
    <w:rsid w:val="00666D34"/>
    <w:rsid w:val="00667069"/>
    <w:rsid w:val="0066731A"/>
    <w:rsid w:val="00667476"/>
    <w:rsid w:val="00667819"/>
    <w:rsid w:val="00667E3E"/>
    <w:rsid w:val="00667F07"/>
    <w:rsid w:val="00670B9B"/>
    <w:rsid w:val="00670BCE"/>
    <w:rsid w:val="00670BE7"/>
    <w:rsid w:val="00670D78"/>
    <w:rsid w:val="00670DCB"/>
    <w:rsid w:val="00670FEA"/>
    <w:rsid w:val="00671162"/>
    <w:rsid w:val="00671267"/>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C5F"/>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958"/>
    <w:rsid w:val="006A0CC8"/>
    <w:rsid w:val="006A0F9D"/>
    <w:rsid w:val="006A1D7D"/>
    <w:rsid w:val="006A1E12"/>
    <w:rsid w:val="006A2019"/>
    <w:rsid w:val="006A21CC"/>
    <w:rsid w:val="006A2944"/>
    <w:rsid w:val="006A294D"/>
    <w:rsid w:val="006A302B"/>
    <w:rsid w:val="006A30E6"/>
    <w:rsid w:val="006A3CBB"/>
    <w:rsid w:val="006A3D41"/>
    <w:rsid w:val="006A4022"/>
    <w:rsid w:val="006A4C19"/>
    <w:rsid w:val="006A511D"/>
    <w:rsid w:val="006A53F3"/>
    <w:rsid w:val="006A54B5"/>
    <w:rsid w:val="006A55B9"/>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55A0"/>
    <w:rsid w:val="006B62A0"/>
    <w:rsid w:val="006B62B4"/>
    <w:rsid w:val="006B650F"/>
    <w:rsid w:val="006B6584"/>
    <w:rsid w:val="006B659C"/>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1B2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81C"/>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2F36"/>
    <w:rsid w:val="006E346A"/>
    <w:rsid w:val="006E3749"/>
    <w:rsid w:val="006E3C8A"/>
    <w:rsid w:val="006E3E0D"/>
    <w:rsid w:val="006E3EA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3DA"/>
    <w:rsid w:val="006E7745"/>
    <w:rsid w:val="006E77B3"/>
    <w:rsid w:val="006E783D"/>
    <w:rsid w:val="006E799D"/>
    <w:rsid w:val="006E79FB"/>
    <w:rsid w:val="006E7BA7"/>
    <w:rsid w:val="006E7E32"/>
    <w:rsid w:val="006E7FA2"/>
    <w:rsid w:val="006F0036"/>
    <w:rsid w:val="006F024E"/>
    <w:rsid w:val="006F0453"/>
    <w:rsid w:val="006F0D97"/>
    <w:rsid w:val="006F10D4"/>
    <w:rsid w:val="006F1233"/>
    <w:rsid w:val="006F1244"/>
    <w:rsid w:val="006F1593"/>
    <w:rsid w:val="006F172C"/>
    <w:rsid w:val="006F21C6"/>
    <w:rsid w:val="006F27E0"/>
    <w:rsid w:val="006F28D9"/>
    <w:rsid w:val="006F2A7F"/>
    <w:rsid w:val="006F2F67"/>
    <w:rsid w:val="006F30EF"/>
    <w:rsid w:val="006F3625"/>
    <w:rsid w:val="006F3CA4"/>
    <w:rsid w:val="006F4148"/>
    <w:rsid w:val="006F41AA"/>
    <w:rsid w:val="006F4986"/>
    <w:rsid w:val="006F4DE0"/>
    <w:rsid w:val="006F4EF0"/>
    <w:rsid w:val="006F4FB2"/>
    <w:rsid w:val="006F515A"/>
    <w:rsid w:val="006F5BCB"/>
    <w:rsid w:val="006F5BF3"/>
    <w:rsid w:val="006F5C1C"/>
    <w:rsid w:val="006F5C90"/>
    <w:rsid w:val="006F5DB5"/>
    <w:rsid w:val="006F5E2D"/>
    <w:rsid w:val="006F62C5"/>
    <w:rsid w:val="006F6483"/>
    <w:rsid w:val="006F697C"/>
    <w:rsid w:val="006F6C04"/>
    <w:rsid w:val="006F6EEB"/>
    <w:rsid w:val="006F7316"/>
    <w:rsid w:val="006F7332"/>
    <w:rsid w:val="006F76A0"/>
    <w:rsid w:val="006F7AF3"/>
    <w:rsid w:val="006F7BB6"/>
    <w:rsid w:val="006F7C90"/>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3F97"/>
    <w:rsid w:val="0070407E"/>
    <w:rsid w:val="0070449C"/>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0EA7"/>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2F1C"/>
    <w:rsid w:val="0072327F"/>
    <w:rsid w:val="007233E9"/>
    <w:rsid w:val="007235B1"/>
    <w:rsid w:val="00723840"/>
    <w:rsid w:val="007238C4"/>
    <w:rsid w:val="007238EE"/>
    <w:rsid w:val="00723B3D"/>
    <w:rsid w:val="00724A39"/>
    <w:rsid w:val="00725354"/>
    <w:rsid w:val="0072537E"/>
    <w:rsid w:val="00726000"/>
    <w:rsid w:val="0072603B"/>
    <w:rsid w:val="007262B2"/>
    <w:rsid w:val="0072656E"/>
    <w:rsid w:val="007265DB"/>
    <w:rsid w:val="007266DF"/>
    <w:rsid w:val="00726756"/>
    <w:rsid w:val="00726989"/>
    <w:rsid w:val="00726A30"/>
    <w:rsid w:val="00726C1E"/>
    <w:rsid w:val="00726FEB"/>
    <w:rsid w:val="0072722E"/>
    <w:rsid w:val="0072771B"/>
    <w:rsid w:val="007278F8"/>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2C"/>
    <w:rsid w:val="00734CE1"/>
    <w:rsid w:val="00734E65"/>
    <w:rsid w:val="00734E9B"/>
    <w:rsid w:val="00735107"/>
    <w:rsid w:val="00735687"/>
    <w:rsid w:val="007356BF"/>
    <w:rsid w:val="00735972"/>
    <w:rsid w:val="00735B0B"/>
    <w:rsid w:val="00736247"/>
    <w:rsid w:val="00736376"/>
    <w:rsid w:val="007366B4"/>
    <w:rsid w:val="00736F40"/>
    <w:rsid w:val="00736FD3"/>
    <w:rsid w:val="00737424"/>
    <w:rsid w:val="007378AD"/>
    <w:rsid w:val="007378C0"/>
    <w:rsid w:val="00737C23"/>
    <w:rsid w:val="00737FEC"/>
    <w:rsid w:val="007400E2"/>
    <w:rsid w:val="00740292"/>
    <w:rsid w:val="007403DD"/>
    <w:rsid w:val="00740D16"/>
    <w:rsid w:val="00740DA2"/>
    <w:rsid w:val="00740FB1"/>
    <w:rsid w:val="0074127A"/>
    <w:rsid w:val="00741426"/>
    <w:rsid w:val="007415CD"/>
    <w:rsid w:val="00742422"/>
    <w:rsid w:val="007424E5"/>
    <w:rsid w:val="0074262A"/>
    <w:rsid w:val="0074269A"/>
    <w:rsid w:val="0074293F"/>
    <w:rsid w:val="007429FC"/>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743"/>
    <w:rsid w:val="00750E7E"/>
    <w:rsid w:val="00751650"/>
    <w:rsid w:val="00751961"/>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01"/>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BAD"/>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73A"/>
    <w:rsid w:val="007747F1"/>
    <w:rsid w:val="0077489F"/>
    <w:rsid w:val="00774B44"/>
    <w:rsid w:val="00774B87"/>
    <w:rsid w:val="00774C88"/>
    <w:rsid w:val="00774D02"/>
    <w:rsid w:val="007750D9"/>
    <w:rsid w:val="00775241"/>
    <w:rsid w:val="00775265"/>
    <w:rsid w:val="007753B5"/>
    <w:rsid w:val="00775695"/>
    <w:rsid w:val="00775788"/>
    <w:rsid w:val="00775992"/>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6C"/>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885"/>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0DD1"/>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3BE"/>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B7A"/>
    <w:rsid w:val="007B6DFA"/>
    <w:rsid w:val="007B6E2E"/>
    <w:rsid w:val="007B7287"/>
    <w:rsid w:val="007B741D"/>
    <w:rsid w:val="007B74C3"/>
    <w:rsid w:val="007B753A"/>
    <w:rsid w:val="007B7637"/>
    <w:rsid w:val="007B7677"/>
    <w:rsid w:val="007B7821"/>
    <w:rsid w:val="007B782B"/>
    <w:rsid w:val="007B7980"/>
    <w:rsid w:val="007B7A70"/>
    <w:rsid w:val="007C0033"/>
    <w:rsid w:val="007C06A5"/>
    <w:rsid w:val="007C08AB"/>
    <w:rsid w:val="007C161D"/>
    <w:rsid w:val="007C17CF"/>
    <w:rsid w:val="007C2042"/>
    <w:rsid w:val="007C2208"/>
    <w:rsid w:val="007C24B9"/>
    <w:rsid w:val="007C2CBC"/>
    <w:rsid w:val="007C2EA3"/>
    <w:rsid w:val="007C33E6"/>
    <w:rsid w:val="007C3515"/>
    <w:rsid w:val="007C38F7"/>
    <w:rsid w:val="007C3908"/>
    <w:rsid w:val="007C3AA6"/>
    <w:rsid w:val="007C40E5"/>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B90"/>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700A"/>
    <w:rsid w:val="007D73A8"/>
    <w:rsid w:val="007D743A"/>
    <w:rsid w:val="007D7606"/>
    <w:rsid w:val="007D77EB"/>
    <w:rsid w:val="007E018B"/>
    <w:rsid w:val="007E0637"/>
    <w:rsid w:val="007E0721"/>
    <w:rsid w:val="007E08FE"/>
    <w:rsid w:val="007E0B69"/>
    <w:rsid w:val="007E0C58"/>
    <w:rsid w:val="007E0C77"/>
    <w:rsid w:val="007E0CC7"/>
    <w:rsid w:val="007E0CF4"/>
    <w:rsid w:val="007E0D6F"/>
    <w:rsid w:val="007E0E05"/>
    <w:rsid w:val="007E0E11"/>
    <w:rsid w:val="007E133A"/>
    <w:rsid w:val="007E165D"/>
    <w:rsid w:val="007E1DAC"/>
    <w:rsid w:val="007E1DD3"/>
    <w:rsid w:val="007E209F"/>
    <w:rsid w:val="007E23C8"/>
    <w:rsid w:val="007E23FE"/>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495"/>
    <w:rsid w:val="007F54D2"/>
    <w:rsid w:val="007F5589"/>
    <w:rsid w:val="007F5688"/>
    <w:rsid w:val="007F588F"/>
    <w:rsid w:val="007F5E63"/>
    <w:rsid w:val="007F603C"/>
    <w:rsid w:val="007F6049"/>
    <w:rsid w:val="007F617F"/>
    <w:rsid w:val="007F633E"/>
    <w:rsid w:val="007F66A5"/>
    <w:rsid w:val="007F6947"/>
    <w:rsid w:val="007F7247"/>
    <w:rsid w:val="007F72E0"/>
    <w:rsid w:val="007F74A9"/>
    <w:rsid w:val="007F767F"/>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3FD7"/>
    <w:rsid w:val="008043A4"/>
    <w:rsid w:val="00804983"/>
    <w:rsid w:val="008051DE"/>
    <w:rsid w:val="00805350"/>
    <w:rsid w:val="00805594"/>
    <w:rsid w:val="00805656"/>
    <w:rsid w:val="00805659"/>
    <w:rsid w:val="0080593E"/>
    <w:rsid w:val="00805F9A"/>
    <w:rsid w:val="0080618C"/>
    <w:rsid w:val="008063ED"/>
    <w:rsid w:val="008069B2"/>
    <w:rsid w:val="00806ABA"/>
    <w:rsid w:val="00806B0B"/>
    <w:rsid w:val="00806BC2"/>
    <w:rsid w:val="0080733E"/>
    <w:rsid w:val="008074A3"/>
    <w:rsid w:val="0080783D"/>
    <w:rsid w:val="00807D62"/>
    <w:rsid w:val="008100B2"/>
    <w:rsid w:val="008106C3"/>
    <w:rsid w:val="00810A71"/>
    <w:rsid w:val="00810B66"/>
    <w:rsid w:val="00810B76"/>
    <w:rsid w:val="00810CC2"/>
    <w:rsid w:val="00811465"/>
    <w:rsid w:val="008119E6"/>
    <w:rsid w:val="00811B4D"/>
    <w:rsid w:val="00811DA1"/>
    <w:rsid w:val="008124CB"/>
    <w:rsid w:val="00812C2A"/>
    <w:rsid w:val="00812FCB"/>
    <w:rsid w:val="00813052"/>
    <w:rsid w:val="008130EC"/>
    <w:rsid w:val="0081324B"/>
    <w:rsid w:val="008134C6"/>
    <w:rsid w:val="00813B80"/>
    <w:rsid w:val="00813DF0"/>
    <w:rsid w:val="00814167"/>
    <w:rsid w:val="0081423E"/>
    <w:rsid w:val="008142C1"/>
    <w:rsid w:val="00814307"/>
    <w:rsid w:val="0081440E"/>
    <w:rsid w:val="00814B69"/>
    <w:rsid w:val="00814D09"/>
    <w:rsid w:val="00814F4D"/>
    <w:rsid w:val="008152B9"/>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0E62"/>
    <w:rsid w:val="0082117C"/>
    <w:rsid w:val="0082124A"/>
    <w:rsid w:val="00821702"/>
    <w:rsid w:val="008218ED"/>
    <w:rsid w:val="00822563"/>
    <w:rsid w:val="008231C5"/>
    <w:rsid w:val="00823230"/>
    <w:rsid w:val="00823472"/>
    <w:rsid w:val="008234BD"/>
    <w:rsid w:val="00823663"/>
    <w:rsid w:val="0082372E"/>
    <w:rsid w:val="00823997"/>
    <w:rsid w:val="00823A7E"/>
    <w:rsid w:val="00823D0F"/>
    <w:rsid w:val="0082437A"/>
    <w:rsid w:val="00824A8C"/>
    <w:rsid w:val="008250A5"/>
    <w:rsid w:val="00825155"/>
    <w:rsid w:val="0082545C"/>
    <w:rsid w:val="00825523"/>
    <w:rsid w:val="008258FE"/>
    <w:rsid w:val="00825A7C"/>
    <w:rsid w:val="00825D4C"/>
    <w:rsid w:val="00825D9F"/>
    <w:rsid w:val="00825EB9"/>
    <w:rsid w:val="008261E9"/>
    <w:rsid w:val="008262FE"/>
    <w:rsid w:val="008263A8"/>
    <w:rsid w:val="00826614"/>
    <w:rsid w:val="0082668A"/>
    <w:rsid w:val="008266D3"/>
    <w:rsid w:val="00826786"/>
    <w:rsid w:val="00826C8F"/>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A01"/>
    <w:rsid w:val="00831AE4"/>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5E6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A7"/>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856"/>
    <w:rsid w:val="008458D3"/>
    <w:rsid w:val="00845944"/>
    <w:rsid w:val="008459A7"/>
    <w:rsid w:val="00845DFB"/>
    <w:rsid w:val="00845E6A"/>
    <w:rsid w:val="00846833"/>
    <w:rsid w:val="00846BB1"/>
    <w:rsid w:val="00846CE5"/>
    <w:rsid w:val="00846D10"/>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8AB"/>
    <w:rsid w:val="00860B38"/>
    <w:rsid w:val="0086124E"/>
    <w:rsid w:val="00861A5F"/>
    <w:rsid w:val="00861AF9"/>
    <w:rsid w:val="00861B74"/>
    <w:rsid w:val="00861D98"/>
    <w:rsid w:val="00861DF4"/>
    <w:rsid w:val="00861E30"/>
    <w:rsid w:val="008625ED"/>
    <w:rsid w:val="00862725"/>
    <w:rsid w:val="00862758"/>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535"/>
    <w:rsid w:val="00876F26"/>
    <w:rsid w:val="008770A8"/>
    <w:rsid w:val="008771B6"/>
    <w:rsid w:val="0087739E"/>
    <w:rsid w:val="008774D0"/>
    <w:rsid w:val="00877865"/>
    <w:rsid w:val="008778A8"/>
    <w:rsid w:val="00877D1E"/>
    <w:rsid w:val="00877D54"/>
    <w:rsid w:val="00877E86"/>
    <w:rsid w:val="00877FDD"/>
    <w:rsid w:val="00880032"/>
    <w:rsid w:val="008800B7"/>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4D7E"/>
    <w:rsid w:val="00885067"/>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AAA"/>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44"/>
    <w:rsid w:val="008928A8"/>
    <w:rsid w:val="008928EB"/>
    <w:rsid w:val="00892ABE"/>
    <w:rsid w:val="00892BB8"/>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E41"/>
    <w:rsid w:val="00896F38"/>
    <w:rsid w:val="00897A55"/>
    <w:rsid w:val="00897B6D"/>
    <w:rsid w:val="008A0172"/>
    <w:rsid w:val="008A019D"/>
    <w:rsid w:val="008A02E5"/>
    <w:rsid w:val="008A0395"/>
    <w:rsid w:val="008A0423"/>
    <w:rsid w:val="008A058F"/>
    <w:rsid w:val="008A0843"/>
    <w:rsid w:val="008A086B"/>
    <w:rsid w:val="008A0993"/>
    <w:rsid w:val="008A0EF5"/>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65D"/>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3F0"/>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911"/>
    <w:rsid w:val="008B5DA7"/>
    <w:rsid w:val="008B607E"/>
    <w:rsid w:val="008B6640"/>
    <w:rsid w:val="008B6A37"/>
    <w:rsid w:val="008B6A56"/>
    <w:rsid w:val="008B6F08"/>
    <w:rsid w:val="008B71A7"/>
    <w:rsid w:val="008B7518"/>
    <w:rsid w:val="008B756E"/>
    <w:rsid w:val="008B79A7"/>
    <w:rsid w:val="008B7AC2"/>
    <w:rsid w:val="008B7B55"/>
    <w:rsid w:val="008B7E1F"/>
    <w:rsid w:val="008B7FD5"/>
    <w:rsid w:val="008C0071"/>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2AFA"/>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D82"/>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05"/>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5B11"/>
    <w:rsid w:val="00906150"/>
    <w:rsid w:val="00906B15"/>
    <w:rsid w:val="00907430"/>
    <w:rsid w:val="00907498"/>
    <w:rsid w:val="00907968"/>
    <w:rsid w:val="00907A72"/>
    <w:rsid w:val="00907F0D"/>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0FEC"/>
    <w:rsid w:val="009211CF"/>
    <w:rsid w:val="009211F2"/>
    <w:rsid w:val="00921705"/>
    <w:rsid w:val="00921A3E"/>
    <w:rsid w:val="00921A4F"/>
    <w:rsid w:val="00921B79"/>
    <w:rsid w:val="00922061"/>
    <w:rsid w:val="00922295"/>
    <w:rsid w:val="009226F4"/>
    <w:rsid w:val="0092299C"/>
    <w:rsid w:val="00922CD3"/>
    <w:rsid w:val="00922E38"/>
    <w:rsid w:val="009230E2"/>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4C2"/>
    <w:rsid w:val="009346EA"/>
    <w:rsid w:val="009347FC"/>
    <w:rsid w:val="00934AD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AB2"/>
    <w:rsid w:val="00936B5E"/>
    <w:rsid w:val="00936BFE"/>
    <w:rsid w:val="00936C7F"/>
    <w:rsid w:val="009373EF"/>
    <w:rsid w:val="009377EA"/>
    <w:rsid w:val="0093795C"/>
    <w:rsid w:val="00937C88"/>
    <w:rsid w:val="00937DCB"/>
    <w:rsid w:val="00937E53"/>
    <w:rsid w:val="00937EC9"/>
    <w:rsid w:val="00937F77"/>
    <w:rsid w:val="00937F7E"/>
    <w:rsid w:val="0094001E"/>
    <w:rsid w:val="00940363"/>
    <w:rsid w:val="009404FB"/>
    <w:rsid w:val="00940576"/>
    <w:rsid w:val="009405C8"/>
    <w:rsid w:val="00940DD8"/>
    <w:rsid w:val="0094104B"/>
    <w:rsid w:val="0094141F"/>
    <w:rsid w:val="00941655"/>
    <w:rsid w:val="00941C5B"/>
    <w:rsid w:val="00941FF5"/>
    <w:rsid w:val="00942022"/>
    <w:rsid w:val="0094237D"/>
    <w:rsid w:val="009425D0"/>
    <w:rsid w:val="00942814"/>
    <w:rsid w:val="009429B8"/>
    <w:rsid w:val="00942FB7"/>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EE9"/>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50D"/>
    <w:rsid w:val="00956BA7"/>
    <w:rsid w:val="00956EB1"/>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B3B"/>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67CA9"/>
    <w:rsid w:val="0097014D"/>
    <w:rsid w:val="009702E6"/>
    <w:rsid w:val="009703A7"/>
    <w:rsid w:val="009705AB"/>
    <w:rsid w:val="00970664"/>
    <w:rsid w:val="009707B6"/>
    <w:rsid w:val="00970974"/>
    <w:rsid w:val="009709EC"/>
    <w:rsid w:val="00970E8A"/>
    <w:rsid w:val="00971139"/>
    <w:rsid w:val="0097128D"/>
    <w:rsid w:val="009712B4"/>
    <w:rsid w:val="009715E5"/>
    <w:rsid w:val="00971F21"/>
    <w:rsid w:val="00971F5D"/>
    <w:rsid w:val="00972288"/>
    <w:rsid w:val="00972B10"/>
    <w:rsid w:val="00972DED"/>
    <w:rsid w:val="00973554"/>
    <w:rsid w:val="0097358B"/>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5EA5"/>
    <w:rsid w:val="00976F32"/>
    <w:rsid w:val="0097752F"/>
    <w:rsid w:val="00977648"/>
    <w:rsid w:val="009778B7"/>
    <w:rsid w:val="00977D85"/>
    <w:rsid w:val="0098057D"/>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656"/>
    <w:rsid w:val="00985B6F"/>
    <w:rsid w:val="00985B79"/>
    <w:rsid w:val="009861A8"/>
    <w:rsid w:val="009861C2"/>
    <w:rsid w:val="0098629B"/>
    <w:rsid w:val="0098634E"/>
    <w:rsid w:val="00986460"/>
    <w:rsid w:val="0098690F"/>
    <w:rsid w:val="00986A7E"/>
    <w:rsid w:val="00986BC3"/>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830"/>
    <w:rsid w:val="009928B3"/>
    <w:rsid w:val="00992968"/>
    <w:rsid w:val="00992A4A"/>
    <w:rsid w:val="00992B6B"/>
    <w:rsid w:val="00992C88"/>
    <w:rsid w:val="00992F2E"/>
    <w:rsid w:val="00993431"/>
    <w:rsid w:val="0099343D"/>
    <w:rsid w:val="00993495"/>
    <w:rsid w:val="009939EB"/>
    <w:rsid w:val="00993B9D"/>
    <w:rsid w:val="00993C2E"/>
    <w:rsid w:val="00993CEC"/>
    <w:rsid w:val="00993D33"/>
    <w:rsid w:val="009943ED"/>
    <w:rsid w:val="0099454E"/>
    <w:rsid w:val="0099456D"/>
    <w:rsid w:val="00994618"/>
    <w:rsid w:val="00994920"/>
    <w:rsid w:val="00994948"/>
    <w:rsid w:val="00994E8A"/>
    <w:rsid w:val="00994F60"/>
    <w:rsid w:val="00995151"/>
    <w:rsid w:val="0099545F"/>
    <w:rsid w:val="00995BF1"/>
    <w:rsid w:val="00995CC4"/>
    <w:rsid w:val="00995DF2"/>
    <w:rsid w:val="0099769B"/>
    <w:rsid w:val="00997832"/>
    <w:rsid w:val="00997887"/>
    <w:rsid w:val="00997905"/>
    <w:rsid w:val="00997A8C"/>
    <w:rsid w:val="00997B51"/>
    <w:rsid w:val="00997B80"/>
    <w:rsid w:val="00997C8A"/>
    <w:rsid w:val="00997CDC"/>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34A"/>
    <w:rsid w:val="009A26E9"/>
    <w:rsid w:val="009A2C26"/>
    <w:rsid w:val="009A2CCC"/>
    <w:rsid w:val="009A2F68"/>
    <w:rsid w:val="009A3006"/>
    <w:rsid w:val="009A309F"/>
    <w:rsid w:val="009A337B"/>
    <w:rsid w:val="009A34C8"/>
    <w:rsid w:val="009A3994"/>
    <w:rsid w:val="009A3BB3"/>
    <w:rsid w:val="009A4241"/>
    <w:rsid w:val="009A42F6"/>
    <w:rsid w:val="009A445A"/>
    <w:rsid w:val="009A4498"/>
    <w:rsid w:val="009A45C8"/>
    <w:rsid w:val="009A48A3"/>
    <w:rsid w:val="009A4EAD"/>
    <w:rsid w:val="009A50CD"/>
    <w:rsid w:val="009A52F3"/>
    <w:rsid w:val="009A532D"/>
    <w:rsid w:val="009A59FF"/>
    <w:rsid w:val="009A65F4"/>
    <w:rsid w:val="009A681D"/>
    <w:rsid w:val="009A77A6"/>
    <w:rsid w:val="009A78A3"/>
    <w:rsid w:val="009A7961"/>
    <w:rsid w:val="009A7B5C"/>
    <w:rsid w:val="009B03A1"/>
    <w:rsid w:val="009B03E8"/>
    <w:rsid w:val="009B06A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80B"/>
    <w:rsid w:val="009B4C24"/>
    <w:rsid w:val="009B4E58"/>
    <w:rsid w:val="009B522F"/>
    <w:rsid w:val="009B56E4"/>
    <w:rsid w:val="009B57F6"/>
    <w:rsid w:val="009B5B02"/>
    <w:rsid w:val="009B5B0F"/>
    <w:rsid w:val="009B5BD6"/>
    <w:rsid w:val="009B5D6F"/>
    <w:rsid w:val="009B5F9A"/>
    <w:rsid w:val="009B62AF"/>
    <w:rsid w:val="009B63AE"/>
    <w:rsid w:val="009B6745"/>
    <w:rsid w:val="009B68AF"/>
    <w:rsid w:val="009B6ED3"/>
    <w:rsid w:val="009B6FAB"/>
    <w:rsid w:val="009B7286"/>
    <w:rsid w:val="009B73AE"/>
    <w:rsid w:val="009B74EA"/>
    <w:rsid w:val="009B7549"/>
    <w:rsid w:val="009B7AB7"/>
    <w:rsid w:val="009B7AB9"/>
    <w:rsid w:val="009C01D2"/>
    <w:rsid w:val="009C029D"/>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B82"/>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96D"/>
    <w:rsid w:val="009D3B41"/>
    <w:rsid w:val="009D3D0B"/>
    <w:rsid w:val="009D4062"/>
    <w:rsid w:val="009D44F6"/>
    <w:rsid w:val="009D45C8"/>
    <w:rsid w:val="009D4D44"/>
    <w:rsid w:val="009D4DF9"/>
    <w:rsid w:val="009D4FF7"/>
    <w:rsid w:val="009D51E2"/>
    <w:rsid w:val="009D5393"/>
    <w:rsid w:val="009D5445"/>
    <w:rsid w:val="009D5604"/>
    <w:rsid w:val="009D565F"/>
    <w:rsid w:val="009D56C8"/>
    <w:rsid w:val="009D5820"/>
    <w:rsid w:val="009D5AE6"/>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2E7B"/>
    <w:rsid w:val="009E370E"/>
    <w:rsid w:val="009E3AD9"/>
    <w:rsid w:val="009E3B5A"/>
    <w:rsid w:val="009E3E85"/>
    <w:rsid w:val="009E4226"/>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AAD"/>
    <w:rsid w:val="009E6CD6"/>
    <w:rsid w:val="009E6CD9"/>
    <w:rsid w:val="009E733E"/>
    <w:rsid w:val="009E74C5"/>
    <w:rsid w:val="009E7E3C"/>
    <w:rsid w:val="009E7F7E"/>
    <w:rsid w:val="009F015D"/>
    <w:rsid w:val="009F01DB"/>
    <w:rsid w:val="009F0E6B"/>
    <w:rsid w:val="009F0EE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CF1"/>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20D"/>
    <w:rsid w:val="00A07738"/>
    <w:rsid w:val="00A07ACC"/>
    <w:rsid w:val="00A1108E"/>
    <w:rsid w:val="00A11259"/>
    <w:rsid w:val="00A11430"/>
    <w:rsid w:val="00A11799"/>
    <w:rsid w:val="00A1184F"/>
    <w:rsid w:val="00A11B89"/>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879"/>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71E"/>
    <w:rsid w:val="00A35A7A"/>
    <w:rsid w:val="00A35AAC"/>
    <w:rsid w:val="00A36427"/>
    <w:rsid w:val="00A36845"/>
    <w:rsid w:val="00A36BDF"/>
    <w:rsid w:val="00A374CD"/>
    <w:rsid w:val="00A378A2"/>
    <w:rsid w:val="00A37B1D"/>
    <w:rsid w:val="00A37CAC"/>
    <w:rsid w:val="00A40175"/>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5D3D"/>
    <w:rsid w:val="00A460A1"/>
    <w:rsid w:val="00A464E3"/>
    <w:rsid w:val="00A46500"/>
    <w:rsid w:val="00A4679A"/>
    <w:rsid w:val="00A46E28"/>
    <w:rsid w:val="00A473D7"/>
    <w:rsid w:val="00A4772C"/>
    <w:rsid w:val="00A477C6"/>
    <w:rsid w:val="00A478FA"/>
    <w:rsid w:val="00A4799F"/>
    <w:rsid w:val="00A47A9A"/>
    <w:rsid w:val="00A47D31"/>
    <w:rsid w:val="00A501F6"/>
    <w:rsid w:val="00A509F2"/>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2"/>
    <w:rsid w:val="00A5499C"/>
    <w:rsid w:val="00A54CCB"/>
    <w:rsid w:val="00A54E77"/>
    <w:rsid w:val="00A55424"/>
    <w:rsid w:val="00A55682"/>
    <w:rsid w:val="00A55911"/>
    <w:rsid w:val="00A55B71"/>
    <w:rsid w:val="00A55C52"/>
    <w:rsid w:val="00A55FFA"/>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34"/>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89"/>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64"/>
    <w:rsid w:val="00A82F78"/>
    <w:rsid w:val="00A82FFE"/>
    <w:rsid w:val="00A8307D"/>
    <w:rsid w:val="00A831CF"/>
    <w:rsid w:val="00A831FB"/>
    <w:rsid w:val="00A8322E"/>
    <w:rsid w:val="00A83310"/>
    <w:rsid w:val="00A833BB"/>
    <w:rsid w:val="00A8358F"/>
    <w:rsid w:val="00A837FA"/>
    <w:rsid w:val="00A83B95"/>
    <w:rsid w:val="00A83BC5"/>
    <w:rsid w:val="00A83EB5"/>
    <w:rsid w:val="00A84186"/>
    <w:rsid w:val="00A84424"/>
    <w:rsid w:val="00A846F1"/>
    <w:rsid w:val="00A84937"/>
    <w:rsid w:val="00A84A34"/>
    <w:rsid w:val="00A84EAF"/>
    <w:rsid w:val="00A85468"/>
    <w:rsid w:val="00A85469"/>
    <w:rsid w:val="00A857B4"/>
    <w:rsid w:val="00A85B14"/>
    <w:rsid w:val="00A85B90"/>
    <w:rsid w:val="00A8674E"/>
    <w:rsid w:val="00A86F91"/>
    <w:rsid w:val="00A86FB6"/>
    <w:rsid w:val="00A875C0"/>
    <w:rsid w:val="00A87654"/>
    <w:rsid w:val="00A87C15"/>
    <w:rsid w:val="00A9014D"/>
    <w:rsid w:val="00A90925"/>
    <w:rsid w:val="00A90DDB"/>
    <w:rsid w:val="00A918DC"/>
    <w:rsid w:val="00A91AE4"/>
    <w:rsid w:val="00A925D7"/>
    <w:rsid w:val="00A92706"/>
    <w:rsid w:val="00A9280B"/>
    <w:rsid w:val="00A9281E"/>
    <w:rsid w:val="00A92939"/>
    <w:rsid w:val="00A92B42"/>
    <w:rsid w:val="00A92CF1"/>
    <w:rsid w:val="00A93190"/>
    <w:rsid w:val="00A93CB3"/>
    <w:rsid w:val="00A93D34"/>
    <w:rsid w:val="00A93DAF"/>
    <w:rsid w:val="00A93E6F"/>
    <w:rsid w:val="00A93FD1"/>
    <w:rsid w:val="00A9413F"/>
    <w:rsid w:val="00A9439C"/>
    <w:rsid w:val="00A943F8"/>
    <w:rsid w:val="00A94488"/>
    <w:rsid w:val="00A945C2"/>
    <w:rsid w:val="00A947F1"/>
    <w:rsid w:val="00A94DF6"/>
    <w:rsid w:val="00A951F2"/>
    <w:rsid w:val="00A9584E"/>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30"/>
    <w:rsid w:val="00AA2167"/>
    <w:rsid w:val="00AA2493"/>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105"/>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3E2"/>
    <w:rsid w:val="00AC38FF"/>
    <w:rsid w:val="00AC3DC0"/>
    <w:rsid w:val="00AC409D"/>
    <w:rsid w:val="00AC426D"/>
    <w:rsid w:val="00AC43D2"/>
    <w:rsid w:val="00AC47AE"/>
    <w:rsid w:val="00AC485B"/>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B55"/>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AF4"/>
    <w:rsid w:val="00AD2B41"/>
    <w:rsid w:val="00AD2E6B"/>
    <w:rsid w:val="00AD3115"/>
    <w:rsid w:val="00AD3920"/>
    <w:rsid w:val="00AD3D9F"/>
    <w:rsid w:val="00AD4431"/>
    <w:rsid w:val="00AD465C"/>
    <w:rsid w:val="00AD4D66"/>
    <w:rsid w:val="00AD516C"/>
    <w:rsid w:val="00AD51CC"/>
    <w:rsid w:val="00AD5922"/>
    <w:rsid w:val="00AD5B84"/>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2AAE"/>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008"/>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35A"/>
    <w:rsid w:val="00AF75FC"/>
    <w:rsid w:val="00AF7766"/>
    <w:rsid w:val="00AF78A5"/>
    <w:rsid w:val="00AF7E12"/>
    <w:rsid w:val="00AF7F9E"/>
    <w:rsid w:val="00B0025D"/>
    <w:rsid w:val="00B006D8"/>
    <w:rsid w:val="00B0073B"/>
    <w:rsid w:val="00B00A61"/>
    <w:rsid w:val="00B00B13"/>
    <w:rsid w:val="00B00D87"/>
    <w:rsid w:val="00B015BB"/>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2B0"/>
    <w:rsid w:val="00B06545"/>
    <w:rsid w:val="00B067C4"/>
    <w:rsid w:val="00B0688D"/>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865"/>
    <w:rsid w:val="00B12904"/>
    <w:rsid w:val="00B12B44"/>
    <w:rsid w:val="00B12B95"/>
    <w:rsid w:val="00B133CD"/>
    <w:rsid w:val="00B1394E"/>
    <w:rsid w:val="00B13DA6"/>
    <w:rsid w:val="00B141BB"/>
    <w:rsid w:val="00B1466C"/>
    <w:rsid w:val="00B149B2"/>
    <w:rsid w:val="00B14BA4"/>
    <w:rsid w:val="00B14F7F"/>
    <w:rsid w:val="00B15074"/>
    <w:rsid w:val="00B152F4"/>
    <w:rsid w:val="00B154B3"/>
    <w:rsid w:val="00B154B5"/>
    <w:rsid w:val="00B157BA"/>
    <w:rsid w:val="00B15DAA"/>
    <w:rsid w:val="00B1664E"/>
    <w:rsid w:val="00B169ED"/>
    <w:rsid w:val="00B16F85"/>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3B8"/>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8F1"/>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5B86"/>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0EF"/>
    <w:rsid w:val="00B63284"/>
    <w:rsid w:val="00B63709"/>
    <w:rsid w:val="00B6373D"/>
    <w:rsid w:val="00B63964"/>
    <w:rsid w:val="00B63E30"/>
    <w:rsid w:val="00B6445E"/>
    <w:rsid w:val="00B645FA"/>
    <w:rsid w:val="00B64775"/>
    <w:rsid w:val="00B64BF2"/>
    <w:rsid w:val="00B64D39"/>
    <w:rsid w:val="00B64F04"/>
    <w:rsid w:val="00B6504C"/>
    <w:rsid w:val="00B6520E"/>
    <w:rsid w:val="00B6531D"/>
    <w:rsid w:val="00B6532A"/>
    <w:rsid w:val="00B65660"/>
    <w:rsid w:val="00B65755"/>
    <w:rsid w:val="00B657AB"/>
    <w:rsid w:val="00B657E6"/>
    <w:rsid w:val="00B65854"/>
    <w:rsid w:val="00B65AF9"/>
    <w:rsid w:val="00B65FF0"/>
    <w:rsid w:val="00B662EB"/>
    <w:rsid w:val="00B663CD"/>
    <w:rsid w:val="00B665C8"/>
    <w:rsid w:val="00B67013"/>
    <w:rsid w:val="00B6704A"/>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49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6D2"/>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4CBC"/>
    <w:rsid w:val="00B8518B"/>
    <w:rsid w:val="00B8556E"/>
    <w:rsid w:val="00B85845"/>
    <w:rsid w:val="00B8586E"/>
    <w:rsid w:val="00B858B1"/>
    <w:rsid w:val="00B85A97"/>
    <w:rsid w:val="00B85C3D"/>
    <w:rsid w:val="00B8600B"/>
    <w:rsid w:val="00B860A2"/>
    <w:rsid w:val="00B86278"/>
    <w:rsid w:val="00B86AF6"/>
    <w:rsid w:val="00B86CAF"/>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0E5D"/>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C3B"/>
    <w:rsid w:val="00B93E85"/>
    <w:rsid w:val="00B9422B"/>
    <w:rsid w:val="00B946A8"/>
    <w:rsid w:val="00B947AD"/>
    <w:rsid w:val="00B948A0"/>
    <w:rsid w:val="00B94A6A"/>
    <w:rsid w:val="00B94B02"/>
    <w:rsid w:val="00B94B27"/>
    <w:rsid w:val="00B94D24"/>
    <w:rsid w:val="00B94D4C"/>
    <w:rsid w:val="00B94DFE"/>
    <w:rsid w:val="00B94EB5"/>
    <w:rsid w:val="00B95110"/>
    <w:rsid w:val="00B9589C"/>
    <w:rsid w:val="00B95A01"/>
    <w:rsid w:val="00B95F6F"/>
    <w:rsid w:val="00B95FC8"/>
    <w:rsid w:val="00B9610A"/>
    <w:rsid w:val="00B965DC"/>
    <w:rsid w:val="00B966FB"/>
    <w:rsid w:val="00B96A8E"/>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8E8"/>
    <w:rsid w:val="00BA6936"/>
    <w:rsid w:val="00BA6C22"/>
    <w:rsid w:val="00BA6DBD"/>
    <w:rsid w:val="00BA7276"/>
    <w:rsid w:val="00BA78A8"/>
    <w:rsid w:val="00BA7C71"/>
    <w:rsid w:val="00BB0267"/>
    <w:rsid w:val="00BB02EA"/>
    <w:rsid w:val="00BB072E"/>
    <w:rsid w:val="00BB078B"/>
    <w:rsid w:val="00BB0C7E"/>
    <w:rsid w:val="00BB0D66"/>
    <w:rsid w:val="00BB0DE7"/>
    <w:rsid w:val="00BB0E0C"/>
    <w:rsid w:val="00BB112C"/>
    <w:rsid w:val="00BB135F"/>
    <w:rsid w:val="00BB147C"/>
    <w:rsid w:val="00BB209C"/>
    <w:rsid w:val="00BB210C"/>
    <w:rsid w:val="00BB218D"/>
    <w:rsid w:val="00BB21FB"/>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C6F"/>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663"/>
    <w:rsid w:val="00BC5737"/>
    <w:rsid w:val="00BC5C14"/>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7F"/>
    <w:rsid w:val="00BD4493"/>
    <w:rsid w:val="00BD47E6"/>
    <w:rsid w:val="00BD4D97"/>
    <w:rsid w:val="00BD5031"/>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A03"/>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07FD"/>
    <w:rsid w:val="00BF10E8"/>
    <w:rsid w:val="00BF11E2"/>
    <w:rsid w:val="00BF1376"/>
    <w:rsid w:val="00BF1B38"/>
    <w:rsid w:val="00BF1B73"/>
    <w:rsid w:val="00BF1D1B"/>
    <w:rsid w:val="00BF2033"/>
    <w:rsid w:val="00BF2320"/>
    <w:rsid w:val="00BF2B02"/>
    <w:rsid w:val="00BF2B75"/>
    <w:rsid w:val="00BF2C93"/>
    <w:rsid w:val="00BF3158"/>
    <w:rsid w:val="00BF3169"/>
    <w:rsid w:val="00BF31CF"/>
    <w:rsid w:val="00BF34E0"/>
    <w:rsid w:val="00BF3614"/>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5E5"/>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3F49"/>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50F"/>
    <w:rsid w:val="00C176A9"/>
    <w:rsid w:val="00C1776A"/>
    <w:rsid w:val="00C17CB0"/>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8F6"/>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4BB1"/>
    <w:rsid w:val="00C351DF"/>
    <w:rsid w:val="00C353CF"/>
    <w:rsid w:val="00C353DC"/>
    <w:rsid w:val="00C358A5"/>
    <w:rsid w:val="00C35A9A"/>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379FA"/>
    <w:rsid w:val="00C4002D"/>
    <w:rsid w:val="00C401E4"/>
    <w:rsid w:val="00C40316"/>
    <w:rsid w:val="00C408C2"/>
    <w:rsid w:val="00C408D5"/>
    <w:rsid w:val="00C40B77"/>
    <w:rsid w:val="00C40D55"/>
    <w:rsid w:val="00C411B7"/>
    <w:rsid w:val="00C41401"/>
    <w:rsid w:val="00C4144F"/>
    <w:rsid w:val="00C41D3C"/>
    <w:rsid w:val="00C42402"/>
    <w:rsid w:val="00C427D6"/>
    <w:rsid w:val="00C428A5"/>
    <w:rsid w:val="00C42B09"/>
    <w:rsid w:val="00C42EE4"/>
    <w:rsid w:val="00C42F96"/>
    <w:rsid w:val="00C430EE"/>
    <w:rsid w:val="00C4315C"/>
    <w:rsid w:val="00C43257"/>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8C"/>
    <w:rsid w:val="00C44BDC"/>
    <w:rsid w:val="00C44E3E"/>
    <w:rsid w:val="00C450A5"/>
    <w:rsid w:val="00C45163"/>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29"/>
    <w:rsid w:val="00C50FF9"/>
    <w:rsid w:val="00C5116D"/>
    <w:rsid w:val="00C511CC"/>
    <w:rsid w:val="00C51353"/>
    <w:rsid w:val="00C51A6A"/>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477"/>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1EA7"/>
    <w:rsid w:val="00C72178"/>
    <w:rsid w:val="00C72816"/>
    <w:rsid w:val="00C729C9"/>
    <w:rsid w:val="00C72B1D"/>
    <w:rsid w:val="00C730CB"/>
    <w:rsid w:val="00C731FC"/>
    <w:rsid w:val="00C7329F"/>
    <w:rsid w:val="00C73314"/>
    <w:rsid w:val="00C73586"/>
    <w:rsid w:val="00C73627"/>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65"/>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9A4"/>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2C"/>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1B9"/>
    <w:rsid w:val="00C945DB"/>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6D3D"/>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444"/>
    <w:rsid w:val="00CB2A98"/>
    <w:rsid w:val="00CB2AA5"/>
    <w:rsid w:val="00CB2E78"/>
    <w:rsid w:val="00CB2E9C"/>
    <w:rsid w:val="00CB2EAD"/>
    <w:rsid w:val="00CB3064"/>
    <w:rsid w:val="00CB3818"/>
    <w:rsid w:val="00CB3A96"/>
    <w:rsid w:val="00CB43AC"/>
    <w:rsid w:val="00CB4B6E"/>
    <w:rsid w:val="00CB5143"/>
    <w:rsid w:val="00CB5197"/>
    <w:rsid w:val="00CB6164"/>
    <w:rsid w:val="00CB6570"/>
    <w:rsid w:val="00CB68DB"/>
    <w:rsid w:val="00CB6930"/>
    <w:rsid w:val="00CB6A7F"/>
    <w:rsid w:val="00CB6C94"/>
    <w:rsid w:val="00CB6FB4"/>
    <w:rsid w:val="00CB75B9"/>
    <w:rsid w:val="00CB79F7"/>
    <w:rsid w:val="00CB7ADF"/>
    <w:rsid w:val="00CB7CCD"/>
    <w:rsid w:val="00CC0045"/>
    <w:rsid w:val="00CC02AE"/>
    <w:rsid w:val="00CC0511"/>
    <w:rsid w:val="00CC07E9"/>
    <w:rsid w:val="00CC091B"/>
    <w:rsid w:val="00CC1342"/>
    <w:rsid w:val="00CC1418"/>
    <w:rsid w:val="00CC172D"/>
    <w:rsid w:val="00CC178F"/>
    <w:rsid w:val="00CC18C0"/>
    <w:rsid w:val="00CC1939"/>
    <w:rsid w:val="00CC1F80"/>
    <w:rsid w:val="00CC1FD7"/>
    <w:rsid w:val="00CC23EB"/>
    <w:rsid w:val="00CC27B0"/>
    <w:rsid w:val="00CC2A2C"/>
    <w:rsid w:val="00CC4160"/>
    <w:rsid w:val="00CC42D4"/>
    <w:rsid w:val="00CC4364"/>
    <w:rsid w:val="00CC472C"/>
    <w:rsid w:val="00CC4A40"/>
    <w:rsid w:val="00CC4E16"/>
    <w:rsid w:val="00CC4FC4"/>
    <w:rsid w:val="00CC5628"/>
    <w:rsid w:val="00CC5ABF"/>
    <w:rsid w:val="00CC64E3"/>
    <w:rsid w:val="00CC6A0B"/>
    <w:rsid w:val="00CC6B93"/>
    <w:rsid w:val="00CC6D93"/>
    <w:rsid w:val="00CC6FD5"/>
    <w:rsid w:val="00CC7258"/>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468"/>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441"/>
    <w:rsid w:val="00CE65F6"/>
    <w:rsid w:val="00CE6822"/>
    <w:rsid w:val="00CE6913"/>
    <w:rsid w:val="00CE6AB1"/>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767"/>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1BB"/>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784"/>
    <w:rsid w:val="00D24CA3"/>
    <w:rsid w:val="00D24DAB"/>
    <w:rsid w:val="00D24F45"/>
    <w:rsid w:val="00D2516D"/>
    <w:rsid w:val="00D251AC"/>
    <w:rsid w:val="00D257FD"/>
    <w:rsid w:val="00D25AEC"/>
    <w:rsid w:val="00D25AF1"/>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892"/>
    <w:rsid w:val="00D30BF9"/>
    <w:rsid w:val="00D314BD"/>
    <w:rsid w:val="00D318B4"/>
    <w:rsid w:val="00D31910"/>
    <w:rsid w:val="00D31FFD"/>
    <w:rsid w:val="00D32074"/>
    <w:rsid w:val="00D3210D"/>
    <w:rsid w:val="00D3217F"/>
    <w:rsid w:val="00D32376"/>
    <w:rsid w:val="00D323B1"/>
    <w:rsid w:val="00D326DD"/>
    <w:rsid w:val="00D3277A"/>
    <w:rsid w:val="00D329D1"/>
    <w:rsid w:val="00D32DD5"/>
    <w:rsid w:val="00D32E91"/>
    <w:rsid w:val="00D3307E"/>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0A"/>
    <w:rsid w:val="00D4541B"/>
    <w:rsid w:val="00D456A7"/>
    <w:rsid w:val="00D45872"/>
    <w:rsid w:val="00D45A0C"/>
    <w:rsid w:val="00D462F6"/>
    <w:rsid w:val="00D464D7"/>
    <w:rsid w:val="00D46569"/>
    <w:rsid w:val="00D46787"/>
    <w:rsid w:val="00D4691A"/>
    <w:rsid w:val="00D46C4C"/>
    <w:rsid w:val="00D47C4A"/>
    <w:rsid w:val="00D47C9F"/>
    <w:rsid w:val="00D47D2E"/>
    <w:rsid w:val="00D47EA9"/>
    <w:rsid w:val="00D508B4"/>
    <w:rsid w:val="00D50A9A"/>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CDD"/>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55"/>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618"/>
    <w:rsid w:val="00D64C56"/>
    <w:rsid w:val="00D65108"/>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A9E"/>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C8E"/>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316"/>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1DF"/>
    <w:rsid w:val="00D9038D"/>
    <w:rsid w:val="00D90898"/>
    <w:rsid w:val="00D90998"/>
    <w:rsid w:val="00D909BB"/>
    <w:rsid w:val="00D90CE0"/>
    <w:rsid w:val="00D90DA0"/>
    <w:rsid w:val="00D90EB1"/>
    <w:rsid w:val="00D9111B"/>
    <w:rsid w:val="00D9127E"/>
    <w:rsid w:val="00D9174D"/>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C41"/>
    <w:rsid w:val="00D96F24"/>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846"/>
    <w:rsid w:val="00DA7904"/>
    <w:rsid w:val="00DA7A9F"/>
    <w:rsid w:val="00DA7AFF"/>
    <w:rsid w:val="00DA7CBB"/>
    <w:rsid w:val="00DA7EC2"/>
    <w:rsid w:val="00DA7F06"/>
    <w:rsid w:val="00DB0380"/>
    <w:rsid w:val="00DB083D"/>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1E8"/>
    <w:rsid w:val="00DB52C9"/>
    <w:rsid w:val="00DB5806"/>
    <w:rsid w:val="00DB59DB"/>
    <w:rsid w:val="00DB5B0F"/>
    <w:rsid w:val="00DB5B94"/>
    <w:rsid w:val="00DB5D62"/>
    <w:rsid w:val="00DB60A0"/>
    <w:rsid w:val="00DB6278"/>
    <w:rsid w:val="00DB6D7D"/>
    <w:rsid w:val="00DB7087"/>
    <w:rsid w:val="00DB7178"/>
    <w:rsid w:val="00DB7320"/>
    <w:rsid w:val="00DB734F"/>
    <w:rsid w:val="00DB75E7"/>
    <w:rsid w:val="00DB76A4"/>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0C66"/>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5DB"/>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89E"/>
    <w:rsid w:val="00DE490A"/>
    <w:rsid w:val="00DE4958"/>
    <w:rsid w:val="00DE4978"/>
    <w:rsid w:val="00DE4A0A"/>
    <w:rsid w:val="00DE4A94"/>
    <w:rsid w:val="00DE4AA0"/>
    <w:rsid w:val="00DE4AAF"/>
    <w:rsid w:val="00DE4C9A"/>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7B"/>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B3F"/>
    <w:rsid w:val="00DF5CAC"/>
    <w:rsid w:val="00DF5CF7"/>
    <w:rsid w:val="00DF5DC3"/>
    <w:rsid w:val="00DF6022"/>
    <w:rsid w:val="00DF6141"/>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0D7"/>
    <w:rsid w:val="00E0133D"/>
    <w:rsid w:val="00E01721"/>
    <w:rsid w:val="00E0199E"/>
    <w:rsid w:val="00E019ED"/>
    <w:rsid w:val="00E01B31"/>
    <w:rsid w:val="00E01E09"/>
    <w:rsid w:val="00E0231C"/>
    <w:rsid w:val="00E02392"/>
    <w:rsid w:val="00E025BF"/>
    <w:rsid w:val="00E02967"/>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6065"/>
    <w:rsid w:val="00E060E7"/>
    <w:rsid w:val="00E0668C"/>
    <w:rsid w:val="00E066F2"/>
    <w:rsid w:val="00E06A81"/>
    <w:rsid w:val="00E06B51"/>
    <w:rsid w:val="00E0739E"/>
    <w:rsid w:val="00E07611"/>
    <w:rsid w:val="00E07772"/>
    <w:rsid w:val="00E07901"/>
    <w:rsid w:val="00E079C6"/>
    <w:rsid w:val="00E100A0"/>
    <w:rsid w:val="00E10AE7"/>
    <w:rsid w:val="00E10B9A"/>
    <w:rsid w:val="00E10BFA"/>
    <w:rsid w:val="00E110E9"/>
    <w:rsid w:val="00E1133A"/>
    <w:rsid w:val="00E11428"/>
    <w:rsid w:val="00E116C6"/>
    <w:rsid w:val="00E116D4"/>
    <w:rsid w:val="00E1178F"/>
    <w:rsid w:val="00E11EE1"/>
    <w:rsid w:val="00E12030"/>
    <w:rsid w:val="00E121D2"/>
    <w:rsid w:val="00E1239C"/>
    <w:rsid w:val="00E124D0"/>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6F0"/>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D3A"/>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23D"/>
    <w:rsid w:val="00E53948"/>
    <w:rsid w:val="00E53A12"/>
    <w:rsid w:val="00E53AB2"/>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DB1"/>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CFD"/>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592"/>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945"/>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7DC"/>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0B"/>
    <w:rsid w:val="00E92A93"/>
    <w:rsid w:val="00E933BD"/>
    <w:rsid w:val="00E93620"/>
    <w:rsid w:val="00E93ACF"/>
    <w:rsid w:val="00E93E4F"/>
    <w:rsid w:val="00E941E0"/>
    <w:rsid w:val="00E944F8"/>
    <w:rsid w:val="00E94B95"/>
    <w:rsid w:val="00E951D5"/>
    <w:rsid w:val="00E95418"/>
    <w:rsid w:val="00E95517"/>
    <w:rsid w:val="00E9567F"/>
    <w:rsid w:val="00E95761"/>
    <w:rsid w:val="00E959A0"/>
    <w:rsid w:val="00E95A69"/>
    <w:rsid w:val="00E95A73"/>
    <w:rsid w:val="00E95E8F"/>
    <w:rsid w:val="00E95EC4"/>
    <w:rsid w:val="00E9652A"/>
    <w:rsid w:val="00E965C3"/>
    <w:rsid w:val="00E96897"/>
    <w:rsid w:val="00E96918"/>
    <w:rsid w:val="00E969FC"/>
    <w:rsid w:val="00E96BCD"/>
    <w:rsid w:val="00E96C47"/>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1E61"/>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8F7"/>
    <w:rsid w:val="00EA5CB5"/>
    <w:rsid w:val="00EA5CF4"/>
    <w:rsid w:val="00EA6351"/>
    <w:rsid w:val="00EA6548"/>
    <w:rsid w:val="00EA6573"/>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721"/>
    <w:rsid w:val="00EB29E8"/>
    <w:rsid w:val="00EB2B78"/>
    <w:rsid w:val="00EB2EDA"/>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7DC"/>
    <w:rsid w:val="00EB4992"/>
    <w:rsid w:val="00EB4EF2"/>
    <w:rsid w:val="00EB4F1A"/>
    <w:rsid w:val="00EB50B2"/>
    <w:rsid w:val="00EB5799"/>
    <w:rsid w:val="00EB5C6E"/>
    <w:rsid w:val="00EB60F7"/>
    <w:rsid w:val="00EB6530"/>
    <w:rsid w:val="00EB659F"/>
    <w:rsid w:val="00EB65AE"/>
    <w:rsid w:val="00EB70AD"/>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092"/>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6E12"/>
    <w:rsid w:val="00ED720B"/>
    <w:rsid w:val="00ED747F"/>
    <w:rsid w:val="00ED74FB"/>
    <w:rsid w:val="00ED766C"/>
    <w:rsid w:val="00ED76FB"/>
    <w:rsid w:val="00ED7895"/>
    <w:rsid w:val="00ED78A3"/>
    <w:rsid w:val="00ED7C00"/>
    <w:rsid w:val="00ED7E1E"/>
    <w:rsid w:val="00ED7F2B"/>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AC2"/>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26A"/>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6AA"/>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A9"/>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84A"/>
    <w:rsid w:val="00F07C50"/>
    <w:rsid w:val="00F07E96"/>
    <w:rsid w:val="00F10546"/>
    <w:rsid w:val="00F10B0A"/>
    <w:rsid w:val="00F113CF"/>
    <w:rsid w:val="00F11537"/>
    <w:rsid w:val="00F11B1A"/>
    <w:rsid w:val="00F120D9"/>
    <w:rsid w:val="00F124BE"/>
    <w:rsid w:val="00F125DE"/>
    <w:rsid w:val="00F12638"/>
    <w:rsid w:val="00F126FB"/>
    <w:rsid w:val="00F12863"/>
    <w:rsid w:val="00F12A36"/>
    <w:rsid w:val="00F12A9F"/>
    <w:rsid w:val="00F1308B"/>
    <w:rsid w:val="00F13137"/>
    <w:rsid w:val="00F1339B"/>
    <w:rsid w:val="00F1372F"/>
    <w:rsid w:val="00F13A2F"/>
    <w:rsid w:val="00F13F88"/>
    <w:rsid w:val="00F14577"/>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B8E"/>
    <w:rsid w:val="00F22C15"/>
    <w:rsid w:val="00F22DC5"/>
    <w:rsid w:val="00F22EDB"/>
    <w:rsid w:val="00F2303B"/>
    <w:rsid w:val="00F2304F"/>
    <w:rsid w:val="00F23124"/>
    <w:rsid w:val="00F23423"/>
    <w:rsid w:val="00F2349D"/>
    <w:rsid w:val="00F23570"/>
    <w:rsid w:val="00F23B96"/>
    <w:rsid w:val="00F23F06"/>
    <w:rsid w:val="00F23F7D"/>
    <w:rsid w:val="00F23FC5"/>
    <w:rsid w:val="00F23FF4"/>
    <w:rsid w:val="00F2421D"/>
    <w:rsid w:val="00F24232"/>
    <w:rsid w:val="00F2486E"/>
    <w:rsid w:val="00F24C5A"/>
    <w:rsid w:val="00F24D30"/>
    <w:rsid w:val="00F24DF1"/>
    <w:rsid w:val="00F24E8D"/>
    <w:rsid w:val="00F25177"/>
    <w:rsid w:val="00F2526C"/>
    <w:rsid w:val="00F2538F"/>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878"/>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3E6"/>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80A"/>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BF"/>
    <w:rsid w:val="00F432C6"/>
    <w:rsid w:val="00F43470"/>
    <w:rsid w:val="00F4352E"/>
    <w:rsid w:val="00F437B6"/>
    <w:rsid w:val="00F438A7"/>
    <w:rsid w:val="00F43911"/>
    <w:rsid w:val="00F43960"/>
    <w:rsid w:val="00F43C3C"/>
    <w:rsid w:val="00F446D1"/>
    <w:rsid w:val="00F4470C"/>
    <w:rsid w:val="00F44B59"/>
    <w:rsid w:val="00F44BB8"/>
    <w:rsid w:val="00F4537F"/>
    <w:rsid w:val="00F45617"/>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BE"/>
    <w:rsid w:val="00F515CA"/>
    <w:rsid w:val="00F516C2"/>
    <w:rsid w:val="00F51D20"/>
    <w:rsid w:val="00F51EDD"/>
    <w:rsid w:val="00F52BF1"/>
    <w:rsid w:val="00F52DAC"/>
    <w:rsid w:val="00F530D0"/>
    <w:rsid w:val="00F53166"/>
    <w:rsid w:val="00F5335D"/>
    <w:rsid w:val="00F53808"/>
    <w:rsid w:val="00F53A12"/>
    <w:rsid w:val="00F53C60"/>
    <w:rsid w:val="00F53F51"/>
    <w:rsid w:val="00F54158"/>
    <w:rsid w:val="00F54856"/>
    <w:rsid w:val="00F54FE1"/>
    <w:rsid w:val="00F551EB"/>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67F"/>
    <w:rsid w:val="00F5789B"/>
    <w:rsid w:val="00F579FC"/>
    <w:rsid w:val="00F57FD9"/>
    <w:rsid w:val="00F601CA"/>
    <w:rsid w:val="00F60277"/>
    <w:rsid w:val="00F6065E"/>
    <w:rsid w:val="00F60860"/>
    <w:rsid w:val="00F6089D"/>
    <w:rsid w:val="00F60C74"/>
    <w:rsid w:val="00F60DEE"/>
    <w:rsid w:val="00F61342"/>
    <w:rsid w:val="00F61602"/>
    <w:rsid w:val="00F6161C"/>
    <w:rsid w:val="00F61841"/>
    <w:rsid w:val="00F61A57"/>
    <w:rsid w:val="00F61DE6"/>
    <w:rsid w:val="00F61E93"/>
    <w:rsid w:val="00F623EC"/>
    <w:rsid w:val="00F62773"/>
    <w:rsid w:val="00F62975"/>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6B5"/>
    <w:rsid w:val="00F70895"/>
    <w:rsid w:val="00F7113E"/>
    <w:rsid w:val="00F71419"/>
    <w:rsid w:val="00F71AD6"/>
    <w:rsid w:val="00F721D8"/>
    <w:rsid w:val="00F72212"/>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684"/>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C67"/>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633"/>
    <w:rsid w:val="00FA0942"/>
    <w:rsid w:val="00FA0AC9"/>
    <w:rsid w:val="00FA12CC"/>
    <w:rsid w:val="00FA188C"/>
    <w:rsid w:val="00FA1CD2"/>
    <w:rsid w:val="00FA1FF2"/>
    <w:rsid w:val="00FA2910"/>
    <w:rsid w:val="00FA2948"/>
    <w:rsid w:val="00FA29F4"/>
    <w:rsid w:val="00FA2B04"/>
    <w:rsid w:val="00FA2CAA"/>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17B"/>
    <w:rsid w:val="00FB4260"/>
    <w:rsid w:val="00FB4411"/>
    <w:rsid w:val="00FB4413"/>
    <w:rsid w:val="00FB4635"/>
    <w:rsid w:val="00FB4D65"/>
    <w:rsid w:val="00FB5001"/>
    <w:rsid w:val="00FB56CA"/>
    <w:rsid w:val="00FB5954"/>
    <w:rsid w:val="00FB5B4B"/>
    <w:rsid w:val="00FB5B5B"/>
    <w:rsid w:val="00FB5BD1"/>
    <w:rsid w:val="00FB5EDF"/>
    <w:rsid w:val="00FB60A1"/>
    <w:rsid w:val="00FB6695"/>
    <w:rsid w:val="00FB689B"/>
    <w:rsid w:val="00FB6963"/>
    <w:rsid w:val="00FB7222"/>
    <w:rsid w:val="00FB7397"/>
    <w:rsid w:val="00FB798A"/>
    <w:rsid w:val="00FB7B35"/>
    <w:rsid w:val="00FC012F"/>
    <w:rsid w:val="00FC0253"/>
    <w:rsid w:val="00FC05FC"/>
    <w:rsid w:val="00FC060B"/>
    <w:rsid w:val="00FC085C"/>
    <w:rsid w:val="00FC0CDF"/>
    <w:rsid w:val="00FC0D3E"/>
    <w:rsid w:val="00FC0D7C"/>
    <w:rsid w:val="00FC1208"/>
    <w:rsid w:val="00FC1337"/>
    <w:rsid w:val="00FC1411"/>
    <w:rsid w:val="00FC163A"/>
    <w:rsid w:val="00FC16FB"/>
    <w:rsid w:val="00FC17D5"/>
    <w:rsid w:val="00FC183A"/>
    <w:rsid w:val="00FC19F5"/>
    <w:rsid w:val="00FC237D"/>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53"/>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95D"/>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B19"/>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7F"/>
    <w:rsid w:val="00FF40CC"/>
    <w:rsid w:val="00FF465F"/>
    <w:rsid w:val="00FF4BC9"/>
    <w:rsid w:val="00FF4EB5"/>
    <w:rsid w:val="00FF5893"/>
    <w:rsid w:val="00FF5F7D"/>
    <w:rsid w:val="00FF6062"/>
    <w:rsid w:val="00FF6076"/>
    <w:rsid w:val="00FF636B"/>
    <w:rsid w:val="00FF6518"/>
    <w:rsid w:val="00FF6684"/>
    <w:rsid w:val="00FF66BB"/>
    <w:rsid w:val="00FF675D"/>
    <w:rsid w:val="00FF6779"/>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986926-5B62-481F-83AE-225C642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1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19997634">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69515033">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763621">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5-2018/2015/Decreto/D854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5-2018/2015/Decreto/D854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5-2018/2015/decreto/d853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ProxyHighlight?base=ACORDAO&amp;ano=2015&amp;numero=7783&amp;colegiado=2"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2375&amp;colegiado=P" TargetMode="External"/><Relationship Id="rId14" Type="http://schemas.openxmlformats.org/officeDocument/2006/relationships/hyperlink" Target="mailto:infojuris@tcu.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31500-3D9D-4170-913B-818A3741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1483</Words>
  <Characters>8009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9474</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Porto</dc:creator>
  <cp:lastModifiedBy>Sergio Ricardo de Mendonca Salustiano</cp:lastModifiedBy>
  <cp:revision>8</cp:revision>
  <cp:lastPrinted>2015-05-05T13:18:00Z</cp:lastPrinted>
  <dcterms:created xsi:type="dcterms:W3CDTF">2015-10-13T20:03:00Z</dcterms:created>
  <dcterms:modified xsi:type="dcterms:W3CDTF">2015-10-13T21:34:00Z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