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90" w:rsidRPr="00556CD4" w:rsidRDefault="0035499A" w:rsidP="009D66E1">
      <w:pPr>
        <w:spacing w:after="60"/>
        <w:jc w:val="center"/>
        <w:rPr>
          <w:b/>
          <w:sz w:val="22"/>
        </w:rPr>
      </w:pPr>
      <w:r w:rsidRPr="00556CD4">
        <w:rPr>
          <w:b/>
          <w:sz w:val="22"/>
        </w:rPr>
        <w:t xml:space="preserve">Número </w:t>
      </w:r>
      <w:r w:rsidR="00431E71" w:rsidRPr="00556CD4">
        <w:rPr>
          <w:b/>
          <w:sz w:val="22"/>
        </w:rPr>
        <w:t>278</w:t>
      </w:r>
    </w:p>
    <w:p w:rsidR="0035499A" w:rsidRPr="00556CD4" w:rsidRDefault="0035499A" w:rsidP="009D66E1">
      <w:pPr>
        <w:spacing w:after="60"/>
        <w:jc w:val="center"/>
        <w:rPr>
          <w:b/>
          <w:sz w:val="22"/>
        </w:rPr>
      </w:pPr>
      <w:r w:rsidRPr="00556CD4">
        <w:rPr>
          <w:b/>
          <w:sz w:val="22"/>
        </w:rPr>
        <w:t xml:space="preserve">Sessões: </w:t>
      </w:r>
      <w:r w:rsidR="009D66E1">
        <w:rPr>
          <w:b/>
          <w:sz w:val="22"/>
        </w:rPr>
        <w:t xml:space="preserve">15 e </w:t>
      </w:r>
      <w:r w:rsidR="000403CF" w:rsidRPr="00556CD4">
        <w:rPr>
          <w:b/>
          <w:sz w:val="22"/>
        </w:rPr>
        <w:t>16/Março/2016</w:t>
      </w:r>
    </w:p>
    <w:p w:rsidR="0035499A" w:rsidRPr="00556CD4" w:rsidRDefault="0035499A" w:rsidP="009D66E1">
      <w:pPr>
        <w:spacing w:after="60"/>
        <w:jc w:val="center"/>
        <w:rPr>
          <w:b/>
          <w:sz w:val="22"/>
        </w:rPr>
      </w:pPr>
    </w:p>
    <w:p w:rsidR="005617EF" w:rsidRPr="00556CD4" w:rsidRDefault="005617EF" w:rsidP="009D66E1">
      <w:pPr>
        <w:spacing w:after="60"/>
        <w:jc w:val="both"/>
        <w:rPr>
          <w:sz w:val="22"/>
        </w:rPr>
      </w:pPr>
      <w:r w:rsidRPr="00556CD4">
        <w:rPr>
          <w:sz w:val="22"/>
        </w:rPr>
        <w:t>Este Informativo contém informações sintéticas de decisões proferidas pelos Colegiados do TCU, relativas à área de Licitação e Contratos, que receberam indicação de relevância sob o prisma jurisprudencial no período acima indicado. O objetivo é facilitar ao interessado o acompanhamento dos acórdãos mais importantes do Tribunal na área. Para aprofundamento, o leitor pode acessar o inteiro teor das deliberações por meio dos links disponíveis. As informações aqui apresentadas não são repositórios oficiais de jurisprudência.</w:t>
      </w:r>
    </w:p>
    <w:p w:rsidR="0035499A" w:rsidRPr="00556CD4" w:rsidRDefault="0035499A" w:rsidP="0035499A">
      <w:pPr>
        <w:jc w:val="both"/>
        <w:rPr>
          <w:sz w:val="22"/>
        </w:rPr>
      </w:pPr>
    </w:p>
    <w:p w:rsidR="004318F3" w:rsidRPr="00556CD4" w:rsidRDefault="004318F3" w:rsidP="004318F3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jc w:val="center"/>
        <w:rPr>
          <w:b/>
          <w:sz w:val="22"/>
        </w:rPr>
      </w:pPr>
    </w:p>
    <w:p w:rsidR="0035499A" w:rsidRPr="009D66E1" w:rsidRDefault="009772F2" w:rsidP="00107C47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jc w:val="center"/>
        <w:rPr>
          <w:b/>
          <w:szCs w:val="24"/>
        </w:rPr>
      </w:pPr>
      <w:r w:rsidRPr="009D66E1">
        <w:rPr>
          <w:b/>
          <w:szCs w:val="24"/>
        </w:rPr>
        <w:t>SU</w:t>
      </w:r>
      <w:r w:rsidR="004318F3" w:rsidRPr="009D66E1">
        <w:rPr>
          <w:b/>
          <w:szCs w:val="24"/>
        </w:rPr>
        <w:t>M</w:t>
      </w:r>
      <w:r w:rsidRPr="009D66E1">
        <w:rPr>
          <w:b/>
          <w:szCs w:val="24"/>
        </w:rPr>
        <w:t>Á</w:t>
      </w:r>
      <w:r w:rsidR="004A3622" w:rsidRPr="009D66E1">
        <w:rPr>
          <w:b/>
          <w:szCs w:val="24"/>
        </w:rPr>
        <w:t>RIO</w:t>
      </w:r>
    </w:p>
    <w:p w:rsidR="00800B74" w:rsidRDefault="00800B74">
      <w:pPr>
        <w:sectPr w:rsidR="00800B74" w:rsidSect="00AA3E05">
          <w:headerReference w:type="default" r:id="rId7"/>
          <w:footerReference w:type="default" r:id="rId8"/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F94AD7" w:rsidRPr="009D66E1" w:rsidRDefault="00AB381E" w:rsidP="009D66E1">
      <w:pPr>
        <w:spacing w:after="60"/>
        <w:jc w:val="both"/>
        <w:rPr>
          <w:b/>
          <w:sz w:val="22"/>
        </w:rPr>
      </w:pPr>
      <w:r w:rsidRPr="009D66E1">
        <w:rPr>
          <w:b/>
          <w:sz w:val="22"/>
        </w:rPr>
        <w:lastRenderedPageBreak/>
        <w:t>Plenário</w:t>
      </w:r>
    </w:p>
    <w:p w:rsidR="00800B74" w:rsidRPr="009D66E1" w:rsidRDefault="00800B74" w:rsidP="009D66E1">
      <w:pPr>
        <w:spacing w:after="60"/>
        <w:jc w:val="both"/>
        <w:rPr>
          <w:sz w:val="22"/>
        </w:rPr>
        <w:sectPr w:rsidR="00800B74" w:rsidRPr="009D66E1" w:rsidSect="006F632A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2B7F5E" w:rsidRPr="009D66E1" w:rsidRDefault="005D3140" w:rsidP="009D66E1">
      <w:pPr>
        <w:spacing w:after="60"/>
        <w:jc w:val="both"/>
        <w:rPr>
          <w:sz w:val="22"/>
        </w:rPr>
      </w:pPr>
      <w:r>
        <w:rPr>
          <w:sz w:val="22"/>
        </w:rPr>
        <w:lastRenderedPageBreak/>
        <w:t>1</w:t>
      </w:r>
      <w:r w:rsidR="00AB381E" w:rsidRPr="009D66E1">
        <w:rPr>
          <w:sz w:val="22"/>
        </w:rPr>
        <w:t>. A exigência de capital circulante líquido (CCL) mínimo de 16,66% do valor estimado da contratação, prevista no art. 19, inciso XXIV, alínea b, da IN SLTI 2/2008, é adequada apenas nas licitações destinadas a serviços continuados com cessão de mão de obra em regime de dedicação exclusiva. As licitações para contratos por escopo devem adotar critérios de habilitação econômico-financeira com requisitos diferenciados de CCL, estabelecidos conforme as peculiaridades do objeto a ser licitado, devendo constar justificativa do percentual adotado nos autos do procedimento licitatório.</w:t>
      </w:r>
    </w:p>
    <w:p w:rsidR="00800B74" w:rsidRPr="009D66E1" w:rsidRDefault="00800B74" w:rsidP="009D66E1">
      <w:pPr>
        <w:spacing w:after="60"/>
        <w:jc w:val="both"/>
        <w:rPr>
          <w:sz w:val="22"/>
        </w:rPr>
        <w:sectPr w:rsidR="00800B74" w:rsidRPr="009D66E1" w:rsidSect="00BC63C7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2B7F5E" w:rsidRDefault="005D3140" w:rsidP="009D66E1">
      <w:pPr>
        <w:spacing w:after="60"/>
        <w:jc w:val="both"/>
        <w:rPr>
          <w:sz w:val="22"/>
        </w:rPr>
      </w:pPr>
      <w:r>
        <w:rPr>
          <w:sz w:val="22"/>
        </w:rPr>
        <w:lastRenderedPageBreak/>
        <w:t>2</w:t>
      </w:r>
      <w:r w:rsidR="00AB381E" w:rsidRPr="009D66E1">
        <w:rPr>
          <w:sz w:val="22"/>
        </w:rPr>
        <w:t>. A terraplenagem constitui uma etapa da obra, não cabendo sua classificação como serviço comum de engenharia, razão pela qual é irregular sua contratação mediante utilização da modalidade pregão eletrônico, expressamente vedada pelo art. 6º do Decreto 5.450/2005.</w:t>
      </w:r>
    </w:p>
    <w:p w:rsidR="005D3140" w:rsidRPr="009D66E1" w:rsidRDefault="005D3140" w:rsidP="009D66E1">
      <w:pPr>
        <w:spacing w:after="60"/>
        <w:jc w:val="both"/>
        <w:rPr>
          <w:sz w:val="22"/>
        </w:rPr>
      </w:pPr>
      <w:r>
        <w:rPr>
          <w:sz w:val="22"/>
        </w:rPr>
        <w:t>3</w:t>
      </w:r>
      <w:r w:rsidRPr="009D66E1">
        <w:rPr>
          <w:sz w:val="22"/>
        </w:rPr>
        <w:t>. Em licitações para registro de preços, a adjudicação por preço global é incompatível com a aquisição futura por itens.</w:t>
      </w:r>
    </w:p>
    <w:p w:rsidR="00800B74" w:rsidRDefault="00800B74">
      <w:pPr>
        <w:rPr>
          <w:sz w:val="22"/>
        </w:rPr>
      </w:pPr>
    </w:p>
    <w:p w:rsidR="009D66E1" w:rsidRPr="009D66E1" w:rsidRDefault="009D66E1">
      <w:pPr>
        <w:rPr>
          <w:sz w:val="22"/>
        </w:rPr>
        <w:sectPr w:rsidR="009D66E1" w:rsidRPr="009D66E1" w:rsidSect="00BC63C7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4318F3" w:rsidRDefault="004318F3" w:rsidP="004318F3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jc w:val="center"/>
        <w:rPr>
          <w:rFonts w:ascii="Arial" w:hAnsi="Arial" w:cs="Arial"/>
          <w:b/>
          <w:sz w:val="18"/>
          <w:szCs w:val="18"/>
        </w:rPr>
      </w:pPr>
    </w:p>
    <w:p w:rsidR="00800B74" w:rsidRDefault="00800B74">
      <w:pPr>
        <w:sectPr w:rsidR="00800B74" w:rsidSect="00EE3E91">
          <w:footerReference w:type="default" r:id="rId9"/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927CB7" w:rsidRDefault="00AB381E" w:rsidP="00692853">
      <w:pPr>
        <w:jc w:val="center"/>
        <w:rPr>
          <w:b/>
        </w:rPr>
      </w:pPr>
      <w:r w:rsidRPr="004D0B45">
        <w:rPr>
          <w:b/>
        </w:rPr>
        <w:lastRenderedPageBreak/>
        <w:t>PLENÁRIO</w:t>
      </w:r>
    </w:p>
    <w:p w:rsidR="00800B74" w:rsidRDefault="00800B74" w:rsidP="005D3140">
      <w:pPr>
        <w:jc w:val="both"/>
      </w:pPr>
    </w:p>
    <w:p w:rsidR="005D3140" w:rsidRDefault="005D3140" w:rsidP="005D3140">
      <w:pPr>
        <w:jc w:val="both"/>
        <w:sectPr w:rsidR="005D3140" w:rsidSect="000B08D2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16227F" w:rsidRPr="00F56D3F" w:rsidRDefault="005D3140" w:rsidP="005D3140">
      <w:pPr>
        <w:widowControl w:val="0"/>
        <w:autoSpaceDE w:val="0"/>
        <w:autoSpaceDN w:val="0"/>
        <w:jc w:val="both"/>
        <w:rPr>
          <w:b/>
          <w:sz w:val="22"/>
        </w:rPr>
      </w:pPr>
      <w:r>
        <w:rPr>
          <w:b/>
          <w:sz w:val="22"/>
        </w:rPr>
        <w:lastRenderedPageBreak/>
        <w:t>1</w:t>
      </w:r>
      <w:r w:rsidR="00AB381E" w:rsidRPr="00F56D3F">
        <w:rPr>
          <w:b/>
          <w:sz w:val="22"/>
        </w:rPr>
        <w:t>. A exigência de capital circulante líquido (CCL) mínimo de 16,66% do valor estimado da contratação, prevista no art. 19, inciso XXIV, alínea b, da IN SLTI 2/2008, é adequada apenas nas licitações destinadas a serviços continuados com cessão de mão de obra em regime de dedicação exclusiva. As licitações para contratos por escopo devem adotar critérios de habilitação econômico-financeira com requisitos diferenciados de CCL, estabelecidos conforme as peculiaridades do objeto a ser licitado, devendo constar justificativa do percentual adotado nos autos do procedimento licitatório.</w:t>
      </w:r>
    </w:p>
    <w:p w:rsidR="007323B1" w:rsidRDefault="00AB381E" w:rsidP="005D3140">
      <w:pPr>
        <w:widowControl w:val="0"/>
        <w:autoSpaceDE w:val="0"/>
        <w:autoSpaceDN w:val="0"/>
        <w:jc w:val="both"/>
        <w:rPr>
          <w:b/>
          <w:sz w:val="22"/>
        </w:rPr>
      </w:pPr>
      <w:r w:rsidRPr="00C65A4F">
        <w:rPr>
          <w:sz w:val="22"/>
        </w:rPr>
        <w:t>Representação formulada por empresa licitante questionara possível restrição à competitividade em pregão eletrônico promovido pela Fundação Oswaldo Cruz (Fiocruz), destinado à contratação da terraplenagem das obras do Novo Centro de Processamento Final de Vacinas de Bio-Manguinhos, no Município do Rio de Janeiro/RJ.  A representante insurgiu-se contra a exigência de comprovação de capital circulante líquido (CCL) de, no mínimo, 16,66% do valor estimado da contratação, entendendo que seria cabível proporcionalizar tal exigência em face do valor anual do contrato, visto que o prazo previsto pa</w:t>
      </w:r>
      <w:r w:rsidR="004808AA">
        <w:rPr>
          <w:sz w:val="22"/>
        </w:rPr>
        <w:t>ra execução dos serviços é de quinze</w:t>
      </w:r>
      <w:r w:rsidRPr="00C65A4F">
        <w:rPr>
          <w:sz w:val="22"/>
        </w:rPr>
        <w:t xml:space="preserve"> meses. Realizadas as oitivas regimentais, a Fiocruz, entre outros argumentos, aduziu que </w:t>
      </w:r>
      <w:r w:rsidRPr="004808AA">
        <w:rPr>
          <w:i/>
          <w:sz w:val="22"/>
        </w:rPr>
        <w:t>“o art. 31 da Lei de Licitações e Contratos permite que a Administração Pública exija a demonstração da boa condição financeira e técnica dos licitantes, bem como ser inquestionável a aplicação da IN SLTI 2/2008 ao caso em questão, enquadrado pela entidade como serviço comum de engenharia”</w:t>
      </w:r>
      <w:r w:rsidRPr="00C65A4F">
        <w:rPr>
          <w:sz w:val="22"/>
        </w:rPr>
        <w:t xml:space="preserve">. Analisando o ponto, anotou o relator inicialmente que </w:t>
      </w:r>
      <w:r w:rsidRPr="004808AA">
        <w:rPr>
          <w:i/>
          <w:sz w:val="22"/>
        </w:rPr>
        <w:t>“remansosa jurisprudência deste Tribunal é assente no sentido de que os índices contábeis adotados no procedimento licitatório devem ser justificados adequadamente no âmbito do respectivo processo e que somente devem ser exigidos em nível suficiente para assegurar o cumprimento das obrigações”</w:t>
      </w:r>
      <w:r w:rsidRPr="00C65A4F">
        <w:rPr>
          <w:sz w:val="22"/>
        </w:rPr>
        <w:t xml:space="preserve">. Quanto à aplicabilidade da IN SLTI 2/2008 ao caso em questão, enfatizou o relator que </w:t>
      </w:r>
      <w:r w:rsidRPr="004808AA">
        <w:rPr>
          <w:i/>
          <w:sz w:val="22"/>
        </w:rPr>
        <w:t>“o objeto licitado não pode ser tratado como serviço de engenharia, e sim como obra”</w:t>
      </w:r>
      <w:r w:rsidRPr="00C65A4F">
        <w:rPr>
          <w:sz w:val="22"/>
        </w:rPr>
        <w:t xml:space="preserve">. Nessa linha, anuiu o relator à manifestação apresentada pela empresa contratada, </w:t>
      </w:r>
      <w:r w:rsidRPr="00C65A4F">
        <w:rPr>
          <w:sz w:val="22"/>
        </w:rPr>
        <w:lastRenderedPageBreak/>
        <w:t xml:space="preserve">no sentido de que </w:t>
      </w:r>
      <w:r w:rsidRPr="004808AA">
        <w:rPr>
          <w:i/>
          <w:sz w:val="22"/>
        </w:rPr>
        <w:t>“diferentemente do que ocorre com os contratos de serviços continuados, nos quais a aferição da qualificação financeira é realizada conforme cada período renovável da contratação, nos contratos não continuados essa avaliação deve ser realizada de acordo com o período total previsto para consecução dos objetivos delineados no ajuste e, por consequência, com o valor total envolvido, sob pena de distorção dos critérios disponíveis para averiguação da saúde financeira dos particulares”</w:t>
      </w:r>
      <w:r w:rsidRPr="00C65A4F">
        <w:rPr>
          <w:sz w:val="22"/>
        </w:rPr>
        <w:t xml:space="preserve">.  E, nesse sentido, o </w:t>
      </w:r>
      <w:r w:rsidRPr="004808AA">
        <w:rPr>
          <w:i/>
          <w:sz w:val="22"/>
        </w:rPr>
        <w:t>“percentual exigido de CCL pode ser restritivo em objetos de grande vulto e, ao contrário, se demonstrar insuficiente nos objetos executados em menor prazo”</w:t>
      </w:r>
      <w:r w:rsidRPr="00C65A4F">
        <w:rPr>
          <w:sz w:val="22"/>
        </w:rPr>
        <w:t xml:space="preserve">. Assim, reiterou, </w:t>
      </w:r>
      <w:r w:rsidRPr="004808AA">
        <w:rPr>
          <w:i/>
          <w:sz w:val="22"/>
        </w:rPr>
        <w:t>“a regra de 16,66% de CCL disposta na IN SLTI 2/2008 é adequada apenas aos serviços continuados”</w:t>
      </w:r>
      <w:r w:rsidRPr="00C65A4F">
        <w:rPr>
          <w:sz w:val="22"/>
        </w:rPr>
        <w:t xml:space="preserve">. Nos contratos por escopo, prosseguiu, </w:t>
      </w:r>
      <w:r w:rsidRPr="004808AA">
        <w:rPr>
          <w:i/>
          <w:sz w:val="22"/>
        </w:rPr>
        <w:t>“o percentual de exigência de CCL deve ser estabelecido caso a caso, conforme as peculiaridades do objeto a ser licitado, tornando-se necessário que exista justificativa do percentual adotado nos autos do procedimento licitatório”</w:t>
      </w:r>
      <w:r w:rsidRPr="00C65A4F">
        <w:rPr>
          <w:sz w:val="22"/>
        </w:rPr>
        <w:t xml:space="preserve">. Nesses termos, e considerando outras irregularidades apuradas nos autos, julgou o Plenário parcialmente procedente a Representação, dando ciência à Fiocruz da irregularidade apurada e determinando que </w:t>
      </w:r>
      <w:r w:rsidRPr="004808AA">
        <w:rPr>
          <w:i/>
          <w:sz w:val="22"/>
        </w:rPr>
        <w:t>“em futuros certames licitatórios, observe que a exigência capital circulante mínimo (CCL) de 16,66% é adequada apenas aos serviços continuados com cessão de mão de obra em regime de dedicação exclusiva, sendo cabível, nos demais contratos por escopo, a adoção de critérios de habilitação econômico-financeira com requisitos diferenciados de CCL, estabelecidos conforme as peculiaridades do objeto a ser licitado, tornando-se necessário que exista justificativa do percentual adotado nos autos do procedimento licitatório”</w:t>
      </w:r>
      <w:r w:rsidRPr="00C65A4F">
        <w:rPr>
          <w:sz w:val="22"/>
        </w:rPr>
        <w:t>.</w:t>
      </w:r>
      <w:r>
        <w:rPr>
          <w:sz w:val="22"/>
        </w:rPr>
        <w:t xml:space="preserve"> </w:t>
      </w:r>
      <w:hyperlink r:id="rId10" w:history="1">
        <w:r w:rsidRPr="005D3140">
          <w:rPr>
            <w:rStyle w:val="Hyperlink"/>
            <w:b/>
            <w:sz w:val="22"/>
            <w:u w:val="none"/>
          </w:rPr>
          <w:t>Acórdão 592/2016 Plenário</w:t>
        </w:r>
      </w:hyperlink>
      <w:r w:rsidRPr="00C65A4F">
        <w:rPr>
          <w:b/>
          <w:sz w:val="22"/>
        </w:rPr>
        <w:t>, Representação, Relator Ministro Benjamin Zymler.</w:t>
      </w:r>
    </w:p>
    <w:p w:rsidR="009751AE" w:rsidRPr="006E008E" w:rsidRDefault="001B503E" w:rsidP="005D3140">
      <w:pPr>
        <w:widowControl w:val="0"/>
        <w:autoSpaceDE w:val="0"/>
        <w:autoSpaceDN w:val="0"/>
        <w:jc w:val="both"/>
        <w:rPr>
          <w:sz w:val="22"/>
        </w:rPr>
      </w:pPr>
    </w:p>
    <w:p w:rsidR="00800B74" w:rsidRDefault="00800B74" w:rsidP="005D3140">
      <w:pPr>
        <w:jc w:val="both"/>
        <w:sectPr w:rsidR="00800B74" w:rsidSect="000B08D2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16227F" w:rsidRPr="00F56D3F" w:rsidRDefault="005D3140" w:rsidP="005D3140">
      <w:pPr>
        <w:widowControl w:val="0"/>
        <w:autoSpaceDE w:val="0"/>
        <w:autoSpaceDN w:val="0"/>
        <w:jc w:val="both"/>
        <w:rPr>
          <w:b/>
          <w:sz w:val="22"/>
        </w:rPr>
      </w:pPr>
      <w:r>
        <w:rPr>
          <w:b/>
          <w:sz w:val="22"/>
        </w:rPr>
        <w:lastRenderedPageBreak/>
        <w:t>2</w:t>
      </w:r>
      <w:r w:rsidR="00AB381E" w:rsidRPr="00F56D3F">
        <w:rPr>
          <w:b/>
          <w:sz w:val="22"/>
        </w:rPr>
        <w:t>. A terraplenagem constitui uma etapa da obra, não cabendo sua classificação como serviço comum de engenharia, razão pela qual é irregular sua contratação mediante utilização da modalidade pregão eletrônico, expressamente vedada pelo art. 6º do Decreto 5.450/2005.</w:t>
      </w:r>
    </w:p>
    <w:p w:rsidR="004318F3" w:rsidRDefault="00AB381E" w:rsidP="005D3140">
      <w:pPr>
        <w:widowControl w:val="0"/>
        <w:autoSpaceDE w:val="0"/>
        <w:autoSpaceDN w:val="0"/>
        <w:jc w:val="both"/>
        <w:rPr>
          <w:b/>
          <w:sz w:val="22"/>
        </w:rPr>
      </w:pPr>
      <w:r w:rsidRPr="00C65A4F">
        <w:rPr>
          <w:sz w:val="22"/>
        </w:rPr>
        <w:t xml:space="preserve">Ainda na Representação que questionara possível restrição à competitividade em pregão eletrônico promovido pela Fundação Oswaldo Cruz (Fiocruz), cujo objeto envolve a contratação da terraplenagem das obras do Novo Centro de Processamento Final de Vacinas de Bio-Manguinhos, no Município do Rio de Janeiro/RJ, fora constatado indício de irregularidade concernente ao uso do pregão para licitar obra pública, prática vedada pelo art. 6º do Decreto 5.450/2005. Analisando o ponto, após as oitivas regimentais, anotou o relator que </w:t>
      </w:r>
      <w:r w:rsidRPr="000709F6">
        <w:rPr>
          <w:i/>
          <w:sz w:val="22"/>
        </w:rPr>
        <w:t>“o objeto licitado (terraplanagem do terreno em que se edificará a sede do NCPFI) é claramente uma etapa da obra, não cabendo sua classificação como um serviço comum de engenharia, o que demonstra infringência ao disposto no art. 6º do Decreto 5.450/2005”</w:t>
      </w:r>
      <w:r w:rsidRPr="00C65A4F">
        <w:rPr>
          <w:sz w:val="22"/>
        </w:rPr>
        <w:t xml:space="preserve">. Por outro lado, enfatizou, </w:t>
      </w:r>
      <w:r w:rsidRPr="000709F6">
        <w:rPr>
          <w:i/>
          <w:sz w:val="22"/>
        </w:rPr>
        <w:t>“a utilização do Pregão, no seu formato eletrônico, não trouxe nenhum prejuízo à competitividade do certame e não impediu a obtenção da contratação mais vantajosa para a Administração”</w:t>
      </w:r>
      <w:r w:rsidRPr="00C65A4F">
        <w:rPr>
          <w:sz w:val="22"/>
        </w:rPr>
        <w:t xml:space="preserve">, razão pela qual entendeu </w:t>
      </w:r>
      <w:r w:rsidRPr="000709F6">
        <w:rPr>
          <w:i/>
          <w:sz w:val="22"/>
        </w:rPr>
        <w:t>“ser escusável a interpretação conferida pelos gestores da Fiocruz, pois reconheço que existem zonas cinzentas entre os conceitos de ‘obra’ e ‘serviço de engenharia’, o que torna prescindível a apuração do aspecto subjetivo da irregularidade em exame”</w:t>
      </w:r>
      <w:r w:rsidRPr="00C65A4F">
        <w:rPr>
          <w:sz w:val="22"/>
        </w:rPr>
        <w:t xml:space="preserve">. Nesses termos, e considerando outras irregularidades apuradas nos autos, julgou o Plenário parcialmente procedente a Representação, expedindo ciência à Fiocruz sobre a irregularidade concernente à </w:t>
      </w:r>
      <w:r w:rsidRPr="000709F6">
        <w:rPr>
          <w:i/>
          <w:sz w:val="22"/>
        </w:rPr>
        <w:t>“utilização da modalidade pregão eletrônico para contratação de obra de engenharia, o que é expressamente vedado pelo art. art. 6º, do Decreto 5.450/2005”</w:t>
      </w:r>
      <w:r w:rsidRPr="00C65A4F">
        <w:rPr>
          <w:sz w:val="22"/>
        </w:rPr>
        <w:t>.</w:t>
      </w:r>
      <w:r>
        <w:rPr>
          <w:sz w:val="22"/>
        </w:rPr>
        <w:t xml:space="preserve"> </w:t>
      </w:r>
      <w:hyperlink r:id="rId11" w:history="1">
        <w:r w:rsidRPr="005D3140">
          <w:rPr>
            <w:rStyle w:val="Hyperlink"/>
            <w:b/>
            <w:sz w:val="22"/>
            <w:u w:val="none"/>
          </w:rPr>
          <w:t>Acórdão 592/2016 Plenário</w:t>
        </w:r>
      </w:hyperlink>
      <w:r w:rsidRPr="00C65A4F">
        <w:rPr>
          <w:b/>
          <w:sz w:val="22"/>
        </w:rPr>
        <w:t xml:space="preserve">, Representação, Relator Ministro Benjamin </w:t>
      </w:r>
      <w:proofErr w:type="spellStart"/>
      <w:r w:rsidRPr="00C65A4F">
        <w:rPr>
          <w:b/>
          <w:sz w:val="22"/>
        </w:rPr>
        <w:t>Zymler</w:t>
      </w:r>
      <w:proofErr w:type="spellEnd"/>
      <w:r w:rsidRPr="00C65A4F">
        <w:rPr>
          <w:b/>
          <w:sz w:val="22"/>
        </w:rPr>
        <w:t>.</w:t>
      </w:r>
    </w:p>
    <w:p w:rsidR="005D3140" w:rsidRDefault="005D3140" w:rsidP="005D3140">
      <w:pPr>
        <w:widowControl w:val="0"/>
        <w:autoSpaceDE w:val="0"/>
        <w:autoSpaceDN w:val="0"/>
        <w:jc w:val="both"/>
        <w:rPr>
          <w:b/>
          <w:sz w:val="22"/>
        </w:rPr>
      </w:pPr>
    </w:p>
    <w:p w:rsidR="005D3140" w:rsidRPr="00F56D3F" w:rsidRDefault="005D3140" w:rsidP="005D3140">
      <w:pPr>
        <w:widowControl w:val="0"/>
        <w:autoSpaceDE w:val="0"/>
        <w:autoSpaceDN w:val="0"/>
        <w:jc w:val="both"/>
        <w:rPr>
          <w:b/>
          <w:sz w:val="22"/>
        </w:rPr>
      </w:pPr>
      <w:r>
        <w:rPr>
          <w:b/>
          <w:sz w:val="22"/>
        </w:rPr>
        <w:t>3</w:t>
      </w:r>
      <w:r w:rsidRPr="00F56D3F">
        <w:rPr>
          <w:b/>
          <w:sz w:val="22"/>
        </w:rPr>
        <w:t>. Em licitações para registro de preços, a adjudicação por preço global é incompatível com a aquisição futura por itens.</w:t>
      </w:r>
    </w:p>
    <w:p w:rsidR="005D3140" w:rsidRDefault="005D3140" w:rsidP="005D3140">
      <w:pPr>
        <w:widowControl w:val="0"/>
        <w:autoSpaceDE w:val="0"/>
        <w:autoSpaceDN w:val="0"/>
        <w:jc w:val="both"/>
        <w:rPr>
          <w:b/>
          <w:sz w:val="22"/>
        </w:rPr>
      </w:pPr>
      <w:r w:rsidRPr="00C65A4F">
        <w:rPr>
          <w:sz w:val="22"/>
        </w:rPr>
        <w:t>O Plenário apreciou Representação, com pedido de medida cautelar, versando sobre possíveis irregularidades no edital do Pregão Eletrônico 378/2015, realizado pela Empresa de Tecnologia e Informações da Previdência Social (</w:t>
      </w:r>
      <w:proofErr w:type="spellStart"/>
      <w:r w:rsidRPr="00C65A4F">
        <w:rPr>
          <w:sz w:val="22"/>
        </w:rPr>
        <w:t>Dataprev</w:t>
      </w:r>
      <w:proofErr w:type="spellEnd"/>
      <w:r w:rsidRPr="00C65A4F">
        <w:rPr>
          <w:sz w:val="22"/>
        </w:rPr>
        <w:t xml:space="preserve">), cujo objeto fora a contratação, pelo sistema de registro de preços, de prestador de serviços ou consórcio de prestadores de serviços para fornecimento de ações de treinamento e desenvolvimento (no modelo de </w:t>
      </w:r>
      <w:proofErr w:type="spellStart"/>
      <w:r w:rsidRPr="00825A0D">
        <w:rPr>
          <w:i/>
          <w:sz w:val="22"/>
        </w:rPr>
        <w:t>broker</w:t>
      </w:r>
      <w:proofErr w:type="spellEnd"/>
      <w:r w:rsidRPr="00C65A4F">
        <w:rPr>
          <w:sz w:val="22"/>
        </w:rPr>
        <w:t xml:space="preserve">), incluindo certificações profissionais, biblioteca virtual/digital e suporte logístico. De acordo com o termo de referência, definira-se </w:t>
      </w:r>
      <w:proofErr w:type="spellStart"/>
      <w:r w:rsidR="00825A0D">
        <w:rPr>
          <w:i/>
          <w:sz w:val="22"/>
        </w:rPr>
        <w:t>broker</w:t>
      </w:r>
      <w:proofErr w:type="spellEnd"/>
      <w:r w:rsidRPr="00C65A4F">
        <w:rPr>
          <w:sz w:val="22"/>
        </w:rPr>
        <w:t xml:space="preserve"> como: </w:t>
      </w:r>
      <w:r w:rsidRPr="00825A0D">
        <w:rPr>
          <w:i/>
          <w:sz w:val="22"/>
        </w:rPr>
        <w:t>“empresa ou grupo de empresas que atuarão fornecedores e/ou intermediários entre a contratante e o mercado fornecedor de soluções de T&amp;D”</w:t>
      </w:r>
      <w:r w:rsidRPr="00C65A4F">
        <w:rPr>
          <w:sz w:val="22"/>
        </w:rPr>
        <w:t xml:space="preserve">. O relator concedeu medida cautelar, ratificada pelo Colegiado, para que a </w:t>
      </w:r>
      <w:proofErr w:type="spellStart"/>
      <w:r w:rsidRPr="00C65A4F">
        <w:rPr>
          <w:sz w:val="22"/>
        </w:rPr>
        <w:t>Dataprev</w:t>
      </w:r>
      <w:proofErr w:type="spellEnd"/>
      <w:r w:rsidRPr="00C65A4F">
        <w:rPr>
          <w:sz w:val="22"/>
        </w:rPr>
        <w:t xml:space="preserve"> suspendesse os efeitos da ata de registro de preços decorrente da referida licitação, e determinou a oitiva da entidade para que se manifestasse, dentre outras ocorrências, sobre a possibilidade de contratação de quaisquer dos serviços licitados isoladamente, a despeito da ausência desses serviços com preços registrados na Ata de Registro de Preços. Ao apreciar o mérito, destacou o </w:t>
      </w:r>
      <w:r w:rsidRPr="00C65A4F">
        <w:rPr>
          <w:sz w:val="22"/>
        </w:rPr>
        <w:lastRenderedPageBreak/>
        <w:t xml:space="preserve">relator que integram o escopo da contratação os serviços de: treinamento em gestão e outros segmentos de TIC (tecnologia da informação e comunicação) e desenvolvimento de software; treinamentos vinculados a certificação profissional; serviços de tutoria especializada em </w:t>
      </w:r>
      <w:proofErr w:type="spellStart"/>
      <w:r w:rsidRPr="00C65A4F">
        <w:rPr>
          <w:sz w:val="22"/>
        </w:rPr>
        <w:t>EaD</w:t>
      </w:r>
      <w:proofErr w:type="spellEnd"/>
      <w:r w:rsidRPr="00C65A4F">
        <w:rPr>
          <w:sz w:val="22"/>
        </w:rPr>
        <w:t xml:space="preserve">; logística para ações de capacitação; e biblioteca virtual. Observou que a justificativa para a opção pelo sistema de registro de preços posta pela entidade fora </w:t>
      </w:r>
      <w:r w:rsidRPr="00825A0D">
        <w:rPr>
          <w:i/>
          <w:sz w:val="22"/>
        </w:rPr>
        <w:t>“a possibilidade de contratação em separado de cada item, de acordo com sua conveniência e oportunidade administrativa”</w:t>
      </w:r>
      <w:r w:rsidRPr="00C65A4F">
        <w:rPr>
          <w:sz w:val="22"/>
        </w:rPr>
        <w:t xml:space="preserve">, sendo que a adjudicação do certame fora pelo preço global. A esse respeito, ressaltou que </w:t>
      </w:r>
      <w:r w:rsidRPr="00825A0D">
        <w:rPr>
          <w:i/>
          <w:sz w:val="22"/>
        </w:rPr>
        <w:t xml:space="preserve">“a jurisprudência deste Tribunal, a exemplo do </w:t>
      </w:r>
      <w:hyperlink r:id="rId12" w:history="1">
        <w:r w:rsidR="00C42CAE" w:rsidRPr="00C42CAE">
          <w:rPr>
            <w:rStyle w:val="Hyperlink"/>
            <w:rFonts w:eastAsiaTheme="majorEastAsia"/>
            <w:i/>
            <w:sz w:val="22"/>
            <w:szCs w:val="23"/>
            <w:u w:val="none"/>
            <w:shd w:val="clear" w:color="auto" w:fill="FFFFFF"/>
          </w:rPr>
          <w:t>Acórdão 757/2015-TCU-Plenário</w:t>
        </w:r>
      </w:hyperlink>
      <w:r w:rsidR="00C42CAE">
        <w:rPr>
          <w:rFonts w:eastAsiaTheme="majorEastAsia"/>
          <w:i/>
          <w:color w:val="1F497D"/>
          <w:sz w:val="22"/>
          <w:szCs w:val="23"/>
          <w:shd w:val="clear" w:color="auto" w:fill="FFFFFF"/>
        </w:rPr>
        <w:t xml:space="preserve"> </w:t>
      </w:r>
      <w:bookmarkStart w:id="0" w:name="_GoBack"/>
      <w:bookmarkEnd w:id="0"/>
      <w:r w:rsidRPr="00825A0D">
        <w:rPr>
          <w:i/>
          <w:sz w:val="22"/>
        </w:rPr>
        <w:t>(relator Min. Bruno Dantas), é no sentido de que em licitações para registro de preços, é obrigatória a adjudicação por item como regra geral, tendo em vista o objetivo de propiciar a ampla participação de licitantes e a seleção das propostas mais vantajosas. A adjudicação por preço global é medida excepcional que precisa ser devidamente justificada, além de ser incompatível com a aquisição futura por itens”</w:t>
      </w:r>
      <w:r w:rsidRPr="00C65A4F">
        <w:rPr>
          <w:sz w:val="22"/>
        </w:rPr>
        <w:t xml:space="preserve">. Concluiu, sobre esse ponto, que haveria </w:t>
      </w:r>
      <w:r w:rsidRPr="00825A0D">
        <w:rPr>
          <w:i/>
          <w:sz w:val="22"/>
        </w:rPr>
        <w:t>“possibilidade de prejuízo ao erário em eventuais adesões à ata de registro de preços decorrente do Pregão Eletrônico 378/2015, pois a adesão seria feita justamente por itens individuais e não pelo conjunto de itens ofertados pela licitante vencedora”</w:t>
      </w:r>
      <w:r w:rsidRPr="00C65A4F">
        <w:rPr>
          <w:sz w:val="22"/>
        </w:rPr>
        <w:t xml:space="preserve">. Assim, em razão dessa e de outras irregularidades, votou no sentido de se expedir determinação à </w:t>
      </w:r>
      <w:proofErr w:type="spellStart"/>
      <w:r w:rsidRPr="00C65A4F">
        <w:rPr>
          <w:sz w:val="22"/>
        </w:rPr>
        <w:t>Dataprev</w:t>
      </w:r>
      <w:proofErr w:type="spellEnd"/>
      <w:r w:rsidRPr="00C65A4F">
        <w:rPr>
          <w:sz w:val="22"/>
        </w:rPr>
        <w:t xml:space="preserve"> para que adotasse as providências necessárias à anulação do Pregão Eletrônico 378/2015 e dos atos dele decorrentes, e dar ciência à entidade a respeito da </w:t>
      </w:r>
      <w:r w:rsidRPr="00825A0D">
        <w:rPr>
          <w:i/>
          <w:sz w:val="22"/>
        </w:rPr>
        <w:t xml:space="preserve">“adoção indevida do sistema de registro de preços (SRP), haja vista a possibilidade de a </w:t>
      </w:r>
      <w:proofErr w:type="spellStart"/>
      <w:r w:rsidRPr="00825A0D">
        <w:rPr>
          <w:i/>
          <w:sz w:val="22"/>
        </w:rPr>
        <w:t>Dataprev</w:t>
      </w:r>
      <w:proofErr w:type="spellEnd"/>
      <w:r w:rsidRPr="00825A0D">
        <w:rPr>
          <w:i/>
          <w:sz w:val="22"/>
        </w:rPr>
        <w:t xml:space="preserve"> (gerenciador da ata) e os não participantes (caronas) realizarem contratações de itens isolados a partir de requisição de serviço expedida à beneficiária da ata, conforme a necessidade do demandante, sendo que a adjudicação do certame foi pelo valor global”</w:t>
      </w:r>
      <w:r w:rsidRPr="00C65A4F">
        <w:rPr>
          <w:sz w:val="22"/>
        </w:rPr>
        <w:t>, no que foi seguido pelo Plenário.</w:t>
      </w:r>
      <w:r>
        <w:rPr>
          <w:sz w:val="22"/>
        </w:rPr>
        <w:t xml:space="preserve"> </w:t>
      </w:r>
      <w:hyperlink r:id="rId13" w:history="1">
        <w:r w:rsidRPr="005D3140">
          <w:rPr>
            <w:rStyle w:val="Hyperlink"/>
            <w:b/>
            <w:sz w:val="22"/>
            <w:u w:val="none"/>
          </w:rPr>
          <w:t>Acórdão 588/2016 Plenário</w:t>
        </w:r>
      </w:hyperlink>
      <w:r w:rsidRPr="00C65A4F">
        <w:rPr>
          <w:b/>
          <w:sz w:val="22"/>
        </w:rPr>
        <w:t>, Representação, Relator Ministro Vital do Rêgo.</w:t>
      </w:r>
    </w:p>
    <w:p w:rsidR="005D3140" w:rsidRDefault="005D3140" w:rsidP="005D3140">
      <w:pPr>
        <w:widowControl w:val="0"/>
        <w:autoSpaceDE w:val="0"/>
        <w:autoSpaceDN w:val="0"/>
        <w:jc w:val="both"/>
        <w:rPr>
          <w:b/>
          <w:sz w:val="22"/>
        </w:rPr>
      </w:pPr>
    </w:p>
    <w:p w:rsidR="005D3140" w:rsidRDefault="005D3140" w:rsidP="005D3140">
      <w:pPr>
        <w:widowControl w:val="0"/>
        <w:autoSpaceDE w:val="0"/>
        <w:autoSpaceDN w:val="0"/>
        <w:jc w:val="both"/>
        <w:rPr>
          <w:rFonts w:ascii="Arial" w:hAnsi="Arial" w:cs="Arial"/>
          <w:b/>
          <w:sz w:val="18"/>
          <w:szCs w:val="18"/>
        </w:rPr>
      </w:pPr>
    </w:p>
    <w:p w:rsidR="00800B74" w:rsidRDefault="00800B74">
      <w:pPr>
        <w:sectPr w:rsidR="00800B74" w:rsidSect="00EE3E91">
          <w:footerReference w:type="default" r:id="rId14"/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C97756" w:rsidRPr="008C7BE6" w:rsidRDefault="00AB381E" w:rsidP="002678F1">
      <w:pPr>
        <w:pStyle w:val="enter-3pt"/>
        <w:tabs>
          <w:tab w:val="left" w:pos="2590"/>
        </w:tabs>
        <w:spacing w:after="200" w:line="276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8C7BE6">
        <w:rPr>
          <w:rFonts w:ascii="Arial" w:hAnsi="Arial" w:cs="Arial"/>
          <w:b/>
          <w:i/>
          <w:sz w:val="18"/>
          <w:szCs w:val="18"/>
        </w:rPr>
        <w:lastRenderedPageBreak/>
        <w:t>Elaboração: Diretoria de Jurisprudência - Secretaria das Sessões</w:t>
      </w:r>
    </w:p>
    <w:p w:rsidR="00C03330" w:rsidRPr="00AA6697" w:rsidRDefault="00AB381E" w:rsidP="002678F1">
      <w:pPr>
        <w:spacing w:after="200" w:line="276" w:lineRule="auto"/>
        <w:jc w:val="center"/>
        <w:rPr>
          <w:rFonts w:ascii="Arial" w:hAnsi="Arial" w:cs="Arial"/>
          <w:sz w:val="18"/>
          <w:szCs w:val="18"/>
        </w:rPr>
      </w:pPr>
      <w:r w:rsidRPr="008C7BE6">
        <w:rPr>
          <w:rFonts w:ascii="Arial" w:hAnsi="Arial" w:cs="Arial"/>
          <w:b/>
          <w:i/>
          <w:sz w:val="18"/>
          <w:szCs w:val="18"/>
        </w:rPr>
        <w:t xml:space="preserve">Contato: </w:t>
      </w:r>
      <w:hyperlink r:id="rId15" w:history="1">
        <w:r w:rsidRPr="00C97756">
          <w:rPr>
            <w:rStyle w:val="Hyperlink"/>
            <w:rFonts w:ascii="Arial" w:hAnsi="Arial" w:cs="Arial"/>
            <w:i/>
            <w:sz w:val="18"/>
            <w:szCs w:val="18"/>
          </w:rPr>
          <w:t>infojuris@tcu.gov.br</w:t>
        </w:r>
      </w:hyperlink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</w:p>
    <w:sectPr w:rsidR="00C03330" w:rsidRPr="00AA6697" w:rsidSect="00E41618">
      <w:footerReference w:type="default" r:id="rId16"/>
      <w:type w:val="continuous"/>
      <w:pgSz w:w="11906" w:h="16838" w:code="9"/>
      <w:pgMar w:top="1440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03E" w:rsidRDefault="001B503E" w:rsidP="00ED5179">
      <w:r>
        <w:separator/>
      </w:r>
    </w:p>
  </w:endnote>
  <w:endnote w:type="continuationSeparator" w:id="0">
    <w:p w:rsidR="001B503E" w:rsidRDefault="001B503E" w:rsidP="00ED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E2" w:rsidRDefault="00C04BE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16A4">
      <w:rPr>
        <w:noProof/>
      </w:rPr>
      <w:t>1</w:t>
    </w:r>
    <w:r>
      <w:fldChar w:fldCharType="end"/>
    </w:r>
  </w:p>
  <w:p w:rsidR="009C1CD2" w:rsidRDefault="009C1CD2" w:rsidP="00D702D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E2" w:rsidRDefault="00C04BE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2CAE">
      <w:rPr>
        <w:noProof/>
      </w:rPr>
      <w:t>2</w:t>
    </w:r>
    <w:r>
      <w:fldChar w:fldCharType="end"/>
    </w:r>
  </w:p>
  <w:p w:rsidR="009C1CD2" w:rsidRDefault="009C1CD2" w:rsidP="00D702D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E2" w:rsidRDefault="00C04BE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2CAE">
      <w:rPr>
        <w:noProof/>
      </w:rPr>
      <w:t>3</w:t>
    </w:r>
    <w:r>
      <w:fldChar w:fldCharType="end"/>
    </w:r>
  </w:p>
  <w:p w:rsidR="009C1CD2" w:rsidRDefault="009C1CD2" w:rsidP="00D702D9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97" w:rsidRDefault="00AB381E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A6697" w:rsidRDefault="001B503E" w:rsidP="00AA66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03E" w:rsidRDefault="001B503E" w:rsidP="00ED5179">
      <w:r>
        <w:separator/>
      </w:r>
    </w:p>
  </w:footnote>
  <w:footnote w:type="continuationSeparator" w:id="0">
    <w:p w:rsidR="001B503E" w:rsidRDefault="001B503E" w:rsidP="00ED5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D06" w:rsidRPr="0035499A" w:rsidRDefault="008B5C28" w:rsidP="0093720C">
    <w:pPr>
      <w:pStyle w:val="Cabealho"/>
      <w:spacing w:after="100" w:afterAutospacing="1"/>
    </w:pPr>
    <w:r w:rsidRPr="008B5C28">
      <w:rPr>
        <w:b/>
        <w:i/>
        <w:noProof/>
        <w:sz w:val="22"/>
        <w:lang w:eastAsia="pt-BR"/>
      </w:rPr>
      <w:drawing>
        <wp:inline distT="0" distB="0" distL="0" distR="0">
          <wp:extent cx="6086475" cy="760730"/>
          <wp:effectExtent l="0" t="0" r="0" b="0"/>
          <wp:docPr id="2" name="Imagem 1" descr="Banner-info-lic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anner-info-lici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79"/>
    <w:rsid w:val="00007433"/>
    <w:rsid w:val="00035ABF"/>
    <w:rsid w:val="000362D8"/>
    <w:rsid w:val="000403CF"/>
    <w:rsid w:val="00055FCC"/>
    <w:rsid w:val="000709F6"/>
    <w:rsid w:val="00082F24"/>
    <w:rsid w:val="000F2444"/>
    <w:rsid w:val="00107C47"/>
    <w:rsid w:val="0013773E"/>
    <w:rsid w:val="00167319"/>
    <w:rsid w:val="00171F4E"/>
    <w:rsid w:val="00177D47"/>
    <w:rsid w:val="001916A4"/>
    <w:rsid w:val="001A0F92"/>
    <w:rsid w:val="001A4CB9"/>
    <w:rsid w:val="001B503E"/>
    <w:rsid w:val="001D00C5"/>
    <w:rsid w:val="001D00FE"/>
    <w:rsid w:val="001D6FAA"/>
    <w:rsid w:val="001F4538"/>
    <w:rsid w:val="002046AF"/>
    <w:rsid w:val="0020622A"/>
    <w:rsid w:val="00234034"/>
    <w:rsid w:val="002466B7"/>
    <w:rsid w:val="00256B0C"/>
    <w:rsid w:val="00295550"/>
    <w:rsid w:val="002961A3"/>
    <w:rsid w:val="002C67CE"/>
    <w:rsid w:val="002D3139"/>
    <w:rsid w:val="002D3A2F"/>
    <w:rsid w:val="002E380E"/>
    <w:rsid w:val="00306884"/>
    <w:rsid w:val="00321872"/>
    <w:rsid w:val="00327A3D"/>
    <w:rsid w:val="00344ECE"/>
    <w:rsid w:val="0035499A"/>
    <w:rsid w:val="003C5A0B"/>
    <w:rsid w:val="003C5E3B"/>
    <w:rsid w:val="003E35D7"/>
    <w:rsid w:val="003F3644"/>
    <w:rsid w:val="003F6210"/>
    <w:rsid w:val="004238A5"/>
    <w:rsid w:val="004318F3"/>
    <w:rsid w:val="00431E71"/>
    <w:rsid w:val="0043308E"/>
    <w:rsid w:val="004808AA"/>
    <w:rsid w:val="0048449D"/>
    <w:rsid w:val="004A2DDF"/>
    <w:rsid w:val="004A3622"/>
    <w:rsid w:val="004B4A6D"/>
    <w:rsid w:val="004C3808"/>
    <w:rsid w:val="00513988"/>
    <w:rsid w:val="00525994"/>
    <w:rsid w:val="005264AF"/>
    <w:rsid w:val="00532988"/>
    <w:rsid w:val="00545F83"/>
    <w:rsid w:val="00556CD4"/>
    <w:rsid w:val="00557A83"/>
    <w:rsid w:val="005612CC"/>
    <w:rsid w:val="005617EF"/>
    <w:rsid w:val="00572E3F"/>
    <w:rsid w:val="005A1B4B"/>
    <w:rsid w:val="005A2E89"/>
    <w:rsid w:val="005D3140"/>
    <w:rsid w:val="006006C2"/>
    <w:rsid w:val="00632AA6"/>
    <w:rsid w:val="006539EA"/>
    <w:rsid w:val="006779C0"/>
    <w:rsid w:val="00686128"/>
    <w:rsid w:val="006F1289"/>
    <w:rsid w:val="006F1D2A"/>
    <w:rsid w:val="00703C89"/>
    <w:rsid w:val="00732A0F"/>
    <w:rsid w:val="007404E0"/>
    <w:rsid w:val="00791535"/>
    <w:rsid w:val="007A008F"/>
    <w:rsid w:val="007A6ECE"/>
    <w:rsid w:val="007B032E"/>
    <w:rsid w:val="007E09D4"/>
    <w:rsid w:val="00800B74"/>
    <w:rsid w:val="008048F0"/>
    <w:rsid w:val="00824B9C"/>
    <w:rsid w:val="00825A0D"/>
    <w:rsid w:val="00837598"/>
    <w:rsid w:val="00842D06"/>
    <w:rsid w:val="00853FAA"/>
    <w:rsid w:val="008659BF"/>
    <w:rsid w:val="00874F87"/>
    <w:rsid w:val="00881A7C"/>
    <w:rsid w:val="00891E61"/>
    <w:rsid w:val="008B5C28"/>
    <w:rsid w:val="008C06E3"/>
    <w:rsid w:val="008C5387"/>
    <w:rsid w:val="008C7BE6"/>
    <w:rsid w:val="008D43AA"/>
    <w:rsid w:val="008E095E"/>
    <w:rsid w:val="008F0439"/>
    <w:rsid w:val="008F73E2"/>
    <w:rsid w:val="00924297"/>
    <w:rsid w:val="00934A42"/>
    <w:rsid w:val="00935B2B"/>
    <w:rsid w:val="0093720C"/>
    <w:rsid w:val="00942C93"/>
    <w:rsid w:val="0095776C"/>
    <w:rsid w:val="009772F2"/>
    <w:rsid w:val="00991087"/>
    <w:rsid w:val="009B0538"/>
    <w:rsid w:val="009C1CD2"/>
    <w:rsid w:val="009D4C43"/>
    <w:rsid w:val="009D60F6"/>
    <w:rsid w:val="009D66E1"/>
    <w:rsid w:val="009E41D1"/>
    <w:rsid w:val="00A205EC"/>
    <w:rsid w:val="00A22D1E"/>
    <w:rsid w:val="00A306A8"/>
    <w:rsid w:val="00A83C33"/>
    <w:rsid w:val="00A9242D"/>
    <w:rsid w:val="00AA3E05"/>
    <w:rsid w:val="00AA4BD9"/>
    <w:rsid w:val="00AA6A32"/>
    <w:rsid w:val="00AB381E"/>
    <w:rsid w:val="00AB7BF8"/>
    <w:rsid w:val="00AC6714"/>
    <w:rsid w:val="00AD3C90"/>
    <w:rsid w:val="00AF1E2C"/>
    <w:rsid w:val="00B12E89"/>
    <w:rsid w:val="00B17FDA"/>
    <w:rsid w:val="00B41043"/>
    <w:rsid w:val="00B526D3"/>
    <w:rsid w:val="00B91CBF"/>
    <w:rsid w:val="00BD1D53"/>
    <w:rsid w:val="00BD3B05"/>
    <w:rsid w:val="00BD55F7"/>
    <w:rsid w:val="00BE719D"/>
    <w:rsid w:val="00BF2730"/>
    <w:rsid w:val="00BF581A"/>
    <w:rsid w:val="00C013E3"/>
    <w:rsid w:val="00C04BE2"/>
    <w:rsid w:val="00C16F38"/>
    <w:rsid w:val="00C23E2C"/>
    <w:rsid w:val="00C35594"/>
    <w:rsid w:val="00C42CAE"/>
    <w:rsid w:val="00C43825"/>
    <w:rsid w:val="00C473AD"/>
    <w:rsid w:val="00C714EE"/>
    <w:rsid w:val="00C72771"/>
    <w:rsid w:val="00C85CAC"/>
    <w:rsid w:val="00C92822"/>
    <w:rsid w:val="00C96FBD"/>
    <w:rsid w:val="00CD3717"/>
    <w:rsid w:val="00CD5906"/>
    <w:rsid w:val="00CE382D"/>
    <w:rsid w:val="00D048E4"/>
    <w:rsid w:val="00D05033"/>
    <w:rsid w:val="00D1244C"/>
    <w:rsid w:val="00D31C0A"/>
    <w:rsid w:val="00D501DA"/>
    <w:rsid w:val="00D702D9"/>
    <w:rsid w:val="00D75CE4"/>
    <w:rsid w:val="00DA2CAF"/>
    <w:rsid w:val="00DC4B60"/>
    <w:rsid w:val="00DD065C"/>
    <w:rsid w:val="00DD5873"/>
    <w:rsid w:val="00DD607D"/>
    <w:rsid w:val="00DD6C20"/>
    <w:rsid w:val="00DF244B"/>
    <w:rsid w:val="00DF5181"/>
    <w:rsid w:val="00DF69E6"/>
    <w:rsid w:val="00E027B1"/>
    <w:rsid w:val="00E145EE"/>
    <w:rsid w:val="00E46CEB"/>
    <w:rsid w:val="00E55A1D"/>
    <w:rsid w:val="00E65DBA"/>
    <w:rsid w:val="00E73B12"/>
    <w:rsid w:val="00E90600"/>
    <w:rsid w:val="00E93506"/>
    <w:rsid w:val="00EA61D7"/>
    <w:rsid w:val="00ED5179"/>
    <w:rsid w:val="00EE70E9"/>
    <w:rsid w:val="00F0239A"/>
    <w:rsid w:val="00F05C62"/>
    <w:rsid w:val="00F26DD0"/>
    <w:rsid w:val="00F819A7"/>
    <w:rsid w:val="00FB590D"/>
    <w:rsid w:val="00FF383F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60B4C58-9F42-42E0-8E6B-4F727770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73E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F2730"/>
    <w:pPr>
      <w:keepNext/>
      <w:keepLines/>
      <w:outlineLvl w:val="0"/>
    </w:pPr>
    <w:rPr>
      <w:rFonts w:eastAsiaTheme="majorEastAsia"/>
      <w:b/>
      <w:bCs/>
      <w:color w:val="365F91" w:themeColor="accent1" w:themeShade="BF"/>
      <w:szCs w:val="2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499A"/>
    <w:pPr>
      <w:keepNext/>
      <w:keepLines/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BF2730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5499A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ED51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D517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ED51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D517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51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D5179"/>
    <w:rPr>
      <w:rFonts w:ascii="Tahoma" w:hAnsi="Tahoma" w:cs="Tahoma"/>
      <w:sz w:val="16"/>
      <w:szCs w:val="16"/>
    </w:rPr>
  </w:style>
  <w:style w:type="paragraph" w:customStyle="1" w:styleId="TCU-Epgrafe">
    <w:name w:val="TCU - Epígrafe"/>
    <w:basedOn w:val="Normal"/>
    <w:rsid w:val="00BF2730"/>
    <w:pPr>
      <w:ind w:left="2835"/>
      <w:jc w:val="both"/>
    </w:pPr>
    <w:rPr>
      <w:szCs w:val="20"/>
      <w:lang w:eastAsia="pt-BR"/>
    </w:rPr>
  </w:style>
  <w:style w:type="paragraph" w:styleId="SemEspaamento">
    <w:name w:val="No Spacing"/>
    <w:uiPriority w:val="1"/>
    <w:qFormat/>
    <w:rsid w:val="00BF273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Normal"/>
    <w:link w:val="TtuloChar"/>
    <w:uiPriority w:val="10"/>
    <w:qFormat/>
    <w:rsid w:val="00BF2730"/>
    <w:pPr>
      <w:pBdr>
        <w:bottom w:val="single" w:sz="8" w:space="4" w:color="4F81BD" w:themeColor="accent1"/>
      </w:pBdr>
      <w:contextualSpacing/>
    </w:pPr>
    <w:rPr>
      <w:rFonts w:eastAsiaTheme="majorEastAsia"/>
      <w:color w:val="17365D" w:themeColor="text2" w:themeShade="BF"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locked/>
    <w:rsid w:val="00BF273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2730"/>
    <w:pPr>
      <w:numPr>
        <w:ilvl w:val="1"/>
      </w:numPr>
    </w:pPr>
    <w:rPr>
      <w:rFonts w:eastAsiaTheme="majorEastAsia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BF2730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customStyle="1" w:styleId="TCU-Centralizado">
    <w:name w:val="TCU - Centralizado"/>
    <w:basedOn w:val="Normal"/>
    <w:qFormat/>
    <w:rsid w:val="009E41D1"/>
    <w:pPr>
      <w:jc w:val="center"/>
    </w:pPr>
    <w:rPr>
      <w:szCs w:val="24"/>
    </w:rPr>
  </w:style>
  <w:style w:type="paragraph" w:customStyle="1" w:styleId="TCU-RelVoto-1">
    <w:name w:val="TCU - Rel/Voto - 1º §"/>
    <w:basedOn w:val="Normal"/>
    <w:qFormat/>
    <w:rsid w:val="009E41D1"/>
    <w:pPr>
      <w:spacing w:after="160"/>
      <w:ind w:firstLine="1134"/>
      <w:jc w:val="both"/>
    </w:pPr>
  </w:style>
  <w:style w:type="paragraph" w:customStyle="1" w:styleId="TCU-Ac-item9-">
    <w:name w:val="TCU - Ac - item 9 - §§"/>
    <w:basedOn w:val="TCU-RelVoto-1"/>
    <w:qFormat/>
    <w:rsid w:val="009E41D1"/>
    <w:pPr>
      <w:spacing w:after="0"/>
    </w:pPr>
  </w:style>
  <w:style w:type="paragraph" w:customStyle="1" w:styleId="TCU-RelVoto-demais">
    <w:name w:val="TCU - Rel/Voto - demais §§"/>
    <w:basedOn w:val="Normal"/>
    <w:qFormat/>
    <w:rsid w:val="009E41D1"/>
    <w:pPr>
      <w:tabs>
        <w:tab w:val="left" w:pos="1134"/>
      </w:tabs>
      <w:spacing w:after="160"/>
      <w:jc w:val="both"/>
    </w:pPr>
  </w:style>
  <w:style w:type="paragraph" w:customStyle="1" w:styleId="TCU-Ac-itens1a8">
    <w:name w:val="TCU -   Ac - itens 1 a 8"/>
    <w:basedOn w:val="TCU-RelVoto-demais"/>
    <w:qFormat/>
    <w:rsid w:val="009E41D1"/>
    <w:pPr>
      <w:spacing w:after="0"/>
    </w:pPr>
  </w:style>
  <w:style w:type="paragraph" w:customStyle="1" w:styleId="TCU-Sumrio">
    <w:name w:val="TCU - Sumário"/>
    <w:basedOn w:val="Normal"/>
    <w:qFormat/>
    <w:rsid w:val="009E41D1"/>
    <w:pPr>
      <w:ind w:left="5103"/>
      <w:jc w:val="both"/>
    </w:pPr>
    <w:rPr>
      <w:b/>
    </w:rPr>
  </w:style>
  <w:style w:type="paragraph" w:customStyle="1" w:styleId="TCU-Transcrio">
    <w:name w:val="TCU - Transcrição"/>
    <w:basedOn w:val="Normal"/>
    <w:qFormat/>
    <w:rsid w:val="009E41D1"/>
    <w:pPr>
      <w:spacing w:after="120"/>
      <w:ind w:left="284" w:firstLine="567"/>
      <w:jc w:val="both"/>
    </w:pPr>
    <w:rPr>
      <w:i/>
    </w:rPr>
  </w:style>
  <w:style w:type="paragraph" w:customStyle="1" w:styleId="TCU-Ac-item9-1Linha">
    <w:name w:val="TCU -  Ac - item 9 - 1ª Linha"/>
    <w:basedOn w:val="TCU-RelVoto-demais"/>
    <w:qFormat/>
    <w:rsid w:val="0013773E"/>
  </w:style>
  <w:style w:type="paragraph" w:customStyle="1" w:styleId="Default">
    <w:name w:val="Default"/>
    <w:rsid w:val="004A2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4A2DDF"/>
    <w:pPr>
      <w:tabs>
        <w:tab w:val="left" w:pos="1134"/>
      </w:tabs>
      <w:spacing w:before="120"/>
      <w:ind w:left="1134"/>
      <w:jc w:val="both"/>
    </w:pPr>
    <w:rPr>
      <w:iCs/>
      <w:color w:val="000000"/>
      <w:sz w:val="22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locked/>
    <w:rsid w:val="004A2DDF"/>
    <w:rPr>
      <w:rFonts w:ascii="Times New Roman" w:hAnsi="Times New Roman" w:cs="Times New Roman"/>
      <w:iCs/>
      <w:color w:val="000000"/>
      <w:sz w:val="20"/>
      <w:szCs w:val="20"/>
      <w:lang w:val="x-none" w:eastAsia="pt-BR"/>
    </w:rPr>
  </w:style>
  <w:style w:type="paragraph" w:styleId="NormalWeb">
    <w:name w:val="Normal (Web)"/>
    <w:basedOn w:val="Normal"/>
    <w:uiPriority w:val="99"/>
    <w:unhideWhenUsed/>
    <w:rsid w:val="00E73B12"/>
    <w:rPr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499A"/>
    <w:rPr>
      <w:rFonts w:cs="Times New Roman"/>
      <w:color w:val="0000FF"/>
      <w:u w:val="single"/>
    </w:rPr>
  </w:style>
  <w:style w:type="paragraph" w:customStyle="1" w:styleId="enter-3pt">
    <w:name w:val="enter-3pt"/>
    <w:basedOn w:val="Normal"/>
    <w:rsid w:val="0048449D"/>
    <w:pPr>
      <w:autoSpaceDE w:val="0"/>
      <w:autoSpaceDN w:val="0"/>
      <w:adjustRightInd w:val="0"/>
      <w:spacing w:line="60" w:lineRule="atLeast"/>
      <w:jc w:val="both"/>
    </w:pPr>
    <w:rPr>
      <w:sz w:val="8"/>
      <w:szCs w:val="8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A3622"/>
    <w:pPr>
      <w:spacing w:after="120" w:line="480" w:lineRule="auto"/>
      <w:ind w:left="1134"/>
      <w:jc w:val="both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4A3622"/>
    <w:rPr>
      <w:rFonts w:ascii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4A3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4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ontas.tcu.gov.br/juris/SvlProxyHighlight?base=ACORDAO&amp;ano=2016&amp;numero=588&amp;colegiado=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contas.tcu.gov.br/juris/SvlProxyHighlight?base=ACORDAO&amp;ano=2015&amp;numero=757&amp;colegiado=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ontas.tcu.gov.br/juris/SvlProxyHighlight?base=ACORDAO&amp;ano=2016&amp;numero=592&amp;colegiado=P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juris@tcu.gov.br" TargetMode="External"/><Relationship Id="rId10" Type="http://schemas.openxmlformats.org/officeDocument/2006/relationships/hyperlink" Target="https://contas.tcu.gov.br/juris/SvlProxyHighlight?base=ACORDAO&amp;ano=2016&amp;numero=592&amp;colegiado=P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278EB23-4B7C-4CAD-827B-A83A28978450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1830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Duarte do Nascimento</dc:creator>
  <cp:keywords/>
  <dc:description/>
  <cp:lastModifiedBy>Sergio Ricardo de Mendonca Salustiano</cp:lastModifiedBy>
  <cp:revision>9</cp:revision>
  <dcterms:created xsi:type="dcterms:W3CDTF">2016-04-05T20:35:00Z</dcterms:created>
  <dcterms:modified xsi:type="dcterms:W3CDTF">2016-04-05T22:29:00Z</dcterms:modified>
</cp:coreProperties>
</file>