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88" w:rsidRPr="00F04D66" w:rsidRDefault="0035499A" w:rsidP="00F04D66">
      <w:pPr>
        <w:spacing w:after="120"/>
        <w:jc w:val="center"/>
        <w:rPr>
          <w:b/>
          <w:sz w:val="22"/>
        </w:rPr>
      </w:pPr>
      <w:bookmarkStart w:id="0" w:name="_GoBack"/>
      <w:bookmarkEnd w:id="0"/>
      <w:r w:rsidRPr="00556CD4">
        <w:rPr>
          <w:b/>
          <w:sz w:val="22"/>
        </w:rPr>
        <w:t xml:space="preserve">Número </w:t>
      </w:r>
      <w:r w:rsidR="00431E71" w:rsidRPr="00556CD4">
        <w:rPr>
          <w:b/>
          <w:sz w:val="22"/>
        </w:rPr>
        <w:t>280</w:t>
      </w:r>
    </w:p>
    <w:p w:rsidR="0035499A" w:rsidRPr="00556CD4" w:rsidRDefault="0035499A" w:rsidP="00F04D66">
      <w:pPr>
        <w:spacing w:after="120"/>
        <w:jc w:val="center"/>
        <w:rPr>
          <w:b/>
          <w:sz w:val="22"/>
        </w:rPr>
      </w:pPr>
      <w:r w:rsidRPr="00556CD4">
        <w:rPr>
          <w:b/>
          <w:sz w:val="22"/>
        </w:rPr>
        <w:t xml:space="preserve">Sessões: </w:t>
      </w:r>
      <w:r w:rsidR="00F04D66">
        <w:rPr>
          <w:b/>
          <w:sz w:val="22"/>
        </w:rPr>
        <w:t>29 e 30</w:t>
      </w:r>
      <w:r w:rsidR="000403CF" w:rsidRPr="00556CD4">
        <w:rPr>
          <w:b/>
          <w:sz w:val="22"/>
        </w:rPr>
        <w:t>/Março/2016</w:t>
      </w:r>
    </w:p>
    <w:p w:rsidR="0035499A" w:rsidRPr="00556CD4" w:rsidRDefault="005617EF" w:rsidP="00F04D66">
      <w:pPr>
        <w:spacing w:after="120"/>
        <w:jc w:val="both"/>
        <w:rPr>
          <w:sz w:val="22"/>
        </w:rPr>
      </w:pPr>
      <w:r w:rsidRPr="00556CD4">
        <w:rPr>
          <w:sz w:val="22"/>
        </w:rPr>
        <w:t xml:space="preserve"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links disponíveis. As informações aqui apresentadas não são </w:t>
      </w:r>
      <w:proofErr w:type="gramStart"/>
      <w:r w:rsidRPr="00556CD4">
        <w:rPr>
          <w:sz w:val="22"/>
        </w:rPr>
        <w:t>repositórios</w:t>
      </w:r>
      <w:proofErr w:type="gramEnd"/>
      <w:r w:rsidRPr="00556CD4">
        <w:rPr>
          <w:sz w:val="22"/>
        </w:rPr>
        <w:t xml:space="preserve"> oficiais de jurisprudência.</w:t>
      </w:r>
    </w:p>
    <w:p w:rsidR="004318F3" w:rsidRPr="00556CD4" w:rsidRDefault="004318F3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 w:val="22"/>
        </w:rPr>
      </w:pPr>
    </w:p>
    <w:p w:rsidR="0035499A" w:rsidRPr="00F04D66" w:rsidRDefault="009772F2" w:rsidP="00107C47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 w:val="22"/>
        </w:rPr>
      </w:pPr>
      <w:r w:rsidRPr="00F04D66">
        <w:rPr>
          <w:b/>
          <w:sz w:val="22"/>
        </w:rPr>
        <w:t>SU</w:t>
      </w:r>
      <w:r w:rsidR="004318F3" w:rsidRPr="00F04D66">
        <w:rPr>
          <w:b/>
          <w:sz w:val="22"/>
        </w:rPr>
        <w:t>M</w:t>
      </w:r>
      <w:r w:rsidRPr="00F04D66">
        <w:rPr>
          <w:b/>
          <w:sz w:val="22"/>
        </w:rPr>
        <w:t>Á</w:t>
      </w:r>
      <w:r w:rsidR="004A3622" w:rsidRPr="00F04D66">
        <w:rPr>
          <w:b/>
          <w:sz w:val="22"/>
        </w:rPr>
        <w:t>RIO</w:t>
      </w:r>
    </w:p>
    <w:p w:rsidR="00C530C9" w:rsidRPr="00F04D66" w:rsidRDefault="00C530C9">
      <w:pPr>
        <w:rPr>
          <w:sz w:val="22"/>
        </w:rPr>
        <w:sectPr w:rsidR="00C530C9" w:rsidRPr="00F04D66" w:rsidSect="00AA3E05">
          <w:headerReference w:type="default" r:id="rId7"/>
          <w:footerReference w:type="default" r:id="rId8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F94AD7" w:rsidRPr="00F04D66" w:rsidRDefault="006C77BA" w:rsidP="00F04D66">
      <w:pPr>
        <w:spacing w:after="60"/>
        <w:rPr>
          <w:b/>
          <w:sz w:val="22"/>
        </w:rPr>
      </w:pPr>
      <w:r w:rsidRPr="00F04D66">
        <w:rPr>
          <w:b/>
          <w:sz w:val="22"/>
        </w:rPr>
        <w:lastRenderedPageBreak/>
        <w:t>Plenário</w:t>
      </w:r>
    </w:p>
    <w:p w:rsidR="00C530C9" w:rsidRPr="00F04D66" w:rsidRDefault="00C530C9" w:rsidP="00F04D66">
      <w:pPr>
        <w:spacing w:after="60"/>
        <w:rPr>
          <w:sz w:val="22"/>
        </w:rPr>
        <w:sectPr w:rsidR="00C530C9" w:rsidRPr="00F04D66" w:rsidSect="006F632A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2B7F5E" w:rsidRPr="00F04D66" w:rsidRDefault="006C77BA" w:rsidP="00F04D66">
      <w:pPr>
        <w:spacing w:after="60"/>
        <w:jc w:val="both"/>
        <w:rPr>
          <w:sz w:val="22"/>
        </w:rPr>
      </w:pPr>
      <w:r w:rsidRPr="00F04D66">
        <w:rPr>
          <w:sz w:val="22"/>
        </w:rPr>
        <w:lastRenderedPageBreak/>
        <w:t>1. É irregular a exigência de que os atestados a serem apresentados para a qualificação técnica na contratação de serviços de outsourcing de impressão devam comprovar prestação de serviços em conformidade com as boas práticas ITIL (Information Technology Infrastructure Library).</w:t>
      </w:r>
    </w:p>
    <w:p w:rsidR="00C530C9" w:rsidRPr="00F04D66" w:rsidRDefault="00C530C9" w:rsidP="00F04D66">
      <w:pPr>
        <w:spacing w:after="60"/>
        <w:rPr>
          <w:sz w:val="22"/>
        </w:rPr>
        <w:sectPr w:rsidR="00C530C9" w:rsidRPr="00F04D66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2B7F5E" w:rsidRPr="00F04D66" w:rsidRDefault="006C77BA" w:rsidP="00F04D66">
      <w:pPr>
        <w:spacing w:after="60"/>
        <w:jc w:val="both"/>
        <w:rPr>
          <w:sz w:val="22"/>
        </w:rPr>
      </w:pPr>
      <w:r w:rsidRPr="00F04D66">
        <w:rPr>
          <w:sz w:val="22"/>
        </w:rPr>
        <w:lastRenderedPageBreak/>
        <w:t>2. A etapa de pré-qualificação (art. 114 da Lei 8.666/1993) somente deve ser adotada para licitação de objetos que tenham maior complexidade ou que possuam peculiaridades que exijam competências não usuais do futuro contratado.</w:t>
      </w:r>
    </w:p>
    <w:p w:rsidR="00C530C9" w:rsidRPr="00F04D66" w:rsidRDefault="00C530C9" w:rsidP="00F04D66">
      <w:pPr>
        <w:spacing w:after="60"/>
        <w:rPr>
          <w:sz w:val="22"/>
        </w:rPr>
        <w:sectPr w:rsidR="00C530C9" w:rsidRPr="00F04D66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2B7F5E" w:rsidRPr="00F04D66" w:rsidRDefault="006C77BA" w:rsidP="00F04D66">
      <w:pPr>
        <w:spacing w:after="60"/>
        <w:jc w:val="both"/>
        <w:rPr>
          <w:sz w:val="22"/>
        </w:rPr>
      </w:pPr>
      <w:r w:rsidRPr="00F04D66">
        <w:rPr>
          <w:sz w:val="22"/>
        </w:rPr>
        <w:lastRenderedPageBreak/>
        <w:t>3. O regime de empreitada integral previsto no art. 6º, inciso VIII, alínea e, da Lei 8.666/1993 deve ser considerado na condução de projetos de vulto e complexos, em que a perfeita integração entre obras, equipamentos e instalações se mostre essencial para o pleno funcionamento do empreendimento, a exemplo de obras em hidrelétricas. A adoção desse regime em obra pública fora dessas circunstâncias pode ferir o princípio do parcelamento, ao incluir no escopo a ser executado por empresa de construção civil itens que poderiam ser objeto de contratação à parte, como equipamentos e mobiliário.</w:t>
      </w:r>
    </w:p>
    <w:p w:rsidR="00C530C9" w:rsidRDefault="00C530C9" w:rsidP="00F04D66">
      <w:pPr>
        <w:spacing w:after="60"/>
        <w:rPr>
          <w:sz w:val="22"/>
        </w:rPr>
      </w:pPr>
    </w:p>
    <w:p w:rsidR="00F04D66" w:rsidRPr="00F04D66" w:rsidRDefault="00F04D66" w:rsidP="00F04D66">
      <w:pPr>
        <w:spacing w:after="60"/>
        <w:rPr>
          <w:sz w:val="22"/>
        </w:rPr>
        <w:sectPr w:rsidR="00F04D66" w:rsidRPr="00F04D66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4318F3" w:rsidRDefault="004318F3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rFonts w:ascii="Arial" w:hAnsi="Arial" w:cs="Arial"/>
          <w:b/>
          <w:sz w:val="18"/>
          <w:szCs w:val="18"/>
        </w:rPr>
      </w:pPr>
    </w:p>
    <w:p w:rsidR="00C530C9" w:rsidRDefault="00C530C9">
      <w:pPr>
        <w:sectPr w:rsidR="00C530C9" w:rsidSect="00EE3E91">
          <w:footerReference w:type="default" r:id="rId9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927CB7" w:rsidRDefault="006C77BA" w:rsidP="00692853">
      <w:pPr>
        <w:jc w:val="center"/>
        <w:rPr>
          <w:b/>
        </w:rPr>
      </w:pPr>
      <w:r w:rsidRPr="004D0B45">
        <w:rPr>
          <w:b/>
        </w:rPr>
        <w:lastRenderedPageBreak/>
        <w:t>PLENÁRIO</w:t>
      </w:r>
    </w:p>
    <w:p w:rsidR="00EA6425" w:rsidRPr="00C474BD" w:rsidRDefault="00C415E1" w:rsidP="00692853">
      <w:pPr>
        <w:jc w:val="center"/>
        <w:rPr>
          <w:b/>
        </w:rPr>
      </w:pPr>
    </w:p>
    <w:p w:rsidR="00C530C9" w:rsidRDefault="00C530C9">
      <w:pPr>
        <w:sectPr w:rsidR="00C530C9" w:rsidSect="003D3DA9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6227F" w:rsidRPr="001D0BC0" w:rsidRDefault="006C77BA" w:rsidP="001D0BC0">
      <w:pPr>
        <w:widowControl w:val="0"/>
        <w:autoSpaceDE w:val="0"/>
        <w:autoSpaceDN w:val="0"/>
        <w:jc w:val="both"/>
        <w:rPr>
          <w:b/>
          <w:sz w:val="22"/>
        </w:rPr>
      </w:pPr>
      <w:r w:rsidRPr="00F56D3F">
        <w:rPr>
          <w:b/>
          <w:sz w:val="22"/>
        </w:rPr>
        <w:lastRenderedPageBreak/>
        <w:t>1</w:t>
      </w:r>
      <w:r w:rsidRPr="001D0BC0">
        <w:rPr>
          <w:b/>
          <w:sz w:val="22"/>
        </w:rPr>
        <w:t>. É irregular a exigência de que os atestados a serem apresentados para a qualificação técnica na contratação de serviços de outsourcing de impressão devam comprovar prestação de serviços em conformidade com as boas práticas ITIL (Information Technology Infrastructure Library).</w:t>
      </w:r>
    </w:p>
    <w:p w:rsidR="007323B1" w:rsidRPr="001D0BC0" w:rsidRDefault="006C77BA" w:rsidP="001D0BC0">
      <w:pPr>
        <w:widowControl w:val="0"/>
        <w:autoSpaceDE w:val="0"/>
        <w:autoSpaceDN w:val="0"/>
        <w:jc w:val="both"/>
        <w:rPr>
          <w:b/>
          <w:sz w:val="22"/>
        </w:rPr>
      </w:pPr>
      <w:r w:rsidRPr="001D0BC0">
        <w:rPr>
          <w:sz w:val="22"/>
        </w:rPr>
        <w:t xml:space="preserve">Representação apontou possíveis irregularidades em pregão para registro de preços conduzido pelo Ministério de Minas e Energia, cujo objeto fora a contratação de empresa especializada na prestação de serviços de </w:t>
      </w:r>
      <w:r w:rsidRPr="001D0BC0">
        <w:rPr>
          <w:i/>
          <w:sz w:val="22"/>
        </w:rPr>
        <w:t>outsourcing</w:t>
      </w:r>
      <w:r w:rsidRPr="001D0BC0">
        <w:rPr>
          <w:sz w:val="22"/>
        </w:rPr>
        <w:t xml:space="preserve"> de impressão, contemplando reprodução de documentos, disponibilização de equipamentos de impressão, digitalização e cópia, manutenção dos equipamentos, fornecimento de peças, consumíveis e insumos (inclusive papel), sistemas de gestão e contabilização. Entre as falhas alegadas pela representante, constou a exigência de que os atestados relativos à qualificação técnica comprovassem a prestação de serviços em conformidade com as melhores práticas ITIL (</w:t>
      </w:r>
      <w:r w:rsidRPr="001D0BC0">
        <w:rPr>
          <w:i/>
          <w:sz w:val="22"/>
        </w:rPr>
        <w:t>Information Technology Infrastructure Library</w:t>
      </w:r>
      <w:r w:rsidRPr="001D0BC0">
        <w:rPr>
          <w:sz w:val="22"/>
        </w:rPr>
        <w:t xml:space="preserve">). Realizada a oitiva do órgão licitante, o relator aproveitou a análise da unidade técnica, que houvera observado não estar a prática disseminada na Administração em contratações similares, </w:t>
      </w:r>
      <w:r w:rsidRPr="001D0BC0">
        <w:rPr>
          <w:i/>
          <w:sz w:val="22"/>
        </w:rPr>
        <w:t>“seja de exigência nos editais de licitações, seja de critérios de avaliação da qualidade dos serviços prestados ao longo dos contratos”</w:t>
      </w:r>
      <w:r w:rsidRPr="001D0BC0">
        <w:rPr>
          <w:sz w:val="22"/>
        </w:rPr>
        <w:t xml:space="preserve">, tendo concluído que </w:t>
      </w:r>
      <w:r w:rsidRPr="001D0BC0">
        <w:rPr>
          <w:i/>
          <w:sz w:val="22"/>
        </w:rPr>
        <w:t>“não se pode esperar que tal exigência possa ser atendida de forma ampla pelos potenciais fornecedores do serviço que se pretende contratar”.</w:t>
      </w:r>
      <w:r w:rsidRPr="001D0BC0">
        <w:rPr>
          <w:sz w:val="22"/>
        </w:rPr>
        <w:t xml:space="preserve"> A unidade técnica registrara ainda que </w:t>
      </w:r>
      <w:r w:rsidRPr="001D0BC0">
        <w:rPr>
          <w:i/>
          <w:sz w:val="22"/>
        </w:rPr>
        <w:t>“se a intenção é conduzir a uma benéfica mudança de paradigma nas contratações públicas, mediante a introdução de exigências de observância das boas práticas da biblioteca ITIL”</w:t>
      </w:r>
      <w:r w:rsidRPr="001D0BC0">
        <w:rPr>
          <w:sz w:val="22"/>
        </w:rPr>
        <w:t xml:space="preserve">, o caminho deveria ser construído paulatinamente </w:t>
      </w:r>
      <w:r w:rsidRPr="001D0BC0">
        <w:rPr>
          <w:i/>
          <w:sz w:val="22"/>
        </w:rPr>
        <w:t>“com a exigência inserta na qualidade dos serviços a serem prestados para, em momento futuro, quando as empresas estiverem adaptadas às exigências e os contratantes aptos a fornecer tais declarações com fulcro em previsão documental, inseri-las como critérios de habilitação em licitações”</w:t>
      </w:r>
      <w:r w:rsidRPr="001D0BC0">
        <w:rPr>
          <w:sz w:val="22"/>
        </w:rPr>
        <w:t xml:space="preserve">. Referendando tais razões, incorporadas ao seu voto, o relator considerou adequada a proposta de dar ciência ao Ministério de Minas e Energia </w:t>
      </w:r>
      <w:r w:rsidRPr="001D0BC0">
        <w:rPr>
          <w:i/>
          <w:sz w:val="22"/>
        </w:rPr>
        <w:t xml:space="preserve">“acerca do potencial restritivo ao caráter competitivo </w:t>
      </w:r>
      <w:r w:rsidRPr="001D0BC0">
        <w:rPr>
          <w:i/>
          <w:sz w:val="22"/>
        </w:rPr>
        <w:lastRenderedPageBreak/>
        <w:t>do Pregão Eletrônico 14/2015, em face da exigência de obrigar as licitantes a comprovar prestação de serviços em consonância com as boas práticas ITIL - Information Technology Infrastructure Library, como critério de habilitação”</w:t>
      </w:r>
      <w:r w:rsidRPr="001D0BC0">
        <w:rPr>
          <w:sz w:val="22"/>
        </w:rPr>
        <w:t xml:space="preserve">, tendo sido seguido pelo Colegiado. </w:t>
      </w:r>
      <w:hyperlink r:id="rId10" w:history="1">
        <w:r w:rsidRPr="001D0BC0">
          <w:rPr>
            <w:rStyle w:val="Hyperlink"/>
            <w:b/>
            <w:sz w:val="22"/>
            <w:u w:val="none"/>
          </w:rPr>
          <w:t>Acórdão 696/2016 Plenário</w:t>
        </w:r>
      </w:hyperlink>
      <w:r w:rsidRPr="001D0BC0">
        <w:rPr>
          <w:b/>
          <w:sz w:val="22"/>
        </w:rPr>
        <w:t>, Representação, Relator Ministro José Múcio Monteiro.</w:t>
      </w:r>
    </w:p>
    <w:p w:rsidR="009751AE" w:rsidRPr="001D0BC0" w:rsidRDefault="00C415E1" w:rsidP="001D0BC0">
      <w:pPr>
        <w:widowControl w:val="0"/>
        <w:autoSpaceDE w:val="0"/>
        <w:autoSpaceDN w:val="0"/>
        <w:jc w:val="both"/>
        <w:rPr>
          <w:sz w:val="22"/>
        </w:rPr>
      </w:pPr>
    </w:p>
    <w:p w:rsidR="00C530C9" w:rsidRPr="001D0BC0" w:rsidRDefault="00C530C9" w:rsidP="001D0BC0">
      <w:pPr>
        <w:jc w:val="both"/>
        <w:rPr>
          <w:sz w:val="22"/>
        </w:rPr>
        <w:sectPr w:rsidR="00C530C9" w:rsidRPr="001D0BC0" w:rsidSect="000B08D2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6227F" w:rsidRPr="001D0BC0" w:rsidRDefault="006C77BA" w:rsidP="001D0BC0">
      <w:pPr>
        <w:widowControl w:val="0"/>
        <w:autoSpaceDE w:val="0"/>
        <w:autoSpaceDN w:val="0"/>
        <w:jc w:val="both"/>
        <w:rPr>
          <w:b/>
          <w:sz w:val="22"/>
        </w:rPr>
      </w:pPr>
      <w:r w:rsidRPr="001D0BC0">
        <w:rPr>
          <w:b/>
          <w:sz w:val="22"/>
        </w:rPr>
        <w:lastRenderedPageBreak/>
        <w:t>2. A etapa de pré-qualificação (art. 114 da Lei 8.666/1993) somente deve ser adotada para licitação de objetos que tenham maior complexidade ou que possuam peculiaridades que exijam competências não usuais do futuro contratado.</w:t>
      </w:r>
    </w:p>
    <w:p w:rsidR="007323B1" w:rsidRPr="001D0BC0" w:rsidRDefault="006C77BA" w:rsidP="001D0BC0">
      <w:pPr>
        <w:widowControl w:val="0"/>
        <w:autoSpaceDE w:val="0"/>
        <w:autoSpaceDN w:val="0"/>
        <w:jc w:val="both"/>
        <w:rPr>
          <w:b/>
          <w:sz w:val="22"/>
        </w:rPr>
      </w:pPr>
      <w:r w:rsidRPr="001D0BC0">
        <w:rPr>
          <w:sz w:val="22"/>
        </w:rPr>
        <w:t xml:space="preserve">O TCU apreciou Representação formulada em face do edital de pré-qualificação da Concorrência 02/2015, publicado pela Universidade Federal de São Paulo (Unifesp), com vistas à contratação de empresa especializada para construção de edifícios acadêmicos e administrativos nos campi Osasco (R$ 72 milhões), Baixada Santista (R$ 96 milhões), Diadema (R$ 85 milhões) e Zona Leste (R$ 80 milhões), com valor total estimado de R$ 333 milhões. Inicialmente, a relatora deferira medida cautelar para suspensão do certame, com fundamento, entre outras ocorrências, na </w:t>
      </w:r>
      <w:r w:rsidRPr="001D0BC0">
        <w:rPr>
          <w:i/>
          <w:sz w:val="22"/>
        </w:rPr>
        <w:t>“adoção indevida de etapa de pré-qualificação, sem a necessária justificativa”</w:t>
      </w:r>
      <w:r w:rsidRPr="001D0BC0">
        <w:rPr>
          <w:sz w:val="22"/>
        </w:rPr>
        <w:t xml:space="preserve">. No mérito, após análise das oitivas pela unidade técnica, observou a relatora quanto ao ponto que tanto a doutrina como a jurisprudência são unânimes em afirmar que a etapa de pré-qualificação </w:t>
      </w:r>
      <w:r w:rsidRPr="001D0BC0">
        <w:rPr>
          <w:i/>
          <w:sz w:val="22"/>
        </w:rPr>
        <w:t xml:space="preserve">“deve ser adotada somente quando se pretenda contratar objetos que se revistam de maior complexidade ou que possuam peculiaridades que requeiram que o futuro contratado detenha competências não ordinárias ou usuais” </w:t>
      </w:r>
      <w:r w:rsidRPr="00FD2C37">
        <w:rPr>
          <w:sz w:val="22"/>
        </w:rPr>
        <w:t>e que</w:t>
      </w:r>
      <w:r w:rsidRPr="001D0BC0">
        <w:rPr>
          <w:i/>
          <w:sz w:val="22"/>
        </w:rPr>
        <w:t xml:space="preserve"> “as obras em questão não apresentam tais características”</w:t>
      </w:r>
      <w:r w:rsidRPr="001D0BC0">
        <w:rPr>
          <w:sz w:val="22"/>
        </w:rPr>
        <w:t xml:space="preserve">. Na situação examinada, registrou, </w:t>
      </w:r>
      <w:r w:rsidRPr="00FD2C37">
        <w:rPr>
          <w:i/>
          <w:sz w:val="22"/>
        </w:rPr>
        <w:t>“a análise da documentação relacionada ao certame demonstra que a Unifesp adotou a pré-qualificação calcada em premissa equivocada”</w:t>
      </w:r>
      <w:r w:rsidRPr="001D0BC0">
        <w:rPr>
          <w:sz w:val="22"/>
        </w:rPr>
        <w:t xml:space="preserve">, pois invocara em sua fundamentação a Lei 12.462/2011 e o Decreto 7.581/2011, </w:t>
      </w:r>
      <w:r w:rsidRPr="00FD2C37">
        <w:rPr>
          <w:i/>
          <w:sz w:val="22"/>
        </w:rPr>
        <w:t>“inaplicáveis ao caso por não se tratar de procedimento regido pelo Regime Diferenciado de Contratações Públicas – RDC”</w:t>
      </w:r>
      <w:r w:rsidRPr="001D0BC0">
        <w:rPr>
          <w:sz w:val="22"/>
        </w:rPr>
        <w:t xml:space="preserve">. Além disso, conforme verificado pela unidade instrutiva, as questões levantadas no “Mapa de Riscos” elaborado pela Universidade e cuja existência servira de argumento de defesa para a escolha do procedimento nem sequer teriam sido consideradas na pré-qualificação, que teria contido apenas fatores avaliativos usualmente adotados em obras comuns. Concluiu, pois, a relatora que </w:t>
      </w:r>
      <w:r w:rsidRPr="00FD2C37">
        <w:rPr>
          <w:i/>
          <w:sz w:val="22"/>
        </w:rPr>
        <w:t>“a real intenção da pré-qualificação foi a de proporcionar uma alegada celeridade administrativa ao procedimento, possibilitando a antecipação das etapas de habilitação dos certames, que foi efetuada de forma prévia e uma única vez para as quatro obras pretendidas”</w:t>
      </w:r>
      <w:r w:rsidRPr="001D0BC0">
        <w:rPr>
          <w:sz w:val="22"/>
        </w:rPr>
        <w:t xml:space="preserve">. Considerando, contudo, que no caso em exame houve habilitação de doze empresas, entendeu a relatora não ter sido verificada real limitação no universo de concorrentes. Assim, embora utilizada de forma inadequada, os resultados do certame não teriam sido, até o momento, prejudicados em decorrência da pré-qualificação realizada. Todavia, quanto ao temor de possível formação de conluios entre os concorrentes pré-habilitados, destacou a relatora que </w:t>
      </w:r>
      <w:r w:rsidRPr="00FD2C37">
        <w:rPr>
          <w:i/>
          <w:sz w:val="22"/>
        </w:rPr>
        <w:t>“se trata de hipótese incerta e que deve ser objeto de especial atenção da Unifesp – e também deste Tribunal - na etapa de apresentação das propostas de preços, cabendo-lhe verificar a efetiva existência de competição ou, ao contrário, de mero simulacro em que os competidores apresentam descontos figurativos”</w:t>
      </w:r>
      <w:r w:rsidRPr="001D0BC0">
        <w:rPr>
          <w:sz w:val="22"/>
        </w:rPr>
        <w:t xml:space="preserve">. Propôs, destarte, o julgamento pela procedência parcial da Representação, e a expedição de determinação à Unifesp, entre outras, para que </w:t>
      </w:r>
      <w:r w:rsidRPr="00FD2C37">
        <w:rPr>
          <w:i/>
          <w:sz w:val="22"/>
        </w:rPr>
        <w:t>“adote as providências administrativas necessárias para assegurar, na etapa de apresentação das propostas de preços, a efetiva existência de competição entre os proponentes, coibindo eventuais arranjos e aferindo a verificação do quantum dos descontos praticados pelos licitantes”</w:t>
      </w:r>
      <w:r w:rsidRPr="001D0BC0">
        <w:rPr>
          <w:sz w:val="22"/>
        </w:rPr>
        <w:t xml:space="preserve">, o que foi acolhido pelo Tribunal. </w:t>
      </w:r>
      <w:hyperlink r:id="rId11" w:history="1">
        <w:r w:rsidRPr="001D0BC0">
          <w:rPr>
            <w:rStyle w:val="Hyperlink"/>
            <w:b/>
            <w:sz w:val="22"/>
            <w:u w:val="none"/>
          </w:rPr>
          <w:t>Acórdão 711/2016 Plenário</w:t>
        </w:r>
      </w:hyperlink>
      <w:r w:rsidRPr="001D0BC0">
        <w:rPr>
          <w:b/>
          <w:sz w:val="22"/>
        </w:rPr>
        <w:t>, Representação, Relator</w:t>
      </w:r>
      <w:r w:rsidR="005A695F">
        <w:rPr>
          <w:b/>
          <w:sz w:val="22"/>
        </w:rPr>
        <w:t>a</w:t>
      </w:r>
      <w:r w:rsidRPr="001D0BC0">
        <w:rPr>
          <w:b/>
          <w:sz w:val="22"/>
        </w:rPr>
        <w:t xml:space="preserve"> Ministra Ana Arraes.</w:t>
      </w:r>
    </w:p>
    <w:p w:rsidR="009751AE" w:rsidRPr="001D0BC0" w:rsidRDefault="00C415E1" w:rsidP="001D0BC0">
      <w:pPr>
        <w:widowControl w:val="0"/>
        <w:autoSpaceDE w:val="0"/>
        <w:autoSpaceDN w:val="0"/>
        <w:jc w:val="both"/>
        <w:rPr>
          <w:sz w:val="22"/>
        </w:rPr>
      </w:pPr>
    </w:p>
    <w:p w:rsidR="00C530C9" w:rsidRPr="001D0BC0" w:rsidRDefault="00C530C9" w:rsidP="001D0BC0">
      <w:pPr>
        <w:jc w:val="both"/>
        <w:rPr>
          <w:sz w:val="22"/>
        </w:rPr>
        <w:sectPr w:rsidR="00C530C9" w:rsidRPr="001D0BC0" w:rsidSect="000B08D2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6227F" w:rsidRPr="001D0BC0" w:rsidRDefault="006C77BA" w:rsidP="001D0BC0">
      <w:pPr>
        <w:widowControl w:val="0"/>
        <w:autoSpaceDE w:val="0"/>
        <w:autoSpaceDN w:val="0"/>
        <w:jc w:val="both"/>
        <w:rPr>
          <w:b/>
          <w:sz w:val="22"/>
        </w:rPr>
      </w:pPr>
      <w:r w:rsidRPr="001D0BC0">
        <w:rPr>
          <w:b/>
          <w:sz w:val="22"/>
        </w:rPr>
        <w:lastRenderedPageBreak/>
        <w:t>3. O regime de empreitada integral previsto no art. 6º, inciso VIII, alínea e, da Lei 8.666/1993 deve ser considerado na condução de projetos de vulto e complexos, em que a perfeita integração entre obras, equipamentos e instalações se mostre essencial para o pleno funcionamento do empreendimento, a exemplo de obras em hidrelétricas. A adoção desse regime em obra pública fora dessas circunstâncias pode ferir o princípio do parcelamento, ao incluir no escopo a ser executado por empresa de construção civil itens que poderiam ser objeto de contratação à parte, como equipamentos e mobiliário.</w:t>
      </w:r>
    </w:p>
    <w:p w:rsidR="007323B1" w:rsidRPr="001D0BC0" w:rsidRDefault="006C77BA" w:rsidP="001D0BC0">
      <w:pPr>
        <w:widowControl w:val="0"/>
        <w:autoSpaceDE w:val="0"/>
        <w:autoSpaceDN w:val="0"/>
        <w:jc w:val="both"/>
        <w:rPr>
          <w:b/>
          <w:sz w:val="22"/>
        </w:rPr>
      </w:pPr>
      <w:r w:rsidRPr="001D0BC0">
        <w:rPr>
          <w:sz w:val="22"/>
        </w:rPr>
        <w:t xml:space="preserve">Ainda na Representação formulada por associação empresarial acerca de possíveis irregularidades em edital de pré-qualificação para concorrência, promovida pela Universidade Federal de São Paulo (Unifesp), destinada à contratação de empresa especializada para execução de obra de construção de edifícios acadêmicos e administrativos em diversos </w:t>
      </w:r>
      <w:r w:rsidRPr="005A695F">
        <w:rPr>
          <w:i/>
          <w:sz w:val="22"/>
        </w:rPr>
        <w:t xml:space="preserve">campi </w:t>
      </w:r>
      <w:r w:rsidRPr="001D0BC0">
        <w:rPr>
          <w:sz w:val="22"/>
        </w:rPr>
        <w:t xml:space="preserve">da universidade, após obtidos esclarecimentos preliminares da Unifesp, determinou a relatora a suspensão cautelar do certame em face, entre outros aspectos, da adoção do regime de </w:t>
      </w:r>
      <w:r w:rsidRPr="001D0BC0">
        <w:rPr>
          <w:sz w:val="22"/>
        </w:rPr>
        <w:lastRenderedPageBreak/>
        <w:t xml:space="preserve">empreitada integral sem justificativa para tal opção. Analisando o mérito da Representação, após a realização das oitivas regimentais, anotou a relatora que a adoção do regime de empreitada integral merecera sua reprovação por entender que esse regime </w:t>
      </w:r>
      <w:r w:rsidRPr="005A695F">
        <w:rPr>
          <w:i/>
          <w:sz w:val="22"/>
        </w:rPr>
        <w:t>“fere o princípio do parcelamento, pois não se justifica a inclusão de equipamentos e mobiliário no objeto a ser executado por empresa de construção civil, o que seria necessário para a entrada em operação do empreendimento”</w:t>
      </w:r>
      <w:r w:rsidRPr="001D0BC0">
        <w:rPr>
          <w:sz w:val="22"/>
        </w:rPr>
        <w:t xml:space="preserve">. No caso em análise, a unidade instrutiva já havia destacado que </w:t>
      </w:r>
      <w:r w:rsidRPr="005A695F">
        <w:rPr>
          <w:i/>
          <w:sz w:val="22"/>
        </w:rPr>
        <w:t>“além dos serviços, equipamentos e instalações comumente executados dentro do escopo de obras públicas de edificações, há alguns itens que, eventualmente, poderiam ter sido objeto de contratação à parte, como, por exemplo, os equipamentos de cozinha industrial”</w:t>
      </w:r>
      <w:r w:rsidRPr="001D0BC0">
        <w:rPr>
          <w:sz w:val="22"/>
        </w:rPr>
        <w:t xml:space="preserve">. Sobre o assunto, relembrou a relatora que </w:t>
      </w:r>
      <w:r w:rsidRPr="005A695F">
        <w:rPr>
          <w:i/>
          <w:sz w:val="22"/>
        </w:rPr>
        <w:t>“a jurisprudência deste Tribunal é firme no sentido de que o regime de empreitada integral previsto no art. 6º, inciso VIII, alínea ‘e‘, da Lei 8.666/1993 deve ser considerado na condução de projetos de vulto e complexos, em que a perfeita integração entre obras, equipamentos e instalações se mostre essencial para pleno funcionamento do empreendimento, a exemplo de obras em hidrelétricas”</w:t>
      </w:r>
      <w:r w:rsidRPr="001D0BC0">
        <w:rPr>
          <w:sz w:val="22"/>
        </w:rPr>
        <w:t xml:space="preserve">. Nesses termos, mas considerando que os itens indevidamente incluídos representaram apenas 1% do valor total da contratação para um único </w:t>
      </w:r>
      <w:r w:rsidRPr="005A695F">
        <w:rPr>
          <w:i/>
          <w:sz w:val="22"/>
        </w:rPr>
        <w:t>campus</w:t>
      </w:r>
      <w:r w:rsidRPr="001D0BC0">
        <w:rPr>
          <w:sz w:val="22"/>
        </w:rPr>
        <w:t xml:space="preserve">, bem como não ter sido verificada limitação ao universo de concorrentes, acolheu o Plenário a proposta da relatora para considerar parcialmente procedente a Representação, determinando à Unifesp que (i) </w:t>
      </w:r>
      <w:r w:rsidRPr="005A695F">
        <w:rPr>
          <w:i/>
          <w:sz w:val="22"/>
        </w:rPr>
        <w:t>“não inclua, no escopo das contratações das obras dos campi Baixada Santista, Diadema e Zona Leste, equipamentos e mobiliários de simples instalação, que não possuam um grau de interação atípico com a infraestrutura da obra, que deverão ser objeto de contratação à parte, em consonância com o art. 23, § 1º, da Lei 8.666/1993 e com a Súmula TCU 247”</w:t>
      </w:r>
      <w:r w:rsidRPr="001D0BC0">
        <w:rPr>
          <w:sz w:val="22"/>
        </w:rPr>
        <w:t xml:space="preserve">; e (ii) </w:t>
      </w:r>
      <w:r w:rsidRPr="005A695F">
        <w:rPr>
          <w:i/>
          <w:sz w:val="22"/>
        </w:rPr>
        <w:t>“retifique, por ocasião da publicação dos ‘editais de convite às empresas pré-qualificadas’ relativos às obras dos campi Baixada Santista, Diadema e Zona Leste, o regime de execução contratual, passando-o de empreitada integral para empreitada por preço global, de modo a refletir as características efetivas da contratação, em consonância com o art. 6º, inciso VIII e alíneas ‘a’ a ‘e’, da Lei 8.666/1993”</w:t>
      </w:r>
      <w:r w:rsidRPr="001D0BC0">
        <w:rPr>
          <w:sz w:val="22"/>
        </w:rPr>
        <w:t xml:space="preserve">. </w:t>
      </w:r>
      <w:hyperlink r:id="rId12" w:history="1">
        <w:r w:rsidRPr="001D0BC0">
          <w:rPr>
            <w:rStyle w:val="Hyperlink"/>
            <w:b/>
            <w:sz w:val="22"/>
            <w:u w:val="none"/>
          </w:rPr>
          <w:t>Acórdão 711/2016 Plenário</w:t>
        </w:r>
      </w:hyperlink>
      <w:r w:rsidRPr="001D0BC0">
        <w:rPr>
          <w:b/>
          <w:sz w:val="22"/>
        </w:rPr>
        <w:t>, Representação, Relator</w:t>
      </w:r>
      <w:r w:rsidR="0027413D" w:rsidRPr="001D0BC0">
        <w:rPr>
          <w:b/>
          <w:sz w:val="22"/>
        </w:rPr>
        <w:t>a</w:t>
      </w:r>
      <w:r w:rsidRPr="001D0BC0">
        <w:rPr>
          <w:b/>
          <w:sz w:val="22"/>
        </w:rPr>
        <w:t xml:space="preserve"> Ministra Ana Arraes.</w:t>
      </w:r>
    </w:p>
    <w:p w:rsidR="009751AE" w:rsidRPr="006E008E" w:rsidRDefault="00C415E1" w:rsidP="00BF0515">
      <w:pPr>
        <w:widowControl w:val="0"/>
        <w:autoSpaceDE w:val="0"/>
        <w:autoSpaceDN w:val="0"/>
        <w:jc w:val="both"/>
        <w:rPr>
          <w:sz w:val="22"/>
        </w:rPr>
      </w:pPr>
    </w:p>
    <w:p w:rsidR="00C530C9" w:rsidRDefault="00C530C9"/>
    <w:p w:rsidR="0027413D" w:rsidRDefault="0027413D">
      <w:pPr>
        <w:sectPr w:rsidR="0027413D" w:rsidSect="00EE3E91">
          <w:footerReference w:type="default" r:id="rId13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C97756" w:rsidRPr="008C7BE6" w:rsidRDefault="006C77BA" w:rsidP="002678F1">
      <w:pPr>
        <w:pStyle w:val="enter-3pt"/>
        <w:tabs>
          <w:tab w:val="left" w:pos="2590"/>
        </w:tabs>
        <w:spacing w:after="200"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8C7BE6">
        <w:rPr>
          <w:rFonts w:ascii="Arial" w:hAnsi="Arial" w:cs="Arial"/>
          <w:b/>
          <w:i/>
          <w:sz w:val="18"/>
          <w:szCs w:val="18"/>
        </w:rPr>
        <w:lastRenderedPageBreak/>
        <w:t>Elaboração: Diretoria de Jurisprudência - Secretaria das Sessões</w:t>
      </w:r>
    </w:p>
    <w:p w:rsidR="00C03330" w:rsidRPr="00AA6697" w:rsidRDefault="006C77BA" w:rsidP="002678F1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  <w:r w:rsidRPr="008C7BE6">
        <w:rPr>
          <w:rFonts w:ascii="Arial" w:hAnsi="Arial" w:cs="Arial"/>
          <w:b/>
          <w:i/>
          <w:sz w:val="18"/>
          <w:szCs w:val="18"/>
        </w:rPr>
        <w:t xml:space="preserve">Contato: </w:t>
      </w:r>
      <w:hyperlink r:id="rId14" w:history="1">
        <w:r w:rsidRPr="00C97756">
          <w:rPr>
            <w:rStyle w:val="Hyperlink"/>
            <w:rFonts w:ascii="Arial" w:hAnsi="Arial" w:cs="Arial"/>
            <w:i/>
            <w:sz w:val="18"/>
            <w:szCs w:val="18"/>
          </w:rPr>
          <w:t>infojuris@tcu.gov.br</w:t>
        </w:r>
      </w:hyperlink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</w:p>
    <w:sectPr w:rsidR="00C03330" w:rsidRPr="00AA6697" w:rsidSect="00E41618">
      <w:footerReference w:type="default" r:id="rId15"/>
      <w:type w:val="continuous"/>
      <w:pgSz w:w="11906" w:h="16838" w:code="9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E1" w:rsidRDefault="00C415E1" w:rsidP="00ED5179">
      <w:r>
        <w:separator/>
      </w:r>
    </w:p>
  </w:endnote>
  <w:endnote w:type="continuationSeparator" w:id="0">
    <w:p w:rsidR="00C415E1" w:rsidRDefault="00C415E1" w:rsidP="00E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2B72">
      <w:rPr>
        <w:noProof/>
      </w:rPr>
      <w:t>1</w:t>
    </w:r>
    <w:r>
      <w:fldChar w:fldCharType="end"/>
    </w:r>
  </w:p>
  <w:p w:rsidR="009C1CD2" w:rsidRDefault="009C1CD2" w:rsidP="00D702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2B72">
      <w:rPr>
        <w:noProof/>
      </w:rPr>
      <w:t>2</w:t>
    </w:r>
    <w:r>
      <w:fldChar w:fldCharType="end"/>
    </w:r>
  </w:p>
  <w:p w:rsidR="009C1CD2" w:rsidRDefault="009C1CD2" w:rsidP="00D702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2B72">
      <w:rPr>
        <w:noProof/>
      </w:rPr>
      <w:t>3</w:t>
    </w:r>
    <w:r>
      <w:fldChar w:fldCharType="end"/>
    </w:r>
  </w:p>
  <w:p w:rsidR="009C1CD2" w:rsidRDefault="009C1CD2" w:rsidP="00D702D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97" w:rsidRDefault="006C77B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A6697" w:rsidRDefault="00C415E1" w:rsidP="00AA6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E1" w:rsidRDefault="00C415E1" w:rsidP="00ED5179">
      <w:r>
        <w:separator/>
      </w:r>
    </w:p>
  </w:footnote>
  <w:footnote w:type="continuationSeparator" w:id="0">
    <w:p w:rsidR="00C415E1" w:rsidRDefault="00C415E1" w:rsidP="00E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6" w:rsidRPr="0035499A" w:rsidRDefault="008B5C28" w:rsidP="0093720C">
    <w:pPr>
      <w:pStyle w:val="Cabealho"/>
      <w:spacing w:after="100" w:afterAutospacing="1"/>
    </w:pPr>
    <w:r w:rsidRPr="008B5C28">
      <w:rPr>
        <w:b/>
        <w:i/>
        <w:noProof/>
        <w:sz w:val="22"/>
        <w:lang w:eastAsia="pt-BR"/>
      </w:rPr>
      <w:drawing>
        <wp:inline distT="0" distB="0" distL="0" distR="0">
          <wp:extent cx="6086475" cy="760730"/>
          <wp:effectExtent l="0" t="0" r="0" b="0"/>
          <wp:docPr id="2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9"/>
    <w:rsid w:val="00007433"/>
    <w:rsid w:val="00035ABF"/>
    <w:rsid w:val="000362D8"/>
    <w:rsid w:val="000403CF"/>
    <w:rsid w:val="00055FCC"/>
    <w:rsid w:val="00082F24"/>
    <w:rsid w:val="000F2444"/>
    <w:rsid w:val="00107C47"/>
    <w:rsid w:val="0013773E"/>
    <w:rsid w:val="00167319"/>
    <w:rsid w:val="00171F4E"/>
    <w:rsid w:val="00177D47"/>
    <w:rsid w:val="001A0F92"/>
    <w:rsid w:val="001A4CB9"/>
    <w:rsid w:val="001D00C5"/>
    <w:rsid w:val="001D00FE"/>
    <w:rsid w:val="001D0BC0"/>
    <w:rsid w:val="001D6FAA"/>
    <w:rsid w:val="001F4538"/>
    <w:rsid w:val="002046AF"/>
    <w:rsid w:val="0020622A"/>
    <w:rsid w:val="002244FA"/>
    <w:rsid w:val="00234034"/>
    <w:rsid w:val="002466B7"/>
    <w:rsid w:val="00256B0C"/>
    <w:rsid w:val="0027413D"/>
    <w:rsid w:val="00295550"/>
    <w:rsid w:val="002961A3"/>
    <w:rsid w:val="002C67CE"/>
    <w:rsid w:val="002D3139"/>
    <w:rsid w:val="002D3A2F"/>
    <w:rsid w:val="002E380E"/>
    <w:rsid w:val="00306884"/>
    <w:rsid w:val="00321872"/>
    <w:rsid w:val="00327A3D"/>
    <w:rsid w:val="00344ECE"/>
    <w:rsid w:val="0035499A"/>
    <w:rsid w:val="003C5A0B"/>
    <w:rsid w:val="003C5E3B"/>
    <w:rsid w:val="003E35D7"/>
    <w:rsid w:val="003F3644"/>
    <w:rsid w:val="003F6210"/>
    <w:rsid w:val="004238A5"/>
    <w:rsid w:val="004318F3"/>
    <w:rsid w:val="00431E71"/>
    <w:rsid w:val="0043308E"/>
    <w:rsid w:val="0048449D"/>
    <w:rsid w:val="004A2DDF"/>
    <w:rsid w:val="004A3622"/>
    <w:rsid w:val="004B4A6D"/>
    <w:rsid w:val="004C3808"/>
    <w:rsid w:val="00513988"/>
    <w:rsid w:val="00525994"/>
    <w:rsid w:val="005264AF"/>
    <w:rsid w:val="00532988"/>
    <w:rsid w:val="00545F83"/>
    <w:rsid w:val="00556CD4"/>
    <w:rsid w:val="00557A83"/>
    <w:rsid w:val="005612CC"/>
    <w:rsid w:val="005617EF"/>
    <w:rsid w:val="00572E3F"/>
    <w:rsid w:val="005A1B4B"/>
    <w:rsid w:val="005A2E89"/>
    <w:rsid w:val="005A695F"/>
    <w:rsid w:val="006006C2"/>
    <w:rsid w:val="00602B72"/>
    <w:rsid w:val="00632AA6"/>
    <w:rsid w:val="006539EA"/>
    <w:rsid w:val="006779C0"/>
    <w:rsid w:val="00686128"/>
    <w:rsid w:val="006C77BA"/>
    <w:rsid w:val="006F1289"/>
    <w:rsid w:val="006F1D2A"/>
    <w:rsid w:val="00703C89"/>
    <w:rsid w:val="00732A0F"/>
    <w:rsid w:val="007404E0"/>
    <w:rsid w:val="00791535"/>
    <w:rsid w:val="007A008F"/>
    <w:rsid w:val="007A6ECE"/>
    <w:rsid w:val="007B032E"/>
    <w:rsid w:val="007E09D4"/>
    <w:rsid w:val="008048F0"/>
    <w:rsid w:val="00824B9C"/>
    <w:rsid w:val="00837598"/>
    <w:rsid w:val="00842D06"/>
    <w:rsid w:val="008659BF"/>
    <w:rsid w:val="00874F87"/>
    <w:rsid w:val="00881A7C"/>
    <w:rsid w:val="00891E61"/>
    <w:rsid w:val="008B5C28"/>
    <w:rsid w:val="008C06E3"/>
    <w:rsid w:val="008C5387"/>
    <w:rsid w:val="008C7BE6"/>
    <w:rsid w:val="008D43AA"/>
    <w:rsid w:val="008E095E"/>
    <w:rsid w:val="008F0439"/>
    <w:rsid w:val="008F73E2"/>
    <w:rsid w:val="00924297"/>
    <w:rsid w:val="00934A42"/>
    <w:rsid w:val="00935B2B"/>
    <w:rsid w:val="0093720C"/>
    <w:rsid w:val="00942C93"/>
    <w:rsid w:val="0095776C"/>
    <w:rsid w:val="009772F2"/>
    <w:rsid w:val="00991087"/>
    <w:rsid w:val="009A400E"/>
    <w:rsid w:val="009B0538"/>
    <w:rsid w:val="009C1CD2"/>
    <w:rsid w:val="009D4C43"/>
    <w:rsid w:val="009D60F6"/>
    <w:rsid w:val="009E41D1"/>
    <w:rsid w:val="00A205EC"/>
    <w:rsid w:val="00A22D1E"/>
    <w:rsid w:val="00A306A8"/>
    <w:rsid w:val="00A83C33"/>
    <w:rsid w:val="00A9242D"/>
    <w:rsid w:val="00AA3E05"/>
    <w:rsid w:val="00AA4BD9"/>
    <w:rsid w:val="00AA6A32"/>
    <w:rsid w:val="00AB7BF8"/>
    <w:rsid w:val="00AC6714"/>
    <w:rsid w:val="00AD3C90"/>
    <w:rsid w:val="00AF1E2C"/>
    <w:rsid w:val="00B12E89"/>
    <w:rsid w:val="00B17FDA"/>
    <w:rsid w:val="00B41043"/>
    <w:rsid w:val="00B526D3"/>
    <w:rsid w:val="00B91CBF"/>
    <w:rsid w:val="00BD1D53"/>
    <w:rsid w:val="00BD3B05"/>
    <w:rsid w:val="00BD55F7"/>
    <w:rsid w:val="00BE719D"/>
    <w:rsid w:val="00BF2730"/>
    <w:rsid w:val="00BF581A"/>
    <w:rsid w:val="00C013E3"/>
    <w:rsid w:val="00C04BE2"/>
    <w:rsid w:val="00C16F38"/>
    <w:rsid w:val="00C23E2C"/>
    <w:rsid w:val="00C35594"/>
    <w:rsid w:val="00C415E1"/>
    <w:rsid w:val="00C43825"/>
    <w:rsid w:val="00C473AD"/>
    <w:rsid w:val="00C530C9"/>
    <w:rsid w:val="00C714EE"/>
    <w:rsid w:val="00C72771"/>
    <w:rsid w:val="00C85CAC"/>
    <w:rsid w:val="00C92822"/>
    <w:rsid w:val="00C96FBD"/>
    <w:rsid w:val="00CD3717"/>
    <w:rsid w:val="00CD5906"/>
    <w:rsid w:val="00CE382D"/>
    <w:rsid w:val="00D048E4"/>
    <w:rsid w:val="00D05033"/>
    <w:rsid w:val="00D1244C"/>
    <w:rsid w:val="00D31C0A"/>
    <w:rsid w:val="00D501DA"/>
    <w:rsid w:val="00D702D9"/>
    <w:rsid w:val="00D75CE4"/>
    <w:rsid w:val="00DA2CAF"/>
    <w:rsid w:val="00DC4B60"/>
    <w:rsid w:val="00DD065C"/>
    <w:rsid w:val="00DD5873"/>
    <w:rsid w:val="00DD607D"/>
    <w:rsid w:val="00DD6C20"/>
    <w:rsid w:val="00DF244B"/>
    <w:rsid w:val="00DF5181"/>
    <w:rsid w:val="00DF69E6"/>
    <w:rsid w:val="00E027B1"/>
    <w:rsid w:val="00E145EE"/>
    <w:rsid w:val="00E46CEB"/>
    <w:rsid w:val="00E55A1D"/>
    <w:rsid w:val="00E65DBA"/>
    <w:rsid w:val="00E73B12"/>
    <w:rsid w:val="00E90600"/>
    <w:rsid w:val="00E93506"/>
    <w:rsid w:val="00EA61D7"/>
    <w:rsid w:val="00ED5179"/>
    <w:rsid w:val="00EE70E9"/>
    <w:rsid w:val="00F0239A"/>
    <w:rsid w:val="00F04D66"/>
    <w:rsid w:val="00F05C62"/>
    <w:rsid w:val="00F26DD0"/>
    <w:rsid w:val="00F819A7"/>
    <w:rsid w:val="00FB590D"/>
    <w:rsid w:val="00FD2C37"/>
    <w:rsid w:val="00FF383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60B4C58-9F42-42E0-8E6B-4F727770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3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2730"/>
    <w:pPr>
      <w:keepNext/>
      <w:keepLines/>
      <w:outlineLvl w:val="0"/>
    </w:pPr>
    <w:rPr>
      <w:rFonts w:eastAsiaTheme="majorEastAsia"/>
      <w:b/>
      <w:bCs/>
      <w:color w:val="365F91" w:themeColor="accent1" w:themeShade="BF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499A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F273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5499A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517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D51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1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5179"/>
    <w:rPr>
      <w:rFonts w:ascii="Tahoma" w:hAnsi="Tahoma" w:cs="Tahoma"/>
      <w:sz w:val="16"/>
      <w:szCs w:val="16"/>
    </w:rPr>
  </w:style>
  <w:style w:type="paragraph" w:customStyle="1" w:styleId="TCU-Epgrafe">
    <w:name w:val="TCU - Epígrafe"/>
    <w:basedOn w:val="Normal"/>
    <w:rsid w:val="00BF2730"/>
    <w:pPr>
      <w:ind w:left="2835"/>
      <w:jc w:val="both"/>
    </w:pPr>
    <w:rPr>
      <w:szCs w:val="20"/>
      <w:lang w:eastAsia="pt-BR"/>
    </w:rPr>
  </w:style>
  <w:style w:type="paragraph" w:styleId="SemEspaamento">
    <w:name w:val="No Spacing"/>
    <w:uiPriority w:val="1"/>
    <w:qFormat/>
    <w:rsid w:val="00BF273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BF2730"/>
    <w:pPr>
      <w:pBdr>
        <w:bottom w:val="single" w:sz="8" w:space="4" w:color="4F81BD" w:themeColor="accent1"/>
      </w:pBdr>
      <w:contextualSpacing/>
    </w:pPr>
    <w:rPr>
      <w:rFonts w:eastAsiaTheme="majorEastAsia"/>
      <w:color w:val="17365D" w:themeColor="text2" w:themeShade="BF"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locked/>
    <w:rsid w:val="00BF273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2730"/>
    <w:pPr>
      <w:numPr>
        <w:ilvl w:val="1"/>
      </w:numPr>
    </w:pPr>
    <w:rPr>
      <w:rFonts w:eastAsiaTheme="majorEastAsia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BF273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customStyle="1" w:styleId="TCU-Centralizado">
    <w:name w:val="TCU - Centralizado"/>
    <w:basedOn w:val="Normal"/>
    <w:qFormat/>
    <w:rsid w:val="009E41D1"/>
    <w:pPr>
      <w:jc w:val="center"/>
    </w:pPr>
    <w:rPr>
      <w:szCs w:val="24"/>
    </w:rPr>
  </w:style>
  <w:style w:type="paragraph" w:customStyle="1" w:styleId="TCU-RelVoto-1">
    <w:name w:val="TCU - Rel/Voto - 1º §"/>
    <w:basedOn w:val="Normal"/>
    <w:qFormat/>
    <w:rsid w:val="009E41D1"/>
    <w:pPr>
      <w:spacing w:after="160"/>
      <w:ind w:firstLine="1134"/>
      <w:jc w:val="both"/>
    </w:pPr>
  </w:style>
  <w:style w:type="paragraph" w:customStyle="1" w:styleId="TCU-Ac-item9-">
    <w:name w:val="TCU - Ac - item 9 - §§"/>
    <w:basedOn w:val="TCU-RelVoto-1"/>
    <w:qFormat/>
    <w:rsid w:val="009E41D1"/>
    <w:pPr>
      <w:spacing w:after="0"/>
    </w:pPr>
  </w:style>
  <w:style w:type="paragraph" w:customStyle="1" w:styleId="TCU-RelVoto-demais">
    <w:name w:val="TCU - Rel/Voto - demais §§"/>
    <w:basedOn w:val="Normal"/>
    <w:qFormat/>
    <w:rsid w:val="009E41D1"/>
    <w:pPr>
      <w:tabs>
        <w:tab w:val="left" w:pos="1134"/>
      </w:tabs>
      <w:spacing w:after="160"/>
      <w:jc w:val="both"/>
    </w:pPr>
  </w:style>
  <w:style w:type="paragraph" w:customStyle="1" w:styleId="TCU-Ac-itens1a8">
    <w:name w:val="TCU -   Ac - itens 1 a 8"/>
    <w:basedOn w:val="TCU-RelVoto-demais"/>
    <w:qFormat/>
    <w:rsid w:val="009E41D1"/>
    <w:pPr>
      <w:spacing w:after="0"/>
    </w:pPr>
  </w:style>
  <w:style w:type="paragraph" w:customStyle="1" w:styleId="TCU-Sumrio">
    <w:name w:val="TCU - Sumário"/>
    <w:basedOn w:val="Normal"/>
    <w:qFormat/>
    <w:rsid w:val="009E41D1"/>
    <w:pPr>
      <w:ind w:left="5103"/>
      <w:jc w:val="both"/>
    </w:pPr>
    <w:rPr>
      <w:b/>
    </w:rPr>
  </w:style>
  <w:style w:type="paragraph" w:customStyle="1" w:styleId="TCU-Transcrio">
    <w:name w:val="TCU - Transcrição"/>
    <w:basedOn w:val="Normal"/>
    <w:qFormat/>
    <w:rsid w:val="009E41D1"/>
    <w:pPr>
      <w:spacing w:after="120"/>
      <w:ind w:left="284" w:firstLine="567"/>
      <w:jc w:val="both"/>
    </w:pPr>
    <w:rPr>
      <w:i/>
    </w:rPr>
  </w:style>
  <w:style w:type="paragraph" w:customStyle="1" w:styleId="TCU-Ac-item9-1Linha">
    <w:name w:val="TCU -  Ac - item 9 - 1ª Linha"/>
    <w:basedOn w:val="TCU-RelVoto-demais"/>
    <w:qFormat/>
    <w:rsid w:val="0013773E"/>
  </w:style>
  <w:style w:type="paragraph" w:customStyle="1" w:styleId="Default">
    <w:name w:val="Default"/>
    <w:rsid w:val="004A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A2DDF"/>
    <w:pPr>
      <w:tabs>
        <w:tab w:val="left" w:pos="1134"/>
      </w:tabs>
      <w:spacing w:before="120"/>
      <w:ind w:left="1134"/>
      <w:jc w:val="both"/>
    </w:pPr>
    <w:rPr>
      <w:iCs/>
      <w:color w:val="000000"/>
      <w:sz w:val="22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locked/>
    <w:rsid w:val="004A2DDF"/>
    <w:rPr>
      <w:rFonts w:ascii="Times New Roman" w:hAnsi="Times New Roman" w:cs="Times New Roman"/>
      <w:iCs/>
      <w:color w:val="000000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E73B12"/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499A"/>
    <w:rPr>
      <w:rFonts w:cs="Times New Roman"/>
      <w:color w:val="0000FF"/>
      <w:u w:val="single"/>
    </w:rPr>
  </w:style>
  <w:style w:type="paragraph" w:customStyle="1" w:styleId="enter-3pt">
    <w:name w:val="enter-3pt"/>
    <w:basedOn w:val="Normal"/>
    <w:rsid w:val="0048449D"/>
    <w:pPr>
      <w:autoSpaceDE w:val="0"/>
      <w:autoSpaceDN w:val="0"/>
      <w:adjustRightInd w:val="0"/>
      <w:spacing w:line="60" w:lineRule="atLeast"/>
      <w:jc w:val="both"/>
    </w:pPr>
    <w:rPr>
      <w:sz w:val="8"/>
      <w:szCs w:val="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A3622"/>
    <w:pPr>
      <w:spacing w:after="120" w:line="480" w:lineRule="auto"/>
      <w:ind w:left="1134"/>
      <w:jc w:val="both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A3622"/>
    <w:rPr>
      <w:rFonts w:ascii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4A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ntas.tcu.gov.br/juris/SvlProxyHighlight?base=ACORDAO&amp;ano=2016&amp;numero=711&amp;colegiado=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ntas.tcu.gov.br/juris/SvlProxyHighlight?base=ACORDAO&amp;ano=2016&amp;numero=711&amp;colegiado=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contas.tcu.gov.br/juris/SvlProxyHighlight?base=ACORDAO&amp;ano=2016&amp;numero=696&amp;colegiado=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infojuris@tcu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3F96713-93DB-40C0-871F-38330FFB430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1872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Duarte do Nascimento</dc:creator>
  <cp:keywords/>
  <dc:description/>
  <cp:lastModifiedBy>Victor de Oliveira Meyer Nascimento</cp:lastModifiedBy>
  <cp:revision>2</cp:revision>
  <dcterms:created xsi:type="dcterms:W3CDTF">2016-04-19T17:05:00Z</dcterms:created>
  <dcterms:modified xsi:type="dcterms:W3CDTF">2016-04-19T17:05:00Z</dcterms:modified>
</cp:coreProperties>
</file>