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88" w:rsidRPr="00C31EA7" w:rsidRDefault="0035499A" w:rsidP="00C31EA7">
      <w:pPr>
        <w:spacing w:after="60"/>
        <w:jc w:val="center"/>
        <w:rPr>
          <w:b/>
          <w:sz w:val="22"/>
        </w:rPr>
      </w:pPr>
      <w:r w:rsidRPr="00556CD4">
        <w:rPr>
          <w:b/>
          <w:sz w:val="22"/>
        </w:rPr>
        <w:t xml:space="preserve">Número </w:t>
      </w:r>
      <w:r w:rsidR="00431E71" w:rsidRPr="00556CD4">
        <w:rPr>
          <w:b/>
          <w:sz w:val="22"/>
        </w:rPr>
        <w:t>281</w:t>
      </w:r>
    </w:p>
    <w:p w:rsidR="0035499A" w:rsidRPr="00556CD4" w:rsidRDefault="0035499A" w:rsidP="00C31EA7">
      <w:pPr>
        <w:spacing w:after="60"/>
        <w:jc w:val="center"/>
        <w:rPr>
          <w:b/>
          <w:sz w:val="22"/>
        </w:rPr>
      </w:pPr>
      <w:r w:rsidRPr="00556CD4">
        <w:rPr>
          <w:b/>
          <w:sz w:val="22"/>
        </w:rPr>
        <w:t>Sessões:</w:t>
      </w:r>
      <w:r w:rsidR="00C31EA7">
        <w:rPr>
          <w:b/>
          <w:sz w:val="22"/>
        </w:rPr>
        <w:t xml:space="preserve"> 05 e</w:t>
      </w:r>
      <w:r w:rsidRPr="00556CD4">
        <w:rPr>
          <w:b/>
          <w:sz w:val="22"/>
        </w:rPr>
        <w:t xml:space="preserve"> </w:t>
      </w:r>
      <w:r w:rsidR="00C31EA7">
        <w:rPr>
          <w:b/>
          <w:sz w:val="22"/>
        </w:rPr>
        <w:t>06/a</w:t>
      </w:r>
      <w:r w:rsidR="000403CF" w:rsidRPr="00556CD4">
        <w:rPr>
          <w:b/>
          <w:sz w:val="22"/>
        </w:rPr>
        <w:t>bril/2016</w:t>
      </w:r>
    </w:p>
    <w:p w:rsidR="0035499A" w:rsidRPr="00556CD4" w:rsidRDefault="005617EF" w:rsidP="00C31EA7">
      <w:pPr>
        <w:spacing w:after="60"/>
        <w:jc w:val="both"/>
        <w:rPr>
          <w:sz w:val="22"/>
        </w:rPr>
      </w:pPr>
      <w:r w:rsidRPr="00556CD4">
        <w:rPr>
          <w:sz w:val="22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links disponíveis. As informações aqui apresentadas não são </w:t>
      </w:r>
      <w:proofErr w:type="gramStart"/>
      <w:r w:rsidRPr="00556CD4">
        <w:rPr>
          <w:sz w:val="22"/>
        </w:rPr>
        <w:t>repositórios</w:t>
      </w:r>
      <w:proofErr w:type="gramEnd"/>
      <w:r w:rsidRPr="00556CD4">
        <w:rPr>
          <w:sz w:val="22"/>
        </w:rPr>
        <w:t xml:space="preserve"> oficiais de jurisprudência.</w:t>
      </w:r>
    </w:p>
    <w:p w:rsidR="004318F3" w:rsidRPr="00556CD4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b/>
          <w:sz w:val="22"/>
        </w:rPr>
      </w:pPr>
    </w:p>
    <w:p w:rsidR="0035499A" w:rsidRPr="00C31EA7" w:rsidRDefault="009772F2" w:rsidP="00C31EA7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jc w:val="center"/>
        <w:rPr>
          <w:b/>
          <w:sz w:val="22"/>
        </w:rPr>
      </w:pPr>
      <w:r w:rsidRPr="00C31EA7">
        <w:rPr>
          <w:b/>
          <w:sz w:val="22"/>
        </w:rPr>
        <w:t>SU</w:t>
      </w:r>
      <w:r w:rsidR="004318F3" w:rsidRPr="00C31EA7">
        <w:rPr>
          <w:b/>
          <w:sz w:val="22"/>
        </w:rPr>
        <w:t>M</w:t>
      </w:r>
      <w:r w:rsidRPr="00C31EA7">
        <w:rPr>
          <w:b/>
          <w:sz w:val="22"/>
        </w:rPr>
        <w:t>Á</w:t>
      </w:r>
      <w:r w:rsidR="004A3622" w:rsidRPr="00C31EA7">
        <w:rPr>
          <w:b/>
          <w:sz w:val="22"/>
        </w:rPr>
        <w:t>RIO</w:t>
      </w:r>
    </w:p>
    <w:p w:rsidR="007860AD" w:rsidRPr="00C31EA7" w:rsidRDefault="007860AD" w:rsidP="00C31EA7">
      <w:pPr>
        <w:spacing w:after="60"/>
        <w:rPr>
          <w:sz w:val="22"/>
        </w:rPr>
        <w:sectPr w:rsidR="007860AD" w:rsidRPr="00C31EA7" w:rsidSect="00AA3E05">
          <w:headerReference w:type="default" r:id="rId7"/>
          <w:footerReference w:type="default" r:id="rId8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F94AD7" w:rsidRPr="00C31EA7" w:rsidRDefault="001A4610" w:rsidP="00C31EA7">
      <w:pPr>
        <w:spacing w:after="60"/>
        <w:rPr>
          <w:b/>
          <w:sz w:val="22"/>
        </w:rPr>
      </w:pPr>
      <w:r w:rsidRPr="00C31EA7">
        <w:rPr>
          <w:b/>
          <w:sz w:val="22"/>
        </w:rPr>
        <w:lastRenderedPageBreak/>
        <w:t>Plenário</w:t>
      </w:r>
    </w:p>
    <w:p w:rsidR="007860AD" w:rsidRPr="00C31EA7" w:rsidRDefault="007860AD" w:rsidP="00C31EA7">
      <w:pPr>
        <w:spacing w:after="60"/>
        <w:rPr>
          <w:sz w:val="22"/>
        </w:rPr>
        <w:sectPr w:rsidR="007860AD" w:rsidRPr="00C31EA7" w:rsidSect="006F632A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C31EA7" w:rsidRDefault="001A4610" w:rsidP="00C31EA7">
      <w:pPr>
        <w:spacing w:after="60"/>
        <w:jc w:val="both"/>
        <w:rPr>
          <w:sz w:val="22"/>
        </w:rPr>
      </w:pPr>
      <w:r w:rsidRPr="00C31EA7">
        <w:rPr>
          <w:sz w:val="22"/>
        </w:rPr>
        <w:lastRenderedPageBreak/>
        <w:t xml:space="preserve">1. O prazo de </w:t>
      </w:r>
      <w:r w:rsidRPr="00C31EA7">
        <w:rPr>
          <w:sz w:val="22"/>
        </w:rPr>
        <w:t>vigência do contrato unificado de arrendamento portuário não deve extrapolar o menor prazo de vigência remanescente entre as avenças a serem consolidadas, considerando-se uma única prorrogação possível (quando prevista), sob pena de violar a limitação cont</w:t>
      </w:r>
      <w:r w:rsidRPr="00C31EA7">
        <w:rPr>
          <w:sz w:val="22"/>
        </w:rPr>
        <w:t>ida no art. 19 do Decreto 8.033/2013 e representar burla ao dever de licitar os arrendamentos portuários, previsto no art. 4º da Lei 12.815/2013.</w:t>
      </w:r>
    </w:p>
    <w:p w:rsidR="007860AD" w:rsidRPr="00C31EA7" w:rsidRDefault="007860AD" w:rsidP="00C31EA7">
      <w:pPr>
        <w:spacing w:after="60"/>
        <w:rPr>
          <w:sz w:val="22"/>
        </w:rPr>
        <w:sectPr w:rsidR="007860AD" w:rsidRPr="00C31EA7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C31EA7" w:rsidRDefault="001A4610" w:rsidP="00C31EA7">
      <w:pPr>
        <w:spacing w:after="60"/>
        <w:jc w:val="both"/>
        <w:rPr>
          <w:sz w:val="22"/>
        </w:rPr>
      </w:pPr>
      <w:r w:rsidRPr="00C31EA7">
        <w:rPr>
          <w:sz w:val="22"/>
        </w:rPr>
        <w:lastRenderedPageBreak/>
        <w:t>2. Em todas as prorrogações de prazo dos contratos de arrendamento portuário é ne</w:t>
      </w:r>
      <w:r w:rsidRPr="00C31EA7">
        <w:rPr>
          <w:sz w:val="22"/>
        </w:rPr>
        <w:t>cessária nova análise da equação econômico-financeira do contrato, ainda que a prorrogação ocorra como forma de compensar o tempo em que a arrendatária foi impossibilitada de operar.</w:t>
      </w:r>
    </w:p>
    <w:p w:rsidR="007860AD" w:rsidRPr="00C31EA7" w:rsidRDefault="007860AD" w:rsidP="00C31EA7">
      <w:pPr>
        <w:spacing w:after="60"/>
        <w:rPr>
          <w:sz w:val="22"/>
        </w:rPr>
        <w:sectPr w:rsidR="007860AD" w:rsidRPr="00C31EA7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2B7F5E" w:rsidRPr="00C31EA7" w:rsidRDefault="001A4610" w:rsidP="00C31EA7">
      <w:pPr>
        <w:spacing w:after="60"/>
        <w:jc w:val="both"/>
        <w:rPr>
          <w:sz w:val="22"/>
        </w:rPr>
      </w:pPr>
      <w:r w:rsidRPr="00C31EA7">
        <w:rPr>
          <w:sz w:val="22"/>
        </w:rPr>
        <w:lastRenderedPageBreak/>
        <w:t>3. A utilização de patrulha mecânica de meno</w:t>
      </w:r>
      <w:r w:rsidRPr="00C31EA7">
        <w:rPr>
          <w:sz w:val="22"/>
        </w:rPr>
        <w:t>r custo do que aquela prevista na composição de preços do contrato não representa superfaturamento se o preço global contratado para os serviços de terraplenagem for inferior ao preço referencial de mercado calculado com os custos dos equipamentos efetivam</w:t>
      </w:r>
      <w:r w:rsidRPr="00C31EA7">
        <w:rPr>
          <w:sz w:val="22"/>
        </w:rPr>
        <w:t>ente empregados. Sendo tecnicamente admissíveis diversas alternativas de execução dos serviços, é lícito que a empresa contratada opte por aquela que minimiza o seu custo e maximiza o seu lucro.</w:t>
      </w:r>
    </w:p>
    <w:p w:rsidR="007860AD" w:rsidRPr="00C31EA7" w:rsidRDefault="007860AD" w:rsidP="00C31EA7">
      <w:pPr>
        <w:spacing w:after="60"/>
        <w:rPr>
          <w:sz w:val="22"/>
        </w:rPr>
        <w:sectPr w:rsidR="007860AD" w:rsidRPr="00C31EA7" w:rsidSect="00BC63C7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4318F3" w:rsidRDefault="004318F3" w:rsidP="004318F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jc w:val="center"/>
        <w:rPr>
          <w:rFonts w:ascii="Arial" w:hAnsi="Arial" w:cs="Arial"/>
          <w:b/>
          <w:sz w:val="18"/>
          <w:szCs w:val="18"/>
        </w:rPr>
      </w:pPr>
    </w:p>
    <w:p w:rsidR="007860AD" w:rsidRDefault="007860AD">
      <w:pPr>
        <w:sectPr w:rsidR="007860AD" w:rsidSect="00EE3E91">
          <w:footerReference w:type="default" r:id="rId9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927CB7" w:rsidRDefault="001A4610" w:rsidP="00692853">
      <w:pPr>
        <w:jc w:val="center"/>
        <w:rPr>
          <w:b/>
        </w:rPr>
      </w:pPr>
      <w:r w:rsidRPr="004D0B45">
        <w:rPr>
          <w:b/>
        </w:rPr>
        <w:lastRenderedPageBreak/>
        <w:t>PLENÁRIO</w:t>
      </w:r>
    </w:p>
    <w:p w:rsidR="00EA6425" w:rsidRPr="00C474BD" w:rsidRDefault="001A4610" w:rsidP="00692853">
      <w:pPr>
        <w:jc w:val="center"/>
        <w:rPr>
          <w:b/>
        </w:rPr>
      </w:pPr>
    </w:p>
    <w:p w:rsidR="007860AD" w:rsidRDefault="007860AD">
      <w:pPr>
        <w:sectPr w:rsidR="007860AD" w:rsidSect="003D3DA9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b/>
          <w:sz w:val="22"/>
        </w:rPr>
        <w:lastRenderedPageBreak/>
        <w:t>1</w:t>
      </w:r>
      <w:r w:rsidRPr="00C31EA7">
        <w:rPr>
          <w:b/>
          <w:sz w:val="22"/>
        </w:rPr>
        <w:t>. O prazo de vigência do contrato unificado de arrendamento portuário não deve extrapolar o menor prazo de vigência remanescente entre as avenças a serem consolidadas, considerando-se um</w:t>
      </w:r>
      <w:r w:rsidRPr="00C31EA7">
        <w:rPr>
          <w:b/>
          <w:sz w:val="22"/>
        </w:rPr>
        <w:t>a única prorrogação possível (quando prevista), sob pena de violar a limitação contida no art. 19 do Decreto 8.033/2013 e representar burla ao dever de licitar os arrendamentos portuários, previsto no art. 4º da Lei 12.815/2013.</w:t>
      </w:r>
    </w:p>
    <w:p w:rsidR="007323B1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sz w:val="22"/>
        </w:rPr>
        <w:t xml:space="preserve">O Tribunal conheceu de </w:t>
      </w:r>
      <w:r w:rsidRPr="00C31EA7">
        <w:rPr>
          <w:sz w:val="22"/>
        </w:rPr>
        <w:t>Consulta, formulada pelo Ministro-Chefe da Secretaria de Portos da Presidência da República (SEP/PR), versando sobre dúvidas suscitadas na aplicação de dispositivos legais e regulamentares, no tocante, entre outros pontos, à unificação ou consolidação de c</w:t>
      </w:r>
      <w:r w:rsidRPr="00C31EA7">
        <w:rPr>
          <w:sz w:val="22"/>
        </w:rPr>
        <w:t xml:space="preserve">ontratos de arrendamento portuário. O consulente apresentou ao Tribunal a seguinte questão: </w:t>
      </w:r>
      <w:r w:rsidRPr="00AC7166">
        <w:rPr>
          <w:i/>
          <w:sz w:val="22"/>
        </w:rPr>
        <w:t>“no caso de unificação de contratos que tenham termos finais de vigência distintos, é possível que o prazo de vigência do contrato unificado seja superior ao limite</w:t>
      </w:r>
      <w:r w:rsidRPr="00AC7166">
        <w:rPr>
          <w:i/>
          <w:sz w:val="22"/>
        </w:rPr>
        <w:t xml:space="preserve"> de vigência (incluída a prorrogação prevista contratualmente) do contrato cuja vigência se encerrará </w:t>
      </w:r>
      <w:proofErr w:type="gramStart"/>
      <w:r w:rsidRPr="00AC7166">
        <w:rPr>
          <w:i/>
          <w:sz w:val="22"/>
        </w:rPr>
        <w:t>primeiro?”</w:t>
      </w:r>
      <w:proofErr w:type="gramEnd"/>
      <w:r w:rsidRPr="00C31EA7">
        <w:rPr>
          <w:sz w:val="22"/>
        </w:rPr>
        <w:t xml:space="preserve">. Conforme o relator introduziu em seu voto, </w:t>
      </w:r>
      <w:r w:rsidRPr="00AC7166">
        <w:rPr>
          <w:i/>
          <w:sz w:val="22"/>
        </w:rPr>
        <w:t>“a unificação ou consolidação dos contratos de arrendamento de instalações portuárias não está expr</w:t>
      </w:r>
      <w:r w:rsidRPr="00AC7166">
        <w:rPr>
          <w:i/>
          <w:sz w:val="22"/>
        </w:rPr>
        <w:t>essamente prevista na Lei. No entanto, foi ela instituída por Anexo à Resolução-Antaq 2.240/2011, no art. 84, § 2º, alínea ‘d’”</w:t>
      </w:r>
      <w:r w:rsidRPr="00C31EA7">
        <w:rPr>
          <w:sz w:val="22"/>
        </w:rPr>
        <w:t xml:space="preserve">. Observou o relator ser possível que </w:t>
      </w:r>
      <w:r w:rsidRPr="00AC7166">
        <w:rPr>
          <w:i/>
          <w:sz w:val="22"/>
        </w:rPr>
        <w:t>“uma mesma empresa vença diferentes certames e explore diversas áreas dentro do porto organ</w:t>
      </w:r>
      <w:r w:rsidRPr="00AC7166">
        <w:rPr>
          <w:i/>
          <w:sz w:val="22"/>
        </w:rPr>
        <w:t>izado, sendo plausível supor que venha a desenvolver as operações de forma integrada ou interdependente entre os vários arrendamentos. Nesse sentido, a unificação dos contratos pode representar alternativa válida na busca da eficiência dos serviços prestad</w:t>
      </w:r>
      <w:r w:rsidRPr="00AC7166">
        <w:rPr>
          <w:i/>
          <w:sz w:val="22"/>
        </w:rPr>
        <w:t>os”</w:t>
      </w:r>
      <w:r w:rsidRPr="00C31EA7">
        <w:rPr>
          <w:sz w:val="22"/>
        </w:rPr>
        <w:t xml:space="preserve">. Contudo, ressaltou, </w:t>
      </w:r>
      <w:r w:rsidRPr="00AC7166">
        <w:rPr>
          <w:i/>
          <w:sz w:val="22"/>
        </w:rPr>
        <w:t xml:space="preserve">“a legislação veda a concessão de mais de uma prorrogação contratual. Disso decorre que o instituto da unificação não tem o condão de promover nova extensão de prazo, além da única prorrogação possível, quando prevista no contrato </w:t>
      </w:r>
      <w:r w:rsidRPr="00AC7166">
        <w:rPr>
          <w:i/>
          <w:sz w:val="22"/>
        </w:rPr>
        <w:t>original”</w:t>
      </w:r>
      <w:r w:rsidRPr="00C31EA7">
        <w:rPr>
          <w:sz w:val="22"/>
        </w:rPr>
        <w:t xml:space="preserve">. Logo, o prazo máximo do contrato unificado estaria limitado ao menor prazo de vigência remanescente, considerando-se uma única prorrogação possível - quando prevista - entre as avenças a serem consolidadas. Consignou ainda o relator que </w:t>
      </w:r>
      <w:r w:rsidRPr="00AC7166">
        <w:rPr>
          <w:i/>
          <w:sz w:val="22"/>
        </w:rPr>
        <w:t>“eventua</w:t>
      </w:r>
      <w:r w:rsidRPr="00AC7166">
        <w:rPr>
          <w:i/>
          <w:sz w:val="22"/>
        </w:rPr>
        <w:t xml:space="preserve">l exorbitância do limite do menor prazo de vigência remanescente, entre os contratos unificados, feriria a limitação contida no art. 19 do Decreto </w:t>
      </w:r>
      <w:r w:rsidRPr="00AC7166">
        <w:rPr>
          <w:i/>
          <w:sz w:val="22"/>
        </w:rPr>
        <w:lastRenderedPageBreak/>
        <w:t xml:space="preserve">8.033/2013, bem como representaria burla ao dever de licitação de arrendamentos portuários, previsto no art. </w:t>
      </w:r>
      <w:r w:rsidRPr="00AC7166">
        <w:rPr>
          <w:i/>
          <w:sz w:val="22"/>
        </w:rPr>
        <w:t>4º da Lei 12.815/2013”</w:t>
      </w:r>
      <w:r w:rsidRPr="00C31EA7">
        <w:rPr>
          <w:sz w:val="22"/>
        </w:rPr>
        <w:t>. Quanto ao desequilíbrio da equação econômico-financeira inicial, diante da eventual redução do prazo de um dos contratos envolvidos na consolidação, ponderou que, não sendo possível o prazo de vigência do contrato unificado extrapol</w:t>
      </w:r>
      <w:r w:rsidRPr="00C31EA7">
        <w:rPr>
          <w:sz w:val="22"/>
        </w:rPr>
        <w:t>ar o menor prazo de vigência remanescente, podem ser aplicados outros meios para promover o reequilíbrio econômico-financeiro da avença unificada, tais como aumento ou redução dos valores financeiros previstos no contrato de arrendamento, modificação das o</w:t>
      </w:r>
      <w:r w:rsidRPr="00C31EA7">
        <w:rPr>
          <w:sz w:val="22"/>
        </w:rPr>
        <w:t xml:space="preserve">brigações contratuais do arrendatário previstas no próprio fluxo de caixa marginal ou pagamento de indenização. Portanto, acolhendo as análises do relator, o Tribunal respondeu ao questionamento do consulente afirmando não ser possível </w:t>
      </w:r>
      <w:r w:rsidRPr="00AC7166">
        <w:rPr>
          <w:i/>
          <w:sz w:val="22"/>
        </w:rPr>
        <w:t>“que o prazo de vigê</w:t>
      </w:r>
      <w:r w:rsidRPr="00AC7166">
        <w:rPr>
          <w:i/>
          <w:sz w:val="22"/>
        </w:rPr>
        <w:t>ncia do contrato unificado extrapole o menor prazo de vigência remanescente, considerando-se uma única prorrogação possível (quando prevista), dentre as avenças a serem consolidadas, pois tal situação feriria a limitação contida no art. 19 do Decreto 8.033</w:t>
      </w:r>
      <w:r w:rsidRPr="00AC7166">
        <w:rPr>
          <w:i/>
          <w:sz w:val="22"/>
        </w:rPr>
        <w:t>/2013, bem como representaria burla ao dever de licitação de arrendamentos portuários, previsto no art. 4º da Lei 12.815/2013”</w:t>
      </w:r>
      <w:r w:rsidRPr="00C31EA7">
        <w:rPr>
          <w:sz w:val="22"/>
        </w:rPr>
        <w:t>.</w:t>
      </w:r>
      <w:r w:rsidRPr="00C31EA7">
        <w:rPr>
          <w:sz w:val="22"/>
        </w:rPr>
        <w:t xml:space="preserve"> </w:t>
      </w:r>
      <w:hyperlink r:id="rId10" w:history="1">
        <w:r w:rsidRPr="00C31EA7">
          <w:rPr>
            <w:rStyle w:val="Hyperlink"/>
            <w:b/>
            <w:sz w:val="22"/>
            <w:u w:val="none"/>
          </w:rPr>
          <w:t>Acórdão 774/2016</w:t>
        </w:r>
        <w:r w:rsidRPr="00C31EA7">
          <w:rPr>
            <w:rStyle w:val="Hyperlink"/>
            <w:b/>
            <w:sz w:val="22"/>
            <w:u w:val="none"/>
          </w:rPr>
          <w:t xml:space="preserve"> Plenário</w:t>
        </w:r>
      </w:hyperlink>
      <w:r w:rsidRPr="00C31EA7">
        <w:rPr>
          <w:b/>
          <w:sz w:val="22"/>
        </w:rPr>
        <w:t xml:space="preserve">, </w:t>
      </w:r>
      <w:r w:rsidRPr="00C31EA7">
        <w:rPr>
          <w:b/>
          <w:sz w:val="22"/>
        </w:rPr>
        <w:t xml:space="preserve">Consulta, Relator </w:t>
      </w:r>
      <w:r w:rsidRPr="00C31EA7">
        <w:rPr>
          <w:b/>
          <w:sz w:val="22"/>
        </w:rPr>
        <w:t>Ministro Walton Alencar Rodrigues.</w:t>
      </w:r>
    </w:p>
    <w:p w:rsidR="009751AE" w:rsidRPr="00C31EA7" w:rsidRDefault="001A4610" w:rsidP="00C31EA7">
      <w:pPr>
        <w:widowControl w:val="0"/>
        <w:autoSpaceDE w:val="0"/>
        <w:autoSpaceDN w:val="0"/>
        <w:jc w:val="both"/>
        <w:rPr>
          <w:sz w:val="22"/>
        </w:rPr>
      </w:pPr>
    </w:p>
    <w:p w:rsidR="007860AD" w:rsidRPr="00C31EA7" w:rsidRDefault="007860AD" w:rsidP="00C31EA7">
      <w:pPr>
        <w:jc w:val="both"/>
        <w:rPr>
          <w:sz w:val="22"/>
        </w:rPr>
        <w:sectPr w:rsidR="007860AD" w:rsidRPr="00C31EA7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b/>
          <w:sz w:val="22"/>
        </w:rPr>
        <w:lastRenderedPageBreak/>
        <w:t>2</w:t>
      </w:r>
      <w:r w:rsidRPr="00C31EA7">
        <w:rPr>
          <w:b/>
          <w:sz w:val="22"/>
        </w:rPr>
        <w:t>. Em todas as prorrogações de prazo dos contratos de arrendamento portuário é necessária nova análise da equação econômico-financeira do contrato, ainda que a pr</w:t>
      </w:r>
      <w:r w:rsidRPr="00C31EA7">
        <w:rPr>
          <w:b/>
          <w:sz w:val="22"/>
        </w:rPr>
        <w:t>orrogação ocorra como forma de compensar o tempo em que a arrendatária foi impossibilitada de operar.</w:t>
      </w:r>
    </w:p>
    <w:p w:rsidR="007323B1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sz w:val="22"/>
        </w:rPr>
        <w:t>Na mesma Consulta formulada pelo Ministro-Chefe da Secretaria de Portos da Presidência da República, quanto à aplicação de dispositivos legais e regulamen</w:t>
      </w:r>
      <w:r w:rsidRPr="00C31EA7">
        <w:rPr>
          <w:sz w:val="22"/>
        </w:rPr>
        <w:t xml:space="preserve">tares à unificação ou consolidação de contratos de arrendamento portuário, o consulente apresentou a seguinte questão: </w:t>
      </w:r>
      <w:r w:rsidRPr="00923F6B">
        <w:rPr>
          <w:i/>
          <w:sz w:val="22"/>
        </w:rPr>
        <w:t>“é possível estender o prazo para além do período de vigência contratual, como forma de compensar o tempo de operação em que arrendatária</w:t>
      </w:r>
      <w:r w:rsidRPr="00923F6B">
        <w:rPr>
          <w:i/>
          <w:sz w:val="22"/>
        </w:rPr>
        <w:t xml:space="preserve"> foi impossibilitada de operar, abstendo-se da realização de nova análise da equação econômico-financeira do contrato, ou seja, devolução do exato período em que o terminal não operou, desde que devidamente justificado?”</w:t>
      </w:r>
      <w:r w:rsidRPr="00C31EA7">
        <w:rPr>
          <w:sz w:val="22"/>
        </w:rPr>
        <w:t xml:space="preserve">. O relator, enfrentando a questão, </w:t>
      </w:r>
      <w:r w:rsidRPr="00C31EA7">
        <w:rPr>
          <w:sz w:val="22"/>
        </w:rPr>
        <w:t xml:space="preserve">considerou excepcionalmente possível a devolução do prazo de paralisação à arrendatária, a partir de situação de fato verificada e justificada pela Administração, </w:t>
      </w:r>
      <w:r w:rsidRPr="00923F6B">
        <w:rPr>
          <w:i/>
          <w:sz w:val="22"/>
        </w:rPr>
        <w:t>“nos casos em que a arrendatária tiver sido impossibilitada de operar, ficando inativa por de</w:t>
      </w:r>
      <w:r w:rsidRPr="00923F6B">
        <w:rPr>
          <w:i/>
          <w:sz w:val="22"/>
        </w:rPr>
        <w:t>terminado período, em razão de fato provocado pelo poder público, ou devido a evento superveniente extraordinário e imprevisível”</w:t>
      </w:r>
      <w:r w:rsidRPr="00C31EA7">
        <w:rPr>
          <w:sz w:val="22"/>
        </w:rPr>
        <w:t xml:space="preserve">. No entanto, o relator lembrou que, nos termos do art. 14, § 5º, da Resolução-Antaq 3.220/2014, é imprescindível, em qualquer </w:t>
      </w:r>
      <w:r w:rsidRPr="00C31EA7">
        <w:rPr>
          <w:sz w:val="22"/>
        </w:rPr>
        <w:t xml:space="preserve">caso de prorrogação, nova análise da equação econômico-financeira do contrato a fim de que seja estabelecida sua nova vigência. Dessa forma, anuindo à proposta do relator, o Tribunal respondeu ao questionamento do consulente afirmando que </w:t>
      </w:r>
      <w:r w:rsidRPr="00923F6B">
        <w:rPr>
          <w:i/>
          <w:sz w:val="22"/>
        </w:rPr>
        <w:t>“em toda e qualqu</w:t>
      </w:r>
      <w:r w:rsidRPr="00923F6B">
        <w:rPr>
          <w:i/>
          <w:sz w:val="22"/>
        </w:rPr>
        <w:t>er extensão de prazo para além do período de vigência contratual, ou seja, prorrogação de contrato, ainda que como forma de compensar o tempo de operação em que arrendatária foi impossibilitada de operar, é necessária nova análise da equação econômico-fina</w:t>
      </w:r>
      <w:r w:rsidRPr="00923F6B">
        <w:rPr>
          <w:i/>
          <w:sz w:val="22"/>
        </w:rPr>
        <w:t>nceira do contrato, devendo-se ressaltar que a eventual ampliação de vigência de arrendamentos portuários para fins de recomposição do equilíbrio econômico-financeiro contratual deve observar as restrições contidas na legislação”</w:t>
      </w:r>
      <w:r w:rsidRPr="00C31EA7">
        <w:rPr>
          <w:sz w:val="22"/>
        </w:rPr>
        <w:t>.</w:t>
      </w:r>
      <w:r w:rsidRPr="00C31EA7">
        <w:rPr>
          <w:sz w:val="22"/>
        </w:rPr>
        <w:t xml:space="preserve"> </w:t>
      </w:r>
      <w:hyperlink r:id="rId11" w:history="1">
        <w:r w:rsidRPr="00C31EA7">
          <w:rPr>
            <w:rStyle w:val="Hyperlink"/>
            <w:b/>
            <w:sz w:val="22"/>
            <w:u w:val="none"/>
          </w:rPr>
          <w:t>Acórdão 774/2016 Plenário</w:t>
        </w:r>
      </w:hyperlink>
      <w:r w:rsidRPr="00C31EA7">
        <w:rPr>
          <w:b/>
          <w:sz w:val="22"/>
        </w:rPr>
        <w:t>,</w:t>
      </w:r>
      <w:r w:rsidRPr="00C31EA7">
        <w:rPr>
          <w:b/>
          <w:sz w:val="22"/>
        </w:rPr>
        <w:t xml:space="preserve"> </w:t>
      </w:r>
      <w:r w:rsidRPr="00C31EA7">
        <w:rPr>
          <w:b/>
          <w:sz w:val="22"/>
        </w:rPr>
        <w:t xml:space="preserve">Consulta, Relator </w:t>
      </w:r>
      <w:r w:rsidRPr="00C31EA7">
        <w:rPr>
          <w:b/>
          <w:sz w:val="22"/>
        </w:rPr>
        <w:t>Ministro Walton Alencar Rodrigues.</w:t>
      </w:r>
    </w:p>
    <w:p w:rsidR="009751AE" w:rsidRPr="00C31EA7" w:rsidRDefault="001A4610" w:rsidP="00C31EA7">
      <w:pPr>
        <w:widowControl w:val="0"/>
        <w:autoSpaceDE w:val="0"/>
        <w:autoSpaceDN w:val="0"/>
        <w:jc w:val="both"/>
        <w:rPr>
          <w:sz w:val="22"/>
        </w:rPr>
      </w:pPr>
    </w:p>
    <w:p w:rsidR="007860AD" w:rsidRPr="00C31EA7" w:rsidRDefault="007860AD" w:rsidP="00C31EA7">
      <w:pPr>
        <w:jc w:val="both"/>
        <w:rPr>
          <w:sz w:val="22"/>
        </w:rPr>
        <w:sectPr w:rsidR="007860AD" w:rsidRPr="00C31EA7" w:rsidSect="000B08D2"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16227F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b/>
          <w:sz w:val="22"/>
        </w:rPr>
        <w:lastRenderedPageBreak/>
        <w:t>3</w:t>
      </w:r>
      <w:r w:rsidRPr="00C31EA7">
        <w:rPr>
          <w:b/>
          <w:sz w:val="22"/>
        </w:rPr>
        <w:t xml:space="preserve">. A utilização de patrulha mecânica de menor custo do que </w:t>
      </w:r>
      <w:r w:rsidRPr="00C31EA7">
        <w:rPr>
          <w:b/>
          <w:sz w:val="22"/>
        </w:rPr>
        <w:t>aquela prevista na composição de preços do contrato não representa superfaturamento se o preço global contratado para os serviços de terraplenagem for inferior ao preço referencial de mercado calculado com os custos dos equipamentos efetivamente empregados</w:t>
      </w:r>
      <w:r w:rsidRPr="00C31EA7">
        <w:rPr>
          <w:b/>
          <w:sz w:val="22"/>
        </w:rPr>
        <w:t>. Sendo tecnicamente admissíveis diversas alternativas de execução dos serviços, é lícito que a empresa contratada opte por aquela que minimiza o seu custo e maximiza o seu lucro.</w:t>
      </w:r>
    </w:p>
    <w:p w:rsidR="007323B1" w:rsidRPr="00C31EA7" w:rsidRDefault="001A4610" w:rsidP="00C31EA7">
      <w:pPr>
        <w:widowControl w:val="0"/>
        <w:autoSpaceDE w:val="0"/>
        <w:autoSpaceDN w:val="0"/>
        <w:jc w:val="both"/>
        <w:rPr>
          <w:b/>
          <w:sz w:val="22"/>
        </w:rPr>
      </w:pPr>
      <w:r w:rsidRPr="00C31EA7">
        <w:rPr>
          <w:sz w:val="22"/>
        </w:rPr>
        <w:t xml:space="preserve">Pedidos de Reexame questionaram deliberação do Tribunal que determinara, em </w:t>
      </w:r>
      <w:r w:rsidRPr="00C31EA7">
        <w:rPr>
          <w:sz w:val="22"/>
        </w:rPr>
        <w:t>processo de levantamento de auditoria realizado nas obras de Adequação de Capacidade e Restauração da BR-104/PE, glosa nas medições futuras em razão de pagamentos indevidos. Da quantia de R$ 3.226.281,87, impugnada na deliberação recorrida, parcela no mont</w:t>
      </w:r>
      <w:r w:rsidRPr="00C31EA7">
        <w:rPr>
          <w:sz w:val="22"/>
        </w:rPr>
        <w:t>ante de R$ 758.211,23 referira-se à utilização de escavadeiras hidráulicas nos serviços de escavação, carga e transporte (ECT), em vez das pás carregadeiras previstas na composição do preço contratual. Na análise do recurso, a unidade técnica especializada</w:t>
      </w:r>
      <w:r w:rsidRPr="00C31EA7">
        <w:rPr>
          <w:sz w:val="22"/>
        </w:rPr>
        <w:t xml:space="preserve"> efetuou comparação dos preços contratuais (equipe composta por trator de esteiras e pá carregadeira) com preços referenciais obtidos a partir do Sistema Sicro 2, considerando a patrulha mecânica mais econômica para a execução do serviço (composição compos</w:t>
      </w:r>
      <w:r w:rsidRPr="00C31EA7">
        <w:rPr>
          <w:sz w:val="22"/>
        </w:rPr>
        <w:t xml:space="preserve">ta por escavadeira), restando demonstrado que o preço global dos serviços de terraplanagem previsto no contrato celebrado era inferior ao preço referencial calculado com o uso da escavadeira. Em manifestação transcrita no </w:t>
      </w:r>
      <w:r w:rsidRPr="00C31EA7">
        <w:rPr>
          <w:sz w:val="22"/>
        </w:rPr>
        <w:lastRenderedPageBreak/>
        <w:t>voto do relator, a unidade especia</w:t>
      </w:r>
      <w:r w:rsidRPr="00C31EA7">
        <w:rPr>
          <w:sz w:val="22"/>
        </w:rPr>
        <w:t xml:space="preserve">lizada ressaltou que </w:t>
      </w:r>
      <w:r w:rsidRPr="00116EBA">
        <w:rPr>
          <w:i/>
          <w:sz w:val="22"/>
        </w:rPr>
        <w:t>“em princípio, o projeto básico não deve especificar os equipamentos a serem usados na prestação de serviços (apenas os que se incorporam à obra), da mesma forma que, em princípio, não deve especificar o método construtivo, sob pena de</w:t>
      </w:r>
      <w:r w:rsidRPr="00116EBA">
        <w:rPr>
          <w:i/>
          <w:sz w:val="22"/>
        </w:rPr>
        <w:t xml:space="preserve"> estar restringindo o caráter competitivo da licitação. Não obstante, deve prestar informações suficientes que permitam que as empresas o deduzam. No caso, sendo igualmente admissíveis as diversas alternativas de execução dos serviços - seja com trator de </w:t>
      </w:r>
      <w:r w:rsidRPr="00116EBA">
        <w:rPr>
          <w:i/>
          <w:sz w:val="22"/>
        </w:rPr>
        <w:t>esteiras, com motoscreiperes ou com escavadeiras - é lícito que a empresa os execute com uns ou com os outros, de forma a minimizar o seu custo e maximizar o seu lucro. Assim entendido, a proposta da empresa diz respeito aos preços de cada serviço, não a c</w:t>
      </w:r>
      <w:r w:rsidRPr="00116EBA">
        <w:rPr>
          <w:i/>
          <w:sz w:val="22"/>
        </w:rPr>
        <w:t>omo cada serviço será efetivamente executado ou mesmo aos custos reais de execução de cada serviço”</w:t>
      </w:r>
      <w:r w:rsidRPr="00C31EA7">
        <w:rPr>
          <w:sz w:val="22"/>
        </w:rPr>
        <w:t xml:space="preserve">. Acolhendo tal análise, o relator consignou: </w:t>
      </w:r>
      <w:r w:rsidRPr="00D13191">
        <w:rPr>
          <w:i/>
          <w:sz w:val="22"/>
        </w:rPr>
        <w:t>“a administração deve sempre buscar a opção mais econômica para execução do serviço ao elaborar seus orçamentos</w:t>
      </w:r>
      <w:r w:rsidRPr="00D13191">
        <w:rPr>
          <w:i/>
          <w:sz w:val="22"/>
        </w:rPr>
        <w:t xml:space="preserve"> base para as licitações. Da mesma forma, para fins de análise de preços, esta Corte deve sempre considerar em seus orçamentos referenciais o uso da opção mais econômica, sempre que viável tecnicamente. Contudo, não é razoável exigir que sejam glosados ind</w:t>
      </w:r>
      <w:r w:rsidRPr="00D13191">
        <w:rPr>
          <w:i/>
          <w:sz w:val="22"/>
        </w:rPr>
        <w:t>ividualmente todos os preços unitários contratados que estejam acima de preços referenciais obtidos a partir do uso de equipamentos mais econômicos sem que se avalie a economicidade como um todo da contratação. Ressalto que, in casu, a opção pelo uso da es</w:t>
      </w:r>
      <w:r w:rsidRPr="00D13191">
        <w:rPr>
          <w:i/>
          <w:sz w:val="22"/>
        </w:rPr>
        <w:t>cavadeira hidráulica não resulta, aparentemente, em benefício financeiro para o Consórcio ao final da obra, como havia assumido a equipe de auditoria ao analisar os serviços realizados até o momento da visita in loco, uma vez que o novo exame realizado pel</w:t>
      </w:r>
      <w:r w:rsidRPr="00D13191">
        <w:rPr>
          <w:i/>
          <w:sz w:val="22"/>
        </w:rPr>
        <w:t>a Secob Rodovias demonstrou não existir sobrepreço no valor total contratado com base nos quantitativos originais orçados”</w:t>
      </w:r>
      <w:r w:rsidRPr="00C31EA7">
        <w:rPr>
          <w:sz w:val="22"/>
        </w:rPr>
        <w:t xml:space="preserve">. Nesses termos, o Plenário, acompanhando o relator, deu provimento parcial ao recurso interposto para excluir da quantia impugnada o </w:t>
      </w:r>
      <w:r w:rsidRPr="00C31EA7">
        <w:rPr>
          <w:sz w:val="22"/>
        </w:rPr>
        <w:t>montante de R$ 758.211,23, referente à utilização de escavadeiras hidráulicas em vez de pás-carregadeiras nos serviços de escavação, carga e transporte.</w:t>
      </w:r>
      <w:r w:rsidR="00C31EA7">
        <w:rPr>
          <w:sz w:val="22"/>
        </w:rPr>
        <w:t xml:space="preserve"> </w:t>
      </w:r>
      <w:hyperlink r:id="rId12" w:history="1">
        <w:r w:rsidRPr="00C31EA7">
          <w:rPr>
            <w:rStyle w:val="Hyperlink"/>
            <w:b/>
            <w:sz w:val="22"/>
            <w:u w:val="none"/>
          </w:rPr>
          <w:t>Acórdão 800/2016 Plenário</w:t>
        </w:r>
      </w:hyperlink>
      <w:r w:rsidRPr="00C31EA7">
        <w:rPr>
          <w:b/>
          <w:sz w:val="22"/>
        </w:rPr>
        <w:t xml:space="preserve">, </w:t>
      </w:r>
      <w:r w:rsidRPr="00C31EA7">
        <w:rPr>
          <w:b/>
          <w:sz w:val="22"/>
        </w:rPr>
        <w:t xml:space="preserve">Pedido </w:t>
      </w:r>
      <w:bookmarkStart w:id="0" w:name="_GoBack"/>
      <w:bookmarkEnd w:id="0"/>
      <w:r w:rsidRPr="00C31EA7">
        <w:rPr>
          <w:b/>
          <w:sz w:val="22"/>
        </w:rPr>
        <w:t xml:space="preserve">de Reexame, Relator </w:t>
      </w:r>
      <w:r w:rsidRPr="00C31EA7">
        <w:rPr>
          <w:b/>
          <w:sz w:val="22"/>
        </w:rPr>
        <w:t>Ministro Vital do Rêgo.</w:t>
      </w:r>
    </w:p>
    <w:p w:rsidR="009751AE" w:rsidRPr="006E008E" w:rsidRDefault="001A4610" w:rsidP="00BF0515">
      <w:pPr>
        <w:widowControl w:val="0"/>
        <w:autoSpaceDE w:val="0"/>
        <w:autoSpaceDN w:val="0"/>
        <w:jc w:val="both"/>
        <w:rPr>
          <w:sz w:val="22"/>
        </w:rPr>
      </w:pPr>
    </w:p>
    <w:p w:rsidR="007860AD" w:rsidRDefault="007860AD"/>
    <w:p w:rsidR="00C31EA7" w:rsidRDefault="00C31EA7">
      <w:pPr>
        <w:sectPr w:rsidR="00C31EA7" w:rsidSect="00EE3E91">
          <w:footerReference w:type="default" r:id="rId13"/>
          <w:type w:val="continuous"/>
          <w:pgSz w:w="11906" w:h="16838" w:code="9"/>
          <w:pgMar w:top="1440" w:right="851" w:bottom="1440" w:left="1134" w:header="709" w:footer="709" w:gutter="0"/>
          <w:cols w:space="708"/>
          <w:docGrid w:linePitch="360"/>
        </w:sectPr>
      </w:pPr>
    </w:p>
    <w:p w:rsidR="00C97756" w:rsidRPr="008C7BE6" w:rsidRDefault="001A4610" w:rsidP="002678F1">
      <w:pPr>
        <w:pStyle w:val="enter-3pt"/>
        <w:tabs>
          <w:tab w:val="left" w:pos="2590"/>
        </w:tabs>
        <w:spacing w:after="200" w:line="276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lastRenderedPageBreak/>
        <w:t>Elaboração: Diretoria de Jurisprudência - Secretaria das Sessões</w:t>
      </w:r>
    </w:p>
    <w:p w:rsidR="00C03330" w:rsidRPr="00AA6697" w:rsidRDefault="001A4610" w:rsidP="002678F1">
      <w:pPr>
        <w:spacing w:after="200" w:line="276" w:lineRule="auto"/>
        <w:jc w:val="center"/>
        <w:rPr>
          <w:rFonts w:ascii="Arial" w:hAnsi="Arial" w:cs="Arial"/>
          <w:sz w:val="18"/>
          <w:szCs w:val="18"/>
        </w:rPr>
      </w:pPr>
      <w:r w:rsidRPr="008C7BE6">
        <w:rPr>
          <w:rFonts w:ascii="Arial" w:hAnsi="Arial" w:cs="Arial"/>
          <w:b/>
          <w:i/>
          <w:sz w:val="18"/>
          <w:szCs w:val="18"/>
        </w:rPr>
        <w:t xml:space="preserve">Contato: </w:t>
      </w:r>
      <w:hyperlink r:id="rId14" w:history="1">
        <w:r w:rsidRPr="00C97756">
          <w:rPr>
            <w:rStyle w:val="Hyperlink"/>
            <w:rFonts w:ascii="Arial" w:hAnsi="Arial" w:cs="Arial"/>
            <w:i/>
            <w:sz w:val="18"/>
            <w:szCs w:val="18"/>
          </w:rPr>
          <w:t>infojuris@tcu.gov.br</w:t>
        </w:r>
      </w:hyperlink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</w:r>
    </w:p>
    <w:sectPr w:rsidR="00C03330" w:rsidRPr="00AA6697" w:rsidSect="00E41618">
      <w:footerReference w:type="default" r:id="rId15"/>
      <w:type w:val="continuous"/>
      <w:pgSz w:w="11906" w:h="16838" w:code="9"/>
      <w:pgMar w:top="1440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610" w:rsidRDefault="001A4610" w:rsidP="00ED5179">
      <w:r>
        <w:separator/>
      </w:r>
    </w:p>
  </w:endnote>
  <w:endnote w:type="continuationSeparator" w:id="0">
    <w:p w:rsidR="001A4610" w:rsidRDefault="001A4610" w:rsidP="00ED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7166">
      <w:rPr>
        <w:noProof/>
      </w:rPr>
      <w:t>1</w:t>
    </w:r>
    <w:r>
      <w:fldChar w:fldCharType="end"/>
    </w:r>
  </w:p>
  <w:p w:rsidR="009C1CD2" w:rsidRDefault="009C1CD2" w:rsidP="00D702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6EBA">
      <w:rPr>
        <w:noProof/>
      </w:rPr>
      <w:t>2</w:t>
    </w:r>
    <w:r>
      <w:fldChar w:fldCharType="end"/>
    </w:r>
  </w:p>
  <w:p w:rsidR="009C1CD2" w:rsidRDefault="009C1CD2" w:rsidP="00D702D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BE2" w:rsidRDefault="00C04BE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3191">
      <w:rPr>
        <w:noProof/>
      </w:rPr>
      <w:t>3</w:t>
    </w:r>
    <w:r>
      <w:fldChar w:fldCharType="end"/>
    </w:r>
  </w:p>
  <w:p w:rsidR="009C1CD2" w:rsidRDefault="009C1CD2" w:rsidP="00D702D9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697" w:rsidRDefault="001A4610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A6697" w:rsidRDefault="001A4610" w:rsidP="00AA66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610" w:rsidRDefault="001A4610" w:rsidP="00ED5179">
      <w:r>
        <w:separator/>
      </w:r>
    </w:p>
  </w:footnote>
  <w:footnote w:type="continuationSeparator" w:id="0">
    <w:p w:rsidR="001A4610" w:rsidRDefault="001A4610" w:rsidP="00ED5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D06" w:rsidRPr="0035499A" w:rsidRDefault="008B5C28" w:rsidP="0093720C">
    <w:pPr>
      <w:pStyle w:val="Cabealho"/>
      <w:spacing w:after="100" w:afterAutospacing="1"/>
    </w:pPr>
    <w:r w:rsidRPr="008B5C28">
      <w:rPr>
        <w:b/>
        <w:i/>
        <w:noProof/>
        <w:sz w:val="22"/>
        <w:lang w:eastAsia="pt-BR"/>
      </w:rPr>
      <w:drawing>
        <wp:inline distT="0" distB="0" distL="0" distR="0">
          <wp:extent cx="6086475" cy="760730"/>
          <wp:effectExtent l="0" t="0" r="0" b="0"/>
          <wp:docPr id="2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79"/>
    <w:rsid w:val="00007433"/>
    <w:rsid w:val="00035ABF"/>
    <w:rsid w:val="000362D8"/>
    <w:rsid w:val="000403CF"/>
    <w:rsid w:val="00055FCC"/>
    <w:rsid w:val="00082F24"/>
    <w:rsid w:val="000F2444"/>
    <w:rsid w:val="00107C47"/>
    <w:rsid w:val="00116EBA"/>
    <w:rsid w:val="0013773E"/>
    <w:rsid w:val="00167319"/>
    <w:rsid w:val="00171F4E"/>
    <w:rsid w:val="00177D47"/>
    <w:rsid w:val="001A0F92"/>
    <w:rsid w:val="001A4610"/>
    <w:rsid w:val="001A4CB9"/>
    <w:rsid w:val="001D00C5"/>
    <w:rsid w:val="001D00FE"/>
    <w:rsid w:val="001D6FAA"/>
    <w:rsid w:val="001F4538"/>
    <w:rsid w:val="002046AF"/>
    <w:rsid w:val="0020622A"/>
    <w:rsid w:val="00234034"/>
    <w:rsid w:val="002466B7"/>
    <w:rsid w:val="00256B0C"/>
    <w:rsid w:val="00295550"/>
    <w:rsid w:val="002961A3"/>
    <w:rsid w:val="002C67CE"/>
    <w:rsid w:val="002D3139"/>
    <w:rsid w:val="002D3A2F"/>
    <w:rsid w:val="002E380E"/>
    <w:rsid w:val="00306884"/>
    <w:rsid w:val="00321872"/>
    <w:rsid w:val="00327A3D"/>
    <w:rsid w:val="00344ECE"/>
    <w:rsid w:val="0035499A"/>
    <w:rsid w:val="003C5A0B"/>
    <w:rsid w:val="003C5E3B"/>
    <w:rsid w:val="003E35D7"/>
    <w:rsid w:val="003F3644"/>
    <w:rsid w:val="003F6210"/>
    <w:rsid w:val="004238A5"/>
    <w:rsid w:val="004318F3"/>
    <w:rsid w:val="00431E71"/>
    <w:rsid w:val="0043308E"/>
    <w:rsid w:val="0048449D"/>
    <w:rsid w:val="004A2DDF"/>
    <w:rsid w:val="004A3622"/>
    <w:rsid w:val="004B4A6D"/>
    <w:rsid w:val="004C3808"/>
    <w:rsid w:val="00513988"/>
    <w:rsid w:val="00525994"/>
    <w:rsid w:val="005264AF"/>
    <w:rsid w:val="00532988"/>
    <w:rsid w:val="00545F83"/>
    <w:rsid w:val="00556CD4"/>
    <w:rsid w:val="00557A83"/>
    <w:rsid w:val="005612CC"/>
    <w:rsid w:val="005617EF"/>
    <w:rsid w:val="00572E3F"/>
    <w:rsid w:val="005A1B4B"/>
    <w:rsid w:val="005A2E89"/>
    <w:rsid w:val="006006C2"/>
    <w:rsid w:val="00632AA6"/>
    <w:rsid w:val="006539EA"/>
    <w:rsid w:val="006779C0"/>
    <w:rsid w:val="00686128"/>
    <w:rsid w:val="006F1289"/>
    <w:rsid w:val="006F1D2A"/>
    <w:rsid w:val="00703C89"/>
    <w:rsid w:val="00732A0F"/>
    <w:rsid w:val="007404E0"/>
    <w:rsid w:val="007409DE"/>
    <w:rsid w:val="007860AD"/>
    <w:rsid w:val="00791535"/>
    <w:rsid w:val="007A008F"/>
    <w:rsid w:val="007A6ECE"/>
    <w:rsid w:val="007B032E"/>
    <w:rsid w:val="007E09D4"/>
    <w:rsid w:val="008048F0"/>
    <w:rsid w:val="00824B9C"/>
    <w:rsid w:val="00837598"/>
    <w:rsid w:val="00842D06"/>
    <w:rsid w:val="008659BF"/>
    <w:rsid w:val="00874F87"/>
    <w:rsid w:val="00881A7C"/>
    <w:rsid w:val="00891E61"/>
    <w:rsid w:val="008B5C28"/>
    <w:rsid w:val="008C06E3"/>
    <w:rsid w:val="008C5387"/>
    <w:rsid w:val="008C7BE6"/>
    <w:rsid w:val="008D43AA"/>
    <w:rsid w:val="008E095E"/>
    <w:rsid w:val="008F0439"/>
    <w:rsid w:val="008F73E2"/>
    <w:rsid w:val="00923F6B"/>
    <w:rsid w:val="00924297"/>
    <w:rsid w:val="00934A42"/>
    <w:rsid w:val="00935B2B"/>
    <w:rsid w:val="0093720C"/>
    <w:rsid w:val="00942C93"/>
    <w:rsid w:val="0095776C"/>
    <w:rsid w:val="009772F2"/>
    <w:rsid w:val="00991087"/>
    <w:rsid w:val="009B0538"/>
    <w:rsid w:val="009C1CD2"/>
    <w:rsid w:val="009D4C43"/>
    <w:rsid w:val="009D60F6"/>
    <w:rsid w:val="009E41D1"/>
    <w:rsid w:val="00A205EC"/>
    <w:rsid w:val="00A22D1E"/>
    <w:rsid w:val="00A306A8"/>
    <w:rsid w:val="00A83C33"/>
    <w:rsid w:val="00A9242D"/>
    <w:rsid w:val="00AA3E05"/>
    <w:rsid w:val="00AA4BD9"/>
    <w:rsid w:val="00AA6A32"/>
    <w:rsid w:val="00AB7BF8"/>
    <w:rsid w:val="00AC6714"/>
    <w:rsid w:val="00AC7166"/>
    <w:rsid w:val="00AD3C90"/>
    <w:rsid w:val="00AF1E2C"/>
    <w:rsid w:val="00B12E89"/>
    <w:rsid w:val="00B17FDA"/>
    <w:rsid w:val="00B41043"/>
    <w:rsid w:val="00B526D3"/>
    <w:rsid w:val="00B91CBF"/>
    <w:rsid w:val="00BD1D53"/>
    <w:rsid w:val="00BD3B05"/>
    <w:rsid w:val="00BD55F7"/>
    <w:rsid w:val="00BE719D"/>
    <w:rsid w:val="00BF2730"/>
    <w:rsid w:val="00BF581A"/>
    <w:rsid w:val="00C013E3"/>
    <w:rsid w:val="00C04BE2"/>
    <w:rsid w:val="00C16F38"/>
    <w:rsid w:val="00C23E2C"/>
    <w:rsid w:val="00C31EA7"/>
    <w:rsid w:val="00C35594"/>
    <w:rsid w:val="00C43825"/>
    <w:rsid w:val="00C473AD"/>
    <w:rsid w:val="00C714EE"/>
    <w:rsid w:val="00C72771"/>
    <w:rsid w:val="00C85CAC"/>
    <w:rsid w:val="00C92822"/>
    <w:rsid w:val="00C96FBD"/>
    <w:rsid w:val="00CD3717"/>
    <w:rsid w:val="00CD5906"/>
    <w:rsid w:val="00CE382D"/>
    <w:rsid w:val="00D048E4"/>
    <w:rsid w:val="00D05033"/>
    <w:rsid w:val="00D1244C"/>
    <w:rsid w:val="00D13191"/>
    <w:rsid w:val="00D31C0A"/>
    <w:rsid w:val="00D501DA"/>
    <w:rsid w:val="00D702D9"/>
    <w:rsid w:val="00D75CE4"/>
    <w:rsid w:val="00DA2CAF"/>
    <w:rsid w:val="00DC4B60"/>
    <w:rsid w:val="00DD065C"/>
    <w:rsid w:val="00DD5873"/>
    <w:rsid w:val="00DD607D"/>
    <w:rsid w:val="00DD6C20"/>
    <w:rsid w:val="00DF244B"/>
    <w:rsid w:val="00DF5181"/>
    <w:rsid w:val="00DF69E6"/>
    <w:rsid w:val="00E027B1"/>
    <w:rsid w:val="00E145EE"/>
    <w:rsid w:val="00E46CEB"/>
    <w:rsid w:val="00E55A1D"/>
    <w:rsid w:val="00E65DBA"/>
    <w:rsid w:val="00E73B12"/>
    <w:rsid w:val="00E90600"/>
    <w:rsid w:val="00E93506"/>
    <w:rsid w:val="00EA61D7"/>
    <w:rsid w:val="00ED5179"/>
    <w:rsid w:val="00EE70E9"/>
    <w:rsid w:val="00F0239A"/>
    <w:rsid w:val="00F05C62"/>
    <w:rsid w:val="00F26DD0"/>
    <w:rsid w:val="00F819A7"/>
    <w:rsid w:val="00FB590D"/>
    <w:rsid w:val="00FF383F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60B4C58-9F42-42E0-8E6B-4F727770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3E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F2730"/>
    <w:pPr>
      <w:keepNext/>
      <w:keepLines/>
      <w:outlineLvl w:val="0"/>
    </w:pPr>
    <w:rPr>
      <w:rFonts w:eastAsiaTheme="majorEastAsia"/>
      <w:b/>
      <w:bCs/>
      <w:color w:val="365F91" w:themeColor="accent1" w:themeShade="BF"/>
      <w:szCs w:val="28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499A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BF2730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54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D517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ED51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D517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1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D5179"/>
    <w:rPr>
      <w:rFonts w:ascii="Tahoma" w:hAnsi="Tahoma" w:cs="Tahoma"/>
      <w:sz w:val="16"/>
      <w:szCs w:val="16"/>
    </w:rPr>
  </w:style>
  <w:style w:type="paragraph" w:customStyle="1" w:styleId="TCU-Epgrafe">
    <w:name w:val="TCU - Epígrafe"/>
    <w:basedOn w:val="Normal"/>
    <w:rsid w:val="00BF2730"/>
    <w:pPr>
      <w:ind w:left="2835"/>
      <w:jc w:val="both"/>
    </w:pPr>
    <w:rPr>
      <w:szCs w:val="20"/>
      <w:lang w:eastAsia="pt-BR"/>
    </w:rPr>
  </w:style>
  <w:style w:type="paragraph" w:styleId="SemEspaamento">
    <w:name w:val="No Spacing"/>
    <w:uiPriority w:val="1"/>
    <w:qFormat/>
    <w:rsid w:val="00BF273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BF2730"/>
    <w:pPr>
      <w:pBdr>
        <w:bottom w:val="single" w:sz="8" w:space="4" w:color="4F81BD" w:themeColor="accent1"/>
      </w:pBdr>
      <w:contextualSpacing/>
    </w:pPr>
    <w:rPr>
      <w:rFonts w:eastAsiaTheme="majorEastAsia"/>
      <w:color w:val="17365D" w:themeColor="text2" w:themeShade="BF"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locked/>
    <w:rsid w:val="00BF2730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F2730"/>
    <w:pPr>
      <w:numPr>
        <w:ilvl w:val="1"/>
      </w:numPr>
    </w:pPr>
    <w:rPr>
      <w:rFonts w:eastAsiaTheme="majorEastAsia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BF2730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customStyle="1" w:styleId="TCU-Centralizado">
    <w:name w:val="TCU - Centralizado"/>
    <w:basedOn w:val="Normal"/>
    <w:qFormat/>
    <w:rsid w:val="009E41D1"/>
    <w:pPr>
      <w:jc w:val="center"/>
    </w:pPr>
    <w:rPr>
      <w:szCs w:val="24"/>
    </w:rPr>
  </w:style>
  <w:style w:type="paragraph" w:customStyle="1" w:styleId="TCU-RelVoto-1">
    <w:name w:val="TCU - Rel/Voto - 1º §"/>
    <w:basedOn w:val="Normal"/>
    <w:qFormat/>
    <w:rsid w:val="009E41D1"/>
    <w:pPr>
      <w:spacing w:after="160"/>
      <w:ind w:firstLine="1134"/>
      <w:jc w:val="both"/>
    </w:pPr>
  </w:style>
  <w:style w:type="paragraph" w:customStyle="1" w:styleId="TCU-Ac-item9-">
    <w:name w:val="TCU - Ac - item 9 - §§"/>
    <w:basedOn w:val="TCU-RelVoto-1"/>
    <w:qFormat/>
    <w:rsid w:val="009E41D1"/>
    <w:pPr>
      <w:spacing w:after="0"/>
    </w:pPr>
  </w:style>
  <w:style w:type="paragraph" w:customStyle="1" w:styleId="TCU-RelVoto-demais">
    <w:name w:val="TCU - Rel/Voto - demais §§"/>
    <w:basedOn w:val="Normal"/>
    <w:qFormat/>
    <w:rsid w:val="009E41D1"/>
    <w:pPr>
      <w:tabs>
        <w:tab w:val="left" w:pos="1134"/>
      </w:tabs>
      <w:spacing w:after="160"/>
      <w:jc w:val="both"/>
    </w:pPr>
  </w:style>
  <w:style w:type="paragraph" w:customStyle="1" w:styleId="TCU-Ac-itens1a8">
    <w:name w:val="TCU -   Ac - itens 1 a 8"/>
    <w:basedOn w:val="TCU-RelVoto-demais"/>
    <w:qFormat/>
    <w:rsid w:val="009E41D1"/>
    <w:pPr>
      <w:spacing w:after="0"/>
    </w:pPr>
  </w:style>
  <w:style w:type="paragraph" w:customStyle="1" w:styleId="TCU-Sumrio">
    <w:name w:val="TCU - Sumário"/>
    <w:basedOn w:val="Normal"/>
    <w:qFormat/>
    <w:rsid w:val="009E41D1"/>
    <w:pPr>
      <w:ind w:left="5103"/>
      <w:jc w:val="both"/>
    </w:pPr>
    <w:rPr>
      <w:b/>
    </w:rPr>
  </w:style>
  <w:style w:type="paragraph" w:customStyle="1" w:styleId="TCU-Transcrio">
    <w:name w:val="TCU - Transcrição"/>
    <w:basedOn w:val="Normal"/>
    <w:qFormat/>
    <w:rsid w:val="009E41D1"/>
    <w:pPr>
      <w:spacing w:after="120"/>
      <w:ind w:left="284" w:firstLine="567"/>
      <w:jc w:val="both"/>
    </w:pPr>
    <w:rPr>
      <w:i/>
    </w:rPr>
  </w:style>
  <w:style w:type="paragraph" w:customStyle="1" w:styleId="TCU-Ac-item9-1Linha">
    <w:name w:val="TCU -  Ac - item 9 - 1ª Linha"/>
    <w:basedOn w:val="TCU-RelVoto-demais"/>
    <w:qFormat/>
    <w:rsid w:val="0013773E"/>
  </w:style>
  <w:style w:type="paragraph" w:customStyle="1" w:styleId="Default">
    <w:name w:val="Default"/>
    <w:rsid w:val="004A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4A2DDF"/>
    <w:pPr>
      <w:tabs>
        <w:tab w:val="left" w:pos="1134"/>
      </w:tabs>
      <w:spacing w:before="120"/>
      <w:ind w:left="1134"/>
      <w:jc w:val="both"/>
    </w:pPr>
    <w:rPr>
      <w:iCs/>
      <w:color w:val="000000"/>
      <w:sz w:val="22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locked/>
    <w:rsid w:val="004A2DDF"/>
    <w:rPr>
      <w:rFonts w:ascii="Times New Roman" w:hAnsi="Times New Roman" w:cs="Times New Roman"/>
      <w:iCs/>
      <w:color w:val="000000"/>
      <w:sz w:val="20"/>
      <w:szCs w:val="20"/>
      <w:lang w:val="x-none" w:eastAsia="pt-BR"/>
    </w:rPr>
  </w:style>
  <w:style w:type="paragraph" w:styleId="NormalWeb">
    <w:name w:val="Normal (Web)"/>
    <w:basedOn w:val="Normal"/>
    <w:uiPriority w:val="99"/>
    <w:unhideWhenUsed/>
    <w:rsid w:val="00E73B12"/>
    <w:rPr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499A"/>
    <w:rPr>
      <w:rFonts w:cs="Times New Roman"/>
      <w:color w:val="0000FF"/>
      <w:u w:val="single"/>
    </w:rPr>
  </w:style>
  <w:style w:type="paragraph" w:customStyle="1" w:styleId="enter-3pt">
    <w:name w:val="enter-3pt"/>
    <w:basedOn w:val="Normal"/>
    <w:rsid w:val="0048449D"/>
    <w:pPr>
      <w:autoSpaceDE w:val="0"/>
      <w:autoSpaceDN w:val="0"/>
      <w:adjustRightInd w:val="0"/>
      <w:spacing w:line="60" w:lineRule="atLeast"/>
      <w:jc w:val="both"/>
    </w:pPr>
    <w:rPr>
      <w:sz w:val="8"/>
      <w:szCs w:val="8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A3622"/>
    <w:pPr>
      <w:spacing w:after="120" w:line="480" w:lineRule="auto"/>
      <w:ind w:left="1134"/>
      <w:jc w:val="both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4A3622"/>
    <w:rPr>
      <w:rFonts w:ascii="Times New Roman" w:hAnsi="Times New Roman" w:cs="Times New Roman"/>
      <w:sz w:val="24"/>
      <w:szCs w:val="24"/>
      <w:lang w:val="x-none" w:eastAsia="x-none"/>
    </w:rPr>
  </w:style>
  <w:style w:type="paragraph" w:styleId="PargrafodaLista">
    <w:name w:val="List Paragraph"/>
    <w:basedOn w:val="Normal"/>
    <w:uiPriority w:val="34"/>
    <w:qFormat/>
    <w:rsid w:val="004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ontas.tcu.gov.br/juris/SvlProxyHighlight?base=ACORDAO&amp;ano=2016&amp;numero=800&amp;colegiado=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ontas.tcu.gov.br/juris/SvlProxyHighlight?base=ACORDAO&amp;ano=2016&amp;numero=774&amp;colegiado=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contas.tcu.gov.br/juris/SvlProxyHighlight?base=ACORDAO&amp;ano=2016&amp;numero=774&amp;colegiado=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infojuris@tcu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803E03CD-5667-4957-850F-C972AAA5FA8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Duarte do Nascimento</dc:creator>
  <cp:keywords/>
  <dc:description/>
  <cp:lastModifiedBy>Sergio Ricardo de Mendonca Salustiano</cp:lastModifiedBy>
  <cp:revision>7</cp:revision>
  <dcterms:created xsi:type="dcterms:W3CDTF">2016-04-26T19:22:00Z</dcterms:created>
  <dcterms:modified xsi:type="dcterms:W3CDTF">2016-04-26T19:33:00Z</dcterms:modified>
</cp:coreProperties>
</file>