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2F3875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23</w:t>
      </w:r>
      <w:r w:rsidR="00B80249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</w:p>
    <w:p w:rsidR="00C61626" w:rsidRPr="003A0B0D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A0B0D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55459C">
        <w:rPr>
          <w:rFonts w:ascii="Times New Roman" w:hAnsi="Times New Roman"/>
          <w:b/>
          <w:i w:val="0"/>
          <w:sz w:val="22"/>
          <w:szCs w:val="22"/>
          <w:lang w:val="pt-BR"/>
        </w:rPr>
        <w:t>14</w:t>
      </w:r>
      <w:r w:rsidR="002F3875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55459C">
        <w:rPr>
          <w:rFonts w:ascii="Times New Roman" w:hAnsi="Times New Roman"/>
          <w:b/>
          <w:i w:val="0"/>
          <w:sz w:val="22"/>
          <w:szCs w:val="22"/>
          <w:lang w:val="pt-BR"/>
        </w:rPr>
        <w:t>15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</w:t>
      </w:r>
      <w:r w:rsidR="0055459C">
        <w:rPr>
          <w:rFonts w:ascii="Times New Roman" w:hAnsi="Times New Roman"/>
          <w:b/>
          <w:i w:val="0"/>
          <w:sz w:val="22"/>
          <w:szCs w:val="22"/>
          <w:lang w:val="pt-BR"/>
        </w:rPr>
        <w:t>abril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3A0B0D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175500" w:rsidRPr="003A0B0D" w:rsidRDefault="0008246E" w:rsidP="00A47A9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A0B0D">
        <w:rPr>
          <w:b/>
          <w:sz w:val="22"/>
          <w:szCs w:val="22"/>
          <w:lang w:eastAsia="pt-BR"/>
        </w:rPr>
        <w:t>Plenário</w:t>
      </w:r>
    </w:p>
    <w:p w:rsidR="00FD2B92" w:rsidRPr="00FD2B92" w:rsidRDefault="00920387" w:rsidP="00FD2B92">
      <w:pPr>
        <w:tabs>
          <w:tab w:val="left" w:pos="2590"/>
        </w:tabs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sz w:val="22"/>
          <w:szCs w:val="22"/>
        </w:rPr>
        <w:t>1</w:t>
      </w:r>
      <w:r w:rsidRPr="00920387">
        <w:rPr>
          <w:rFonts w:eastAsia="Times New Roman"/>
          <w:sz w:val="22"/>
          <w:szCs w:val="22"/>
          <w:lang w:eastAsia="pt-BR"/>
        </w:rPr>
        <w:t xml:space="preserve">. </w:t>
      </w:r>
      <w:r w:rsidR="00FD2B92" w:rsidRPr="00FD2B92">
        <w:rPr>
          <w:rFonts w:eastAsia="Times New Roman"/>
          <w:sz w:val="22"/>
          <w:szCs w:val="22"/>
          <w:lang w:eastAsia="pt-BR"/>
        </w:rPr>
        <w:t>A escolha entre as composições de preços unitários de restauração ou de construção rodoviária, em licitações para obras de duplicação de rodovia, deve decorrer de estudo técnico acerca das interferências que a obra recebe da operação da via pré-existente. A escolha da solução mais onerosa deve ser necessariamente justificada, na etapa de planejamento da obra, a partir de parâmetros técnicos que demonstrem o acréscimo no custo de execução dos serviços.</w:t>
      </w:r>
    </w:p>
    <w:p w:rsidR="00EC47AB" w:rsidRPr="00DD5140" w:rsidRDefault="00FD2B92" w:rsidP="00920387">
      <w:pPr>
        <w:tabs>
          <w:tab w:val="left" w:pos="2590"/>
        </w:tabs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sz w:val="22"/>
          <w:szCs w:val="22"/>
        </w:rPr>
        <w:t xml:space="preserve">2. </w:t>
      </w:r>
      <w:r w:rsidR="00501DE6">
        <w:rPr>
          <w:sz w:val="22"/>
          <w:szCs w:val="22"/>
        </w:rPr>
        <w:t>Nos contratos executados sob regime de preço unitário, não havendo a po</w:t>
      </w:r>
      <w:r w:rsidR="00703B20">
        <w:rPr>
          <w:sz w:val="22"/>
          <w:szCs w:val="22"/>
        </w:rPr>
        <w:t>ssibilidade de utilização de</w:t>
      </w:r>
      <w:r w:rsidR="00501DE6">
        <w:rPr>
          <w:sz w:val="22"/>
          <w:szCs w:val="22"/>
        </w:rPr>
        <w:t xml:space="preserve"> jazida </w:t>
      </w:r>
      <w:r w:rsidR="007D4BDC">
        <w:rPr>
          <w:sz w:val="22"/>
          <w:szCs w:val="22"/>
        </w:rPr>
        <w:t>prevista no</w:t>
      </w:r>
      <w:r w:rsidR="00501DE6">
        <w:rPr>
          <w:sz w:val="22"/>
          <w:szCs w:val="22"/>
        </w:rPr>
        <w:t xml:space="preserve"> projeto</w:t>
      </w:r>
      <w:r w:rsidR="00D658F6">
        <w:rPr>
          <w:sz w:val="22"/>
          <w:szCs w:val="22"/>
        </w:rPr>
        <w:t>,</w:t>
      </w:r>
      <w:r w:rsidR="00F07002">
        <w:rPr>
          <w:sz w:val="22"/>
          <w:szCs w:val="22"/>
        </w:rPr>
        <w:t xml:space="preserve"> </w:t>
      </w:r>
      <w:r w:rsidR="00501DE6">
        <w:rPr>
          <w:sz w:val="22"/>
          <w:szCs w:val="22"/>
        </w:rPr>
        <w:t>sem culpa da executora</w:t>
      </w:r>
      <w:r w:rsidR="00D658F6">
        <w:rPr>
          <w:sz w:val="22"/>
          <w:szCs w:val="22"/>
        </w:rPr>
        <w:t>,</w:t>
      </w:r>
      <w:r w:rsidR="00FF35BB">
        <w:rPr>
          <w:sz w:val="22"/>
          <w:szCs w:val="22"/>
        </w:rPr>
        <w:t xml:space="preserve"> </w:t>
      </w:r>
      <w:r w:rsidR="00501DE6">
        <w:rPr>
          <w:sz w:val="22"/>
          <w:szCs w:val="22"/>
        </w:rPr>
        <w:t>e sendo necessário o uso de uma fonte mais distante, a contratada faz jus à repactuação contratual que considere o acréscimo de transporte. Da mesma form</w:t>
      </w:r>
      <w:r w:rsidR="00703B20">
        <w:rPr>
          <w:sz w:val="22"/>
          <w:szCs w:val="22"/>
        </w:rPr>
        <w:t>a, sendo utilizada</w:t>
      </w:r>
      <w:r w:rsidR="00501DE6">
        <w:rPr>
          <w:sz w:val="22"/>
          <w:szCs w:val="22"/>
        </w:rPr>
        <w:t xml:space="preserve"> jazida mais próxima do que a prevista no projeto, a Administração </w:t>
      </w:r>
      <w:r w:rsidR="00703B20">
        <w:rPr>
          <w:sz w:val="22"/>
          <w:szCs w:val="22"/>
        </w:rPr>
        <w:t>possui direito a</w:t>
      </w:r>
      <w:r w:rsidR="007006EE">
        <w:rPr>
          <w:sz w:val="22"/>
          <w:szCs w:val="22"/>
        </w:rPr>
        <w:t xml:space="preserve"> alteração contratual a seu favor.</w:t>
      </w:r>
    </w:p>
    <w:p w:rsidR="00FD2B92" w:rsidRPr="00FD2B92" w:rsidRDefault="00920387" w:rsidP="00703B20">
      <w:pPr>
        <w:autoSpaceDE w:val="0"/>
        <w:autoSpaceDN w:val="0"/>
        <w:adjustRightInd w:val="0"/>
        <w:spacing w:after="60"/>
        <w:ind w:left="0"/>
        <w:rPr>
          <w:color w:val="FF0000"/>
          <w:sz w:val="22"/>
          <w:szCs w:val="22"/>
        </w:rPr>
      </w:pPr>
      <w:r w:rsidRPr="00703B20">
        <w:rPr>
          <w:rFonts w:eastAsia="Times New Roman"/>
          <w:sz w:val="22"/>
          <w:szCs w:val="22"/>
          <w:lang w:eastAsia="pt-BR"/>
        </w:rPr>
        <w:t>3</w:t>
      </w:r>
      <w:r w:rsidR="00C43629" w:rsidRPr="00703B20">
        <w:rPr>
          <w:rFonts w:eastAsia="Times New Roman"/>
          <w:sz w:val="22"/>
          <w:szCs w:val="22"/>
          <w:lang w:eastAsia="pt-BR"/>
        </w:rPr>
        <w:t xml:space="preserve">. </w:t>
      </w:r>
      <w:r w:rsidR="00703B20">
        <w:rPr>
          <w:rFonts w:eastAsia="Times New Roman"/>
          <w:sz w:val="22"/>
          <w:szCs w:val="22"/>
          <w:lang w:eastAsia="pt-BR"/>
        </w:rPr>
        <w:t>Nos contratos executados</w:t>
      </w:r>
      <w:r w:rsidR="00703B20" w:rsidRPr="00703B20">
        <w:rPr>
          <w:rFonts w:eastAsia="Times New Roman"/>
          <w:sz w:val="22"/>
          <w:szCs w:val="22"/>
          <w:lang w:eastAsia="pt-BR"/>
        </w:rPr>
        <w:t xml:space="preserve"> sob</w:t>
      </w:r>
      <w:r w:rsidR="00703B20">
        <w:rPr>
          <w:rFonts w:eastAsia="Times New Roman"/>
          <w:sz w:val="22"/>
          <w:szCs w:val="22"/>
          <w:lang w:eastAsia="pt-BR"/>
        </w:rPr>
        <w:t xml:space="preserve"> regime de</w:t>
      </w:r>
      <w:r w:rsidR="00703B20" w:rsidRPr="00703B20">
        <w:rPr>
          <w:rFonts w:eastAsia="Times New Roman"/>
          <w:sz w:val="22"/>
          <w:szCs w:val="22"/>
          <w:lang w:eastAsia="pt-BR"/>
        </w:rPr>
        <w:t xml:space="preserve"> preço unitário, a remuneração de cada serviço passa pela efetiva conferência da atividade executada, tanto em termos quantitativos como qualitativos, implicando o reequilíbrio econômico-financeiro dos contratos a adoção pela contratada de outro método construtivo, mais racional e econômico do que o considerado no orçamento da obra, se este previu metodologia executiva claramente ineficiente, antieconômica ou contrária à boa técnica da engenharia.</w:t>
      </w:r>
    </w:p>
    <w:p w:rsidR="00FD2B92" w:rsidRDefault="00920387" w:rsidP="00FD2B92">
      <w:pPr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4.</w:t>
      </w:r>
      <w:r w:rsidRPr="00920387">
        <w:rPr>
          <w:rFonts w:eastAsia="Times New Roman"/>
          <w:sz w:val="22"/>
          <w:szCs w:val="22"/>
          <w:lang w:eastAsia="pt-BR"/>
        </w:rPr>
        <w:t xml:space="preserve"> </w:t>
      </w:r>
      <w:r w:rsidR="00FD2B92" w:rsidRPr="00FD2B92">
        <w:rPr>
          <w:rFonts w:eastAsia="Times New Roman"/>
          <w:sz w:val="22"/>
          <w:szCs w:val="22"/>
          <w:lang w:eastAsia="pt-BR"/>
        </w:rPr>
        <w:t>No pregão, qualquer modificação na proposta tendente a alterar o teor das ofertas deve ocorrer na etapa de negociação, a qual deve ser realizada entre o pregoeiro e o licitante por meio do sistema eletrônico (ar</w:t>
      </w:r>
      <w:r w:rsidR="000879F1">
        <w:rPr>
          <w:rFonts w:eastAsia="Times New Roman"/>
          <w:sz w:val="22"/>
          <w:szCs w:val="22"/>
          <w:lang w:eastAsia="pt-BR"/>
        </w:rPr>
        <w:t>t. 24, §§ 8º e 9º, do Decreto 5.</w:t>
      </w:r>
      <w:r w:rsidR="00FD2B92" w:rsidRPr="00FD2B92">
        <w:rPr>
          <w:rFonts w:eastAsia="Times New Roman"/>
          <w:sz w:val="22"/>
          <w:szCs w:val="22"/>
          <w:lang w:eastAsia="pt-BR"/>
        </w:rPr>
        <w:t>450/05), tendo como finalidade a obtenção de preços melhores dos que os cotados na fase competitiva e, consequentemente, a proposta mais vantajosa para a Administração.</w:t>
      </w:r>
    </w:p>
    <w:p w:rsidR="000D29A2" w:rsidRPr="00FD2B92" w:rsidRDefault="000D29A2" w:rsidP="00FD2B92">
      <w:pPr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</w:p>
    <w:p w:rsidR="006B62B4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:rsidR="00FD2B92" w:rsidRPr="003A0B0D" w:rsidRDefault="00FD2B92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920387" w:rsidRPr="000D29A2" w:rsidRDefault="00520615" w:rsidP="000D29A2">
      <w:pPr>
        <w:tabs>
          <w:tab w:val="left" w:pos="259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  <w:r w:rsidRPr="000D29A2">
        <w:rPr>
          <w:b/>
          <w:sz w:val="22"/>
          <w:szCs w:val="22"/>
        </w:rPr>
        <w:t>1</w:t>
      </w:r>
      <w:r w:rsidR="00920387" w:rsidRPr="000D29A2">
        <w:rPr>
          <w:rFonts w:eastAsia="Times New Roman"/>
          <w:b/>
          <w:sz w:val="22"/>
          <w:szCs w:val="22"/>
          <w:lang w:eastAsia="pt-BR"/>
        </w:rPr>
        <w:t>. A escolha entre as composições de preços unitários de restauração ou de construção rodoviária, em licitações para obras de duplicação de rodovia, deve decorrer de estudo técnico acerca das interferências que a obra recebe da operação da via pré-existente. A escolha da solução mais onerosa deve ser necessariamente justificada, na etapa de planejamento da obra, a partir de parâmetros técnicos que demonstrem o acréscimo no custo de execução dos serviços.</w:t>
      </w:r>
    </w:p>
    <w:p w:rsidR="00920387" w:rsidRPr="000D29A2" w:rsidRDefault="00920387" w:rsidP="000D29A2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sz w:val="22"/>
          <w:szCs w:val="22"/>
        </w:rPr>
      </w:pPr>
      <w:r w:rsidRPr="000D29A2">
        <w:rPr>
          <w:rFonts w:eastAsia="Times New Roman"/>
          <w:color w:val="000000"/>
          <w:sz w:val="22"/>
          <w:szCs w:val="22"/>
          <w:lang w:eastAsia="pt-BR"/>
        </w:rPr>
        <w:t>Auditoria realizada nas ob</w:t>
      </w:r>
      <w:r w:rsidR="00D15B00" w:rsidRPr="000D29A2">
        <w:rPr>
          <w:rFonts w:eastAsia="Times New Roman"/>
          <w:color w:val="000000"/>
          <w:sz w:val="22"/>
          <w:szCs w:val="22"/>
          <w:lang w:eastAsia="pt-BR"/>
        </w:rPr>
        <w:t xml:space="preserve">ras de 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>duplicação da</w:t>
      </w:r>
      <w:r w:rsidR="00B8271D" w:rsidRPr="000D29A2">
        <w:rPr>
          <w:rFonts w:eastAsia="Times New Roman"/>
          <w:color w:val="000000"/>
          <w:sz w:val="22"/>
          <w:szCs w:val="22"/>
          <w:lang w:eastAsia="pt-BR"/>
        </w:rPr>
        <w:t xml:space="preserve"> rodovia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BR 386, no Rio Grande do Sul, apontara, dentre outras ocorrências, 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 xml:space="preserve">“adoção indevida de composições de custos unitários de restauração, para vários dos serviços de terraplenagem da referida obra, em vez de composições de construção, tendo em vista que a obra consiste essencialmente de duplicação da rodovia existente, o que resultou num indício de </w:t>
      </w:r>
      <w:proofErr w:type="spellStart"/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sobrepreço</w:t>
      </w:r>
      <w:proofErr w:type="spellEnd"/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 xml:space="preserve"> de R$ 4.643.200,67”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. Realizadas as audiências dos responsáveis, o relator relembrou que 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“composições de preços de obras rodoviárias consideram, entre outros elementos, o custo dos equipamentos utilizados na execução dos serviços que a integram. Incide sobre tais custos variável denominada fator de eficiência, que expressa os tempos produtivo e improdutivo do maquinário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>”. Assim,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 xml:space="preserve"> “quanto maior o tempo produtivo, maior o fator de eficiência e menor o custo do serviço”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>. Nesse sentido, o tráfego de veículos de terceiros na via pré-existente interfere na eficiência dos equi</w:t>
      </w:r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>pamentos, razão pela qual o</w:t>
      </w:r>
      <w:r w:rsidR="00F65ACB" w:rsidRPr="000D29A2">
        <w:rPr>
          <w:iCs/>
          <w:sz w:val="22"/>
          <w:szCs w:val="22"/>
        </w:rPr>
        <w:t xml:space="preserve"> Departamento Nacional de Infraestrutura de Transportes</w:t>
      </w:r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F65ACB" w:rsidRPr="000D29A2">
        <w:rPr>
          <w:rFonts w:eastAsia="Times New Roman"/>
          <w:color w:val="000000"/>
          <w:sz w:val="22"/>
          <w:szCs w:val="22"/>
          <w:lang w:eastAsia="pt-BR"/>
        </w:rPr>
        <w:t>(</w:t>
      </w:r>
      <w:proofErr w:type="spellStart"/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>Dnit</w:t>
      </w:r>
      <w:proofErr w:type="spellEnd"/>
      <w:r w:rsidR="00F65ACB" w:rsidRPr="000D29A2">
        <w:rPr>
          <w:rFonts w:eastAsia="Times New Roman"/>
          <w:color w:val="000000"/>
          <w:sz w:val="22"/>
          <w:szCs w:val="22"/>
          <w:lang w:eastAsia="pt-BR"/>
        </w:rPr>
        <w:t>)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utiliza fatores de eficiência distintos para obras de construção (0,83), que não se submetem ao tráfego de veículos, e de restauração (0,75). Nesses termos, anotou o relator</w:t>
      </w:r>
      <w:r w:rsidR="00D658F6" w:rsidRPr="000D29A2">
        <w:rPr>
          <w:rFonts w:eastAsia="Times New Roman"/>
          <w:color w:val="000000"/>
          <w:sz w:val="22"/>
          <w:szCs w:val="22"/>
          <w:lang w:eastAsia="pt-BR"/>
        </w:rPr>
        <w:t xml:space="preserve"> que</w:t>
      </w:r>
      <w:r w:rsidR="00F07002" w:rsidRPr="000D29A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>os preços dos serviços de restauração rodoviária são mais onerosos que os de construção</w:t>
      </w:r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D658F6" w:rsidRPr="000D29A2">
        <w:rPr>
          <w:rFonts w:eastAsia="Times New Roman"/>
          <w:color w:val="000000"/>
          <w:sz w:val="22"/>
          <w:szCs w:val="22"/>
          <w:lang w:eastAsia="pt-BR"/>
        </w:rPr>
        <w:t xml:space="preserve">Salientou que 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>a duplicação de rodovias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assemelha-se às obras de construção, porque não há tráfego de veículos estranhos à obra no trecho rodoviário duplicado. </w:t>
      </w:r>
      <w:r w:rsidR="00D658F6" w:rsidRPr="000D29A2">
        <w:rPr>
          <w:rFonts w:eastAsia="Times New Roman"/>
          <w:color w:val="000000"/>
          <w:sz w:val="22"/>
          <w:szCs w:val="22"/>
          <w:lang w:eastAsia="pt-BR"/>
        </w:rPr>
        <w:t>Destacou que as</w:t>
      </w:r>
      <w:r w:rsidR="00F07002" w:rsidRPr="000D29A2">
        <w:rPr>
          <w:rFonts w:eastAsia="Times New Roman"/>
          <w:color w:val="000000"/>
          <w:sz w:val="22"/>
          <w:szCs w:val="22"/>
          <w:lang w:eastAsia="pt-BR"/>
        </w:rPr>
        <w:t xml:space="preserve"> reflexões de ordem técnica acerca do caso concreto devem orientar a escolha das composições de construção ou de restauração ou, ainda, a adaptação das composições de alguns serviços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D658F6" w:rsidRPr="000D29A2">
        <w:rPr>
          <w:rFonts w:eastAsia="Times New Roman"/>
          <w:color w:val="000000"/>
          <w:sz w:val="22"/>
          <w:szCs w:val="22"/>
          <w:lang w:eastAsia="pt-BR"/>
        </w:rPr>
        <w:t>A</w:t>
      </w:r>
      <w:r w:rsidR="00F07002" w:rsidRPr="000D29A2">
        <w:rPr>
          <w:rFonts w:eastAsia="Times New Roman"/>
          <w:color w:val="000000"/>
          <w:sz w:val="22"/>
          <w:szCs w:val="22"/>
          <w:lang w:eastAsia="pt-BR"/>
        </w:rPr>
        <w:t>ss</w:t>
      </w:r>
      <w:r w:rsidR="00D658F6" w:rsidRPr="000D29A2">
        <w:rPr>
          <w:rFonts w:eastAsia="Times New Roman"/>
          <w:color w:val="000000"/>
          <w:sz w:val="22"/>
          <w:szCs w:val="22"/>
          <w:lang w:eastAsia="pt-BR"/>
        </w:rPr>
        <w:t xml:space="preserve">im, </w:t>
      </w:r>
      <w:r w:rsidR="00F07002" w:rsidRPr="000D29A2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a escolha das composições de preços unitários de restauração ou construção rodoviária em obras de duplicação deve decorrer de estudo técnico acerca das interferências que a obra recebe da operação da via pré-existente. O uso da solução mais onerosa, depende, pois, da comprovação de que a obra de duplicação está sujeita a interferências tão severas quanto aquelas havidas em obras de restauração”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D658F6" w:rsidRPr="000D29A2">
        <w:rPr>
          <w:rFonts w:eastAsia="Times New Roman"/>
          <w:color w:val="000000"/>
          <w:sz w:val="22"/>
          <w:szCs w:val="22"/>
          <w:lang w:eastAsia="pt-BR"/>
        </w:rPr>
        <w:t xml:space="preserve">Lembrou que 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o Plenário do TCU tem registrado precedentes que demonstram não ser possível a adoção de uma solução padronizada para o problema, 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“porque há casos em que os serviços de implantação de uma nova faixa rodoviária recebem influência do tráfego existente nas faixas de rolamento pré-existentes. Cito, a título de exemplo, o caso em que as jazidas de solo e a obra estão localizadas em margens opostas da rodovia pré-existente”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. Por essa razão, 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“a escolha de solução mais onerosa deve ser necessariamente justificada, na etapa de planejamento da obra, a partir de parâmetros técnicos que demonstrem o acréscimo no custo de execução dos serviços em estudo, em relação aos preços consagrados no sistema de referência para construção rodoviária, porque subordinam-se as contratações públicas ao princípio da seleção da proposta mais vantajosa para a Administração (art. 3º, caput, da Lei 8.666/1993)”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. No caso concreto, admitiu o relator a redução do fator de eficiência no deslocamento de caminhões basculantes, o que fez reduzir o </w:t>
      </w:r>
      <w:proofErr w:type="spellStart"/>
      <w:r w:rsidRPr="000D29A2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inicialmente estimado para R$ 2 milhões. Ao revés, os serviços concernentes a tratores de esteiras, </w:t>
      </w:r>
      <w:proofErr w:type="spellStart"/>
      <w:r w:rsidRPr="000D29A2">
        <w:rPr>
          <w:rFonts w:eastAsia="Times New Roman"/>
          <w:color w:val="000000"/>
          <w:sz w:val="22"/>
          <w:szCs w:val="22"/>
          <w:lang w:eastAsia="pt-BR"/>
        </w:rPr>
        <w:t>motoniveladoras</w:t>
      </w:r>
      <w:proofErr w:type="spellEnd"/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e carregadeiras de pneus não experimentam redução no tempo produtivo, porque não transitam ou atravessam o trecho rodoviário pré-existente, razão pela qual o relator opinou pela rejeição das justificativas apresentadas pelo responsável, por não restar justificada a necessidade de adoção das composições de maior preço (restauração). Considerou, contudo, que os fatos derivaram de interpret</w:t>
      </w:r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 xml:space="preserve">ação razoável das normas do </w:t>
      </w:r>
      <w:proofErr w:type="spellStart"/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>Dnit</w:t>
      </w:r>
      <w:proofErr w:type="spellEnd"/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, afastando assim o </w:t>
      </w:r>
      <w:proofErr w:type="spellStart"/>
      <w:r w:rsidRPr="000D29A2">
        <w:rPr>
          <w:rFonts w:eastAsia="Times New Roman"/>
          <w:color w:val="000000"/>
          <w:sz w:val="22"/>
          <w:szCs w:val="22"/>
          <w:lang w:eastAsia="pt-BR"/>
        </w:rPr>
        <w:t>sancionamento</w:t>
      </w:r>
      <w:proofErr w:type="spellEnd"/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do responsável com multa. De igual modo, considerando que a obra auditada fora contratada com desconto de R$ 4,2 milhões em relação ao estimado, entendeu o relator, nos termos da jurisprudência do TCU, elidido eventual </w:t>
      </w:r>
      <w:proofErr w:type="spellStart"/>
      <w:r w:rsidRPr="000D29A2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ou superfaturamento. Nesses termos, o Plenário, acompanhando o relator, acolheu parte das razões de justificativa apres</w:t>
      </w:r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 xml:space="preserve">entadas, para determinar ao </w:t>
      </w:r>
      <w:proofErr w:type="spellStart"/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>Dnit</w:t>
      </w:r>
      <w:proofErr w:type="spellEnd"/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que</w:t>
      </w:r>
      <w:r w:rsidR="00F73709" w:rsidRPr="000D29A2">
        <w:rPr>
          <w:rFonts w:eastAsia="Times New Roman"/>
          <w:color w:val="000000"/>
          <w:sz w:val="22"/>
          <w:szCs w:val="22"/>
          <w:lang w:eastAsia="pt-BR"/>
        </w:rPr>
        <w:t>,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 xml:space="preserve">“em atendimento ao que dispõem os </w:t>
      </w:r>
      <w:proofErr w:type="spellStart"/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arts</w:t>
      </w:r>
      <w:proofErr w:type="spellEnd"/>
      <w:r w:rsidRPr="000D29A2">
        <w:rPr>
          <w:rFonts w:eastAsia="Times New Roman"/>
          <w:i/>
          <w:color w:val="000000"/>
          <w:sz w:val="22"/>
          <w:szCs w:val="22"/>
          <w:lang w:eastAsia="pt-BR"/>
        </w:rPr>
        <w:t>. 3º, caput, e 6º, inciso IX, da Lei 8.666/1993, faça constar dos projetos básicos destinados à contratação de obras de adequação de capacidade de tráfego ou de duplicação rodoviária, aprovados a partir da ciência deste acórdão, justificativa técnica específica para a eventual escolha de composição de preços unitários de serviços de restauração ou alteração das composições aplicáveis aos serviços de construção, notadamente no que se refere à eficiência dos equipamentos mecânicos alocados a cada serviço”</w:t>
      </w:r>
      <w:r w:rsidRPr="000D29A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hyperlink r:id="rId9" w:history="1">
        <w:r w:rsidRPr="000D29A2">
          <w:rPr>
            <w:rStyle w:val="Hyperlink"/>
            <w:rFonts w:eastAsia="Times New Roman"/>
            <w:i/>
            <w:sz w:val="22"/>
            <w:szCs w:val="22"/>
            <w:lang w:eastAsia="pt-BR"/>
          </w:rPr>
          <w:t>A</w:t>
        </w:r>
        <w:r w:rsidRPr="000D29A2">
          <w:rPr>
            <w:rStyle w:val="Hyperlink"/>
            <w:rFonts w:eastAsia="Times New Roman"/>
            <w:b/>
            <w:i/>
            <w:sz w:val="22"/>
            <w:szCs w:val="22"/>
          </w:rPr>
          <w:t>córdão 839/2015-Plenário</w:t>
        </w:r>
      </w:hyperlink>
      <w:r w:rsidRPr="000D29A2">
        <w:rPr>
          <w:rFonts w:eastAsia="Times New Roman"/>
          <w:b/>
          <w:i/>
          <w:sz w:val="22"/>
          <w:szCs w:val="22"/>
        </w:rPr>
        <w:t>, TC 015.754/2010-3, relator Ministro Walton Alencar Rodrigues, 15.4.2015.</w:t>
      </w:r>
    </w:p>
    <w:p w:rsidR="00920387" w:rsidRPr="000D29A2" w:rsidRDefault="00920387" w:rsidP="000D29A2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</w:p>
    <w:p w:rsidR="007006EE" w:rsidRPr="000D29A2" w:rsidRDefault="00FD2B92" w:rsidP="000D29A2">
      <w:pPr>
        <w:pStyle w:val="enter-3pt"/>
        <w:tabs>
          <w:tab w:val="left" w:pos="2590"/>
        </w:tabs>
        <w:spacing w:line="240" w:lineRule="auto"/>
        <w:rPr>
          <w:b/>
          <w:color w:val="000000"/>
          <w:sz w:val="22"/>
          <w:szCs w:val="22"/>
        </w:rPr>
      </w:pPr>
      <w:r w:rsidRPr="000D29A2">
        <w:rPr>
          <w:b/>
          <w:color w:val="000000"/>
          <w:sz w:val="22"/>
          <w:szCs w:val="22"/>
        </w:rPr>
        <w:t xml:space="preserve">2. </w:t>
      </w:r>
      <w:r w:rsidR="007006EE" w:rsidRPr="000D29A2">
        <w:rPr>
          <w:b/>
          <w:color w:val="000000"/>
          <w:sz w:val="22"/>
          <w:szCs w:val="22"/>
        </w:rPr>
        <w:t>Nos contratos executados sob regime de preço unitário, não havendo a po</w:t>
      </w:r>
      <w:r w:rsidR="00703B20" w:rsidRPr="000D29A2">
        <w:rPr>
          <w:b/>
          <w:color w:val="000000"/>
          <w:sz w:val="22"/>
          <w:szCs w:val="22"/>
        </w:rPr>
        <w:t>ssibilidade de utilização de</w:t>
      </w:r>
      <w:r w:rsidR="007006EE" w:rsidRPr="000D29A2">
        <w:rPr>
          <w:b/>
          <w:color w:val="000000"/>
          <w:sz w:val="22"/>
          <w:szCs w:val="22"/>
        </w:rPr>
        <w:t xml:space="preserve"> jazida </w:t>
      </w:r>
      <w:r w:rsidR="007D4BDC" w:rsidRPr="000D29A2">
        <w:rPr>
          <w:b/>
          <w:color w:val="000000"/>
          <w:sz w:val="22"/>
          <w:szCs w:val="22"/>
        </w:rPr>
        <w:t>prevista no</w:t>
      </w:r>
      <w:r w:rsidR="007006EE" w:rsidRPr="000D29A2">
        <w:rPr>
          <w:b/>
          <w:color w:val="000000"/>
          <w:sz w:val="22"/>
          <w:szCs w:val="22"/>
        </w:rPr>
        <w:t xml:space="preserve"> projeto</w:t>
      </w:r>
      <w:r w:rsidR="00D658F6" w:rsidRPr="000D29A2">
        <w:rPr>
          <w:b/>
          <w:color w:val="000000"/>
          <w:sz w:val="22"/>
          <w:szCs w:val="22"/>
        </w:rPr>
        <w:t>,</w:t>
      </w:r>
      <w:r w:rsidR="00270ACB" w:rsidRPr="000D29A2">
        <w:rPr>
          <w:b/>
          <w:color w:val="000000"/>
          <w:sz w:val="22"/>
          <w:szCs w:val="22"/>
        </w:rPr>
        <w:t xml:space="preserve"> </w:t>
      </w:r>
      <w:r w:rsidR="007006EE" w:rsidRPr="000D29A2">
        <w:rPr>
          <w:b/>
          <w:color w:val="000000"/>
          <w:sz w:val="22"/>
          <w:szCs w:val="22"/>
        </w:rPr>
        <w:t>sem culpa da executora</w:t>
      </w:r>
      <w:r w:rsidR="00D658F6" w:rsidRPr="000D29A2">
        <w:rPr>
          <w:b/>
          <w:color w:val="000000"/>
          <w:sz w:val="22"/>
          <w:szCs w:val="22"/>
        </w:rPr>
        <w:t>,</w:t>
      </w:r>
      <w:r w:rsidR="007006EE" w:rsidRPr="000D29A2">
        <w:rPr>
          <w:b/>
          <w:color w:val="000000"/>
          <w:sz w:val="22"/>
          <w:szCs w:val="22"/>
        </w:rPr>
        <w:t xml:space="preserve"> e sendo necessário o uso de uma fonte mais distante, a contratada faz jus à repactuação contratual que considere o acréscimo de transporte. Da </w:t>
      </w:r>
      <w:r w:rsidR="00703B20" w:rsidRPr="000D29A2">
        <w:rPr>
          <w:b/>
          <w:color w:val="000000"/>
          <w:sz w:val="22"/>
          <w:szCs w:val="22"/>
        </w:rPr>
        <w:t>mesma forma, sendo utilizada</w:t>
      </w:r>
      <w:r w:rsidR="007006EE" w:rsidRPr="000D29A2">
        <w:rPr>
          <w:b/>
          <w:color w:val="000000"/>
          <w:sz w:val="22"/>
          <w:szCs w:val="22"/>
        </w:rPr>
        <w:t xml:space="preserve"> jazida mais próxima do que a prevista no proje</w:t>
      </w:r>
      <w:r w:rsidR="00703B20" w:rsidRPr="000D29A2">
        <w:rPr>
          <w:b/>
          <w:color w:val="000000"/>
          <w:sz w:val="22"/>
          <w:szCs w:val="22"/>
        </w:rPr>
        <w:t>to, a Administração possui direito a</w:t>
      </w:r>
      <w:r w:rsidR="007006EE" w:rsidRPr="000D29A2">
        <w:rPr>
          <w:b/>
          <w:color w:val="000000"/>
          <w:sz w:val="22"/>
          <w:szCs w:val="22"/>
        </w:rPr>
        <w:t xml:space="preserve"> alteração contratual a seu favor.</w:t>
      </w:r>
    </w:p>
    <w:p w:rsidR="000B0F42" w:rsidRPr="000D29A2" w:rsidRDefault="0064658A" w:rsidP="000D29A2">
      <w:pPr>
        <w:pStyle w:val="enter-3pt"/>
        <w:tabs>
          <w:tab w:val="left" w:pos="2590"/>
        </w:tabs>
        <w:spacing w:line="240" w:lineRule="auto"/>
        <w:rPr>
          <w:b/>
          <w:iCs/>
          <w:sz w:val="22"/>
          <w:szCs w:val="22"/>
        </w:rPr>
      </w:pPr>
      <w:r w:rsidRPr="000D29A2">
        <w:rPr>
          <w:iCs/>
          <w:sz w:val="22"/>
          <w:szCs w:val="22"/>
        </w:rPr>
        <w:t xml:space="preserve">Auditoria realizada nas obras </w:t>
      </w:r>
      <w:r w:rsidR="00C23E51" w:rsidRPr="000D29A2">
        <w:rPr>
          <w:iCs/>
          <w:sz w:val="22"/>
          <w:szCs w:val="22"/>
        </w:rPr>
        <w:t xml:space="preserve">de construção da rodovia BR-429/RO, no segmento compreendido entre as cidades de Presidente Médici e Costa Marques, </w:t>
      </w:r>
      <w:r w:rsidR="007D4BDC" w:rsidRPr="000D29A2">
        <w:rPr>
          <w:iCs/>
          <w:sz w:val="22"/>
          <w:szCs w:val="22"/>
        </w:rPr>
        <w:t xml:space="preserve">sob responsabilidade do </w:t>
      </w:r>
      <w:proofErr w:type="spellStart"/>
      <w:r w:rsidR="00F65ACB" w:rsidRPr="000D29A2">
        <w:rPr>
          <w:iCs/>
          <w:sz w:val="22"/>
          <w:szCs w:val="22"/>
        </w:rPr>
        <w:t>Dnit</w:t>
      </w:r>
      <w:proofErr w:type="spellEnd"/>
      <w:r w:rsidR="00C23E51" w:rsidRPr="000D29A2">
        <w:rPr>
          <w:iCs/>
          <w:sz w:val="22"/>
          <w:szCs w:val="22"/>
        </w:rPr>
        <w:t xml:space="preserve">, </w:t>
      </w:r>
      <w:r w:rsidRPr="000D29A2">
        <w:rPr>
          <w:iCs/>
          <w:sz w:val="22"/>
          <w:szCs w:val="22"/>
        </w:rPr>
        <w:t>apontara, dentre outras</w:t>
      </w:r>
      <w:r w:rsidR="006815BE" w:rsidRPr="000D29A2">
        <w:rPr>
          <w:iCs/>
          <w:sz w:val="22"/>
          <w:szCs w:val="22"/>
        </w:rPr>
        <w:t xml:space="preserve"> possíveis</w:t>
      </w:r>
      <w:r w:rsidRPr="000D29A2">
        <w:rPr>
          <w:iCs/>
          <w:sz w:val="22"/>
          <w:szCs w:val="22"/>
        </w:rPr>
        <w:t xml:space="preserve"> irregularidades, </w:t>
      </w:r>
      <w:r w:rsidR="00CF475F" w:rsidRPr="000D29A2">
        <w:rPr>
          <w:iCs/>
          <w:sz w:val="22"/>
          <w:szCs w:val="22"/>
        </w:rPr>
        <w:t xml:space="preserve">o superdimensionamento da distância de transporte de materiais para o serviço de sub-base estabilizada </w:t>
      </w:r>
      <w:proofErr w:type="spellStart"/>
      <w:r w:rsidR="00CF475F" w:rsidRPr="000D29A2">
        <w:rPr>
          <w:iCs/>
          <w:sz w:val="22"/>
          <w:szCs w:val="22"/>
        </w:rPr>
        <w:t>granulometricamente</w:t>
      </w:r>
      <w:proofErr w:type="spellEnd"/>
      <w:r w:rsidR="00CF475F" w:rsidRPr="000D29A2">
        <w:rPr>
          <w:iCs/>
          <w:sz w:val="22"/>
          <w:szCs w:val="22"/>
        </w:rPr>
        <w:t xml:space="preserve"> sem mistura. </w:t>
      </w:r>
      <w:r w:rsidR="00FC3D46" w:rsidRPr="000D29A2">
        <w:rPr>
          <w:iCs/>
          <w:sz w:val="22"/>
          <w:szCs w:val="22"/>
        </w:rPr>
        <w:t>Realizadas as oitivas regimentai</w:t>
      </w:r>
      <w:r w:rsidR="00F65ACB" w:rsidRPr="000D29A2">
        <w:rPr>
          <w:iCs/>
          <w:sz w:val="22"/>
          <w:szCs w:val="22"/>
        </w:rPr>
        <w:t xml:space="preserve">s, o consórcio executor e o </w:t>
      </w:r>
      <w:proofErr w:type="spellStart"/>
      <w:r w:rsidR="00F65ACB" w:rsidRPr="000D29A2">
        <w:rPr>
          <w:iCs/>
          <w:sz w:val="22"/>
          <w:szCs w:val="22"/>
        </w:rPr>
        <w:t>Dnit</w:t>
      </w:r>
      <w:proofErr w:type="spellEnd"/>
      <w:r w:rsidR="00FC3D46" w:rsidRPr="000D29A2">
        <w:rPr>
          <w:iCs/>
          <w:sz w:val="22"/>
          <w:szCs w:val="22"/>
        </w:rPr>
        <w:t xml:space="preserve"> confirmaram a utilização, para o serviço de sub-base, da jazida localizada na estaca 2858-LD, “</w:t>
      </w:r>
      <w:r w:rsidR="00FC3D46" w:rsidRPr="000D29A2">
        <w:rPr>
          <w:i/>
          <w:iCs/>
          <w:sz w:val="22"/>
          <w:szCs w:val="22"/>
        </w:rPr>
        <w:t>indicada na Segunda Revisão do Projeto em Fase de Obras do Lote 1</w:t>
      </w:r>
      <w:r w:rsidR="007D4BDC" w:rsidRPr="000D29A2">
        <w:rPr>
          <w:i/>
          <w:iCs/>
          <w:sz w:val="22"/>
          <w:szCs w:val="22"/>
        </w:rPr>
        <w:t xml:space="preserve"> </w:t>
      </w:r>
      <w:r w:rsidR="00FC3D46" w:rsidRPr="000D29A2">
        <w:rPr>
          <w:i/>
          <w:iCs/>
          <w:sz w:val="22"/>
          <w:szCs w:val="22"/>
        </w:rPr>
        <w:t>unicamente para a execução da camada de base com mistura de brita</w:t>
      </w:r>
      <w:r w:rsidR="00FC3D46" w:rsidRPr="000D29A2">
        <w:rPr>
          <w:iCs/>
          <w:sz w:val="22"/>
          <w:szCs w:val="22"/>
        </w:rPr>
        <w:t>”.</w:t>
      </w:r>
      <w:r w:rsidR="00626765" w:rsidRPr="000D29A2">
        <w:rPr>
          <w:iCs/>
          <w:sz w:val="22"/>
          <w:szCs w:val="22"/>
        </w:rPr>
        <w:t xml:space="preserve"> </w:t>
      </w:r>
      <w:r w:rsidR="00DD179F" w:rsidRPr="000D29A2">
        <w:rPr>
          <w:iCs/>
          <w:sz w:val="22"/>
          <w:szCs w:val="22"/>
        </w:rPr>
        <w:t>A</w:t>
      </w:r>
      <w:r w:rsidR="00AA5432" w:rsidRPr="000D29A2">
        <w:rPr>
          <w:iCs/>
          <w:sz w:val="22"/>
          <w:szCs w:val="22"/>
        </w:rPr>
        <w:t xml:space="preserve"> relator</w:t>
      </w:r>
      <w:r w:rsidR="00DD179F" w:rsidRPr="000D29A2">
        <w:rPr>
          <w:iCs/>
          <w:sz w:val="22"/>
          <w:szCs w:val="22"/>
        </w:rPr>
        <w:t>a</w:t>
      </w:r>
      <w:r w:rsidR="00AA5432" w:rsidRPr="000D29A2">
        <w:rPr>
          <w:iCs/>
          <w:sz w:val="22"/>
          <w:szCs w:val="22"/>
        </w:rPr>
        <w:t>, alinhad</w:t>
      </w:r>
      <w:r w:rsidR="001165F4" w:rsidRPr="000D29A2">
        <w:rPr>
          <w:iCs/>
          <w:sz w:val="22"/>
          <w:szCs w:val="22"/>
        </w:rPr>
        <w:t>a</w:t>
      </w:r>
      <w:r w:rsidR="00AA5432" w:rsidRPr="000D29A2">
        <w:rPr>
          <w:iCs/>
          <w:sz w:val="22"/>
          <w:szCs w:val="22"/>
        </w:rPr>
        <w:t xml:space="preserve"> à análise da unidade técnica, ressaltou que, em contratos executados sob o regime de preço unitário, não havendo a possibilidade de utilização de uma jazida </w:t>
      </w:r>
      <w:r w:rsidR="001165F4" w:rsidRPr="000D29A2">
        <w:rPr>
          <w:iCs/>
          <w:sz w:val="22"/>
          <w:szCs w:val="22"/>
        </w:rPr>
        <w:t>prevista no</w:t>
      </w:r>
      <w:r w:rsidR="00AA5432" w:rsidRPr="000D29A2">
        <w:rPr>
          <w:iCs/>
          <w:sz w:val="22"/>
          <w:szCs w:val="22"/>
        </w:rPr>
        <w:t xml:space="preserve"> projeto</w:t>
      </w:r>
      <w:r w:rsidR="001165F4" w:rsidRPr="000D29A2">
        <w:rPr>
          <w:iCs/>
          <w:sz w:val="22"/>
          <w:szCs w:val="22"/>
        </w:rPr>
        <w:t xml:space="preserve">, </w:t>
      </w:r>
      <w:r w:rsidR="00AA5432" w:rsidRPr="000D29A2">
        <w:rPr>
          <w:iCs/>
          <w:sz w:val="22"/>
          <w:szCs w:val="22"/>
        </w:rPr>
        <w:t xml:space="preserve">sem </w:t>
      </w:r>
      <w:r w:rsidR="001165F4" w:rsidRPr="000D29A2">
        <w:rPr>
          <w:iCs/>
          <w:sz w:val="22"/>
          <w:szCs w:val="22"/>
        </w:rPr>
        <w:t xml:space="preserve">ter havido </w:t>
      </w:r>
      <w:r w:rsidR="00AA5432" w:rsidRPr="000D29A2">
        <w:rPr>
          <w:iCs/>
          <w:sz w:val="22"/>
          <w:szCs w:val="22"/>
        </w:rPr>
        <w:t>culpa da executora</w:t>
      </w:r>
      <w:r w:rsidR="00270ACB" w:rsidRPr="000D29A2">
        <w:rPr>
          <w:iCs/>
          <w:sz w:val="22"/>
          <w:szCs w:val="22"/>
        </w:rPr>
        <w:t>,</w:t>
      </w:r>
      <w:r w:rsidR="00AA5432" w:rsidRPr="000D29A2">
        <w:rPr>
          <w:i/>
          <w:iCs/>
          <w:sz w:val="22"/>
          <w:szCs w:val="22"/>
        </w:rPr>
        <w:t xml:space="preserve"> </w:t>
      </w:r>
      <w:r w:rsidR="001165F4" w:rsidRPr="000D29A2">
        <w:rPr>
          <w:i/>
          <w:iCs/>
          <w:sz w:val="22"/>
          <w:szCs w:val="22"/>
        </w:rPr>
        <w:t>“</w:t>
      </w:r>
      <w:r w:rsidR="00AA5432" w:rsidRPr="000D29A2">
        <w:rPr>
          <w:i/>
          <w:iCs/>
          <w:sz w:val="22"/>
          <w:szCs w:val="22"/>
        </w:rPr>
        <w:t>e sendo necessário o uso de uma fonte mais distante, a contratada faz jus à repactuação contratual que considere o acréscimo de transporte. Pela mesma razão, descoberta uma jazida mais próxima, a Administração possui o direito à alteração contratual a seu favor</w:t>
      </w:r>
      <w:r w:rsidR="00AA5432" w:rsidRPr="000D29A2">
        <w:rPr>
          <w:iCs/>
          <w:sz w:val="22"/>
          <w:szCs w:val="22"/>
        </w:rPr>
        <w:t xml:space="preserve">”. Considerando que o consórcio e o </w:t>
      </w:r>
      <w:proofErr w:type="spellStart"/>
      <w:r w:rsidR="00AA5432" w:rsidRPr="000D29A2">
        <w:rPr>
          <w:iCs/>
          <w:sz w:val="22"/>
          <w:szCs w:val="22"/>
        </w:rPr>
        <w:t>Dnit</w:t>
      </w:r>
      <w:proofErr w:type="spellEnd"/>
      <w:r w:rsidR="00AA5432" w:rsidRPr="000D29A2">
        <w:rPr>
          <w:iCs/>
          <w:sz w:val="22"/>
          <w:szCs w:val="22"/>
        </w:rPr>
        <w:t xml:space="preserve"> reconheceram a utilização de jazida mais próxima do que a prevista em projeto e considerada nas medições, </w:t>
      </w:r>
      <w:r w:rsidR="000B0F42" w:rsidRPr="000D29A2">
        <w:rPr>
          <w:iCs/>
          <w:sz w:val="22"/>
          <w:szCs w:val="22"/>
        </w:rPr>
        <w:t xml:space="preserve">o Tribunal, pelos motivos expostos </w:t>
      </w:r>
      <w:r w:rsidR="00DD179F" w:rsidRPr="000D29A2">
        <w:rPr>
          <w:iCs/>
          <w:sz w:val="22"/>
          <w:szCs w:val="22"/>
        </w:rPr>
        <w:t>pela</w:t>
      </w:r>
      <w:r w:rsidR="00A05147" w:rsidRPr="000D29A2">
        <w:rPr>
          <w:iCs/>
          <w:sz w:val="22"/>
          <w:szCs w:val="22"/>
        </w:rPr>
        <w:t xml:space="preserve"> relator</w:t>
      </w:r>
      <w:r w:rsidR="00DD179F" w:rsidRPr="000D29A2">
        <w:rPr>
          <w:iCs/>
          <w:sz w:val="22"/>
          <w:szCs w:val="22"/>
        </w:rPr>
        <w:t>a</w:t>
      </w:r>
      <w:r w:rsidR="00A05147" w:rsidRPr="000D29A2">
        <w:rPr>
          <w:iCs/>
          <w:sz w:val="22"/>
          <w:szCs w:val="22"/>
        </w:rPr>
        <w:t>, determinou ao órgão</w:t>
      </w:r>
      <w:r w:rsidR="000B0F42" w:rsidRPr="000D29A2">
        <w:rPr>
          <w:iCs/>
          <w:sz w:val="22"/>
          <w:szCs w:val="22"/>
        </w:rPr>
        <w:t>, no ponto, que realizasse levantamento do quantitativo de material utilizado da jazida 2858-LD para adequada remuneração dos serviços de sub-base.</w:t>
      </w:r>
      <w:r w:rsidR="000B0F42" w:rsidRPr="000D29A2">
        <w:rPr>
          <w:sz w:val="22"/>
          <w:szCs w:val="22"/>
        </w:rPr>
        <w:t xml:space="preserve"> </w:t>
      </w:r>
      <w:hyperlink r:id="rId10" w:history="1">
        <w:r w:rsidR="000B0F42" w:rsidRPr="000D29A2">
          <w:rPr>
            <w:rStyle w:val="Hyperlink"/>
            <w:b/>
            <w:i/>
            <w:iCs/>
            <w:sz w:val="22"/>
            <w:szCs w:val="22"/>
          </w:rPr>
          <w:t xml:space="preserve">Acórdão </w:t>
        </w:r>
        <w:r w:rsidR="007D4BDC" w:rsidRPr="000D29A2">
          <w:rPr>
            <w:rStyle w:val="Hyperlink"/>
            <w:b/>
            <w:i/>
            <w:iCs/>
            <w:sz w:val="22"/>
            <w:szCs w:val="22"/>
          </w:rPr>
          <w:t>826</w:t>
        </w:r>
        <w:r w:rsidR="000B0F42" w:rsidRPr="000D29A2">
          <w:rPr>
            <w:rStyle w:val="Hyperlink"/>
            <w:b/>
            <w:i/>
            <w:iCs/>
            <w:sz w:val="22"/>
            <w:szCs w:val="22"/>
          </w:rPr>
          <w:t>/2015-Plenário</w:t>
        </w:r>
      </w:hyperlink>
      <w:r w:rsidR="000B0F42" w:rsidRPr="000D29A2">
        <w:rPr>
          <w:b/>
          <w:i/>
          <w:iCs/>
          <w:sz w:val="22"/>
          <w:szCs w:val="22"/>
        </w:rPr>
        <w:t xml:space="preserve">, TC </w:t>
      </w:r>
      <w:r w:rsidR="007D4BDC" w:rsidRPr="000D29A2">
        <w:rPr>
          <w:b/>
          <w:i/>
          <w:iCs/>
          <w:sz w:val="22"/>
          <w:szCs w:val="22"/>
        </w:rPr>
        <w:t>005.736/2011</w:t>
      </w:r>
      <w:r w:rsidR="000B0F42" w:rsidRPr="000D29A2">
        <w:rPr>
          <w:b/>
          <w:i/>
          <w:iCs/>
          <w:sz w:val="22"/>
          <w:szCs w:val="22"/>
        </w:rPr>
        <w:t>-0, relator</w:t>
      </w:r>
      <w:r w:rsidR="007D4BDC" w:rsidRPr="000D29A2">
        <w:rPr>
          <w:b/>
          <w:i/>
          <w:iCs/>
          <w:sz w:val="22"/>
          <w:szCs w:val="22"/>
        </w:rPr>
        <w:t>a</w:t>
      </w:r>
      <w:r w:rsidR="000B0F42" w:rsidRPr="000D29A2">
        <w:rPr>
          <w:b/>
          <w:i/>
          <w:iCs/>
          <w:sz w:val="22"/>
          <w:szCs w:val="22"/>
        </w:rPr>
        <w:t xml:space="preserve"> Ministr</w:t>
      </w:r>
      <w:r w:rsidR="007D4BDC" w:rsidRPr="000D29A2">
        <w:rPr>
          <w:b/>
          <w:i/>
          <w:iCs/>
          <w:sz w:val="22"/>
          <w:szCs w:val="22"/>
        </w:rPr>
        <w:t>a Ana Arraes</w:t>
      </w:r>
      <w:r w:rsidR="000B0F42" w:rsidRPr="000D29A2">
        <w:rPr>
          <w:b/>
          <w:i/>
          <w:iCs/>
          <w:sz w:val="22"/>
          <w:szCs w:val="22"/>
        </w:rPr>
        <w:t>, 1</w:t>
      </w:r>
      <w:r w:rsidR="007D4BDC" w:rsidRPr="000D29A2">
        <w:rPr>
          <w:b/>
          <w:i/>
          <w:iCs/>
          <w:sz w:val="22"/>
          <w:szCs w:val="22"/>
        </w:rPr>
        <w:t>5.4</w:t>
      </w:r>
      <w:r w:rsidR="000B0F42" w:rsidRPr="000D29A2">
        <w:rPr>
          <w:b/>
          <w:i/>
          <w:iCs/>
          <w:sz w:val="22"/>
          <w:szCs w:val="22"/>
        </w:rPr>
        <w:t>.2015.</w:t>
      </w:r>
    </w:p>
    <w:p w:rsidR="000B0F42" w:rsidRPr="000D29A2" w:rsidRDefault="000B0F42" w:rsidP="000D29A2">
      <w:pPr>
        <w:pStyle w:val="enter-3pt"/>
        <w:tabs>
          <w:tab w:val="left" w:pos="2590"/>
        </w:tabs>
        <w:spacing w:line="240" w:lineRule="auto"/>
        <w:rPr>
          <w:iCs/>
          <w:sz w:val="22"/>
          <w:szCs w:val="22"/>
        </w:rPr>
      </w:pPr>
    </w:p>
    <w:p w:rsidR="00F00604" w:rsidRPr="000D29A2" w:rsidRDefault="00FD2B92" w:rsidP="000D29A2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  <w:r w:rsidRPr="000D29A2">
        <w:rPr>
          <w:b/>
          <w:sz w:val="22"/>
          <w:szCs w:val="22"/>
        </w:rPr>
        <w:t>3</w:t>
      </w:r>
      <w:r w:rsidR="001863E5" w:rsidRPr="000D29A2">
        <w:rPr>
          <w:b/>
          <w:sz w:val="22"/>
          <w:szCs w:val="22"/>
        </w:rPr>
        <w:t>.</w:t>
      </w:r>
      <w:r w:rsidR="001863E5" w:rsidRPr="000D29A2">
        <w:rPr>
          <w:b/>
          <w:color w:val="000000"/>
          <w:sz w:val="22"/>
          <w:szCs w:val="22"/>
        </w:rPr>
        <w:t xml:space="preserve"> </w:t>
      </w:r>
      <w:r w:rsidR="00703B20" w:rsidRPr="000D29A2">
        <w:rPr>
          <w:b/>
          <w:sz w:val="22"/>
          <w:szCs w:val="22"/>
        </w:rPr>
        <w:t>Nos contratos executados sob regime de</w:t>
      </w:r>
      <w:r w:rsidR="009943ED" w:rsidRPr="000D29A2">
        <w:rPr>
          <w:b/>
          <w:sz w:val="22"/>
          <w:szCs w:val="22"/>
        </w:rPr>
        <w:t xml:space="preserve"> preço unitário, a remuneração de cada serviço passa pela efetiva conferência da atividade executada, tanto em termos quantitativos como qualitativos, implicando o reequilíbrio econômico-financeiro dos contratos a adoção pela contratada de outro método construtivo, mais racional e econômico do que o considerado no orçamento da obra, se este previu metodologia executiva claramente ineficiente, antieconômica ou contrária à boa técnica da engenharia.</w:t>
      </w:r>
    </w:p>
    <w:p w:rsidR="00E53075" w:rsidRPr="000D29A2" w:rsidRDefault="00A04874" w:rsidP="000D29A2">
      <w:pPr>
        <w:pStyle w:val="enter-3pt"/>
        <w:tabs>
          <w:tab w:val="left" w:pos="2590"/>
        </w:tabs>
        <w:spacing w:line="240" w:lineRule="auto"/>
        <w:rPr>
          <w:b/>
          <w:i/>
          <w:iCs/>
          <w:sz w:val="22"/>
          <w:szCs w:val="22"/>
        </w:rPr>
      </w:pPr>
      <w:r w:rsidRPr="000D29A2">
        <w:rPr>
          <w:sz w:val="22"/>
          <w:szCs w:val="22"/>
        </w:rPr>
        <w:t xml:space="preserve">Ainda na Auditoria </w:t>
      </w:r>
      <w:r w:rsidR="00CC6A0B" w:rsidRPr="000D29A2">
        <w:rPr>
          <w:iCs/>
          <w:sz w:val="22"/>
          <w:szCs w:val="22"/>
        </w:rPr>
        <w:t>realizada nas obras de construção da rodovia BR-429/RO, sob responsabili</w:t>
      </w:r>
      <w:r w:rsidR="0077489F" w:rsidRPr="000D29A2">
        <w:rPr>
          <w:iCs/>
          <w:sz w:val="22"/>
          <w:szCs w:val="22"/>
        </w:rPr>
        <w:t xml:space="preserve">dade do </w:t>
      </w:r>
      <w:proofErr w:type="spellStart"/>
      <w:r w:rsidR="0077489F" w:rsidRPr="000D29A2">
        <w:rPr>
          <w:iCs/>
          <w:sz w:val="22"/>
          <w:szCs w:val="22"/>
        </w:rPr>
        <w:t>Dnit</w:t>
      </w:r>
      <w:proofErr w:type="spellEnd"/>
      <w:r w:rsidR="00CC6A0B" w:rsidRPr="000D29A2">
        <w:rPr>
          <w:iCs/>
          <w:sz w:val="22"/>
          <w:szCs w:val="22"/>
        </w:rPr>
        <w:t xml:space="preserve">, fora apontada </w:t>
      </w:r>
      <w:r w:rsidR="00A64A93" w:rsidRPr="000D29A2">
        <w:rPr>
          <w:iCs/>
          <w:sz w:val="22"/>
          <w:szCs w:val="22"/>
        </w:rPr>
        <w:t xml:space="preserve">a </w:t>
      </w:r>
      <w:r w:rsidR="00CC6A0B" w:rsidRPr="000D29A2">
        <w:rPr>
          <w:iCs/>
          <w:sz w:val="22"/>
          <w:szCs w:val="22"/>
        </w:rPr>
        <w:t xml:space="preserve">previsão antieconômica de escavação com carregadeira ou </w:t>
      </w:r>
      <w:proofErr w:type="spellStart"/>
      <w:r w:rsidR="00CC6A0B" w:rsidRPr="000D29A2">
        <w:rPr>
          <w:i/>
          <w:iCs/>
          <w:sz w:val="22"/>
          <w:szCs w:val="22"/>
        </w:rPr>
        <w:t>motoscraper</w:t>
      </w:r>
      <w:proofErr w:type="spellEnd"/>
      <w:r w:rsidR="00CC6A0B" w:rsidRPr="000D29A2">
        <w:rPr>
          <w:iCs/>
          <w:sz w:val="22"/>
          <w:szCs w:val="22"/>
        </w:rPr>
        <w:t xml:space="preserve">, </w:t>
      </w:r>
      <w:r w:rsidR="0083235E" w:rsidRPr="000D29A2">
        <w:rPr>
          <w:iCs/>
          <w:sz w:val="22"/>
          <w:szCs w:val="22"/>
        </w:rPr>
        <w:t>tendo sido utilizad</w:t>
      </w:r>
      <w:r w:rsidR="0077489F" w:rsidRPr="000D29A2">
        <w:rPr>
          <w:iCs/>
          <w:sz w:val="22"/>
          <w:szCs w:val="22"/>
        </w:rPr>
        <w:t>a</w:t>
      </w:r>
      <w:r w:rsidR="0083235E" w:rsidRPr="000D29A2">
        <w:rPr>
          <w:iCs/>
          <w:sz w:val="22"/>
          <w:szCs w:val="22"/>
        </w:rPr>
        <w:t xml:space="preserve"> preponderantemente a escavadeira</w:t>
      </w:r>
      <w:r w:rsidR="0048443A" w:rsidRPr="000D29A2">
        <w:rPr>
          <w:iCs/>
          <w:sz w:val="22"/>
          <w:szCs w:val="22"/>
        </w:rPr>
        <w:t xml:space="preserve">, ocasionando </w:t>
      </w:r>
      <w:r w:rsidR="00574FE9" w:rsidRPr="000D29A2">
        <w:rPr>
          <w:iCs/>
          <w:sz w:val="22"/>
          <w:szCs w:val="22"/>
        </w:rPr>
        <w:t xml:space="preserve">potencial </w:t>
      </w:r>
      <w:r w:rsidR="0048443A" w:rsidRPr="000D29A2">
        <w:rPr>
          <w:iCs/>
          <w:sz w:val="22"/>
          <w:szCs w:val="22"/>
        </w:rPr>
        <w:t xml:space="preserve">prejuízo </w:t>
      </w:r>
      <w:r w:rsidR="00574FE9" w:rsidRPr="000D29A2">
        <w:rPr>
          <w:iCs/>
          <w:sz w:val="22"/>
          <w:szCs w:val="22"/>
        </w:rPr>
        <w:t>no Lote 2</w:t>
      </w:r>
      <w:r w:rsidR="004A2818" w:rsidRPr="000D29A2">
        <w:rPr>
          <w:iCs/>
          <w:sz w:val="22"/>
          <w:szCs w:val="22"/>
        </w:rPr>
        <w:t xml:space="preserve">, decorrente de superfaturamento por alteração de metodologia construtiva. </w:t>
      </w:r>
      <w:r w:rsidR="0083235E" w:rsidRPr="000D29A2">
        <w:rPr>
          <w:iCs/>
          <w:sz w:val="22"/>
          <w:szCs w:val="22"/>
        </w:rPr>
        <w:t xml:space="preserve">Em sua análise, a unidade técnica </w:t>
      </w:r>
      <w:r w:rsidR="0048443A" w:rsidRPr="000D29A2">
        <w:rPr>
          <w:iCs/>
          <w:sz w:val="22"/>
          <w:szCs w:val="22"/>
        </w:rPr>
        <w:t xml:space="preserve">explicou </w:t>
      </w:r>
      <w:r w:rsidR="0083235E" w:rsidRPr="000D29A2">
        <w:rPr>
          <w:iCs/>
          <w:sz w:val="22"/>
          <w:szCs w:val="22"/>
        </w:rPr>
        <w:t xml:space="preserve">que </w:t>
      </w:r>
      <w:r w:rsidR="0048443A" w:rsidRPr="000D29A2">
        <w:rPr>
          <w:iCs/>
          <w:sz w:val="22"/>
          <w:szCs w:val="22"/>
        </w:rPr>
        <w:t>“</w:t>
      </w:r>
      <w:r w:rsidR="0048443A" w:rsidRPr="000D29A2">
        <w:rPr>
          <w:i/>
          <w:iCs/>
          <w:sz w:val="22"/>
          <w:szCs w:val="22"/>
        </w:rPr>
        <w:t>o orçamento da obra considerou metodologia executiva claramente ineficiente, antieconômica ou contrária à boa técnica da engenharia, e, posteriormente, durante a execução da obra, a contratada adotou outro método construtivo, mais racional e econômico</w:t>
      </w:r>
      <w:r w:rsidR="00B9589C" w:rsidRPr="000D29A2">
        <w:rPr>
          <w:i/>
          <w:iCs/>
          <w:sz w:val="22"/>
          <w:szCs w:val="22"/>
        </w:rPr>
        <w:t xml:space="preserve">”. </w:t>
      </w:r>
      <w:r w:rsidR="00B9589C" w:rsidRPr="000D29A2">
        <w:rPr>
          <w:iCs/>
          <w:sz w:val="22"/>
          <w:szCs w:val="22"/>
        </w:rPr>
        <w:t>Ao</w:t>
      </w:r>
      <w:r w:rsidR="00DD179F" w:rsidRPr="000D29A2">
        <w:rPr>
          <w:iCs/>
          <w:sz w:val="22"/>
          <w:szCs w:val="22"/>
        </w:rPr>
        <w:t xml:space="preserve"> analisar o ponto, a</w:t>
      </w:r>
      <w:r w:rsidR="00B9589C" w:rsidRPr="000D29A2">
        <w:rPr>
          <w:iCs/>
          <w:sz w:val="22"/>
          <w:szCs w:val="22"/>
        </w:rPr>
        <w:t xml:space="preserve"> relator</w:t>
      </w:r>
      <w:r w:rsidR="00DD179F" w:rsidRPr="000D29A2">
        <w:rPr>
          <w:iCs/>
          <w:sz w:val="22"/>
          <w:szCs w:val="22"/>
        </w:rPr>
        <w:t>a</w:t>
      </w:r>
      <w:r w:rsidR="00B9589C" w:rsidRPr="000D29A2">
        <w:rPr>
          <w:iCs/>
          <w:sz w:val="22"/>
          <w:szCs w:val="22"/>
        </w:rPr>
        <w:t xml:space="preserve"> </w:t>
      </w:r>
      <w:r w:rsidR="004A2818" w:rsidRPr="000D29A2">
        <w:rPr>
          <w:iCs/>
          <w:sz w:val="22"/>
          <w:szCs w:val="22"/>
        </w:rPr>
        <w:t>anotou que “</w:t>
      </w:r>
      <w:r w:rsidR="004A2818" w:rsidRPr="000D29A2">
        <w:rPr>
          <w:i/>
          <w:iCs/>
          <w:sz w:val="22"/>
          <w:szCs w:val="22"/>
        </w:rPr>
        <w:t>eventuais acréscimos de eficiência e produtividade implementados pelo particular devem ser incorporados aos seus ganhos, mas não pode ser considerado incremento de eficiência a substituição de equipamentos cuja previsão era sabidamente antieconômica. É o caso clássico de superfaturamento por a</w:t>
      </w:r>
      <w:r w:rsidR="0077489F" w:rsidRPr="000D29A2">
        <w:rPr>
          <w:i/>
          <w:iCs/>
          <w:sz w:val="22"/>
          <w:szCs w:val="22"/>
        </w:rPr>
        <w:t>lteração de método executivo</w:t>
      </w:r>
      <w:r w:rsidR="004A2818" w:rsidRPr="000D29A2">
        <w:rPr>
          <w:iCs/>
          <w:sz w:val="22"/>
          <w:szCs w:val="22"/>
        </w:rPr>
        <w:t>”</w:t>
      </w:r>
      <w:r w:rsidR="00DD179F" w:rsidRPr="000D29A2">
        <w:rPr>
          <w:iCs/>
          <w:sz w:val="22"/>
          <w:szCs w:val="22"/>
        </w:rPr>
        <w:t>. Nesse sentido, acrescentou</w:t>
      </w:r>
      <w:r w:rsidR="00922E38" w:rsidRPr="000D29A2">
        <w:rPr>
          <w:iCs/>
          <w:sz w:val="22"/>
          <w:szCs w:val="22"/>
        </w:rPr>
        <w:t xml:space="preserve"> que</w:t>
      </w:r>
      <w:r w:rsidR="0077489F" w:rsidRPr="000D29A2">
        <w:rPr>
          <w:iCs/>
          <w:sz w:val="22"/>
          <w:szCs w:val="22"/>
        </w:rPr>
        <w:t>, a despeito de o</w:t>
      </w:r>
      <w:r w:rsidR="00B8097A" w:rsidRPr="000D29A2">
        <w:rPr>
          <w:iCs/>
          <w:sz w:val="22"/>
          <w:szCs w:val="22"/>
        </w:rPr>
        <w:t xml:space="preserve"> projeto básico ter indicado a realização dos serviços de escavação, carga e transporte por meio de carregadeiras/tratores de esteiras e </w:t>
      </w:r>
      <w:proofErr w:type="spellStart"/>
      <w:r w:rsidR="00B8097A" w:rsidRPr="000D29A2">
        <w:rPr>
          <w:i/>
          <w:iCs/>
          <w:sz w:val="22"/>
          <w:szCs w:val="22"/>
        </w:rPr>
        <w:t>motoscraper</w:t>
      </w:r>
      <w:proofErr w:type="spellEnd"/>
      <w:r w:rsidR="00B8097A" w:rsidRPr="000D29A2">
        <w:rPr>
          <w:iCs/>
          <w:sz w:val="22"/>
          <w:szCs w:val="22"/>
        </w:rPr>
        <w:t>, “</w:t>
      </w:r>
      <w:r w:rsidR="00B8097A" w:rsidRPr="000D29A2">
        <w:rPr>
          <w:i/>
          <w:iCs/>
          <w:sz w:val="22"/>
          <w:szCs w:val="22"/>
        </w:rPr>
        <w:t>as execuções privilegiaram o uso de escavadeiras/caminhões, com redução de custo estimada em mais de R$ 6 milhões na totalidade dos lotes de 1 a 3</w:t>
      </w:r>
      <w:r w:rsidR="00B8097A" w:rsidRPr="000D29A2">
        <w:rPr>
          <w:iCs/>
          <w:sz w:val="22"/>
          <w:szCs w:val="22"/>
        </w:rPr>
        <w:t xml:space="preserve">”. </w:t>
      </w:r>
      <w:r w:rsidR="00DD179F" w:rsidRPr="000D29A2">
        <w:rPr>
          <w:iCs/>
          <w:sz w:val="22"/>
          <w:szCs w:val="22"/>
        </w:rPr>
        <w:t>Observou ainda a</w:t>
      </w:r>
      <w:r w:rsidR="00B8097A" w:rsidRPr="000D29A2">
        <w:rPr>
          <w:iCs/>
          <w:sz w:val="22"/>
          <w:szCs w:val="22"/>
        </w:rPr>
        <w:t xml:space="preserve"> relator</w:t>
      </w:r>
      <w:r w:rsidR="00DD179F" w:rsidRPr="000D29A2">
        <w:rPr>
          <w:iCs/>
          <w:sz w:val="22"/>
          <w:szCs w:val="22"/>
        </w:rPr>
        <w:t>a</w:t>
      </w:r>
      <w:r w:rsidR="00B8097A" w:rsidRPr="000D29A2">
        <w:rPr>
          <w:iCs/>
          <w:sz w:val="22"/>
          <w:szCs w:val="22"/>
        </w:rPr>
        <w:t xml:space="preserve"> que “</w:t>
      </w:r>
      <w:r w:rsidR="00B8097A" w:rsidRPr="000D29A2">
        <w:rPr>
          <w:i/>
          <w:iCs/>
          <w:sz w:val="22"/>
          <w:szCs w:val="22"/>
        </w:rPr>
        <w:t xml:space="preserve">a utilização de </w:t>
      </w:r>
      <w:proofErr w:type="spellStart"/>
      <w:r w:rsidR="00B8097A" w:rsidRPr="000D29A2">
        <w:rPr>
          <w:i/>
          <w:iCs/>
          <w:sz w:val="22"/>
          <w:szCs w:val="22"/>
        </w:rPr>
        <w:t>motoscraper</w:t>
      </w:r>
      <w:proofErr w:type="spellEnd"/>
      <w:r w:rsidR="00B8097A" w:rsidRPr="000D29A2">
        <w:rPr>
          <w:i/>
          <w:iCs/>
          <w:sz w:val="22"/>
          <w:szCs w:val="22"/>
        </w:rPr>
        <w:t xml:space="preserve"> e carregadeira/trator apenas encontra viabilidade econômica para distâncias de transporte reduzidas</w:t>
      </w:r>
      <w:r w:rsidR="00B8097A" w:rsidRPr="000D29A2">
        <w:rPr>
          <w:iCs/>
          <w:sz w:val="22"/>
          <w:szCs w:val="22"/>
        </w:rPr>
        <w:t>”, fato que “</w:t>
      </w:r>
      <w:r w:rsidR="00B8097A" w:rsidRPr="000D29A2">
        <w:rPr>
          <w:i/>
          <w:iCs/>
          <w:sz w:val="22"/>
          <w:szCs w:val="22"/>
        </w:rPr>
        <w:t>não poderia ter escapado aos projetistas e, portanto, a alteração executiva não pode ser recebida como vantagem das empreiteiras</w:t>
      </w:r>
      <w:r w:rsidR="00B8097A" w:rsidRPr="000D29A2">
        <w:rPr>
          <w:iCs/>
          <w:sz w:val="22"/>
          <w:szCs w:val="22"/>
        </w:rPr>
        <w:t>”.</w:t>
      </w:r>
      <w:r w:rsidR="00DD179F" w:rsidRPr="000D29A2">
        <w:rPr>
          <w:iCs/>
          <w:sz w:val="22"/>
          <w:szCs w:val="22"/>
        </w:rPr>
        <w:t xml:space="preserve">  Por fim, ressaltou</w:t>
      </w:r>
      <w:r w:rsidR="00B8097A" w:rsidRPr="000D29A2">
        <w:rPr>
          <w:iCs/>
          <w:sz w:val="22"/>
          <w:szCs w:val="22"/>
        </w:rPr>
        <w:t xml:space="preserve"> que “</w:t>
      </w:r>
      <w:r w:rsidR="00B8097A" w:rsidRPr="000D29A2">
        <w:rPr>
          <w:i/>
          <w:iCs/>
          <w:sz w:val="22"/>
          <w:szCs w:val="22"/>
        </w:rPr>
        <w:t>os contratos foram assinados no regime de execução por preço unitário, em que a remuneração de cada serviço passa pela efetiva conferência de cada atividade executada, tanto em termos quantitativos como qualitativos. Aliás, no ato da assinatura da avença, é pactuada a justa contraprestação remuneratória para cada serviço e estabelecido o equilíbrio do ajuste. As condições iniciais da proposta devem ser mantidas, inclusive durante a execução contratual, com equilíbrio entre os pagamentos e os encargos dela decorrentes</w:t>
      </w:r>
      <w:r w:rsidR="003057BF" w:rsidRPr="000D29A2">
        <w:rPr>
          <w:iCs/>
          <w:sz w:val="22"/>
          <w:szCs w:val="22"/>
        </w:rPr>
        <w:t>”. Considerando que</w:t>
      </w:r>
      <w:r w:rsidR="00965F42" w:rsidRPr="000D29A2">
        <w:rPr>
          <w:iCs/>
          <w:sz w:val="22"/>
          <w:szCs w:val="22"/>
        </w:rPr>
        <w:t>, no caso concreto, não foi apresentado qualquer estudo que demonstre a inviabilidade da metodologia mais econômica (escavadeira</w:t>
      </w:r>
      <w:r w:rsidR="00E53075" w:rsidRPr="000D29A2">
        <w:rPr>
          <w:iCs/>
          <w:sz w:val="22"/>
          <w:szCs w:val="22"/>
        </w:rPr>
        <w:t xml:space="preserve"> e</w:t>
      </w:r>
      <w:r w:rsidR="00965F42" w:rsidRPr="000D29A2">
        <w:rPr>
          <w:iCs/>
          <w:sz w:val="22"/>
          <w:szCs w:val="22"/>
        </w:rPr>
        <w:t xml:space="preserve"> caminhão</w:t>
      </w:r>
      <w:r w:rsidR="00E53075" w:rsidRPr="000D29A2">
        <w:rPr>
          <w:iCs/>
          <w:sz w:val="22"/>
          <w:szCs w:val="22"/>
        </w:rPr>
        <w:t>)</w:t>
      </w:r>
      <w:r w:rsidR="00965F42" w:rsidRPr="000D29A2">
        <w:rPr>
          <w:iCs/>
          <w:sz w:val="22"/>
          <w:szCs w:val="22"/>
        </w:rPr>
        <w:t>,</w:t>
      </w:r>
      <w:r w:rsidR="00DD179F" w:rsidRPr="000D29A2">
        <w:rPr>
          <w:iCs/>
          <w:sz w:val="22"/>
          <w:szCs w:val="22"/>
        </w:rPr>
        <w:t xml:space="preserve"> o Tribunal, acolhendo o voto da</w:t>
      </w:r>
      <w:r w:rsidR="00965F42" w:rsidRPr="000D29A2">
        <w:rPr>
          <w:iCs/>
          <w:sz w:val="22"/>
          <w:szCs w:val="22"/>
        </w:rPr>
        <w:t xml:space="preserve"> relator</w:t>
      </w:r>
      <w:r w:rsidR="00DD179F" w:rsidRPr="000D29A2">
        <w:rPr>
          <w:iCs/>
          <w:sz w:val="22"/>
          <w:szCs w:val="22"/>
        </w:rPr>
        <w:t>a</w:t>
      </w:r>
      <w:r w:rsidR="00965F42" w:rsidRPr="000D29A2">
        <w:rPr>
          <w:iCs/>
          <w:sz w:val="22"/>
          <w:szCs w:val="22"/>
        </w:rPr>
        <w:t>, determinou</w:t>
      </w:r>
      <w:r w:rsidR="00AD4431" w:rsidRPr="000D29A2">
        <w:rPr>
          <w:iCs/>
          <w:sz w:val="22"/>
          <w:szCs w:val="22"/>
        </w:rPr>
        <w:t xml:space="preserve"> ao </w:t>
      </w:r>
      <w:proofErr w:type="spellStart"/>
      <w:r w:rsidR="00AD4431" w:rsidRPr="000D29A2">
        <w:rPr>
          <w:iCs/>
          <w:sz w:val="22"/>
          <w:szCs w:val="22"/>
        </w:rPr>
        <w:t>Dnit</w:t>
      </w:r>
      <w:proofErr w:type="spellEnd"/>
      <w:r w:rsidR="00965F42" w:rsidRPr="000D29A2">
        <w:rPr>
          <w:iCs/>
          <w:sz w:val="22"/>
          <w:szCs w:val="22"/>
        </w:rPr>
        <w:t xml:space="preserve">, dentre outras medidas, </w:t>
      </w:r>
      <w:r w:rsidR="00E53075" w:rsidRPr="000D29A2">
        <w:rPr>
          <w:iCs/>
          <w:sz w:val="22"/>
          <w:szCs w:val="22"/>
        </w:rPr>
        <w:t>a realização de “</w:t>
      </w:r>
      <w:r w:rsidR="00E53075" w:rsidRPr="000D29A2">
        <w:rPr>
          <w:i/>
          <w:iCs/>
          <w:sz w:val="22"/>
          <w:szCs w:val="22"/>
        </w:rPr>
        <w:t xml:space="preserve">levantamento da composição mecânica efetivamente utilizada nos serviços de escavação, carga e transporte para quantificação dos efeitos financeiros das substituições de patrulhas com carregadeira/trator e </w:t>
      </w:r>
      <w:proofErr w:type="spellStart"/>
      <w:r w:rsidR="00E53075" w:rsidRPr="000D29A2">
        <w:rPr>
          <w:i/>
          <w:iCs/>
          <w:sz w:val="22"/>
          <w:szCs w:val="22"/>
        </w:rPr>
        <w:t>motoscraper</w:t>
      </w:r>
      <w:proofErr w:type="spellEnd"/>
      <w:r w:rsidR="00E53075" w:rsidRPr="000D29A2">
        <w:rPr>
          <w:i/>
          <w:iCs/>
          <w:sz w:val="22"/>
          <w:szCs w:val="22"/>
        </w:rPr>
        <w:t xml:space="preserve"> por escavadeira/caminhão, promovendo os ajustes necessários à correta remuneração dos serviços, compatibilizando os pagamentos à contraprestação efetivamente prestada pela contratada</w:t>
      </w:r>
      <w:r w:rsidR="00E53075" w:rsidRPr="000D29A2">
        <w:rPr>
          <w:iCs/>
          <w:sz w:val="22"/>
          <w:szCs w:val="22"/>
        </w:rPr>
        <w:t>”.</w:t>
      </w:r>
      <w:r w:rsidR="00E53075" w:rsidRPr="000D29A2">
        <w:rPr>
          <w:b/>
          <w:i/>
          <w:iCs/>
          <w:sz w:val="22"/>
          <w:szCs w:val="22"/>
        </w:rPr>
        <w:t xml:space="preserve"> </w:t>
      </w:r>
      <w:hyperlink r:id="rId11" w:history="1">
        <w:r w:rsidR="00E53075" w:rsidRPr="000D29A2">
          <w:rPr>
            <w:rStyle w:val="Hyperlink"/>
            <w:b/>
            <w:i/>
            <w:iCs/>
            <w:sz w:val="22"/>
            <w:szCs w:val="22"/>
          </w:rPr>
          <w:t>Acórdão 826/2015-Plenário</w:t>
        </w:r>
      </w:hyperlink>
      <w:r w:rsidR="00E53075" w:rsidRPr="000D29A2">
        <w:rPr>
          <w:b/>
          <w:i/>
          <w:iCs/>
          <w:sz w:val="22"/>
          <w:szCs w:val="22"/>
        </w:rPr>
        <w:t>, TC 005.736/2011-0, relatora Ministra Ana Arraes, 15.4.2015.</w:t>
      </w:r>
    </w:p>
    <w:p w:rsidR="00FD2B92" w:rsidRPr="000D29A2" w:rsidRDefault="00FD2B92" w:rsidP="000D29A2">
      <w:pPr>
        <w:pStyle w:val="enter-3pt"/>
        <w:tabs>
          <w:tab w:val="left" w:pos="2590"/>
        </w:tabs>
        <w:spacing w:line="240" w:lineRule="auto"/>
        <w:rPr>
          <w:b/>
          <w:iCs/>
          <w:sz w:val="22"/>
          <w:szCs w:val="22"/>
        </w:rPr>
      </w:pPr>
    </w:p>
    <w:p w:rsidR="00FD2B92" w:rsidRPr="000D29A2" w:rsidRDefault="00FD2B92" w:rsidP="000D29A2">
      <w:pPr>
        <w:tabs>
          <w:tab w:val="left" w:pos="259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0D29A2">
        <w:rPr>
          <w:rFonts w:eastAsia="Times New Roman"/>
          <w:b/>
          <w:color w:val="000000"/>
          <w:sz w:val="22"/>
          <w:szCs w:val="22"/>
          <w:lang w:eastAsia="pt-BR"/>
        </w:rPr>
        <w:t>4. No pregão, qualquer modificação na proposta tendente a alterar o teor das ofertas deve ocorrer na etapa de negociação, a qual deve ser realizada entre o pregoeiro e o licitante por meio do sistema eletrônico (ar</w:t>
      </w:r>
      <w:r w:rsidR="000879F1" w:rsidRPr="000D29A2">
        <w:rPr>
          <w:rFonts w:eastAsia="Times New Roman"/>
          <w:b/>
          <w:color w:val="000000"/>
          <w:sz w:val="22"/>
          <w:szCs w:val="22"/>
          <w:lang w:eastAsia="pt-BR"/>
        </w:rPr>
        <w:t>t. 24, §§ 8º e 9º, do Decreto 5.</w:t>
      </w:r>
      <w:r w:rsidRPr="000D29A2">
        <w:rPr>
          <w:rFonts w:eastAsia="Times New Roman"/>
          <w:b/>
          <w:color w:val="000000"/>
          <w:sz w:val="22"/>
          <w:szCs w:val="22"/>
          <w:lang w:eastAsia="pt-BR"/>
        </w:rPr>
        <w:t>450/05), tendo como finalidade a obtenção de preços melhores dos que os cotados na fase competitiva e, consequentemente, a proposta mais vantajosa para a Administração.</w:t>
      </w:r>
    </w:p>
    <w:p w:rsidR="00FD2B92" w:rsidRPr="000D29A2" w:rsidRDefault="00FD2B92" w:rsidP="000D29A2">
      <w:pPr>
        <w:shd w:val="clear" w:color="auto" w:fill="FFFFFF"/>
        <w:spacing w:after="0"/>
        <w:ind w:left="0"/>
        <w:rPr>
          <w:rFonts w:eastAsia="Times New Roman"/>
          <w:sz w:val="22"/>
          <w:szCs w:val="22"/>
        </w:rPr>
      </w:pPr>
      <w:r w:rsidRPr="000D29A2">
        <w:rPr>
          <w:rFonts w:eastAsia="Times New Roman"/>
          <w:sz w:val="22"/>
          <w:szCs w:val="22"/>
        </w:rPr>
        <w:t>Representação formulada por sociedade empresária apontara possíveis irregularidades em pregão eletrônico patrocinado pela Empresa Brasileira de Correios e Telégrafos, destinado à prestação de serviço de tel</w:t>
      </w:r>
      <w:r w:rsidR="001778CF" w:rsidRPr="000D29A2">
        <w:rPr>
          <w:rFonts w:eastAsia="Times New Roman"/>
          <w:sz w:val="22"/>
          <w:szCs w:val="22"/>
        </w:rPr>
        <w:t>ecomunicações pelo período de sessenta</w:t>
      </w:r>
      <w:r w:rsidRPr="000D29A2">
        <w:rPr>
          <w:rFonts w:eastAsia="Times New Roman"/>
          <w:sz w:val="22"/>
          <w:szCs w:val="22"/>
        </w:rPr>
        <w:t xml:space="preserve"> meses, com objeto agrupado em lote único de cinco itens. A controvérsia principal, segundo o relator, residiria no fato de que a modelagem adotada no edital permitiria dupla interpretação para o critério de julgamento: menor </w:t>
      </w:r>
      <w:r w:rsidR="00BD2483" w:rsidRPr="000D29A2">
        <w:rPr>
          <w:rFonts w:eastAsia="Times New Roman"/>
          <w:sz w:val="22"/>
          <w:szCs w:val="22"/>
        </w:rPr>
        <w:t>preço global por item</w:t>
      </w:r>
      <w:r w:rsidRPr="000D29A2">
        <w:rPr>
          <w:rFonts w:eastAsia="Times New Roman"/>
          <w:sz w:val="22"/>
          <w:szCs w:val="22"/>
        </w:rPr>
        <w:t xml:space="preserve"> x menor preço g</w:t>
      </w:r>
      <w:r w:rsidR="00BD2483" w:rsidRPr="000D29A2">
        <w:rPr>
          <w:rFonts w:eastAsia="Times New Roman"/>
          <w:sz w:val="22"/>
          <w:szCs w:val="22"/>
        </w:rPr>
        <w:t>lobal por grupo/lote</w:t>
      </w:r>
      <w:r w:rsidRPr="000D29A2">
        <w:rPr>
          <w:rFonts w:eastAsia="Times New Roman"/>
          <w:sz w:val="22"/>
          <w:szCs w:val="22"/>
        </w:rPr>
        <w:t>. Como resultado, embora o certame tenha na prática adotado o critério de julgamento mediante</w:t>
      </w:r>
      <w:r w:rsidRPr="000D29A2">
        <w:rPr>
          <w:rFonts w:eastAsia="Times New Roman"/>
          <w:i/>
          <w:sz w:val="22"/>
          <w:szCs w:val="22"/>
        </w:rPr>
        <w:t xml:space="preserve"> “o menor preço global por item”</w:t>
      </w:r>
      <w:r w:rsidRPr="000D29A2">
        <w:rPr>
          <w:rFonts w:eastAsia="Times New Roman"/>
          <w:sz w:val="22"/>
          <w:szCs w:val="22"/>
        </w:rPr>
        <w:t xml:space="preserve">, as duas empresas participantes formularam propostas de forma totalmente antagônicas: a representante ofertando valores proporcionais à estimativa dos Correios para cada item e a outra concorrente lançando valores </w:t>
      </w:r>
      <w:r w:rsidRPr="000D29A2">
        <w:rPr>
          <w:rFonts w:eastAsia="Times New Roman"/>
          <w:i/>
          <w:sz w:val="22"/>
          <w:szCs w:val="22"/>
        </w:rPr>
        <w:t>“</w:t>
      </w:r>
      <w:proofErr w:type="spellStart"/>
      <w:r w:rsidRPr="000D29A2">
        <w:rPr>
          <w:rFonts w:eastAsia="Times New Roman"/>
          <w:i/>
          <w:sz w:val="22"/>
          <w:szCs w:val="22"/>
        </w:rPr>
        <w:t>incondizentes</w:t>
      </w:r>
      <w:proofErr w:type="spellEnd"/>
      <w:r w:rsidRPr="000D29A2">
        <w:rPr>
          <w:rFonts w:eastAsia="Times New Roman"/>
          <w:i/>
          <w:sz w:val="22"/>
          <w:szCs w:val="22"/>
        </w:rPr>
        <w:t xml:space="preserve"> com a realidade do mercado para os itens somente para fins de composição do valor global do grupo/lote”</w:t>
      </w:r>
      <w:r w:rsidR="00633DC4" w:rsidRPr="000D29A2">
        <w:rPr>
          <w:rFonts w:eastAsia="Times New Roman"/>
          <w:sz w:val="22"/>
          <w:szCs w:val="22"/>
        </w:rPr>
        <w:t>. Diante disso</w:t>
      </w:r>
      <w:r w:rsidRPr="000D29A2">
        <w:rPr>
          <w:rFonts w:eastAsia="Times New Roman"/>
          <w:sz w:val="22"/>
          <w:szCs w:val="22"/>
        </w:rPr>
        <w:t>, e considerando a baixa média de lances por item, aduziu o relator, após a suspensão cautelar do certame e a promoção das oitivas regimentais</w:t>
      </w:r>
      <w:r w:rsidR="00633DC4" w:rsidRPr="000D29A2">
        <w:rPr>
          <w:rFonts w:eastAsia="Times New Roman"/>
          <w:sz w:val="22"/>
          <w:szCs w:val="22"/>
        </w:rPr>
        <w:t xml:space="preserve">, </w:t>
      </w:r>
      <w:r w:rsidRPr="000D29A2">
        <w:rPr>
          <w:rFonts w:eastAsia="Times New Roman"/>
          <w:sz w:val="22"/>
          <w:szCs w:val="22"/>
        </w:rPr>
        <w:t>não ter “</w:t>
      </w:r>
      <w:r w:rsidRPr="000D29A2">
        <w:rPr>
          <w:rFonts w:eastAsia="Times New Roman"/>
          <w:i/>
          <w:sz w:val="22"/>
          <w:szCs w:val="22"/>
        </w:rPr>
        <w:t xml:space="preserve">a menor dúvida de que a lacuna quanto ao critério de julgamento acarretou a absoluta inexistência de disputa no pregão (...), em total afronta a diversos princípios licitatórios, principalmente os da </w:t>
      </w:r>
      <w:proofErr w:type="spellStart"/>
      <w:r w:rsidRPr="000D29A2">
        <w:rPr>
          <w:rFonts w:eastAsia="Times New Roman"/>
          <w:i/>
          <w:sz w:val="22"/>
          <w:szCs w:val="22"/>
        </w:rPr>
        <w:t>vantajosidade</w:t>
      </w:r>
      <w:proofErr w:type="spellEnd"/>
      <w:r w:rsidRPr="000D29A2">
        <w:rPr>
          <w:rFonts w:eastAsia="Times New Roman"/>
          <w:i/>
          <w:sz w:val="22"/>
          <w:szCs w:val="22"/>
        </w:rPr>
        <w:t xml:space="preserve"> e competitividade</w:t>
      </w:r>
      <w:r w:rsidRPr="000D29A2">
        <w:rPr>
          <w:rFonts w:eastAsia="Times New Roman"/>
          <w:sz w:val="22"/>
          <w:szCs w:val="22"/>
        </w:rPr>
        <w:t xml:space="preserve">”. </w:t>
      </w:r>
      <w:r w:rsidR="001165F4" w:rsidRPr="000D29A2">
        <w:rPr>
          <w:rFonts w:eastAsia="Times New Roman"/>
          <w:sz w:val="22"/>
          <w:szCs w:val="22"/>
        </w:rPr>
        <w:t xml:space="preserve">Além da </w:t>
      </w:r>
      <w:r w:rsidRPr="000D29A2">
        <w:rPr>
          <w:rFonts w:eastAsia="Times New Roman"/>
          <w:sz w:val="22"/>
          <w:szCs w:val="22"/>
        </w:rPr>
        <w:t xml:space="preserve">dubiedade no instrumento convocatório, fora apontada negociação, realizada pelo pregoeiro por fora do sistema </w:t>
      </w:r>
      <w:r w:rsidR="00BD2483" w:rsidRPr="000D29A2">
        <w:rPr>
          <w:rFonts w:eastAsia="Times New Roman"/>
          <w:sz w:val="22"/>
          <w:szCs w:val="22"/>
        </w:rPr>
        <w:t xml:space="preserve">eletrônico </w:t>
      </w:r>
      <w:r w:rsidRPr="000D29A2">
        <w:rPr>
          <w:rFonts w:eastAsia="Times New Roman"/>
          <w:sz w:val="22"/>
          <w:szCs w:val="22"/>
        </w:rPr>
        <w:t xml:space="preserve">oficial, de valores que superaram o melhor lance ofertado para o item 1 durante a fase de disputa do pregão, com majoração de cerca de 444%. Nesse ponto, </w:t>
      </w:r>
      <w:r w:rsidR="00FA444D" w:rsidRPr="000D29A2">
        <w:rPr>
          <w:rFonts w:eastAsia="Times New Roman"/>
          <w:sz w:val="22"/>
          <w:szCs w:val="22"/>
        </w:rPr>
        <w:t>o relator refutou</w:t>
      </w:r>
      <w:r w:rsidRPr="000D29A2">
        <w:rPr>
          <w:rFonts w:eastAsia="Times New Roman"/>
          <w:sz w:val="22"/>
          <w:szCs w:val="22"/>
        </w:rPr>
        <w:t xml:space="preserve"> os argumentos esgrimidos pelos Correios e pela licitante vencedora de que </w:t>
      </w:r>
      <w:r w:rsidRPr="000D29A2">
        <w:rPr>
          <w:rFonts w:eastAsia="Times New Roman"/>
          <w:i/>
          <w:sz w:val="22"/>
          <w:szCs w:val="22"/>
        </w:rPr>
        <w:t>“os valores ofertados para os itens em disputa na fase competitiva do certame possam ser livremente modificados em momento posterior da licitação”</w:t>
      </w:r>
      <w:r w:rsidRPr="000D29A2">
        <w:rPr>
          <w:rFonts w:eastAsia="Times New Roman"/>
          <w:sz w:val="22"/>
          <w:szCs w:val="22"/>
        </w:rPr>
        <w:t xml:space="preserve">. </w:t>
      </w:r>
      <w:r w:rsidR="001165F4" w:rsidRPr="000D29A2">
        <w:rPr>
          <w:rFonts w:eastAsia="Times New Roman"/>
          <w:sz w:val="22"/>
          <w:szCs w:val="22"/>
        </w:rPr>
        <w:t>A propósito fez referência ao</w:t>
      </w:r>
      <w:r w:rsidR="004002FA" w:rsidRPr="000D29A2">
        <w:rPr>
          <w:rFonts w:eastAsia="Times New Roman"/>
          <w:sz w:val="22"/>
          <w:szCs w:val="22"/>
        </w:rPr>
        <w:t xml:space="preserve"> </w:t>
      </w:r>
      <w:hyperlink r:id="rId12" w:history="1">
        <w:r w:rsidR="004002FA" w:rsidRPr="000D29A2">
          <w:rPr>
            <w:rStyle w:val="Hyperlink"/>
            <w:sz w:val="22"/>
            <w:szCs w:val="22"/>
            <w:shd w:val="clear" w:color="auto" w:fill="FFFFFF"/>
          </w:rPr>
          <w:t>Acórdão 2.977/2012-Plenário</w:t>
        </w:r>
      </w:hyperlink>
      <w:r w:rsidRPr="000D29A2">
        <w:rPr>
          <w:rFonts w:eastAsia="Times New Roman"/>
          <w:sz w:val="22"/>
          <w:szCs w:val="22"/>
        </w:rPr>
        <w:t>, n</w:t>
      </w:r>
      <w:r w:rsidR="001165F4" w:rsidRPr="000D29A2">
        <w:rPr>
          <w:rFonts w:eastAsia="Times New Roman"/>
          <w:sz w:val="22"/>
          <w:szCs w:val="22"/>
        </w:rPr>
        <w:t>o</w:t>
      </w:r>
      <w:r w:rsidRPr="000D29A2">
        <w:rPr>
          <w:rFonts w:eastAsia="Times New Roman"/>
          <w:sz w:val="22"/>
          <w:szCs w:val="22"/>
        </w:rPr>
        <w:t xml:space="preserve"> qual o relator (Ministro </w:t>
      </w:r>
      <w:proofErr w:type="spellStart"/>
      <w:r w:rsidRPr="000D29A2">
        <w:rPr>
          <w:rFonts w:eastAsia="Times New Roman"/>
          <w:sz w:val="22"/>
          <w:szCs w:val="22"/>
        </w:rPr>
        <w:t>Weder</w:t>
      </w:r>
      <w:proofErr w:type="spellEnd"/>
      <w:r w:rsidRPr="000D29A2">
        <w:rPr>
          <w:rFonts w:eastAsia="Times New Roman"/>
          <w:sz w:val="22"/>
          <w:szCs w:val="22"/>
        </w:rPr>
        <w:t xml:space="preserve"> de Oliveira) esclarecera que </w:t>
      </w:r>
      <w:r w:rsidRPr="000D29A2">
        <w:rPr>
          <w:rFonts w:eastAsia="Times New Roman"/>
          <w:i/>
          <w:sz w:val="22"/>
          <w:szCs w:val="22"/>
        </w:rPr>
        <w:t>“atenta contra os princípios da razoabilidade, da isonomia, da transparência e da competitividade o fato de uma licitante vencer as demais na etapa de lances e depois, numa fase posterior, negociar livremente com o pregoeiro os valores dos itens anteriormente cotados, mesmo que o preço global da proposta seja mantido”</w:t>
      </w:r>
      <w:r w:rsidRPr="000D29A2">
        <w:rPr>
          <w:rFonts w:eastAsia="Times New Roman"/>
          <w:sz w:val="22"/>
          <w:szCs w:val="22"/>
        </w:rPr>
        <w:t xml:space="preserve">. </w:t>
      </w:r>
      <w:r w:rsidRPr="000D29A2">
        <w:rPr>
          <w:sz w:val="22"/>
          <w:szCs w:val="22"/>
        </w:rPr>
        <w:t xml:space="preserve">Ao revés, ainda naquele julgado, </w:t>
      </w:r>
      <w:r w:rsidRPr="000D29A2">
        <w:rPr>
          <w:i/>
          <w:sz w:val="22"/>
          <w:szCs w:val="22"/>
        </w:rPr>
        <w:t>“a negociação entre o pregoeiro e a Administração é para baixar os preços cotados na fase de lances, conforme dispõe o art. 4º, XVII, da Lei nº 10.520/2002 e art. 24, §8º, do Decreto nº 5.450/2005(...)</w:t>
      </w:r>
      <w:r w:rsidR="007A4113" w:rsidRPr="000D29A2">
        <w:rPr>
          <w:i/>
          <w:sz w:val="22"/>
          <w:szCs w:val="22"/>
        </w:rPr>
        <w:t xml:space="preserve"> </w:t>
      </w:r>
      <w:r w:rsidRPr="000D29A2">
        <w:rPr>
          <w:i/>
          <w:sz w:val="22"/>
          <w:szCs w:val="22"/>
        </w:rPr>
        <w:t>no sentido de se obter a proposta mais vantajosa para a Administração”</w:t>
      </w:r>
      <w:r w:rsidRPr="000D29A2">
        <w:rPr>
          <w:sz w:val="22"/>
          <w:szCs w:val="22"/>
        </w:rPr>
        <w:t xml:space="preserve">. Nesse sentido, resta evidenciado, retomou o relator, que </w:t>
      </w:r>
      <w:r w:rsidRPr="000D29A2">
        <w:rPr>
          <w:i/>
          <w:sz w:val="22"/>
          <w:szCs w:val="22"/>
        </w:rPr>
        <w:t>“qualquer modificação na proposta tendente a alterar o teor das ofertas equivale à negociação que deve ser realizada por meio do sistema entre o pregoeiro e o licitante, tendo como finalidade a obtenção de preços melhores dos que os cotados na fase competitiva e, consequentemente, a proposta mais vantajosa para a Administração, conforme dispõe o art. 4º, inciso XVII, da Lei 10.520/2002, e o art. 24, §§ 3º, 8º e 9º, do Decreto 5.450/2005”</w:t>
      </w:r>
      <w:r w:rsidRPr="000D29A2">
        <w:rPr>
          <w:sz w:val="22"/>
          <w:szCs w:val="22"/>
        </w:rPr>
        <w:t xml:space="preserve">. Em consequência, o Plenário, acolhendo a proposta da </w:t>
      </w:r>
      <w:r w:rsidR="00BD2483" w:rsidRPr="000D29A2">
        <w:rPr>
          <w:sz w:val="22"/>
          <w:szCs w:val="22"/>
        </w:rPr>
        <w:t>relatoria, julgou procedente a R</w:t>
      </w:r>
      <w:r w:rsidRPr="000D29A2">
        <w:rPr>
          <w:sz w:val="22"/>
          <w:szCs w:val="22"/>
        </w:rPr>
        <w:t xml:space="preserve">epresentação, assinando prazo para que os Correios adotem </w:t>
      </w:r>
      <w:r w:rsidRPr="000D29A2">
        <w:rPr>
          <w:i/>
          <w:sz w:val="22"/>
          <w:szCs w:val="22"/>
        </w:rPr>
        <w:t xml:space="preserve">“as providências necessárias no sentido de anular a fase de lances do pregão (...), bem como os atos subsequentes, facultando-lhe a retomada do processo licitatório no momento imediatamente anterior à referida fase, em razão da identificação de vício na condução do certame, em total afronta a diversos princípios licitatórios, principalmente os da </w:t>
      </w:r>
      <w:proofErr w:type="spellStart"/>
      <w:r w:rsidRPr="000D29A2">
        <w:rPr>
          <w:i/>
          <w:sz w:val="22"/>
          <w:szCs w:val="22"/>
        </w:rPr>
        <w:t>vantajosidade</w:t>
      </w:r>
      <w:proofErr w:type="spellEnd"/>
      <w:r w:rsidRPr="000D29A2">
        <w:rPr>
          <w:i/>
          <w:sz w:val="22"/>
          <w:szCs w:val="22"/>
        </w:rPr>
        <w:t xml:space="preserve"> e competitividade”</w:t>
      </w:r>
      <w:r w:rsidR="00270ACB" w:rsidRPr="000D29A2">
        <w:rPr>
          <w:sz w:val="22"/>
          <w:szCs w:val="22"/>
        </w:rPr>
        <w:t>,</w:t>
      </w:r>
      <w:r w:rsidRPr="000D29A2">
        <w:rPr>
          <w:sz w:val="22"/>
          <w:szCs w:val="22"/>
        </w:rPr>
        <w:t xml:space="preserve"> alertando</w:t>
      </w:r>
      <w:r w:rsidR="00270ACB" w:rsidRPr="000D29A2">
        <w:rPr>
          <w:sz w:val="22"/>
          <w:szCs w:val="22"/>
        </w:rPr>
        <w:t xml:space="preserve"> ainda a empresa </w:t>
      </w:r>
      <w:r w:rsidRPr="000D29A2">
        <w:rPr>
          <w:sz w:val="22"/>
          <w:szCs w:val="22"/>
        </w:rPr>
        <w:t xml:space="preserve">que no caso de retomada do certame, </w:t>
      </w:r>
      <w:r w:rsidRPr="000D29A2">
        <w:rPr>
          <w:i/>
          <w:sz w:val="22"/>
          <w:szCs w:val="22"/>
        </w:rPr>
        <w:t>“deve ser esclarecido às licitantes que o critério de julgamento atualmente previsto no edital é o menor preço global por item, e ainda, que após encerrada a fase de disputa, não serão aceitas majorações nos lances ofertados em cada item”</w:t>
      </w:r>
      <w:r w:rsidRPr="000D29A2">
        <w:rPr>
          <w:sz w:val="22"/>
          <w:szCs w:val="22"/>
        </w:rPr>
        <w:t>.</w:t>
      </w:r>
      <w:r w:rsidRPr="000D29A2">
        <w:rPr>
          <w:rFonts w:eastAsia="Times New Roman"/>
          <w:sz w:val="22"/>
          <w:szCs w:val="22"/>
        </w:rPr>
        <w:t xml:space="preserve"> </w:t>
      </w:r>
      <w:hyperlink r:id="rId13" w:history="1">
        <w:r w:rsidRPr="000D29A2">
          <w:rPr>
            <w:rStyle w:val="Hyperlink"/>
            <w:rFonts w:eastAsia="Times New Roman"/>
            <w:b/>
            <w:i/>
            <w:sz w:val="22"/>
            <w:szCs w:val="22"/>
          </w:rPr>
          <w:t>Acórdão 834/2015-Plenário</w:t>
        </w:r>
      </w:hyperlink>
      <w:r w:rsidRPr="000D29A2">
        <w:rPr>
          <w:rFonts w:eastAsia="Times New Roman"/>
          <w:b/>
          <w:i/>
          <w:sz w:val="22"/>
          <w:szCs w:val="22"/>
        </w:rPr>
        <w:t>, TC 000.535/2015-0, relator Ministro Bruno Dantas, 15.4.2015.</w:t>
      </w:r>
    </w:p>
    <w:p w:rsidR="00173904" w:rsidRDefault="00173904" w:rsidP="00173904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4002FA" w:rsidRDefault="004002FA" w:rsidP="00173904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173904" w:rsidRDefault="00173904" w:rsidP="0017390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4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784888">
      <w:pPr>
        <w:ind w:left="0"/>
        <w:rPr>
          <w:sz w:val="22"/>
          <w:szCs w:val="22"/>
        </w:rPr>
      </w:pPr>
    </w:p>
    <w:sectPr w:rsidR="004A3A81" w:rsidSect="00616945"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62" w:rsidRDefault="00C35B62" w:rsidP="008B0547">
      <w:pPr>
        <w:spacing w:after="0"/>
      </w:pPr>
      <w:r>
        <w:separator/>
      </w:r>
    </w:p>
  </w:endnote>
  <w:endnote w:type="continuationSeparator" w:id="0">
    <w:p w:rsidR="00C35B62" w:rsidRDefault="00C35B6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536E9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62" w:rsidRDefault="00C35B62" w:rsidP="008B0547">
      <w:pPr>
        <w:spacing w:after="0"/>
      </w:pPr>
      <w:r>
        <w:separator/>
      </w:r>
    </w:p>
  </w:footnote>
  <w:footnote w:type="continuationSeparator" w:id="0">
    <w:p w:rsidR="00C35B62" w:rsidRDefault="00C35B6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82A"/>
    <w:rsid w:val="00032CA1"/>
    <w:rsid w:val="00032CE9"/>
    <w:rsid w:val="00032D47"/>
    <w:rsid w:val="000334D4"/>
    <w:rsid w:val="00033551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408F5"/>
    <w:rsid w:val="00040938"/>
    <w:rsid w:val="00041337"/>
    <w:rsid w:val="00041450"/>
    <w:rsid w:val="000415DA"/>
    <w:rsid w:val="00041E6A"/>
    <w:rsid w:val="00042393"/>
    <w:rsid w:val="00042A13"/>
    <w:rsid w:val="000431BD"/>
    <w:rsid w:val="00043654"/>
    <w:rsid w:val="000436B0"/>
    <w:rsid w:val="000438BA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B36"/>
    <w:rsid w:val="000A2C56"/>
    <w:rsid w:val="000A2DF9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42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C2"/>
    <w:rsid w:val="000C0013"/>
    <w:rsid w:val="000C02AD"/>
    <w:rsid w:val="000C049A"/>
    <w:rsid w:val="000C060B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9A2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752"/>
    <w:rsid w:val="00130A0C"/>
    <w:rsid w:val="00130B06"/>
    <w:rsid w:val="00130EF3"/>
    <w:rsid w:val="00131679"/>
    <w:rsid w:val="001316FC"/>
    <w:rsid w:val="0013176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ECC"/>
    <w:rsid w:val="00152F0D"/>
    <w:rsid w:val="001530A6"/>
    <w:rsid w:val="00153276"/>
    <w:rsid w:val="001532E4"/>
    <w:rsid w:val="001534C8"/>
    <w:rsid w:val="001536E9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778C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3C3"/>
    <w:rsid w:val="001A052D"/>
    <w:rsid w:val="001A0725"/>
    <w:rsid w:val="001A08CA"/>
    <w:rsid w:val="001A0B42"/>
    <w:rsid w:val="001A0B5D"/>
    <w:rsid w:val="001A0CC1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968"/>
    <w:rsid w:val="001D2BC5"/>
    <w:rsid w:val="001D2D43"/>
    <w:rsid w:val="001D3401"/>
    <w:rsid w:val="001D34EB"/>
    <w:rsid w:val="001D35B4"/>
    <w:rsid w:val="001D3A4D"/>
    <w:rsid w:val="001D3F21"/>
    <w:rsid w:val="001D44B8"/>
    <w:rsid w:val="001D4515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48E"/>
    <w:rsid w:val="001F34F8"/>
    <w:rsid w:val="001F473A"/>
    <w:rsid w:val="001F4DA1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A7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01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08D"/>
    <w:rsid w:val="00215156"/>
    <w:rsid w:val="0021517D"/>
    <w:rsid w:val="002157BF"/>
    <w:rsid w:val="00216157"/>
    <w:rsid w:val="00216BD9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B58"/>
    <w:rsid w:val="00255CF8"/>
    <w:rsid w:val="00255E00"/>
    <w:rsid w:val="00255FC7"/>
    <w:rsid w:val="00256044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0FA"/>
    <w:rsid w:val="00293198"/>
    <w:rsid w:val="002933A1"/>
    <w:rsid w:val="0029353D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3ED"/>
    <w:rsid w:val="002A040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F03"/>
    <w:rsid w:val="002C6588"/>
    <w:rsid w:val="002C662D"/>
    <w:rsid w:val="002C66E9"/>
    <w:rsid w:val="002C6B2F"/>
    <w:rsid w:val="002C6BFB"/>
    <w:rsid w:val="002C71CF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BC6"/>
    <w:rsid w:val="002E1EC2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FAF"/>
    <w:rsid w:val="00304072"/>
    <w:rsid w:val="00304161"/>
    <w:rsid w:val="003043A7"/>
    <w:rsid w:val="00304618"/>
    <w:rsid w:val="00304643"/>
    <w:rsid w:val="0030477F"/>
    <w:rsid w:val="003047D2"/>
    <w:rsid w:val="0030493A"/>
    <w:rsid w:val="00304A73"/>
    <w:rsid w:val="00304AFB"/>
    <w:rsid w:val="00304DFD"/>
    <w:rsid w:val="00304EFB"/>
    <w:rsid w:val="00304FE5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20368"/>
    <w:rsid w:val="0032040C"/>
    <w:rsid w:val="00320465"/>
    <w:rsid w:val="00320A64"/>
    <w:rsid w:val="00320B02"/>
    <w:rsid w:val="00320B84"/>
    <w:rsid w:val="00320D78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2FA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D1A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E08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862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6B"/>
    <w:rsid w:val="004B329D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5DA2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2C12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08B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C45"/>
    <w:rsid w:val="005542D6"/>
    <w:rsid w:val="005544FA"/>
    <w:rsid w:val="0055459C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BC"/>
    <w:rsid w:val="00572B78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7F"/>
    <w:rsid w:val="005A46A3"/>
    <w:rsid w:val="005A47FE"/>
    <w:rsid w:val="005A4B91"/>
    <w:rsid w:val="005A50F6"/>
    <w:rsid w:val="005A578B"/>
    <w:rsid w:val="005A5DE6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E1F"/>
    <w:rsid w:val="006311E3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486"/>
    <w:rsid w:val="0064658A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67F07"/>
    <w:rsid w:val="00670B9B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53F8"/>
    <w:rsid w:val="006C54B1"/>
    <w:rsid w:val="006C54BB"/>
    <w:rsid w:val="006C54BE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0BE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5C7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B15"/>
    <w:rsid w:val="006E1CC8"/>
    <w:rsid w:val="006E1DA5"/>
    <w:rsid w:val="006E220A"/>
    <w:rsid w:val="006E27F1"/>
    <w:rsid w:val="006E2E12"/>
    <w:rsid w:val="006E346A"/>
    <w:rsid w:val="006E3C8A"/>
    <w:rsid w:val="006E3E0D"/>
    <w:rsid w:val="006E4064"/>
    <w:rsid w:val="006E4806"/>
    <w:rsid w:val="006E4C0D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7E0"/>
    <w:rsid w:val="006F28D9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D97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B0B"/>
    <w:rsid w:val="00736376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2422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97"/>
    <w:rsid w:val="00763A41"/>
    <w:rsid w:val="00763AE0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65"/>
    <w:rsid w:val="007753B5"/>
    <w:rsid w:val="00775695"/>
    <w:rsid w:val="00775788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113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757"/>
    <w:rsid w:val="007D48CF"/>
    <w:rsid w:val="007D4A4A"/>
    <w:rsid w:val="007D4BDC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577"/>
    <w:rsid w:val="007E7854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72E"/>
    <w:rsid w:val="00823997"/>
    <w:rsid w:val="00823A7E"/>
    <w:rsid w:val="00823D0F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D54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9C2"/>
    <w:rsid w:val="00893BAF"/>
    <w:rsid w:val="00893C33"/>
    <w:rsid w:val="00894600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688"/>
    <w:rsid w:val="008B56B8"/>
    <w:rsid w:val="008B58F9"/>
    <w:rsid w:val="008B5DA7"/>
    <w:rsid w:val="008B607E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104A9"/>
    <w:rsid w:val="00910550"/>
    <w:rsid w:val="00910A48"/>
    <w:rsid w:val="00910A6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4F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C5B"/>
    <w:rsid w:val="00941FF5"/>
    <w:rsid w:val="00942022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FE"/>
    <w:rsid w:val="00962C94"/>
    <w:rsid w:val="00962F11"/>
    <w:rsid w:val="00963363"/>
    <w:rsid w:val="009635FB"/>
    <w:rsid w:val="00964075"/>
    <w:rsid w:val="009642CA"/>
    <w:rsid w:val="00964559"/>
    <w:rsid w:val="00964798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609"/>
    <w:rsid w:val="009D2884"/>
    <w:rsid w:val="009D2A4F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C2C"/>
    <w:rsid w:val="00A02EFA"/>
    <w:rsid w:val="00A02FC7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2EC"/>
    <w:rsid w:val="00A24599"/>
    <w:rsid w:val="00A24E78"/>
    <w:rsid w:val="00A24FBC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5D1"/>
    <w:rsid w:val="00A61DFE"/>
    <w:rsid w:val="00A61F91"/>
    <w:rsid w:val="00A624C9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4A93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B2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431"/>
    <w:rsid w:val="00AD465C"/>
    <w:rsid w:val="00AD4D66"/>
    <w:rsid w:val="00AD516C"/>
    <w:rsid w:val="00AD5922"/>
    <w:rsid w:val="00AD5CB8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CEA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0A61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386A"/>
    <w:rsid w:val="00BD3A51"/>
    <w:rsid w:val="00BD3C1A"/>
    <w:rsid w:val="00BD3C68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E58"/>
    <w:rsid w:val="00C13567"/>
    <w:rsid w:val="00C13BA5"/>
    <w:rsid w:val="00C13C61"/>
    <w:rsid w:val="00C1421F"/>
    <w:rsid w:val="00C145C0"/>
    <w:rsid w:val="00C1477D"/>
    <w:rsid w:val="00C14D9F"/>
    <w:rsid w:val="00C156A5"/>
    <w:rsid w:val="00C156D7"/>
    <w:rsid w:val="00C15740"/>
    <w:rsid w:val="00C15A27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979"/>
    <w:rsid w:val="00CB0C53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E05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E16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5375"/>
    <w:rsid w:val="00D8603D"/>
    <w:rsid w:val="00D865D1"/>
    <w:rsid w:val="00D86C20"/>
    <w:rsid w:val="00D86DD4"/>
    <w:rsid w:val="00D87CFA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6F0"/>
    <w:rsid w:val="00DC570A"/>
    <w:rsid w:val="00DC5C5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CAF"/>
    <w:rsid w:val="00DE5039"/>
    <w:rsid w:val="00DE52FF"/>
    <w:rsid w:val="00DE5414"/>
    <w:rsid w:val="00DE563D"/>
    <w:rsid w:val="00DE5B1E"/>
    <w:rsid w:val="00DE5BAE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2030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434A"/>
    <w:rsid w:val="00E14600"/>
    <w:rsid w:val="00E146CF"/>
    <w:rsid w:val="00E1488A"/>
    <w:rsid w:val="00E14BED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88B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3E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B78"/>
    <w:rsid w:val="00EB2F62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E6C"/>
    <w:rsid w:val="00ED6315"/>
    <w:rsid w:val="00ED6342"/>
    <w:rsid w:val="00ED6A10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3A2F"/>
    <w:rsid w:val="00F14C13"/>
    <w:rsid w:val="00F14CE8"/>
    <w:rsid w:val="00F15471"/>
    <w:rsid w:val="00F15FBF"/>
    <w:rsid w:val="00F17174"/>
    <w:rsid w:val="00F172D0"/>
    <w:rsid w:val="00F17939"/>
    <w:rsid w:val="00F17DD6"/>
    <w:rsid w:val="00F20740"/>
    <w:rsid w:val="00F211B8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8A7"/>
    <w:rsid w:val="00F31900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59AD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DF7"/>
    <w:rsid w:val="00FB01CC"/>
    <w:rsid w:val="00FB02FB"/>
    <w:rsid w:val="00FB08F9"/>
    <w:rsid w:val="00FB1350"/>
    <w:rsid w:val="00FB16CA"/>
    <w:rsid w:val="00FB2203"/>
    <w:rsid w:val="00FB2578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FBABE0-5924-4B7E-8B39-EDA125B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9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5&amp;numero=834&amp;colegiado=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2&amp;numero=2977&amp;colegiado=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826&amp;colegiado=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ProxyHighlight?base=ACORDAO&amp;ano=2015&amp;numero=826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839&amp;colegiado=P" TargetMode="External"/><Relationship Id="rId14" Type="http://schemas.openxmlformats.org/officeDocument/2006/relationships/hyperlink" Target="mailto:infojuris@tcu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1D5C-27C5-47C4-B6BF-FBC156C8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2914</Words>
  <Characters>15738</Characters>
  <Application>Microsoft Office Word</Application>
  <DocSecurity>4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18615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2015-05-05T13:18:00Z</cp:lastPrinted>
  <dcterms:created xsi:type="dcterms:W3CDTF">2015-05-07T13:29:00Z</dcterms:created>
  <dcterms:modified xsi:type="dcterms:W3CDTF">2015-05-07T13:29:00Z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