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A5345F" w:rsidRDefault="002F3875" w:rsidP="00B36713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A5345F">
        <w:rPr>
          <w:rFonts w:ascii="Times New Roman" w:hAnsi="Times New Roman"/>
          <w:b/>
          <w:i w:val="0"/>
          <w:sz w:val="22"/>
          <w:szCs w:val="22"/>
        </w:rPr>
        <w:t>Número 23</w:t>
      </w:r>
      <w:r w:rsidR="003D4282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</w:p>
    <w:p w:rsidR="00C61626" w:rsidRPr="00A5345F" w:rsidRDefault="0008246E" w:rsidP="00B36713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A5345F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A5345F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A5345F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D4282">
        <w:rPr>
          <w:rFonts w:ascii="Times New Roman" w:hAnsi="Times New Roman"/>
          <w:b/>
          <w:i w:val="0"/>
          <w:sz w:val="22"/>
          <w:szCs w:val="22"/>
          <w:lang w:val="pt-BR"/>
        </w:rPr>
        <w:t>7 e 8</w:t>
      </w:r>
      <w:r w:rsidR="00E8301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abril </w:t>
      </w:r>
      <w:r w:rsidR="00E15D59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de</w:t>
      </w:r>
      <w:r w:rsidR="000C5536" w:rsidRPr="00A5345F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A5345F" w:rsidRDefault="0008246E" w:rsidP="00B3671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A5345F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A5345F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SUMÁRIO</w:t>
      </w:r>
    </w:p>
    <w:p w:rsidR="00175500" w:rsidRPr="00A5345F" w:rsidRDefault="0008246E" w:rsidP="00B3671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:rsidR="00C94C48" w:rsidRDefault="00C94C48" w:rsidP="00F60AE0">
      <w:pPr>
        <w:tabs>
          <w:tab w:val="left" w:pos="259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1. </w:t>
      </w:r>
      <w:r w:rsidRPr="00C94C48">
        <w:rPr>
          <w:rFonts w:eastAsia="Times New Roman"/>
          <w:color w:val="000000"/>
          <w:sz w:val="22"/>
          <w:szCs w:val="22"/>
          <w:lang w:eastAsia="pt-BR"/>
        </w:rPr>
        <w:t xml:space="preserve">Os gestores das áreas responsáveis por conduzir licitações devem autuar processo administrativo com vistas à </w:t>
      </w:r>
      <w:proofErr w:type="spellStart"/>
      <w:r w:rsidRPr="00C94C48">
        <w:rPr>
          <w:rFonts w:eastAsia="Times New Roman"/>
          <w:color w:val="000000"/>
          <w:sz w:val="22"/>
          <w:szCs w:val="22"/>
          <w:lang w:eastAsia="pt-BR"/>
        </w:rPr>
        <w:t>apenação</w:t>
      </w:r>
      <w:proofErr w:type="spellEnd"/>
      <w:r w:rsidRPr="00C94C48">
        <w:rPr>
          <w:rFonts w:eastAsia="Times New Roman"/>
          <w:color w:val="000000"/>
          <w:sz w:val="22"/>
          <w:szCs w:val="22"/>
          <w:lang w:eastAsia="pt-BR"/>
        </w:rPr>
        <w:t xml:space="preserve"> das empresas que praticarem, injustificadamente, na licitação, na contratação ou na execução contratual, ato ilegal tipificado no art. 7º da Lei 10.520/02, sob pena de responsabilização.</w:t>
      </w:r>
    </w:p>
    <w:p w:rsidR="008E625A" w:rsidRDefault="008E625A" w:rsidP="00F60AE0">
      <w:pPr>
        <w:tabs>
          <w:tab w:val="left" w:pos="2590"/>
        </w:tabs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2. </w:t>
      </w:r>
      <w:r w:rsidRPr="008E625A">
        <w:rPr>
          <w:rFonts w:eastAsia="Times New Roman"/>
          <w:sz w:val="22"/>
          <w:szCs w:val="22"/>
          <w:lang w:eastAsia="pt-BR"/>
        </w:rPr>
        <w:t>A aplicação da sanção de impedimento de licitar e contratar com a Un</w:t>
      </w:r>
      <w:r w:rsidR="00E65752">
        <w:rPr>
          <w:rFonts w:eastAsia="Times New Roman"/>
          <w:sz w:val="22"/>
          <w:szCs w:val="22"/>
          <w:lang w:eastAsia="pt-BR"/>
        </w:rPr>
        <w:t>ião, estados, Distrito Federal ou</w:t>
      </w:r>
      <w:r w:rsidRPr="008E625A">
        <w:rPr>
          <w:rFonts w:eastAsia="Times New Roman"/>
          <w:sz w:val="22"/>
          <w:szCs w:val="22"/>
          <w:lang w:eastAsia="pt-BR"/>
        </w:rPr>
        <w:t xml:space="preserve"> municípios, em face de irregularidade elencada no art. 7º da Lei 10.520/02, não depende da comprovação de dolo ou má-fé. Requer tão somente a evidenciação da prática injustificada de ato ilegal tipificado nesse dispositivo legal.</w:t>
      </w:r>
    </w:p>
    <w:p w:rsidR="00E8535D" w:rsidRDefault="00CC4FC7" w:rsidP="00F60AE0">
      <w:pPr>
        <w:pStyle w:val="enter-3pt"/>
        <w:tabs>
          <w:tab w:val="left" w:pos="2590"/>
        </w:tabs>
        <w:spacing w:after="6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E8535D" w:rsidRPr="009F588D">
        <w:rPr>
          <w:color w:val="000000"/>
          <w:sz w:val="22"/>
          <w:szCs w:val="22"/>
        </w:rPr>
        <w:t xml:space="preserve">. </w:t>
      </w:r>
      <w:r w:rsidR="009F588D" w:rsidRPr="009F588D">
        <w:rPr>
          <w:sz w:val="22"/>
          <w:szCs w:val="22"/>
        </w:rPr>
        <w:t>Em licitações para registro de preços, é obrigatória a adjudicação por item como regra geral, tendo em vista o objetivo de propiciar a ampla participação de licitantes e a seleção das propostas mais vantajosas. A adjudicação por preço global é medida excepcional que precisa ser devidamente justificada, além de ser incompatível com a aquisição futura por itens.</w:t>
      </w:r>
    </w:p>
    <w:p w:rsidR="009F588D" w:rsidRPr="009F588D" w:rsidRDefault="009F588D" w:rsidP="00B36713">
      <w:pPr>
        <w:pStyle w:val="enter-3pt"/>
        <w:tabs>
          <w:tab w:val="left" w:pos="2590"/>
        </w:tabs>
        <w:spacing w:after="60" w:line="240" w:lineRule="auto"/>
        <w:rPr>
          <w:sz w:val="22"/>
          <w:szCs w:val="22"/>
        </w:rPr>
      </w:pPr>
    </w:p>
    <w:p w:rsidR="006B62B4" w:rsidRPr="00A5345F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PLENÁRIO</w:t>
      </w:r>
    </w:p>
    <w:p w:rsidR="0080191A" w:rsidRPr="00A5345F" w:rsidRDefault="0080191A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94C48" w:rsidRPr="00C94C48" w:rsidRDefault="00C94C48" w:rsidP="003814C1">
      <w:pPr>
        <w:tabs>
          <w:tab w:val="left" w:pos="259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C94C48">
        <w:rPr>
          <w:rFonts w:eastAsia="Times New Roman"/>
          <w:b/>
          <w:color w:val="000000"/>
          <w:sz w:val="22"/>
          <w:szCs w:val="22"/>
          <w:lang w:eastAsia="pt-BR"/>
        </w:rPr>
        <w:t xml:space="preserve">1. Os gestores das áreas responsáveis por conduzir licitações devem autuar processo administrativo com vistas à </w:t>
      </w:r>
      <w:proofErr w:type="spellStart"/>
      <w:r w:rsidRPr="00C94C48">
        <w:rPr>
          <w:rFonts w:eastAsia="Times New Roman"/>
          <w:b/>
          <w:color w:val="000000"/>
          <w:sz w:val="22"/>
          <w:szCs w:val="22"/>
          <w:lang w:eastAsia="pt-BR"/>
        </w:rPr>
        <w:t>apenação</w:t>
      </w:r>
      <w:proofErr w:type="spellEnd"/>
      <w:r w:rsidRPr="00C94C48">
        <w:rPr>
          <w:rFonts w:eastAsia="Times New Roman"/>
          <w:b/>
          <w:color w:val="000000"/>
          <w:sz w:val="22"/>
          <w:szCs w:val="22"/>
          <w:lang w:eastAsia="pt-BR"/>
        </w:rPr>
        <w:t xml:space="preserve"> das empresas que praticarem, injustificadamente, na licitação, na contratação ou na execução contratual, ato ilegal tipificado no art. 7º da Lei 10.520/02, sob pena de responsabilização.</w:t>
      </w:r>
    </w:p>
    <w:p w:rsidR="00313F0C" w:rsidRDefault="009975A1" w:rsidP="003814C1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>Auditoria realizada</w:t>
      </w:r>
      <w:r w:rsidR="00313F0C" w:rsidRPr="00A5345F">
        <w:rPr>
          <w:rFonts w:eastAsia="Times New Roman"/>
          <w:sz w:val="22"/>
          <w:szCs w:val="22"/>
        </w:rPr>
        <w:t xml:space="preserve"> </w:t>
      </w:r>
      <w:r w:rsidRPr="009975A1">
        <w:rPr>
          <w:rFonts w:eastAsia="Times New Roman"/>
          <w:sz w:val="22"/>
          <w:szCs w:val="22"/>
        </w:rPr>
        <w:t>na Secretaria de Logística e Tecnologia da Informação do Ministério do Pla</w:t>
      </w:r>
      <w:r w:rsidR="00B36713">
        <w:rPr>
          <w:rFonts w:eastAsia="Times New Roman"/>
          <w:sz w:val="22"/>
          <w:szCs w:val="22"/>
        </w:rPr>
        <w:t>nejamento, Orçamento e Gestão (</w:t>
      </w:r>
      <w:r w:rsidRPr="009975A1">
        <w:rPr>
          <w:rFonts w:eastAsia="Times New Roman"/>
          <w:sz w:val="22"/>
          <w:szCs w:val="22"/>
        </w:rPr>
        <w:t>SLTI/MP</w:t>
      </w:r>
      <w:r w:rsidR="00B36713">
        <w:rPr>
          <w:rFonts w:eastAsia="Times New Roman"/>
          <w:sz w:val="22"/>
          <w:szCs w:val="22"/>
        </w:rPr>
        <w:t>)</w:t>
      </w:r>
      <w:r w:rsidR="00313F0C" w:rsidRPr="00A5345F">
        <w:rPr>
          <w:rFonts w:eastAsia="Times New Roman"/>
          <w:sz w:val="22"/>
          <w:szCs w:val="22"/>
        </w:rPr>
        <w:t>,</w:t>
      </w:r>
      <w:r w:rsidR="004E4E00">
        <w:rPr>
          <w:rFonts w:eastAsia="Times New Roman"/>
          <w:sz w:val="22"/>
          <w:szCs w:val="22"/>
        </w:rPr>
        <w:t xml:space="preserve"> tendo por objeto pregões eletrônicos lançados entre 2009 e 2012</w:t>
      </w:r>
      <w:r w:rsidR="005D220F">
        <w:rPr>
          <w:rFonts w:eastAsia="Times New Roman"/>
          <w:sz w:val="22"/>
          <w:szCs w:val="22"/>
        </w:rPr>
        <w:t xml:space="preserve"> (</w:t>
      </w:r>
      <w:proofErr w:type="spellStart"/>
      <w:r w:rsidR="005D220F">
        <w:rPr>
          <w:rFonts w:eastAsia="Times New Roman"/>
          <w:sz w:val="22"/>
          <w:szCs w:val="22"/>
        </w:rPr>
        <w:t>Comprasnet</w:t>
      </w:r>
      <w:proofErr w:type="spellEnd"/>
      <w:r w:rsidR="005D220F">
        <w:rPr>
          <w:rFonts w:eastAsia="Times New Roman"/>
          <w:sz w:val="22"/>
          <w:szCs w:val="22"/>
        </w:rPr>
        <w:t>)</w:t>
      </w:r>
      <w:r w:rsidR="004E4E00">
        <w:rPr>
          <w:rFonts w:eastAsia="Times New Roman"/>
          <w:sz w:val="22"/>
          <w:szCs w:val="22"/>
        </w:rPr>
        <w:t>,</w:t>
      </w:r>
      <w:r w:rsidR="00313F0C" w:rsidRPr="00A5345F">
        <w:rPr>
          <w:rFonts w:eastAsia="Times New Roman"/>
          <w:sz w:val="22"/>
          <w:szCs w:val="22"/>
        </w:rPr>
        <w:t xml:space="preserve"> apontara, dentre </w:t>
      </w:r>
      <w:r>
        <w:rPr>
          <w:rFonts w:eastAsia="Times New Roman"/>
          <w:sz w:val="22"/>
          <w:szCs w:val="22"/>
        </w:rPr>
        <w:t>outros achados</w:t>
      </w:r>
      <w:r w:rsidR="00313F0C" w:rsidRPr="00A5345F">
        <w:rPr>
          <w:rFonts w:eastAsia="Times New Roman"/>
          <w:sz w:val="22"/>
          <w:szCs w:val="22"/>
        </w:rPr>
        <w:t xml:space="preserve">, </w:t>
      </w:r>
      <w:r w:rsidRPr="009975A1">
        <w:rPr>
          <w:rFonts w:eastAsia="Times New Roman"/>
          <w:sz w:val="22"/>
          <w:szCs w:val="22"/>
        </w:rPr>
        <w:t xml:space="preserve">a ocorrência de </w:t>
      </w:r>
      <w:r w:rsidRPr="009975A1">
        <w:rPr>
          <w:rFonts w:eastAsia="Times New Roman"/>
          <w:i/>
          <w:sz w:val="22"/>
          <w:szCs w:val="22"/>
        </w:rPr>
        <w:t>“empresas com sócios em comum que apresentam propostas para o mesmo item de determinada licitação”</w:t>
      </w:r>
      <w:r>
        <w:rPr>
          <w:rFonts w:eastAsia="Times New Roman"/>
          <w:sz w:val="22"/>
          <w:szCs w:val="22"/>
        </w:rPr>
        <w:t xml:space="preserve"> e</w:t>
      </w:r>
      <w:r w:rsidRPr="009975A1">
        <w:rPr>
          <w:rFonts w:eastAsia="Times New Roman"/>
          <w:sz w:val="22"/>
          <w:szCs w:val="22"/>
        </w:rPr>
        <w:t xml:space="preserve"> a </w:t>
      </w:r>
      <w:r w:rsidRPr="009975A1">
        <w:rPr>
          <w:rFonts w:eastAsia="Times New Roman"/>
          <w:i/>
          <w:sz w:val="22"/>
          <w:szCs w:val="22"/>
        </w:rPr>
        <w:t>“existência de licitantes reiteradamente desclassificados por não atenderem aos editais ou não honrarem suas propostas”</w:t>
      </w:r>
      <w:r>
        <w:rPr>
          <w:rFonts w:eastAsia="Times New Roman"/>
          <w:sz w:val="22"/>
          <w:szCs w:val="22"/>
        </w:rPr>
        <w:t>,</w:t>
      </w:r>
      <w:r w:rsidRPr="009975A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sinalizando</w:t>
      </w:r>
      <w:r w:rsidRPr="009975A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possível</w:t>
      </w:r>
      <w:r w:rsidRPr="009975A1">
        <w:rPr>
          <w:rFonts w:eastAsia="Times New Roman"/>
          <w:sz w:val="22"/>
          <w:szCs w:val="22"/>
        </w:rPr>
        <w:t xml:space="preserve"> </w:t>
      </w:r>
      <w:r w:rsidR="004E4E00">
        <w:rPr>
          <w:rFonts w:eastAsia="Times New Roman"/>
          <w:sz w:val="22"/>
          <w:szCs w:val="22"/>
        </w:rPr>
        <w:t>enquadramento nas condutas irregulares tipificadas no</w:t>
      </w:r>
      <w:r w:rsidR="004A69E7">
        <w:rPr>
          <w:rFonts w:eastAsia="Times New Roman"/>
          <w:sz w:val="22"/>
          <w:szCs w:val="22"/>
        </w:rPr>
        <w:t xml:space="preserve"> art. 7º da Lei 10.520/</w:t>
      </w:r>
      <w:r w:rsidRPr="009975A1">
        <w:rPr>
          <w:rFonts w:eastAsia="Times New Roman"/>
          <w:sz w:val="22"/>
          <w:szCs w:val="22"/>
        </w:rPr>
        <w:t>02</w:t>
      </w:r>
      <w:r w:rsidR="004E4E00">
        <w:rPr>
          <w:rFonts w:eastAsia="Times New Roman"/>
          <w:sz w:val="22"/>
          <w:szCs w:val="22"/>
        </w:rPr>
        <w:t xml:space="preserve"> (Lei do Pregão)</w:t>
      </w:r>
      <w:r>
        <w:rPr>
          <w:rFonts w:eastAsia="Times New Roman"/>
          <w:sz w:val="22"/>
          <w:szCs w:val="22"/>
        </w:rPr>
        <w:t>.</w:t>
      </w:r>
      <w:r w:rsidR="004E4E00">
        <w:rPr>
          <w:rFonts w:eastAsia="Times New Roman"/>
          <w:sz w:val="22"/>
          <w:szCs w:val="22"/>
        </w:rPr>
        <w:t xml:space="preserve"> </w:t>
      </w:r>
      <w:r w:rsidR="00177DE1">
        <w:rPr>
          <w:rFonts w:eastAsia="Times New Roman"/>
          <w:sz w:val="22"/>
          <w:szCs w:val="22"/>
        </w:rPr>
        <w:t>Diante dos fatos</w:t>
      </w:r>
      <w:r w:rsidR="00AA4643">
        <w:rPr>
          <w:rFonts w:eastAsia="Times New Roman"/>
          <w:sz w:val="22"/>
          <w:szCs w:val="22"/>
        </w:rPr>
        <w:t>, determinou a</w:t>
      </w:r>
      <w:r w:rsidR="004E4E00">
        <w:rPr>
          <w:rFonts w:eastAsia="Times New Roman"/>
          <w:sz w:val="22"/>
          <w:szCs w:val="22"/>
        </w:rPr>
        <w:t xml:space="preserve"> relator</w:t>
      </w:r>
      <w:r w:rsidR="00AA4643">
        <w:rPr>
          <w:rFonts w:eastAsia="Times New Roman"/>
          <w:sz w:val="22"/>
          <w:szCs w:val="22"/>
        </w:rPr>
        <w:t>a</w:t>
      </w:r>
      <w:r w:rsidR="004E4E00">
        <w:rPr>
          <w:rFonts w:eastAsia="Times New Roman"/>
          <w:sz w:val="22"/>
          <w:szCs w:val="22"/>
        </w:rPr>
        <w:t xml:space="preserve"> a realização das oitivas e audiências sugeridas pela unidade instrutiva, em especial de agentes públicos </w:t>
      </w:r>
      <w:r w:rsidR="004E4E00" w:rsidRPr="004E4E00">
        <w:rPr>
          <w:rFonts w:eastAsia="Times New Roman"/>
          <w:sz w:val="22"/>
          <w:szCs w:val="22"/>
        </w:rPr>
        <w:t>(pregoeiros e responsáveis pela homologação dos certames)</w:t>
      </w:r>
      <w:r w:rsidR="004E4E00">
        <w:rPr>
          <w:rFonts w:eastAsia="Times New Roman"/>
          <w:sz w:val="22"/>
          <w:szCs w:val="22"/>
        </w:rPr>
        <w:t xml:space="preserve"> </w:t>
      </w:r>
      <w:r w:rsidR="004E4E00" w:rsidRPr="004E4E00">
        <w:rPr>
          <w:rFonts w:eastAsia="Times New Roman"/>
          <w:i/>
          <w:sz w:val="22"/>
          <w:szCs w:val="22"/>
        </w:rPr>
        <w:t>“envolvidos em pregões em que se observou elevado número de ocorrências tipificadas no art. 7º da Lei 10.520/2002 sem que tivesse havido a autuação de procedimento administrativo com vistas à aplicação das sanções previstas no aludido dispositivo legal”</w:t>
      </w:r>
      <w:r w:rsidR="004E4E00">
        <w:rPr>
          <w:rFonts w:eastAsia="Times New Roman"/>
          <w:sz w:val="22"/>
          <w:szCs w:val="22"/>
        </w:rPr>
        <w:t>. Realizado o contraditório,</w:t>
      </w:r>
      <w:r w:rsidR="006E18E4">
        <w:rPr>
          <w:rFonts w:eastAsia="Times New Roman"/>
          <w:sz w:val="22"/>
          <w:szCs w:val="22"/>
        </w:rPr>
        <w:t xml:space="preserve"> o argumento principal </w:t>
      </w:r>
      <w:r w:rsidR="004A69E7">
        <w:rPr>
          <w:rFonts w:eastAsia="Times New Roman"/>
          <w:sz w:val="22"/>
          <w:szCs w:val="22"/>
        </w:rPr>
        <w:t>de defesa consistiu</w:t>
      </w:r>
      <w:r w:rsidR="006E18E4">
        <w:rPr>
          <w:rFonts w:eastAsia="Times New Roman"/>
          <w:sz w:val="22"/>
          <w:szCs w:val="22"/>
        </w:rPr>
        <w:t xml:space="preserve"> na </w:t>
      </w:r>
      <w:r w:rsidR="006E18E4" w:rsidRPr="006E18E4">
        <w:rPr>
          <w:rFonts w:eastAsia="Times New Roman"/>
          <w:i/>
          <w:sz w:val="22"/>
          <w:szCs w:val="22"/>
        </w:rPr>
        <w:t>“afirmação de que, na grande maioria das ocorrências verificadas, o que ocorreu foi desistência do licitante, não apresentação de documentos ou inabilitação, e aquelas sanções só seriam aplicáveis ao adjudicatário após homologação do certame”</w:t>
      </w:r>
      <w:r w:rsidR="00AA4643">
        <w:rPr>
          <w:rFonts w:eastAsia="Times New Roman"/>
          <w:sz w:val="22"/>
          <w:szCs w:val="22"/>
        </w:rPr>
        <w:t>. A</w:t>
      </w:r>
      <w:r w:rsidR="004E4E00">
        <w:rPr>
          <w:rFonts w:eastAsia="Times New Roman"/>
          <w:sz w:val="22"/>
          <w:szCs w:val="22"/>
        </w:rPr>
        <w:t xml:space="preserve"> relator</w:t>
      </w:r>
      <w:r w:rsidR="00AA4643">
        <w:rPr>
          <w:rFonts w:eastAsia="Times New Roman"/>
          <w:sz w:val="22"/>
          <w:szCs w:val="22"/>
        </w:rPr>
        <w:t>a</w:t>
      </w:r>
      <w:r w:rsidR="006E18E4">
        <w:rPr>
          <w:rFonts w:eastAsia="Times New Roman"/>
          <w:sz w:val="22"/>
          <w:szCs w:val="22"/>
        </w:rPr>
        <w:t>, contudo,</w:t>
      </w:r>
      <w:r w:rsidR="004E4E00">
        <w:rPr>
          <w:rFonts w:eastAsia="Times New Roman"/>
          <w:sz w:val="22"/>
          <w:szCs w:val="22"/>
        </w:rPr>
        <w:t xml:space="preserve"> pontuou que</w:t>
      </w:r>
      <w:r w:rsidR="006E18E4">
        <w:rPr>
          <w:rFonts w:eastAsia="Times New Roman"/>
          <w:sz w:val="22"/>
          <w:szCs w:val="22"/>
        </w:rPr>
        <w:t xml:space="preserve"> </w:t>
      </w:r>
      <w:r w:rsidR="004E4E00" w:rsidRPr="006E18E4">
        <w:rPr>
          <w:rFonts w:eastAsia="Times New Roman"/>
          <w:i/>
          <w:sz w:val="22"/>
          <w:szCs w:val="22"/>
        </w:rPr>
        <w:t>“</w:t>
      </w:r>
      <w:r w:rsidR="006E18E4" w:rsidRPr="006E18E4">
        <w:rPr>
          <w:rFonts w:eastAsia="Times New Roman"/>
          <w:i/>
          <w:sz w:val="22"/>
          <w:szCs w:val="22"/>
        </w:rPr>
        <w:t>a interpretação de que as sanções previstas no art. 7º aplicam-se em qualquer fase do certame é a que melhor se coaduna com a jurisprudência deste Tribunal. Ademais, a leitura mais restritiva desse dispositivo não coibiria práticas perniciosas frequentemente observadas nos pregões eletr</w:t>
      </w:r>
      <w:r w:rsidR="006E18E4">
        <w:rPr>
          <w:rFonts w:eastAsia="Times New Roman"/>
          <w:i/>
          <w:sz w:val="22"/>
          <w:szCs w:val="22"/>
        </w:rPr>
        <w:t>ônicos, tais como a denominada ‘coelho’</w:t>
      </w:r>
      <w:r w:rsidR="006E18E4" w:rsidRPr="006E18E4">
        <w:rPr>
          <w:rFonts w:eastAsia="Times New Roman"/>
          <w:i/>
          <w:sz w:val="22"/>
          <w:szCs w:val="22"/>
        </w:rPr>
        <w:t>, assim descrita no relatório precedente:</w:t>
      </w:r>
      <w:r w:rsidR="006E18E4">
        <w:rPr>
          <w:rFonts w:eastAsia="Times New Roman"/>
          <w:i/>
          <w:sz w:val="22"/>
          <w:szCs w:val="22"/>
        </w:rPr>
        <w:t xml:space="preserve"> ‘</w:t>
      </w:r>
      <w:r w:rsidR="006E18E4" w:rsidRPr="006E18E4">
        <w:rPr>
          <w:rFonts w:eastAsia="Times New Roman"/>
          <w:i/>
          <w:sz w:val="22"/>
          <w:szCs w:val="22"/>
        </w:rPr>
        <w:t>A ação dessas empresas consiste em apresentar proposta excessivamente baixa em um processo licitatório para que outras empresas desistam de competir, por acreditarem que o outro concorrente teria um preço que não lhes permitiriam prosseguir na disputa. Na sequência, uma empresa que esteja em conluio com o ‘coelho’ oferece o segundo melhor lance e, com a desclassificação intencional da primeira, acaba sendo contratada por um valor que possivelmente poderia ser superior àquele que seria obtido sem a influência do ‘coelho’</w:t>
      </w:r>
      <w:r w:rsidR="006E18E4" w:rsidRPr="006E18E4">
        <w:rPr>
          <w:rFonts w:eastAsia="Times New Roman"/>
          <w:sz w:val="22"/>
          <w:szCs w:val="22"/>
        </w:rPr>
        <w:t>”.</w:t>
      </w:r>
      <w:r w:rsidR="006E18E4">
        <w:rPr>
          <w:rFonts w:eastAsia="Times New Roman"/>
          <w:sz w:val="22"/>
          <w:szCs w:val="22"/>
        </w:rPr>
        <w:t xml:space="preserve"> </w:t>
      </w:r>
      <w:r w:rsidR="00473FF7">
        <w:rPr>
          <w:rFonts w:eastAsia="Times New Roman"/>
          <w:sz w:val="22"/>
          <w:szCs w:val="22"/>
        </w:rPr>
        <w:t>Embora ponderando</w:t>
      </w:r>
      <w:r w:rsidR="006A67C9">
        <w:rPr>
          <w:rFonts w:eastAsia="Times New Roman"/>
          <w:sz w:val="22"/>
          <w:szCs w:val="22"/>
        </w:rPr>
        <w:t xml:space="preserve"> a existência, no caso concreto, de atenuantes </w:t>
      </w:r>
      <w:r w:rsidR="00177DE1">
        <w:rPr>
          <w:rFonts w:eastAsia="Times New Roman"/>
          <w:sz w:val="22"/>
          <w:szCs w:val="22"/>
        </w:rPr>
        <w:t>na</w:t>
      </w:r>
      <w:r w:rsidR="006A67C9">
        <w:rPr>
          <w:rFonts w:eastAsia="Times New Roman"/>
          <w:sz w:val="22"/>
          <w:szCs w:val="22"/>
        </w:rPr>
        <w:t xml:space="preserve"> ação dos responsáveis</w:t>
      </w:r>
      <w:r w:rsidR="0022708D">
        <w:rPr>
          <w:rFonts w:eastAsia="Times New Roman"/>
          <w:sz w:val="22"/>
          <w:szCs w:val="22"/>
        </w:rPr>
        <w:t xml:space="preserve"> (razoabilidade da interpretação da norma)</w:t>
      </w:r>
      <w:r w:rsidR="006A67C9">
        <w:rPr>
          <w:rFonts w:eastAsia="Times New Roman"/>
          <w:sz w:val="22"/>
          <w:szCs w:val="22"/>
        </w:rPr>
        <w:t>,</w:t>
      </w:r>
      <w:r w:rsidR="0022708D">
        <w:rPr>
          <w:rFonts w:eastAsia="Times New Roman"/>
          <w:sz w:val="22"/>
          <w:szCs w:val="22"/>
        </w:rPr>
        <w:t xml:space="preserve"> bem como lacunas na jurisprudência do TCU sobre o alcance da penalidade de que </w:t>
      </w:r>
      <w:r w:rsidR="00473FF7">
        <w:rPr>
          <w:rFonts w:eastAsia="Times New Roman"/>
          <w:sz w:val="22"/>
          <w:szCs w:val="22"/>
        </w:rPr>
        <w:t>trata o art. 7º da Lei 10.520/</w:t>
      </w:r>
      <w:r w:rsidR="0022708D">
        <w:rPr>
          <w:rFonts w:eastAsia="Times New Roman"/>
          <w:sz w:val="22"/>
          <w:szCs w:val="22"/>
        </w:rPr>
        <w:t>02 (se abrangeria</w:t>
      </w:r>
      <w:r w:rsidR="00177DE1">
        <w:rPr>
          <w:rFonts w:eastAsia="Times New Roman"/>
          <w:sz w:val="22"/>
          <w:szCs w:val="22"/>
        </w:rPr>
        <w:t xml:space="preserve"> ou não</w:t>
      </w:r>
      <w:r w:rsidR="0022708D">
        <w:rPr>
          <w:rFonts w:eastAsia="Times New Roman"/>
          <w:sz w:val="22"/>
          <w:szCs w:val="22"/>
        </w:rPr>
        <w:t xml:space="preserve"> todas as fases da licitação),</w:t>
      </w:r>
      <w:r w:rsidR="006A67C9">
        <w:rPr>
          <w:rFonts w:eastAsia="Times New Roman"/>
          <w:sz w:val="22"/>
          <w:szCs w:val="22"/>
        </w:rPr>
        <w:t xml:space="preserve"> </w:t>
      </w:r>
      <w:r w:rsidR="0022708D">
        <w:rPr>
          <w:rFonts w:eastAsia="Times New Roman"/>
          <w:sz w:val="22"/>
          <w:szCs w:val="22"/>
        </w:rPr>
        <w:t xml:space="preserve">observou </w:t>
      </w:r>
      <w:r w:rsidR="00AA4643">
        <w:rPr>
          <w:rFonts w:eastAsia="Times New Roman"/>
          <w:sz w:val="22"/>
          <w:szCs w:val="22"/>
        </w:rPr>
        <w:t>a</w:t>
      </w:r>
      <w:r w:rsidR="00177DE1">
        <w:rPr>
          <w:rFonts w:eastAsia="Times New Roman"/>
          <w:sz w:val="22"/>
          <w:szCs w:val="22"/>
        </w:rPr>
        <w:t xml:space="preserve"> relator</w:t>
      </w:r>
      <w:r w:rsidR="00AA4643">
        <w:rPr>
          <w:rFonts w:eastAsia="Times New Roman"/>
          <w:sz w:val="22"/>
          <w:szCs w:val="22"/>
        </w:rPr>
        <w:t>a</w:t>
      </w:r>
      <w:r w:rsidR="00177DE1">
        <w:rPr>
          <w:rFonts w:eastAsia="Times New Roman"/>
          <w:sz w:val="22"/>
          <w:szCs w:val="22"/>
        </w:rPr>
        <w:t xml:space="preserve"> </w:t>
      </w:r>
      <w:r w:rsidR="0022708D">
        <w:rPr>
          <w:rFonts w:eastAsia="Times New Roman"/>
          <w:sz w:val="22"/>
          <w:szCs w:val="22"/>
        </w:rPr>
        <w:t>que o cenário recomenda</w:t>
      </w:r>
      <w:r w:rsidR="00A27195">
        <w:rPr>
          <w:rFonts w:eastAsia="Times New Roman"/>
          <w:sz w:val="22"/>
          <w:szCs w:val="22"/>
        </w:rPr>
        <w:t>va</w:t>
      </w:r>
      <w:r w:rsidR="0022708D">
        <w:rPr>
          <w:rFonts w:eastAsia="Times New Roman"/>
          <w:sz w:val="22"/>
          <w:szCs w:val="22"/>
        </w:rPr>
        <w:t xml:space="preserve"> a atuação pedagógica do TCU, no sentido de </w:t>
      </w:r>
      <w:r w:rsidR="0022708D" w:rsidRPr="0022708D">
        <w:rPr>
          <w:rFonts w:eastAsia="Times New Roman"/>
          <w:i/>
          <w:sz w:val="22"/>
          <w:szCs w:val="22"/>
        </w:rPr>
        <w:t>“determinar à SLTI/MP e às unidades congêneres das demais esferas de governo que expeçam orientação às suas unidades vinculadas quanto à abrangência do art. 7º da Lei 10.520/2002”</w:t>
      </w:r>
      <w:r w:rsidR="00056B44">
        <w:rPr>
          <w:rFonts w:eastAsia="Times New Roman"/>
          <w:sz w:val="22"/>
          <w:szCs w:val="22"/>
        </w:rPr>
        <w:t xml:space="preserve">, bem como sobre a necessidade da instauração de processo administrativo com vistas a apenar licitantes que incorrerem nas condutas irregulares ali tipificadas. Ponderou, contudo, que a autuação de procedimento administrativo deve ser pautada por racionalidade administrativa, evitando-se autuações quando existir </w:t>
      </w:r>
      <w:r w:rsidR="00056B44" w:rsidRPr="00056B44">
        <w:rPr>
          <w:rFonts w:eastAsia="Times New Roman"/>
          <w:i/>
          <w:sz w:val="22"/>
          <w:szCs w:val="22"/>
        </w:rPr>
        <w:t>“justificativa plausível para o suposto comportamento condenável”</w:t>
      </w:r>
      <w:r w:rsidR="00056B44">
        <w:rPr>
          <w:rFonts w:eastAsia="Times New Roman"/>
          <w:sz w:val="22"/>
          <w:szCs w:val="22"/>
        </w:rPr>
        <w:t xml:space="preserve">. </w:t>
      </w:r>
      <w:r w:rsidR="0022708D">
        <w:rPr>
          <w:rFonts w:eastAsia="Times New Roman"/>
          <w:sz w:val="22"/>
          <w:szCs w:val="22"/>
        </w:rPr>
        <w:t xml:space="preserve"> </w:t>
      </w:r>
      <w:r w:rsidR="00313F0C" w:rsidRPr="00A5345F">
        <w:rPr>
          <w:rFonts w:eastAsia="Times New Roman"/>
          <w:sz w:val="22"/>
          <w:szCs w:val="22"/>
        </w:rPr>
        <w:t xml:space="preserve">Face ao que expôs a relatoria, o </w:t>
      </w:r>
      <w:r w:rsidR="00286100">
        <w:rPr>
          <w:rFonts w:eastAsia="Times New Roman"/>
          <w:sz w:val="22"/>
          <w:szCs w:val="22"/>
        </w:rPr>
        <w:t xml:space="preserve">Plenário, </w:t>
      </w:r>
      <w:r w:rsidR="00177DE1">
        <w:rPr>
          <w:rFonts w:eastAsia="Times New Roman"/>
          <w:sz w:val="22"/>
          <w:szCs w:val="22"/>
        </w:rPr>
        <w:t>além de declarar a inidoneidade de duas empresas para participar de licitações na esfera federal, expediu, dentre</w:t>
      </w:r>
      <w:r w:rsidR="00473FF7">
        <w:rPr>
          <w:rFonts w:eastAsia="Times New Roman"/>
          <w:sz w:val="22"/>
          <w:szCs w:val="22"/>
        </w:rPr>
        <w:t xml:space="preserve"> outros comandos, determinação a</w:t>
      </w:r>
      <w:r w:rsidR="00177DE1">
        <w:rPr>
          <w:rFonts w:eastAsia="Times New Roman"/>
          <w:sz w:val="22"/>
          <w:szCs w:val="22"/>
        </w:rPr>
        <w:t xml:space="preserve"> unidades da Administ</w:t>
      </w:r>
      <w:r w:rsidR="00473FF7">
        <w:rPr>
          <w:rFonts w:eastAsia="Times New Roman"/>
          <w:sz w:val="22"/>
          <w:szCs w:val="22"/>
        </w:rPr>
        <w:t>ração Pública Federal dos três p</w:t>
      </w:r>
      <w:r w:rsidR="00177DE1">
        <w:rPr>
          <w:rFonts w:eastAsia="Times New Roman"/>
          <w:sz w:val="22"/>
          <w:szCs w:val="22"/>
        </w:rPr>
        <w:t xml:space="preserve">oderes para que (i) </w:t>
      </w:r>
      <w:r w:rsidR="00177DE1" w:rsidRPr="005539E1">
        <w:rPr>
          <w:rFonts w:eastAsia="Times New Roman"/>
          <w:i/>
          <w:sz w:val="22"/>
          <w:szCs w:val="22"/>
        </w:rPr>
        <w:t>“</w:t>
      </w:r>
      <w:r w:rsidR="005539E1">
        <w:rPr>
          <w:rFonts w:eastAsia="Times New Roman"/>
          <w:i/>
          <w:sz w:val="22"/>
          <w:szCs w:val="22"/>
        </w:rPr>
        <w:t xml:space="preserve">9.5.1. </w:t>
      </w:r>
      <w:r w:rsidR="00177DE1" w:rsidRPr="005539E1">
        <w:rPr>
          <w:rFonts w:eastAsia="Times New Roman"/>
          <w:i/>
          <w:sz w:val="22"/>
          <w:szCs w:val="22"/>
        </w:rPr>
        <w:t xml:space="preserve">orientem os gestores das áreas responsáveis por conduzir licitações, inclusive os dos órgãos sob seu controle de atuação administrativa e financeira, para que autuem processo administrativo com vistas à </w:t>
      </w:r>
      <w:proofErr w:type="spellStart"/>
      <w:r w:rsidR="00177DE1" w:rsidRPr="005539E1">
        <w:rPr>
          <w:rFonts w:eastAsia="Times New Roman"/>
          <w:i/>
          <w:sz w:val="22"/>
          <w:szCs w:val="22"/>
        </w:rPr>
        <w:t>apenação</w:t>
      </w:r>
      <w:proofErr w:type="spellEnd"/>
      <w:r w:rsidR="00177DE1" w:rsidRPr="005539E1">
        <w:rPr>
          <w:rFonts w:eastAsia="Times New Roman"/>
          <w:i/>
          <w:sz w:val="22"/>
          <w:szCs w:val="22"/>
        </w:rPr>
        <w:t xml:space="preserve"> das empresas que praticarem, injustificadamente, ato ilegal tipificado no art. 7º da Lei 10.520/2002 e alertem-nos de que tal dispositivo tem caráter abrangente e abarca condutas relacionadas não apenas à contratação em si, mas também ao procedimento licitatório e à execução da avença;</w:t>
      </w:r>
      <w:r w:rsidR="005539E1" w:rsidRPr="005539E1">
        <w:rPr>
          <w:rFonts w:eastAsia="Times New Roman"/>
          <w:i/>
          <w:sz w:val="22"/>
          <w:szCs w:val="22"/>
        </w:rPr>
        <w:t>”</w:t>
      </w:r>
      <w:r w:rsidR="005539E1">
        <w:rPr>
          <w:rFonts w:eastAsia="Times New Roman"/>
          <w:sz w:val="22"/>
          <w:szCs w:val="22"/>
        </w:rPr>
        <w:t xml:space="preserve"> e (</w:t>
      </w:r>
      <w:proofErr w:type="spellStart"/>
      <w:r w:rsidR="005539E1">
        <w:rPr>
          <w:rFonts w:eastAsia="Times New Roman"/>
          <w:sz w:val="22"/>
          <w:szCs w:val="22"/>
        </w:rPr>
        <w:t>ii</w:t>
      </w:r>
      <w:proofErr w:type="spellEnd"/>
      <w:r w:rsidR="005539E1">
        <w:rPr>
          <w:rFonts w:eastAsia="Times New Roman"/>
          <w:sz w:val="22"/>
          <w:szCs w:val="22"/>
        </w:rPr>
        <w:t xml:space="preserve">) </w:t>
      </w:r>
      <w:r w:rsidR="005539E1" w:rsidRPr="005539E1">
        <w:rPr>
          <w:rFonts w:eastAsia="Times New Roman"/>
          <w:i/>
          <w:sz w:val="22"/>
          <w:szCs w:val="22"/>
        </w:rPr>
        <w:t>“</w:t>
      </w:r>
      <w:r w:rsidR="005539E1">
        <w:rPr>
          <w:rFonts w:eastAsia="Times New Roman"/>
          <w:i/>
          <w:sz w:val="22"/>
          <w:szCs w:val="22"/>
        </w:rPr>
        <w:t xml:space="preserve">9.5.2. </w:t>
      </w:r>
      <w:proofErr w:type="gramStart"/>
      <w:r w:rsidR="00177DE1" w:rsidRPr="005539E1">
        <w:rPr>
          <w:rFonts w:eastAsia="Times New Roman"/>
          <w:i/>
          <w:sz w:val="22"/>
          <w:szCs w:val="22"/>
        </w:rPr>
        <w:t>divulguem</w:t>
      </w:r>
      <w:proofErr w:type="gramEnd"/>
      <w:r w:rsidR="00177DE1" w:rsidRPr="005539E1">
        <w:rPr>
          <w:rFonts w:eastAsia="Times New Roman"/>
          <w:i/>
          <w:sz w:val="22"/>
          <w:szCs w:val="22"/>
        </w:rPr>
        <w:t xml:space="preserve"> que estão sujeitos a sanções os responsáveis por licitações que não observarem a orientação do item 9.5.1 deste acórdão”</w:t>
      </w:r>
      <w:r w:rsidR="00145214">
        <w:rPr>
          <w:rFonts w:eastAsia="Times New Roman"/>
          <w:sz w:val="22"/>
          <w:szCs w:val="22"/>
        </w:rPr>
        <w:t xml:space="preserve">. </w:t>
      </w:r>
      <w:hyperlink r:id="rId9" w:history="1">
        <w:r w:rsidR="00145214" w:rsidRPr="00145214">
          <w:rPr>
            <w:rStyle w:val="Hyperlink"/>
            <w:b/>
            <w:i/>
            <w:sz w:val="22"/>
            <w:szCs w:val="22"/>
            <w:shd w:val="clear" w:color="auto" w:fill="FFFFFF"/>
          </w:rPr>
          <w:t>Acórdão 754/2015-Plenário</w:t>
        </w:r>
      </w:hyperlink>
      <w:r w:rsidR="00E8535D" w:rsidRPr="00E8535D">
        <w:rPr>
          <w:rFonts w:eastAsia="Times New Roman"/>
          <w:b/>
          <w:i/>
          <w:sz w:val="22"/>
          <w:szCs w:val="22"/>
        </w:rPr>
        <w:t>, TC 015.239/2012-8, relator</w:t>
      </w:r>
      <w:r w:rsidR="00473FF7">
        <w:rPr>
          <w:rFonts w:eastAsia="Times New Roman"/>
          <w:b/>
          <w:i/>
          <w:sz w:val="22"/>
          <w:szCs w:val="22"/>
        </w:rPr>
        <w:t>a</w:t>
      </w:r>
      <w:r w:rsidR="00E8535D" w:rsidRPr="00E8535D">
        <w:rPr>
          <w:rFonts w:eastAsia="Times New Roman"/>
          <w:b/>
          <w:i/>
          <w:sz w:val="22"/>
          <w:szCs w:val="22"/>
        </w:rPr>
        <w:t xml:space="preserve"> Ministra Ana Arraes, 8.4.2015.</w:t>
      </w:r>
    </w:p>
    <w:p w:rsidR="003814C1" w:rsidRPr="00145214" w:rsidRDefault="003814C1" w:rsidP="003814C1">
      <w:pPr>
        <w:shd w:val="clear" w:color="auto" w:fill="FFFFFF"/>
        <w:spacing w:after="0"/>
        <w:ind w:left="0"/>
        <w:rPr>
          <w:rFonts w:ascii="Segoe UI WPC" w:hAnsi="Segoe UI WPC"/>
          <w:b/>
          <w:i/>
          <w:color w:val="282828"/>
          <w:sz w:val="22"/>
          <w:szCs w:val="22"/>
        </w:rPr>
      </w:pPr>
    </w:p>
    <w:p w:rsidR="008E625A" w:rsidRDefault="008E625A" w:rsidP="003814C1">
      <w:pPr>
        <w:tabs>
          <w:tab w:val="left" w:pos="259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  <w:r w:rsidRPr="008E625A">
        <w:rPr>
          <w:rFonts w:eastAsia="Times New Roman"/>
          <w:b/>
          <w:sz w:val="22"/>
          <w:szCs w:val="22"/>
          <w:lang w:eastAsia="pt-BR"/>
        </w:rPr>
        <w:t>2. A aplicação da sanção de impedimento de licitar e contratar com a Un</w:t>
      </w:r>
      <w:r w:rsidR="00A146C2">
        <w:rPr>
          <w:rFonts w:eastAsia="Times New Roman"/>
          <w:b/>
          <w:sz w:val="22"/>
          <w:szCs w:val="22"/>
          <w:lang w:eastAsia="pt-BR"/>
        </w:rPr>
        <w:t>ião, estados, Distrito Federal ou</w:t>
      </w:r>
      <w:r w:rsidRPr="008E625A">
        <w:rPr>
          <w:rFonts w:eastAsia="Times New Roman"/>
          <w:b/>
          <w:sz w:val="22"/>
          <w:szCs w:val="22"/>
          <w:lang w:eastAsia="pt-BR"/>
        </w:rPr>
        <w:t xml:space="preserve"> municípios, em face de irregularidade elencada no art. 7º da Lei 10.520/02, não depende da comprovação de dolo ou má-fé. Requer tão somente a evidenciação da prática injustificada de ato ilegal tipificado nesse dispositivo legal.</w:t>
      </w:r>
    </w:p>
    <w:p w:rsidR="007C719A" w:rsidRPr="006D6898" w:rsidRDefault="005D220F" w:rsidP="003814C1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Ainda na </w:t>
      </w:r>
      <w:r w:rsidR="00A146C2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uditoria realizada</w:t>
      </w:r>
      <w:r w:rsidRPr="00A5345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nos pregões eletrônicos lançados entre 2009 </w:t>
      </w:r>
      <w:r w:rsidR="00A146C2">
        <w:rPr>
          <w:rFonts w:eastAsia="Times New Roman"/>
          <w:sz w:val="22"/>
          <w:szCs w:val="22"/>
        </w:rPr>
        <w:t xml:space="preserve">e 2012 por meio do </w:t>
      </w:r>
      <w:proofErr w:type="spellStart"/>
      <w:r w:rsidR="00A146C2">
        <w:rPr>
          <w:rFonts w:eastAsia="Times New Roman"/>
          <w:sz w:val="22"/>
          <w:szCs w:val="22"/>
        </w:rPr>
        <w:t>Comprasnet</w:t>
      </w:r>
      <w:proofErr w:type="spellEnd"/>
      <w:r w:rsidR="00A146C2">
        <w:rPr>
          <w:rFonts w:eastAsia="Times New Roman"/>
          <w:sz w:val="22"/>
          <w:szCs w:val="22"/>
        </w:rPr>
        <w:t>, a</w:t>
      </w:r>
      <w:r>
        <w:rPr>
          <w:rFonts w:eastAsia="Times New Roman"/>
          <w:sz w:val="22"/>
          <w:szCs w:val="22"/>
        </w:rPr>
        <w:t xml:space="preserve"> relator</w:t>
      </w:r>
      <w:r w:rsidR="00A146C2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,</w:t>
      </w:r>
      <w:r w:rsidR="0013540C">
        <w:rPr>
          <w:rFonts w:eastAsia="Times New Roman"/>
          <w:sz w:val="22"/>
          <w:szCs w:val="22"/>
        </w:rPr>
        <w:t xml:space="preserve"> a par das irregularidades praticadas pelos licitantes, discorreu sobre</w:t>
      </w:r>
      <w:r>
        <w:rPr>
          <w:rFonts w:eastAsia="Times New Roman"/>
          <w:sz w:val="22"/>
          <w:szCs w:val="22"/>
        </w:rPr>
        <w:t xml:space="preserve"> </w:t>
      </w:r>
      <w:r w:rsidR="0013540C">
        <w:rPr>
          <w:rFonts w:eastAsia="Times New Roman"/>
          <w:sz w:val="22"/>
          <w:szCs w:val="22"/>
        </w:rPr>
        <w:t>as</w:t>
      </w:r>
      <w:r>
        <w:rPr>
          <w:rFonts w:eastAsia="Times New Roman"/>
          <w:sz w:val="22"/>
          <w:szCs w:val="22"/>
        </w:rPr>
        <w:t xml:space="preserve"> possibilidade</w:t>
      </w:r>
      <w:r w:rsidR="0013540C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 de aplicação da sanção prevista no art. </w:t>
      </w:r>
      <w:r w:rsidR="00A146C2">
        <w:rPr>
          <w:rFonts w:eastAsia="Times New Roman"/>
          <w:sz w:val="22"/>
          <w:szCs w:val="22"/>
        </w:rPr>
        <w:t>art. 7º da Lei 10.520/</w:t>
      </w:r>
      <w:r w:rsidR="0013540C" w:rsidRPr="0013540C">
        <w:rPr>
          <w:rFonts w:eastAsia="Times New Roman"/>
          <w:sz w:val="22"/>
          <w:szCs w:val="22"/>
        </w:rPr>
        <w:t>02</w:t>
      </w:r>
      <w:r w:rsidR="0013540C">
        <w:rPr>
          <w:rFonts w:eastAsia="Times New Roman"/>
          <w:sz w:val="22"/>
          <w:szCs w:val="22"/>
        </w:rPr>
        <w:t xml:space="preserve"> (impedimento para licitar e contratar </w:t>
      </w:r>
      <w:r w:rsidR="00A146C2">
        <w:rPr>
          <w:rFonts w:eastAsia="Times New Roman"/>
          <w:sz w:val="22"/>
          <w:szCs w:val="22"/>
        </w:rPr>
        <w:t>com a União, estados, Distrito Federal ou m</w:t>
      </w:r>
      <w:r w:rsidR="0013540C">
        <w:rPr>
          <w:rFonts w:eastAsia="Times New Roman"/>
          <w:sz w:val="22"/>
          <w:szCs w:val="22"/>
        </w:rPr>
        <w:t>unicípios)</w:t>
      </w:r>
      <w:r w:rsidR="0013540C" w:rsidRPr="0013540C">
        <w:rPr>
          <w:rFonts w:eastAsia="Times New Roman"/>
          <w:sz w:val="22"/>
          <w:szCs w:val="22"/>
        </w:rPr>
        <w:t xml:space="preserve"> e</w:t>
      </w:r>
      <w:r w:rsidR="0013540C">
        <w:rPr>
          <w:rFonts w:eastAsia="Times New Roman"/>
          <w:sz w:val="22"/>
          <w:szCs w:val="22"/>
        </w:rPr>
        <w:t>m perspectiva com</w:t>
      </w:r>
      <w:r w:rsidR="0013540C" w:rsidRPr="0013540C">
        <w:rPr>
          <w:rFonts w:eastAsia="Times New Roman"/>
          <w:sz w:val="22"/>
          <w:szCs w:val="22"/>
        </w:rPr>
        <w:t xml:space="preserve"> </w:t>
      </w:r>
      <w:r w:rsidR="0013540C">
        <w:rPr>
          <w:rFonts w:eastAsia="Times New Roman"/>
          <w:sz w:val="22"/>
          <w:szCs w:val="22"/>
        </w:rPr>
        <w:t>aquela assentada</w:t>
      </w:r>
      <w:r w:rsidR="00F74F80">
        <w:rPr>
          <w:rFonts w:eastAsia="Times New Roman"/>
          <w:sz w:val="22"/>
          <w:szCs w:val="22"/>
        </w:rPr>
        <w:t xml:space="preserve"> no art. 46 da Lei 8.443/</w:t>
      </w:r>
      <w:r w:rsidR="0013540C" w:rsidRPr="0013540C">
        <w:rPr>
          <w:rFonts w:eastAsia="Times New Roman"/>
          <w:sz w:val="22"/>
          <w:szCs w:val="22"/>
        </w:rPr>
        <w:t>92</w:t>
      </w:r>
      <w:r w:rsidR="0013540C">
        <w:rPr>
          <w:rFonts w:eastAsia="Times New Roman"/>
          <w:sz w:val="22"/>
          <w:szCs w:val="22"/>
        </w:rPr>
        <w:t xml:space="preserve"> (</w:t>
      </w:r>
      <w:r w:rsidR="0013540C" w:rsidRPr="0013540C">
        <w:rPr>
          <w:rFonts w:eastAsia="Times New Roman"/>
          <w:sz w:val="22"/>
          <w:szCs w:val="22"/>
        </w:rPr>
        <w:t>inidoneidade do licitante fraudador para participar</w:t>
      </w:r>
      <w:r w:rsidR="0013540C">
        <w:rPr>
          <w:rFonts w:eastAsia="Times New Roman"/>
          <w:sz w:val="22"/>
          <w:szCs w:val="22"/>
        </w:rPr>
        <w:t xml:space="preserve"> </w:t>
      </w:r>
      <w:r w:rsidR="0013540C" w:rsidRPr="0013540C">
        <w:rPr>
          <w:rFonts w:eastAsia="Times New Roman"/>
          <w:sz w:val="22"/>
          <w:szCs w:val="22"/>
        </w:rPr>
        <w:t>de licitação na Administração Pública Federal</w:t>
      </w:r>
      <w:r w:rsidR="0013540C">
        <w:rPr>
          <w:rFonts w:eastAsia="Times New Roman"/>
          <w:sz w:val="22"/>
          <w:szCs w:val="22"/>
        </w:rPr>
        <w:t>).</w:t>
      </w:r>
      <w:r w:rsidR="005C0CD3">
        <w:rPr>
          <w:rFonts w:eastAsia="Times New Roman"/>
          <w:sz w:val="22"/>
          <w:szCs w:val="22"/>
        </w:rPr>
        <w:t xml:space="preserve"> Em apoio, fez transcrever excerto da análise realizada pela unidade especializada, da qual se destaca</w:t>
      </w:r>
      <w:r w:rsidR="000016BB">
        <w:rPr>
          <w:rFonts w:eastAsia="Times New Roman"/>
          <w:sz w:val="22"/>
          <w:szCs w:val="22"/>
        </w:rPr>
        <w:t>m</w:t>
      </w:r>
      <w:r w:rsidR="005C0CD3">
        <w:rPr>
          <w:rFonts w:eastAsia="Times New Roman"/>
          <w:sz w:val="22"/>
          <w:szCs w:val="22"/>
        </w:rPr>
        <w:t xml:space="preserve"> as seguintes </w:t>
      </w:r>
      <w:r w:rsidR="0076459E">
        <w:rPr>
          <w:rFonts w:eastAsia="Times New Roman"/>
          <w:sz w:val="22"/>
          <w:szCs w:val="22"/>
        </w:rPr>
        <w:t>assertivas</w:t>
      </w:r>
      <w:r w:rsidR="005C0CD3">
        <w:rPr>
          <w:rFonts w:eastAsia="Times New Roman"/>
          <w:sz w:val="22"/>
          <w:szCs w:val="22"/>
        </w:rPr>
        <w:t xml:space="preserve">: (i) </w:t>
      </w:r>
      <w:r w:rsidR="005C0CD3" w:rsidRPr="005C0CD3">
        <w:rPr>
          <w:rFonts w:eastAsia="Times New Roman"/>
          <w:i/>
          <w:sz w:val="22"/>
          <w:szCs w:val="22"/>
        </w:rPr>
        <w:t>“a atuação deste Tribunal, com fulcro no art. 46 da Lei 8.443/1992, tem natureza distinta daquela decorrente do art. 7º da Lei 10.520/2002, de competência das unidades promotoras dos pregões”</w:t>
      </w:r>
      <w:r w:rsidR="005C0CD3">
        <w:rPr>
          <w:rFonts w:eastAsia="Times New Roman"/>
          <w:sz w:val="22"/>
          <w:szCs w:val="22"/>
        </w:rPr>
        <w:t>; (</w:t>
      </w:r>
      <w:proofErr w:type="spellStart"/>
      <w:r w:rsidR="005C0CD3">
        <w:rPr>
          <w:rFonts w:eastAsia="Times New Roman"/>
          <w:sz w:val="22"/>
          <w:szCs w:val="22"/>
        </w:rPr>
        <w:t>ii</w:t>
      </w:r>
      <w:proofErr w:type="spellEnd"/>
      <w:r w:rsidR="005C0CD3">
        <w:rPr>
          <w:rFonts w:eastAsia="Times New Roman"/>
          <w:sz w:val="22"/>
          <w:szCs w:val="22"/>
        </w:rPr>
        <w:t xml:space="preserve">) </w:t>
      </w:r>
      <w:r w:rsidR="005C0CD3" w:rsidRPr="005C0CD3">
        <w:rPr>
          <w:rFonts w:eastAsia="Times New Roman"/>
          <w:i/>
          <w:sz w:val="22"/>
          <w:szCs w:val="22"/>
        </w:rPr>
        <w:t xml:space="preserve">“a </w:t>
      </w:r>
      <w:r w:rsidR="005C0CD3" w:rsidRPr="0076459E">
        <w:rPr>
          <w:rFonts w:eastAsia="Times New Roman"/>
          <w:i/>
          <w:color w:val="000000"/>
          <w:sz w:val="22"/>
          <w:szCs w:val="22"/>
          <w:lang w:eastAsia="pt-BR"/>
        </w:rPr>
        <w:t>aplicação da sanção de impedimento de licitar e contratar com a União, Estados, Distrito Federal ou Municípios, pela unidade gestora responsável pelo pregão, em face de irregularidade elencada no art. 7º da Lei 10.520/2002, requer tão</w:t>
      </w:r>
      <w:r w:rsidR="005C0CD3" w:rsidRPr="005C0CD3">
        <w:rPr>
          <w:rFonts w:eastAsia="Times New Roman"/>
          <w:i/>
          <w:sz w:val="22"/>
          <w:szCs w:val="22"/>
        </w:rPr>
        <w:t xml:space="preserve"> somente a conduta culposa do licitante”</w:t>
      </w:r>
      <w:r w:rsidR="005C0CD3">
        <w:rPr>
          <w:rFonts w:eastAsia="Times New Roman"/>
          <w:sz w:val="22"/>
          <w:szCs w:val="22"/>
        </w:rPr>
        <w:t>;</w:t>
      </w:r>
      <w:r w:rsidR="0076459E">
        <w:rPr>
          <w:rFonts w:eastAsia="Times New Roman"/>
          <w:sz w:val="22"/>
          <w:szCs w:val="22"/>
        </w:rPr>
        <w:t xml:space="preserve"> (</w:t>
      </w:r>
      <w:proofErr w:type="spellStart"/>
      <w:r w:rsidR="0076459E">
        <w:rPr>
          <w:rFonts w:eastAsia="Times New Roman"/>
          <w:sz w:val="22"/>
          <w:szCs w:val="22"/>
        </w:rPr>
        <w:t>iii</w:t>
      </w:r>
      <w:proofErr w:type="spellEnd"/>
      <w:r w:rsidR="0076459E">
        <w:rPr>
          <w:rFonts w:eastAsia="Times New Roman"/>
          <w:sz w:val="22"/>
          <w:szCs w:val="22"/>
        </w:rPr>
        <w:t xml:space="preserve">) </w:t>
      </w:r>
      <w:r w:rsidR="0076459E" w:rsidRPr="0076459E">
        <w:rPr>
          <w:rFonts w:eastAsia="Times New Roman"/>
          <w:i/>
          <w:sz w:val="22"/>
          <w:szCs w:val="22"/>
        </w:rPr>
        <w:t>“a declaração de inidoneidade do licitante para participar de licitação na Administração Pública Federal pelo TCU, com fulcro na sua Lei Orgânica, depende de comprovação de fraude à licitação”</w:t>
      </w:r>
      <w:r w:rsidR="006D6898">
        <w:rPr>
          <w:rFonts w:eastAsia="Times New Roman"/>
          <w:i/>
          <w:sz w:val="22"/>
          <w:szCs w:val="22"/>
        </w:rPr>
        <w:t>;</w:t>
      </w:r>
      <w:r w:rsidR="0076459E">
        <w:rPr>
          <w:rFonts w:eastAsia="Times New Roman"/>
          <w:sz w:val="22"/>
          <w:szCs w:val="22"/>
        </w:rPr>
        <w:t xml:space="preserve"> (</w:t>
      </w:r>
      <w:proofErr w:type="spellStart"/>
      <w:r w:rsidR="0076459E">
        <w:rPr>
          <w:rFonts w:eastAsia="Times New Roman"/>
          <w:sz w:val="22"/>
          <w:szCs w:val="22"/>
        </w:rPr>
        <w:t>iv</w:t>
      </w:r>
      <w:proofErr w:type="spellEnd"/>
      <w:r w:rsidR="0076459E">
        <w:rPr>
          <w:rFonts w:eastAsia="Times New Roman"/>
          <w:sz w:val="22"/>
          <w:szCs w:val="22"/>
        </w:rPr>
        <w:t xml:space="preserve">) </w:t>
      </w:r>
      <w:r w:rsidR="0076459E" w:rsidRPr="0076459E">
        <w:rPr>
          <w:rFonts w:eastAsia="Times New Roman"/>
          <w:i/>
          <w:sz w:val="22"/>
          <w:szCs w:val="22"/>
        </w:rPr>
        <w:t>“deve ser considerado fraude à licitação o comportamento de licitante que, sem motivos escusáveis, incide repetidamente, ao longo do tempo, nos mesmos tipos de irregularidades tipificadas no art. 7º da Lei 10.520/2002. No caso, o elemento doloso configura-se pela repetição deliberada e consciente da conduta prejudicial aos certames e, portanto, ilícita, segundo preconiza a Lei do Pregão”</w:t>
      </w:r>
      <w:r w:rsidR="006D6898">
        <w:rPr>
          <w:rFonts w:eastAsia="Times New Roman"/>
          <w:sz w:val="22"/>
          <w:szCs w:val="22"/>
        </w:rPr>
        <w:t>. Assim, concluiu a</w:t>
      </w:r>
      <w:r w:rsidR="0076459E">
        <w:rPr>
          <w:rFonts w:eastAsia="Times New Roman"/>
          <w:sz w:val="22"/>
          <w:szCs w:val="22"/>
        </w:rPr>
        <w:t xml:space="preserve"> relator</w:t>
      </w:r>
      <w:r w:rsidR="006D6898">
        <w:rPr>
          <w:rFonts w:eastAsia="Times New Roman"/>
          <w:sz w:val="22"/>
          <w:szCs w:val="22"/>
        </w:rPr>
        <w:t>a</w:t>
      </w:r>
      <w:r w:rsidR="0076459E">
        <w:rPr>
          <w:rFonts w:eastAsia="Times New Roman"/>
          <w:sz w:val="22"/>
          <w:szCs w:val="22"/>
        </w:rPr>
        <w:t xml:space="preserve"> que </w:t>
      </w:r>
      <w:r w:rsidR="0076459E" w:rsidRPr="0076459E">
        <w:rPr>
          <w:rFonts w:eastAsia="Times New Roman"/>
          <w:i/>
          <w:sz w:val="22"/>
          <w:szCs w:val="22"/>
        </w:rPr>
        <w:t>“não há dúvidas de que a aplicação da sanção de inidoneidade de que trata o art. 7º da Lei 10.520/2002 independe da comprovação de dolo ou má-fé por parte do licitante. Basta que se incorra, sem justificativa, numa das condutas ali consignada</w:t>
      </w:r>
      <w:r w:rsidR="0076459E">
        <w:rPr>
          <w:rFonts w:eastAsia="Times New Roman"/>
          <w:i/>
          <w:sz w:val="22"/>
          <w:szCs w:val="22"/>
        </w:rPr>
        <w:t>s para que seja aplicada a pena</w:t>
      </w:r>
      <w:r w:rsidR="0076459E" w:rsidRPr="0076459E">
        <w:rPr>
          <w:rFonts w:eastAsia="Times New Roman"/>
          <w:i/>
          <w:sz w:val="22"/>
          <w:szCs w:val="22"/>
        </w:rPr>
        <w:t>”</w:t>
      </w:r>
      <w:r w:rsidR="0076459E">
        <w:rPr>
          <w:rFonts w:eastAsia="Times New Roman"/>
          <w:sz w:val="22"/>
          <w:szCs w:val="22"/>
        </w:rPr>
        <w:t xml:space="preserve">. Já no que respeita à aplicação do </w:t>
      </w:r>
      <w:r w:rsidR="006D6898">
        <w:rPr>
          <w:rFonts w:eastAsia="Times New Roman"/>
          <w:sz w:val="22"/>
          <w:szCs w:val="22"/>
        </w:rPr>
        <w:t>art. 46 da Lei 8.443/</w:t>
      </w:r>
      <w:r w:rsidR="0076459E" w:rsidRPr="0076459E">
        <w:rPr>
          <w:rFonts w:eastAsia="Times New Roman"/>
          <w:sz w:val="22"/>
          <w:szCs w:val="22"/>
        </w:rPr>
        <w:t>92</w:t>
      </w:r>
      <w:r w:rsidR="0076459E">
        <w:rPr>
          <w:rFonts w:eastAsia="Times New Roman"/>
          <w:sz w:val="22"/>
          <w:szCs w:val="22"/>
        </w:rPr>
        <w:t xml:space="preserve">, prosseguiu, </w:t>
      </w:r>
      <w:r w:rsidR="0076459E" w:rsidRPr="0076459E">
        <w:rPr>
          <w:rFonts w:eastAsia="Times New Roman"/>
          <w:i/>
          <w:sz w:val="22"/>
          <w:szCs w:val="22"/>
        </w:rPr>
        <w:t>“a comprovação da fraude é essencial, para o que se faz necessária a constatação de dolo ou má-fé”</w:t>
      </w:r>
      <w:r w:rsidR="0076459E">
        <w:rPr>
          <w:rFonts w:eastAsia="Times New Roman"/>
          <w:sz w:val="22"/>
          <w:szCs w:val="22"/>
        </w:rPr>
        <w:t xml:space="preserve">. </w:t>
      </w:r>
      <w:r w:rsidR="004C68AA">
        <w:rPr>
          <w:rFonts w:eastAsia="Times New Roman"/>
          <w:sz w:val="22"/>
          <w:szCs w:val="22"/>
        </w:rPr>
        <w:t>Noutro giro</w:t>
      </w:r>
      <w:r w:rsidR="00094D05">
        <w:rPr>
          <w:rFonts w:eastAsia="Times New Roman"/>
          <w:sz w:val="22"/>
          <w:szCs w:val="22"/>
        </w:rPr>
        <w:t xml:space="preserve">, abrindo divergência com </w:t>
      </w:r>
      <w:r w:rsidR="006D6898">
        <w:rPr>
          <w:rFonts w:eastAsia="Times New Roman"/>
          <w:sz w:val="22"/>
          <w:szCs w:val="22"/>
        </w:rPr>
        <w:t>a unidade instrutiva, ponderou a</w:t>
      </w:r>
      <w:r w:rsidR="00094D05">
        <w:rPr>
          <w:rFonts w:eastAsia="Times New Roman"/>
          <w:sz w:val="22"/>
          <w:szCs w:val="22"/>
        </w:rPr>
        <w:t xml:space="preserve"> relator</w:t>
      </w:r>
      <w:r w:rsidR="006D6898">
        <w:rPr>
          <w:rFonts w:eastAsia="Times New Roman"/>
          <w:sz w:val="22"/>
          <w:szCs w:val="22"/>
        </w:rPr>
        <w:t>a</w:t>
      </w:r>
      <w:r w:rsidR="00094D05">
        <w:rPr>
          <w:rFonts w:eastAsia="Times New Roman"/>
          <w:sz w:val="22"/>
          <w:szCs w:val="22"/>
        </w:rPr>
        <w:t xml:space="preserve"> que</w:t>
      </w:r>
      <w:r w:rsidR="004C68AA">
        <w:rPr>
          <w:rFonts w:eastAsia="Times New Roman"/>
          <w:sz w:val="22"/>
          <w:szCs w:val="22"/>
        </w:rPr>
        <w:t>, para a maioria dos pregões examinados,</w:t>
      </w:r>
      <w:r w:rsidR="00094D05">
        <w:rPr>
          <w:rFonts w:eastAsia="Times New Roman"/>
          <w:sz w:val="22"/>
          <w:szCs w:val="22"/>
        </w:rPr>
        <w:t xml:space="preserve"> </w:t>
      </w:r>
      <w:r w:rsidR="00094D05" w:rsidRPr="00094D05">
        <w:rPr>
          <w:rFonts w:eastAsia="Times New Roman"/>
          <w:i/>
          <w:sz w:val="22"/>
          <w:szCs w:val="22"/>
        </w:rPr>
        <w:t>“não se pode concluir pela existência do dolo pela simples repetição do fato, ao menos num caso como o aqui tratado”</w:t>
      </w:r>
      <w:r w:rsidR="004C68AA">
        <w:rPr>
          <w:rFonts w:eastAsia="Times New Roman"/>
          <w:sz w:val="22"/>
          <w:szCs w:val="22"/>
        </w:rPr>
        <w:t>, afastando assim, para esses casos, a hipótese de</w:t>
      </w:r>
      <w:r w:rsidR="004C68AA" w:rsidRPr="004C68AA">
        <w:rPr>
          <w:rFonts w:eastAsia="Times New Roman"/>
          <w:sz w:val="22"/>
          <w:szCs w:val="22"/>
        </w:rPr>
        <w:t xml:space="preserve"> declaração de inidoneidade </w:t>
      </w:r>
      <w:r w:rsidR="004C68AA">
        <w:rPr>
          <w:rFonts w:eastAsia="Times New Roman"/>
          <w:sz w:val="22"/>
          <w:szCs w:val="22"/>
        </w:rPr>
        <w:t>pelo</w:t>
      </w:r>
      <w:r w:rsidR="004C68AA" w:rsidRPr="004C68AA">
        <w:rPr>
          <w:rFonts w:eastAsia="Times New Roman"/>
          <w:sz w:val="22"/>
          <w:szCs w:val="22"/>
        </w:rPr>
        <w:t xml:space="preserve"> Tribunal, com a</w:t>
      </w:r>
      <w:r w:rsidR="006D6898">
        <w:rPr>
          <w:rFonts w:eastAsia="Times New Roman"/>
          <w:sz w:val="22"/>
          <w:szCs w:val="22"/>
        </w:rPr>
        <w:t>rrimo no art. 46 da Lei 8.443/</w:t>
      </w:r>
      <w:r w:rsidR="004C68AA" w:rsidRPr="004C68AA">
        <w:rPr>
          <w:rFonts w:eastAsia="Times New Roman"/>
          <w:sz w:val="22"/>
          <w:szCs w:val="22"/>
        </w:rPr>
        <w:t>92</w:t>
      </w:r>
      <w:r w:rsidR="006D6898">
        <w:rPr>
          <w:rFonts w:eastAsia="Times New Roman"/>
          <w:sz w:val="22"/>
          <w:szCs w:val="22"/>
        </w:rPr>
        <w:t>. Contudo, acrescentou que</w:t>
      </w:r>
      <w:r w:rsidR="004C68AA">
        <w:rPr>
          <w:rFonts w:eastAsia="Times New Roman"/>
          <w:sz w:val="22"/>
          <w:szCs w:val="22"/>
        </w:rPr>
        <w:t xml:space="preserve"> </w:t>
      </w:r>
      <w:r w:rsidR="004C68AA" w:rsidRPr="004C68AA">
        <w:rPr>
          <w:rFonts w:eastAsia="Times New Roman"/>
          <w:i/>
          <w:sz w:val="22"/>
          <w:szCs w:val="22"/>
        </w:rPr>
        <w:t>“a simples incidência injustificada numa das condutas previstas no art. 7º da Lei 10.520/2002 permitiria ao órgão licitante, após o trâmite do devido processo administrativo, declarar a inidoneidade</w:t>
      </w:r>
      <w:r w:rsidR="001C1726">
        <w:rPr>
          <w:rFonts w:eastAsia="Times New Roman"/>
          <w:i/>
          <w:sz w:val="22"/>
          <w:szCs w:val="22"/>
        </w:rPr>
        <w:t xml:space="preserve"> </w:t>
      </w:r>
      <w:r w:rsidR="001C1726">
        <w:rPr>
          <w:rFonts w:eastAsia="Times New Roman"/>
          <w:sz w:val="22"/>
          <w:szCs w:val="22"/>
        </w:rPr>
        <w:t>[impedimento]</w:t>
      </w:r>
      <w:r w:rsidR="004C68AA" w:rsidRPr="004C68AA">
        <w:rPr>
          <w:rFonts w:eastAsia="Times New Roman"/>
          <w:i/>
          <w:sz w:val="22"/>
          <w:szCs w:val="22"/>
        </w:rPr>
        <w:t xml:space="preserve"> da empresa infratora, independentemente da comprovação da fraude”</w:t>
      </w:r>
      <w:r w:rsidR="004C68AA">
        <w:rPr>
          <w:rFonts w:eastAsia="Times New Roman"/>
          <w:sz w:val="22"/>
          <w:szCs w:val="22"/>
        </w:rPr>
        <w:t>.</w:t>
      </w:r>
      <w:r w:rsidR="002632AA">
        <w:rPr>
          <w:rFonts w:eastAsia="Times New Roman"/>
          <w:sz w:val="22"/>
          <w:szCs w:val="22"/>
        </w:rPr>
        <w:t xml:space="preserve"> Ao revés, diante de condutas</w:t>
      </w:r>
      <w:r w:rsidR="003F4EBB">
        <w:rPr>
          <w:rFonts w:eastAsia="Times New Roman"/>
          <w:sz w:val="22"/>
          <w:szCs w:val="22"/>
        </w:rPr>
        <w:t xml:space="preserve"> comprovadamente</w:t>
      </w:r>
      <w:r w:rsidR="002632AA">
        <w:rPr>
          <w:rFonts w:eastAsia="Times New Roman"/>
          <w:sz w:val="22"/>
          <w:szCs w:val="22"/>
        </w:rPr>
        <w:t xml:space="preserve"> fraudulentas detectadas no comportamento de duas </w:t>
      </w:r>
      <w:r w:rsidR="003F4EBB">
        <w:rPr>
          <w:rFonts w:eastAsia="Times New Roman"/>
          <w:sz w:val="22"/>
          <w:szCs w:val="22"/>
        </w:rPr>
        <w:t>empresas participantes de um pregão realizado no exercício de 2011</w:t>
      </w:r>
      <w:r w:rsidR="003F4EBB" w:rsidRPr="003F4EBB">
        <w:rPr>
          <w:rFonts w:eastAsia="Times New Roman"/>
          <w:szCs w:val="22"/>
        </w:rPr>
        <w:t xml:space="preserve"> </w:t>
      </w:r>
      <w:r w:rsidR="003F4EBB" w:rsidRPr="003F4EBB">
        <w:rPr>
          <w:rFonts w:eastAsia="Times New Roman"/>
          <w:sz w:val="22"/>
          <w:szCs w:val="22"/>
        </w:rPr>
        <w:t>pelo Laboratório Nacional Agropecuário no Rio Grande do Sul</w:t>
      </w:r>
      <w:r w:rsidR="003F4EBB">
        <w:rPr>
          <w:rFonts w:eastAsia="Times New Roman"/>
          <w:sz w:val="22"/>
          <w:szCs w:val="22"/>
        </w:rPr>
        <w:t>, nos quais fora utilizada a</w:t>
      </w:r>
      <w:r w:rsidR="001C1726">
        <w:rPr>
          <w:rFonts w:eastAsia="Times New Roman"/>
          <w:sz w:val="22"/>
          <w:szCs w:val="22"/>
        </w:rPr>
        <w:t xml:space="preserve"> técnica do “coelho”, entendeu a</w:t>
      </w:r>
      <w:r w:rsidR="003F4EBB">
        <w:rPr>
          <w:rFonts w:eastAsia="Times New Roman"/>
          <w:sz w:val="22"/>
          <w:szCs w:val="22"/>
        </w:rPr>
        <w:t xml:space="preserve"> relator</w:t>
      </w:r>
      <w:r w:rsidR="001C1726">
        <w:rPr>
          <w:rFonts w:eastAsia="Times New Roman"/>
          <w:sz w:val="22"/>
          <w:szCs w:val="22"/>
        </w:rPr>
        <w:t>a</w:t>
      </w:r>
      <w:r w:rsidR="003F4EBB">
        <w:rPr>
          <w:rFonts w:eastAsia="Times New Roman"/>
          <w:sz w:val="22"/>
          <w:szCs w:val="22"/>
        </w:rPr>
        <w:t xml:space="preserve"> presentes os requisitos </w:t>
      </w:r>
      <w:r w:rsidR="001C1726">
        <w:rPr>
          <w:rFonts w:eastAsia="Times New Roman"/>
          <w:sz w:val="22"/>
          <w:szCs w:val="22"/>
        </w:rPr>
        <w:t>para a sanção</w:t>
      </w:r>
      <w:r w:rsidR="003F4EBB">
        <w:rPr>
          <w:rFonts w:eastAsia="Times New Roman"/>
          <w:sz w:val="22"/>
          <w:szCs w:val="22"/>
        </w:rPr>
        <w:t xml:space="preserve"> das licitantes fraudadoras com espeque no </w:t>
      </w:r>
      <w:r w:rsidR="001C1726">
        <w:rPr>
          <w:rFonts w:eastAsia="Times New Roman"/>
          <w:sz w:val="22"/>
          <w:szCs w:val="22"/>
        </w:rPr>
        <w:t>art. 46 da Lei 8.443/</w:t>
      </w:r>
      <w:r w:rsidR="003F4EBB" w:rsidRPr="003F4EBB">
        <w:rPr>
          <w:rFonts w:eastAsia="Times New Roman"/>
          <w:sz w:val="22"/>
          <w:szCs w:val="22"/>
        </w:rPr>
        <w:t>92</w:t>
      </w:r>
      <w:r w:rsidR="003F4EBB">
        <w:rPr>
          <w:rFonts w:eastAsia="Times New Roman"/>
          <w:sz w:val="22"/>
          <w:szCs w:val="22"/>
        </w:rPr>
        <w:t>. Assim</w:t>
      </w:r>
      <w:r w:rsidR="002632AA" w:rsidRPr="00A5345F">
        <w:rPr>
          <w:rFonts w:eastAsia="Times New Roman"/>
          <w:sz w:val="22"/>
          <w:szCs w:val="22"/>
        </w:rPr>
        <w:t xml:space="preserve">, o </w:t>
      </w:r>
      <w:r w:rsidR="002632AA">
        <w:rPr>
          <w:rFonts w:eastAsia="Times New Roman"/>
          <w:sz w:val="22"/>
          <w:szCs w:val="22"/>
        </w:rPr>
        <w:t>Plenário</w:t>
      </w:r>
      <w:r w:rsidR="003F4EBB">
        <w:rPr>
          <w:rFonts w:eastAsia="Times New Roman"/>
          <w:sz w:val="22"/>
          <w:szCs w:val="22"/>
        </w:rPr>
        <w:t>, dentre outras medidas,</w:t>
      </w:r>
      <w:r w:rsidR="002632AA" w:rsidRPr="00A5345F">
        <w:rPr>
          <w:rFonts w:eastAsia="Times New Roman"/>
          <w:sz w:val="22"/>
          <w:szCs w:val="22"/>
        </w:rPr>
        <w:t xml:space="preserve"> </w:t>
      </w:r>
      <w:r w:rsidR="002632AA">
        <w:rPr>
          <w:rFonts w:eastAsia="Times New Roman"/>
          <w:sz w:val="22"/>
          <w:szCs w:val="22"/>
        </w:rPr>
        <w:t xml:space="preserve">declarou a inidoneidade </w:t>
      </w:r>
      <w:r w:rsidR="003F4EBB">
        <w:rPr>
          <w:rFonts w:eastAsia="Times New Roman"/>
          <w:sz w:val="22"/>
          <w:szCs w:val="22"/>
        </w:rPr>
        <w:t>dessas</w:t>
      </w:r>
      <w:r w:rsidR="002632AA">
        <w:rPr>
          <w:rFonts w:eastAsia="Times New Roman"/>
          <w:sz w:val="22"/>
          <w:szCs w:val="22"/>
        </w:rPr>
        <w:t xml:space="preserve"> empresas para participar de licitações na </w:t>
      </w:r>
      <w:r w:rsidR="003F4EBB">
        <w:rPr>
          <w:rFonts w:eastAsia="Times New Roman"/>
          <w:sz w:val="22"/>
          <w:szCs w:val="22"/>
        </w:rPr>
        <w:t xml:space="preserve">Administração Pública Federal pelo período de dois anos. </w:t>
      </w:r>
      <w:r w:rsidR="00145214">
        <w:rPr>
          <w:rFonts w:eastAsia="Times New Roman"/>
          <w:sz w:val="22"/>
          <w:szCs w:val="22"/>
        </w:rPr>
        <w:t xml:space="preserve"> </w:t>
      </w:r>
      <w:hyperlink r:id="rId10" w:history="1">
        <w:r w:rsidR="00145214" w:rsidRPr="00145214">
          <w:rPr>
            <w:rStyle w:val="Hyperlink"/>
            <w:b/>
            <w:i/>
            <w:sz w:val="22"/>
            <w:szCs w:val="22"/>
            <w:shd w:val="clear" w:color="auto" w:fill="FFFFFF"/>
          </w:rPr>
          <w:t>Acórdão 754/2015-Plenário</w:t>
        </w:r>
      </w:hyperlink>
      <w:r w:rsidR="00E8535D" w:rsidRPr="00E8535D">
        <w:rPr>
          <w:rFonts w:eastAsia="Times New Roman"/>
          <w:b/>
          <w:i/>
          <w:sz w:val="22"/>
          <w:szCs w:val="22"/>
        </w:rPr>
        <w:t>, TC 015.239/2012-8, relator Ministra Ana Arraes, 8.4.2015.</w:t>
      </w:r>
    </w:p>
    <w:p w:rsidR="00A5345F" w:rsidRPr="00A5345F" w:rsidRDefault="00A5345F" w:rsidP="003814C1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9F588D" w:rsidRPr="009F588D" w:rsidRDefault="00CC4FC7" w:rsidP="003814C1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3</w:t>
      </w:r>
      <w:r w:rsidR="009F588D" w:rsidRPr="009F588D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9F588D" w:rsidRPr="009F588D">
        <w:rPr>
          <w:rFonts w:eastAsia="Times New Roman"/>
          <w:b/>
          <w:sz w:val="22"/>
          <w:szCs w:val="22"/>
          <w:lang w:eastAsia="pt-BR"/>
        </w:rPr>
        <w:t>Em licitações para registro de preços, é obrigatória a adjudicação por item como regra geral, tendo em vista o objetivo de propiciar a ampla participação de licitantes e a seleção das propostas mais vantajosas. A adjudicação por preço global é medida excepcional que precisa ser devidamente justificada, além de ser incompatível com a aquisição futura por itens.</w:t>
      </w:r>
    </w:p>
    <w:p w:rsidR="002458FC" w:rsidRPr="00283F33" w:rsidRDefault="008E7F37" w:rsidP="003814C1">
      <w:pPr>
        <w:shd w:val="clear" w:color="auto" w:fill="FFFFFF"/>
        <w:spacing w:after="0"/>
        <w:ind w:left="0"/>
        <w:rPr>
          <w:rFonts w:ascii="Segoe UI WPC" w:hAnsi="Segoe UI WPC"/>
          <w:b/>
          <w:i/>
          <w:color w:val="282828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Representação formulada por sociedade empresária apontara 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 xml:space="preserve">possíveis irregularidades </w:t>
      </w:r>
      <w:r>
        <w:rPr>
          <w:rFonts w:eastAsia="Times New Roman"/>
          <w:color w:val="000000"/>
          <w:sz w:val="22"/>
          <w:szCs w:val="22"/>
          <w:lang w:eastAsia="pt-BR"/>
        </w:rPr>
        <w:t>em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 xml:space="preserve"> pregão eletrônico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realizado pelo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 xml:space="preserve"> Instituto Federal de Educação, Ci</w:t>
      </w:r>
      <w:r>
        <w:rPr>
          <w:rFonts w:eastAsia="Times New Roman"/>
          <w:color w:val="000000"/>
          <w:sz w:val="22"/>
          <w:szCs w:val="22"/>
          <w:lang w:eastAsia="pt-BR"/>
        </w:rPr>
        <w:t>ê</w:t>
      </w:r>
      <w:r w:rsidR="0052610B">
        <w:rPr>
          <w:rFonts w:eastAsia="Times New Roman"/>
          <w:color w:val="000000"/>
          <w:sz w:val="22"/>
          <w:szCs w:val="22"/>
          <w:lang w:eastAsia="pt-BR"/>
        </w:rPr>
        <w:t>ncia e Tecnologia Farroupilha (</w:t>
      </w:r>
      <w:proofErr w:type="spellStart"/>
      <w:r>
        <w:rPr>
          <w:rFonts w:eastAsia="Times New Roman"/>
          <w:color w:val="000000"/>
          <w:sz w:val="22"/>
          <w:szCs w:val="22"/>
          <w:lang w:eastAsia="pt-BR"/>
        </w:rPr>
        <w:t>IFFarroupilha</w:t>
      </w:r>
      <w:proofErr w:type="spellEnd"/>
      <w:r w:rsidR="0052610B">
        <w:rPr>
          <w:rFonts w:eastAsia="Times New Roman"/>
          <w:color w:val="000000"/>
          <w:sz w:val="22"/>
          <w:szCs w:val="22"/>
          <w:lang w:eastAsia="pt-BR"/>
        </w:rPr>
        <w:t>)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>
        <w:rPr>
          <w:rFonts w:eastAsia="Times New Roman"/>
          <w:color w:val="000000"/>
          <w:sz w:val="22"/>
          <w:szCs w:val="22"/>
          <w:lang w:eastAsia="pt-BR"/>
        </w:rPr>
        <w:t>destinado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E42140">
        <w:rPr>
          <w:rFonts w:eastAsia="Times New Roman"/>
          <w:color w:val="000000"/>
          <w:sz w:val="22"/>
          <w:szCs w:val="22"/>
          <w:lang w:eastAsia="pt-BR"/>
        </w:rPr>
        <w:t xml:space="preserve">ao registro de preços 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>de m</w:t>
      </w:r>
      <w:r>
        <w:rPr>
          <w:rFonts w:eastAsia="Times New Roman"/>
          <w:color w:val="000000"/>
          <w:sz w:val="22"/>
          <w:szCs w:val="22"/>
          <w:lang w:eastAsia="pt-BR"/>
        </w:rPr>
        <w:t>obiliário para escritório</w:t>
      </w:r>
      <w:r w:rsidR="00526027">
        <w:rPr>
          <w:rFonts w:eastAsia="Times New Roman"/>
          <w:color w:val="000000"/>
          <w:sz w:val="22"/>
          <w:szCs w:val="22"/>
          <w:lang w:eastAsia="pt-BR"/>
        </w:rPr>
        <w:t>, mediante adjudicaç</w:t>
      </w:r>
      <w:r w:rsidR="00B50EE3">
        <w:rPr>
          <w:rFonts w:eastAsia="Times New Roman"/>
          <w:color w:val="000000"/>
          <w:sz w:val="22"/>
          <w:szCs w:val="22"/>
          <w:lang w:eastAsia="pt-BR"/>
        </w:rPr>
        <w:t>ão por</w:t>
      </w:r>
      <w:r w:rsidR="00526027">
        <w:rPr>
          <w:rFonts w:eastAsia="Times New Roman"/>
          <w:color w:val="000000"/>
          <w:sz w:val="22"/>
          <w:szCs w:val="22"/>
          <w:lang w:eastAsia="pt-BR"/>
        </w:rPr>
        <w:t xml:space="preserve"> lotes de itens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044772">
        <w:rPr>
          <w:rFonts w:eastAsia="Times New Roman"/>
          <w:color w:val="000000"/>
          <w:sz w:val="22"/>
          <w:szCs w:val="22"/>
          <w:lang w:eastAsia="pt-BR"/>
        </w:rPr>
        <w:t>Em síntese</w:t>
      </w:r>
      <w:r>
        <w:rPr>
          <w:rFonts w:eastAsia="Times New Roman"/>
          <w:color w:val="000000"/>
          <w:sz w:val="22"/>
          <w:szCs w:val="22"/>
          <w:lang w:eastAsia="pt-BR"/>
        </w:rPr>
        <w:t>, fora questionada a</w:t>
      </w:r>
      <w:r w:rsidR="0004477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44772" w:rsidRPr="00044772">
        <w:rPr>
          <w:rFonts w:eastAsia="Times New Roman"/>
          <w:color w:val="000000"/>
          <w:sz w:val="22"/>
          <w:szCs w:val="22"/>
          <w:lang w:eastAsia="pt-BR"/>
        </w:rPr>
        <w:t>rejeição sumária da intenção de recurso</w:t>
      </w:r>
      <w:r w:rsidR="00044772">
        <w:rPr>
          <w:rFonts w:eastAsia="Times New Roman"/>
          <w:color w:val="000000"/>
          <w:sz w:val="22"/>
          <w:szCs w:val="22"/>
          <w:lang w:eastAsia="pt-BR"/>
        </w:rPr>
        <w:t xml:space="preserve"> de uma das licitantes e a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044772">
        <w:rPr>
          <w:rFonts w:eastAsia="Times New Roman"/>
          <w:color w:val="000000"/>
          <w:sz w:val="22"/>
          <w:szCs w:val="22"/>
          <w:lang w:eastAsia="pt-BR"/>
        </w:rPr>
        <w:t>ausência de justificativa detalhada para o quantitativo de itens licitados</w:t>
      </w:r>
      <w:r w:rsidRPr="008E7F37">
        <w:rPr>
          <w:rFonts w:eastAsia="Times New Roman"/>
          <w:color w:val="000000"/>
          <w:sz w:val="22"/>
          <w:szCs w:val="22"/>
          <w:lang w:eastAsia="pt-BR"/>
        </w:rPr>
        <w:t>.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Analisando </w:t>
      </w:r>
      <w:r w:rsidR="00E42140">
        <w:rPr>
          <w:rFonts w:eastAsia="Times New Roman"/>
          <w:color w:val="000000"/>
          <w:sz w:val="22"/>
          <w:szCs w:val="22"/>
          <w:lang w:eastAsia="pt-BR"/>
        </w:rPr>
        <w:t>o</w:t>
      </w:r>
      <w:r w:rsidR="00044772">
        <w:rPr>
          <w:rFonts w:eastAsia="Times New Roman"/>
          <w:color w:val="000000"/>
          <w:sz w:val="22"/>
          <w:szCs w:val="22"/>
          <w:lang w:eastAsia="pt-BR"/>
        </w:rPr>
        <w:t xml:space="preserve"> último aspecto</w:t>
      </w:r>
      <w:r>
        <w:rPr>
          <w:rFonts w:eastAsia="Times New Roman"/>
          <w:color w:val="000000"/>
          <w:sz w:val="22"/>
          <w:szCs w:val="22"/>
          <w:lang w:eastAsia="pt-BR"/>
        </w:rPr>
        <w:t>,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 xml:space="preserve"> após a suspensão cautelar do certame e a realização das oitivas regimentais,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o relator assentiu às conclusões da unidade instrutiva no sentido de considerar regular os quantitativos previstos no edital</w:t>
      </w:r>
      <w:r w:rsidR="00EF420D">
        <w:rPr>
          <w:rFonts w:eastAsia="Times New Roman"/>
          <w:color w:val="000000"/>
          <w:sz w:val="22"/>
          <w:szCs w:val="22"/>
          <w:lang w:eastAsia="pt-BR"/>
        </w:rPr>
        <w:t>, tendo em vista sua similaridade com os itens requerido</w:t>
      </w:r>
      <w:r w:rsidR="00E42140">
        <w:rPr>
          <w:rFonts w:eastAsia="Times New Roman"/>
          <w:color w:val="000000"/>
          <w:sz w:val="22"/>
          <w:szCs w:val="22"/>
          <w:lang w:eastAsia="pt-BR"/>
        </w:rPr>
        <w:t>s</w:t>
      </w:r>
      <w:r w:rsidR="00EF420D">
        <w:rPr>
          <w:rFonts w:eastAsia="Times New Roman"/>
          <w:color w:val="000000"/>
          <w:sz w:val="22"/>
          <w:szCs w:val="22"/>
          <w:lang w:eastAsia="pt-BR"/>
        </w:rPr>
        <w:t xml:space="preserve"> pelas unidades do </w:t>
      </w:r>
      <w:r w:rsidR="00E42140">
        <w:rPr>
          <w:rFonts w:eastAsia="Times New Roman"/>
          <w:color w:val="000000"/>
          <w:sz w:val="22"/>
          <w:szCs w:val="22"/>
          <w:lang w:eastAsia="pt-BR"/>
        </w:rPr>
        <w:t>instituto</w:t>
      </w:r>
      <w:r w:rsidR="00EF420D">
        <w:rPr>
          <w:rFonts w:eastAsia="Times New Roman"/>
          <w:color w:val="000000"/>
          <w:sz w:val="22"/>
          <w:szCs w:val="22"/>
          <w:lang w:eastAsia="pt-BR"/>
        </w:rPr>
        <w:t xml:space="preserve">. Sobre o assunto, ressaltou que </w:t>
      </w:r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 xml:space="preserve">“em processos de controle externo envolvendo pregões para registro de preços devem ser sempre avaliados os aspectos relativos ao planejamento, como o procedimento de IRP </w:t>
      </w:r>
      <w:r w:rsidR="00EF420D" w:rsidRPr="0052610B">
        <w:rPr>
          <w:rFonts w:eastAsia="Times New Roman"/>
          <w:color w:val="000000"/>
          <w:sz w:val="22"/>
          <w:szCs w:val="22"/>
          <w:lang w:eastAsia="pt-BR"/>
        </w:rPr>
        <w:t>[intenção de registro de preços]</w:t>
      </w:r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>, aplicável a partir da vigência do Decreto 7.892/2013, e à estimativa das quantidades a serem adquiridas, devidamente justificada e baseada em estudos técnicos preliminares e elementos objetivos - Acórdãos</w:t>
      </w:r>
      <w:r w:rsidR="00D81431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1" w:history="1">
        <w:r w:rsidR="00D81431" w:rsidRPr="00D81431">
          <w:rPr>
            <w:rStyle w:val="Hyperlink"/>
            <w:i/>
            <w:sz w:val="22"/>
            <w:szCs w:val="22"/>
            <w:shd w:val="clear" w:color="auto" w:fill="FFFFFF"/>
          </w:rPr>
          <w:t>1.100/2008</w:t>
        </w:r>
      </w:hyperlink>
      <w:r w:rsidR="00D81431">
        <w:rPr>
          <w:rFonts w:eastAsia="Times New Roman"/>
          <w:i/>
          <w:color w:val="000000"/>
          <w:sz w:val="22"/>
          <w:szCs w:val="22"/>
          <w:lang w:eastAsia="pt-BR"/>
        </w:rPr>
        <w:t xml:space="preserve">, </w:t>
      </w:r>
      <w:hyperlink r:id="rId12" w:history="1">
        <w:r w:rsidR="00D81431" w:rsidRPr="00D81431">
          <w:rPr>
            <w:rStyle w:val="Hyperlink"/>
            <w:i/>
            <w:sz w:val="22"/>
            <w:szCs w:val="22"/>
            <w:shd w:val="clear" w:color="auto" w:fill="FFFFFF"/>
          </w:rPr>
          <w:t>392/2011</w:t>
        </w:r>
      </w:hyperlink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>e</w:t>
      </w:r>
      <w:r w:rsidR="00D81431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3" w:history="1">
        <w:r w:rsidR="00D81431" w:rsidRPr="00D81431">
          <w:rPr>
            <w:rStyle w:val="Hyperlink"/>
            <w:i/>
            <w:sz w:val="22"/>
            <w:szCs w:val="22"/>
            <w:shd w:val="clear" w:color="auto" w:fill="FFFFFF"/>
          </w:rPr>
          <w:t>3.137/2014</w:t>
        </w:r>
      </w:hyperlink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 xml:space="preserve">, do Plenário, </w:t>
      </w:r>
      <w:hyperlink r:id="rId14" w:history="1">
        <w:r w:rsidR="00D81431" w:rsidRPr="00D81431">
          <w:rPr>
            <w:rStyle w:val="Hyperlink"/>
            <w:i/>
            <w:sz w:val="22"/>
            <w:szCs w:val="22"/>
            <w:shd w:val="clear" w:color="auto" w:fill="FFFFFF"/>
          </w:rPr>
          <w:t>612/2004</w:t>
        </w:r>
      </w:hyperlink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 xml:space="preserve"> e </w:t>
      </w:r>
      <w:hyperlink r:id="rId15" w:history="1">
        <w:r w:rsidR="00D81431" w:rsidRPr="00D81431">
          <w:rPr>
            <w:rStyle w:val="Hyperlink"/>
            <w:i/>
            <w:sz w:val="22"/>
            <w:szCs w:val="22"/>
            <w:shd w:val="clear" w:color="auto" w:fill="FFFFFF"/>
          </w:rPr>
          <w:t>559/2009</w:t>
        </w:r>
      </w:hyperlink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 xml:space="preserve">, da 1ª Câmara, e </w:t>
      </w:r>
      <w:hyperlink r:id="rId16" w:history="1">
        <w:r w:rsidR="00EF48A7" w:rsidRPr="00EF48A7">
          <w:rPr>
            <w:rStyle w:val="Hyperlink"/>
            <w:i/>
            <w:sz w:val="22"/>
            <w:szCs w:val="22"/>
            <w:shd w:val="clear" w:color="auto" w:fill="FFFFFF"/>
          </w:rPr>
          <w:t>1.720</w:t>
        </w:r>
      </w:hyperlink>
      <w:r w:rsidR="00EF48A7">
        <w:rPr>
          <w:i/>
          <w:color w:val="1F497D"/>
          <w:sz w:val="22"/>
          <w:szCs w:val="22"/>
          <w:shd w:val="clear" w:color="auto" w:fill="FFFFFF"/>
        </w:rPr>
        <w:t xml:space="preserve"> </w:t>
      </w:r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 xml:space="preserve">e </w:t>
      </w:r>
      <w:hyperlink r:id="rId17" w:history="1">
        <w:r w:rsidR="00EF48A7" w:rsidRPr="00EF48A7">
          <w:rPr>
            <w:rStyle w:val="Hyperlink"/>
            <w:i/>
            <w:sz w:val="22"/>
            <w:szCs w:val="22"/>
            <w:shd w:val="clear" w:color="auto" w:fill="FFFFFF"/>
          </w:rPr>
          <w:t>4.411/2010</w:t>
        </w:r>
      </w:hyperlink>
      <w:r w:rsidR="00EF420D" w:rsidRPr="00EF420D">
        <w:rPr>
          <w:rFonts w:eastAsia="Times New Roman"/>
          <w:i/>
          <w:color w:val="000000"/>
          <w:sz w:val="22"/>
          <w:szCs w:val="22"/>
          <w:lang w:eastAsia="pt-BR"/>
        </w:rPr>
        <w:t>, da 2ª Câmara -, haja vista a possibilidade de alimentação indevida, por vezes até mesmo despropositada, do pernicioso ‘mercado de atas’</w:t>
      </w:r>
      <w:r w:rsidR="00EF420D">
        <w:rPr>
          <w:rFonts w:eastAsia="Times New Roman"/>
          <w:color w:val="000000"/>
          <w:sz w:val="22"/>
          <w:szCs w:val="22"/>
          <w:lang w:eastAsia="pt-BR"/>
        </w:rPr>
        <w:t xml:space="preserve">”. Além disso,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prosseguiu,</w:t>
      </w:r>
      <w:r w:rsidR="00EF420D">
        <w:rPr>
          <w:rFonts w:eastAsia="Times New Roman"/>
          <w:color w:val="000000"/>
          <w:sz w:val="22"/>
          <w:szCs w:val="22"/>
          <w:lang w:eastAsia="pt-BR"/>
        </w:rPr>
        <w:t xml:space="preserve"> deve o controle externo aferir sistematicamente </w:t>
      </w:r>
      <w:r w:rsidR="00EF420D" w:rsidRPr="00EF420D">
        <w:rPr>
          <w:rFonts w:eastAsia="Times New Roman"/>
          <w:color w:val="000000"/>
          <w:sz w:val="22"/>
          <w:szCs w:val="22"/>
          <w:lang w:eastAsia="pt-BR"/>
        </w:rPr>
        <w:t xml:space="preserve">a aplicação de outros dispositivos legais e regulamentadores do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sistema de registro de preços</w:t>
      </w:r>
      <w:r w:rsidR="00EF420D" w:rsidRPr="00EF420D">
        <w:rPr>
          <w:rFonts w:eastAsia="Times New Roman"/>
          <w:color w:val="000000"/>
          <w:sz w:val="22"/>
          <w:szCs w:val="22"/>
          <w:lang w:eastAsia="pt-BR"/>
        </w:rPr>
        <w:t>, como, por exemplo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, a</w:t>
      </w:r>
      <w:r w:rsidR="00EF420D" w:rsidRPr="00EF420D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66B5B">
        <w:rPr>
          <w:rFonts w:eastAsia="Times New Roman"/>
          <w:color w:val="000000"/>
          <w:sz w:val="22"/>
          <w:szCs w:val="22"/>
          <w:lang w:eastAsia="pt-BR"/>
        </w:rPr>
        <w:t>adoção em regra da adjudicação por item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 xml:space="preserve"> (</w:t>
      </w:r>
      <w:r w:rsidR="000D3263" w:rsidRPr="000D3263">
        <w:rPr>
          <w:rFonts w:eastAsia="Times New Roman"/>
          <w:color w:val="000000"/>
          <w:sz w:val="22"/>
          <w:szCs w:val="22"/>
          <w:lang w:eastAsia="pt-BR"/>
        </w:rPr>
        <w:t>adjudicação por preço global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 xml:space="preserve"> é</w:t>
      </w:r>
      <w:r w:rsidR="000D3263" w:rsidRPr="000D3263">
        <w:rPr>
          <w:rFonts w:eastAsia="Times New Roman"/>
          <w:color w:val="000000"/>
          <w:sz w:val="22"/>
          <w:szCs w:val="22"/>
          <w:lang w:eastAsia="pt-BR"/>
        </w:rPr>
        <w:t xml:space="preserve"> medida excepcional que precisa ser devidamente justificada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>)</w:t>
      </w:r>
      <w:r w:rsidR="00EF420D" w:rsidRPr="008717BF">
        <w:rPr>
          <w:rFonts w:eastAsia="Times New Roman"/>
          <w:i/>
          <w:color w:val="000000"/>
          <w:sz w:val="22"/>
          <w:szCs w:val="22"/>
          <w:lang w:eastAsia="pt-BR"/>
        </w:rPr>
        <w:t xml:space="preserve">, </w:t>
      </w:r>
      <w:r w:rsidR="00C66B5B">
        <w:rPr>
          <w:rFonts w:eastAsia="Times New Roman"/>
          <w:color w:val="000000"/>
          <w:sz w:val="22"/>
          <w:szCs w:val="22"/>
          <w:lang w:eastAsia="pt-BR"/>
        </w:rPr>
        <w:t>e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 xml:space="preserve"> explicitação</w:t>
      </w:r>
      <w:r w:rsidR="00C66B5B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>das hipóteses autorizadoras para a adoção do sistema de registro de preços (inclusive quanto ao atendimento a vários órgãos)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. Nesse passo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, acolhendo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a proposta do relator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 xml:space="preserve">o Plenário 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>julgo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u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 parcialmente procedente</w:t>
      </w:r>
      <w:r w:rsidR="006A7460">
        <w:rPr>
          <w:rFonts w:eastAsia="Times New Roman"/>
          <w:color w:val="000000"/>
          <w:sz w:val="22"/>
          <w:szCs w:val="22"/>
          <w:lang w:eastAsia="pt-BR"/>
        </w:rPr>
        <w:t xml:space="preserve"> a R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epresentação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revogando a cautelar concedida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 xml:space="preserve"> –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 haja vista que o 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jurisdicionado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 desconstituiu o ato irregular</w:t>
      </w:r>
      <w:r w:rsidR="00093AE1">
        <w:rPr>
          <w:rFonts w:eastAsia="Times New Roman"/>
          <w:color w:val="000000"/>
          <w:sz w:val="22"/>
          <w:szCs w:val="22"/>
          <w:lang w:eastAsia="pt-BR"/>
        </w:rPr>
        <w:t xml:space="preserve"> (</w:t>
      </w:r>
      <w:r w:rsidR="00093AE1" w:rsidRPr="00044772">
        <w:rPr>
          <w:rFonts w:eastAsia="Times New Roman"/>
          <w:color w:val="000000"/>
          <w:sz w:val="22"/>
          <w:szCs w:val="22"/>
          <w:lang w:eastAsia="pt-BR"/>
        </w:rPr>
        <w:t>rejeição sumária da intenção de recurso</w:t>
      </w:r>
      <w:r w:rsidR="00093AE1">
        <w:rPr>
          <w:rFonts w:eastAsia="Times New Roman"/>
          <w:color w:val="000000"/>
          <w:sz w:val="22"/>
          <w:szCs w:val="22"/>
          <w:lang w:eastAsia="pt-BR"/>
        </w:rPr>
        <w:t>)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 e reabriu prazo para registro dos recursos</w:t>
      </w:r>
      <w:r w:rsidR="000D3263">
        <w:rPr>
          <w:rFonts w:eastAsia="Times New Roman"/>
          <w:color w:val="000000"/>
          <w:sz w:val="22"/>
          <w:szCs w:val="22"/>
          <w:lang w:eastAsia="pt-BR"/>
        </w:rPr>
        <w:t xml:space="preserve"> –</w:t>
      </w:r>
      <w:r w:rsidR="00093AE1">
        <w:rPr>
          <w:rFonts w:eastAsia="Times New Roman"/>
          <w:color w:val="000000"/>
          <w:sz w:val="22"/>
          <w:szCs w:val="22"/>
          <w:lang w:eastAsia="pt-BR"/>
        </w:rPr>
        <w:t xml:space="preserve"> e expediu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 xml:space="preserve"> determinaç</w:t>
      </w:r>
      <w:r w:rsidR="00303474">
        <w:rPr>
          <w:rFonts w:eastAsia="Times New Roman"/>
          <w:color w:val="000000"/>
          <w:sz w:val="22"/>
          <w:szCs w:val="22"/>
          <w:lang w:eastAsia="pt-BR"/>
        </w:rPr>
        <w:t xml:space="preserve">ão </w:t>
      </w:r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à </w:t>
      </w:r>
      <w:proofErr w:type="spellStart"/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>Secretaria-Geral</w:t>
      </w:r>
      <w:proofErr w:type="spellEnd"/>
      <w:r w:rsidR="008717BF" w:rsidRPr="008717BF">
        <w:rPr>
          <w:rFonts w:eastAsia="Times New Roman"/>
          <w:color w:val="000000"/>
          <w:sz w:val="22"/>
          <w:szCs w:val="22"/>
          <w:lang w:eastAsia="pt-BR"/>
        </w:rPr>
        <w:t xml:space="preserve"> de Controle Externo do TCU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 xml:space="preserve"> para que oriente suas unidades sobre a necessidade de avaliar</w:t>
      </w:r>
      <w:r w:rsidR="00AF4CC3">
        <w:rPr>
          <w:rFonts w:eastAsia="Times New Roman"/>
          <w:color w:val="000000"/>
          <w:sz w:val="22"/>
          <w:szCs w:val="22"/>
          <w:lang w:eastAsia="pt-BR"/>
        </w:rPr>
        <w:t>,</w:t>
      </w:r>
      <w:r w:rsidR="00303474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303474" w:rsidRPr="00303474">
        <w:rPr>
          <w:rFonts w:eastAsia="Times New Roman"/>
          <w:color w:val="000000"/>
          <w:sz w:val="22"/>
          <w:szCs w:val="22"/>
          <w:lang w:eastAsia="pt-BR"/>
        </w:rPr>
        <w:t>em processos envolvendo pregões para registro de preços</w:t>
      </w:r>
      <w:r w:rsidR="008717BF">
        <w:rPr>
          <w:rFonts w:eastAsia="Times New Roman"/>
          <w:color w:val="000000"/>
          <w:sz w:val="22"/>
          <w:szCs w:val="22"/>
          <w:lang w:eastAsia="pt-BR"/>
        </w:rPr>
        <w:t>, dentre outros aspectos,</w:t>
      </w:r>
      <w:r w:rsidR="00303474">
        <w:rPr>
          <w:rFonts w:eastAsia="Times New Roman"/>
          <w:color w:val="000000"/>
          <w:sz w:val="22"/>
          <w:szCs w:val="22"/>
          <w:lang w:eastAsia="pt-BR"/>
        </w:rPr>
        <w:t xml:space="preserve"> a </w:t>
      </w:r>
      <w:r w:rsidR="00303474" w:rsidRPr="00303474">
        <w:rPr>
          <w:rFonts w:eastAsia="Times New Roman"/>
          <w:i/>
          <w:color w:val="000000"/>
          <w:sz w:val="22"/>
          <w:szCs w:val="22"/>
          <w:lang w:eastAsia="pt-BR"/>
        </w:rPr>
        <w:t>“obrigatoriedade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itens”</w:t>
      </w:r>
      <w:r w:rsidR="00303474">
        <w:rPr>
          <w:rFonts w:eastAsia="Times New Roman"/>
          <w:color w:val="000000"/>
          <w:sz w:val="22"/>
          <w:szCs w:val="22"/>
          <w:lang w:eastAsia="pt-BR"/>
        </w:rPr>
        <w:t>.</w:t>
      </w:r>
      <w:r w:rsidR="00283F3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8" w:history="1">
        <w:r w:rsidR="00283F33" w:rsidRPr="00283F33">
          <w:rPr>
            <w:rStyle w:val="Hyperlink"/>
            <w:b/>
            <w:i/>
            <w:sz w:val="22"/>
            <w:szCs w:val="22"/>
            <w:shd w:val="clear" w:color="auto" w:fill="FFFFFF"/>
          </w:rPr>
          <w:t>Acórdão 757/2015-Plenário</w:t>
        </w:r>
      </w:hyperlink>
      <w:r w:rsidR="00B33383" w:rsidRPr="00E8535D">
        <w:rPr>
          <w:rFonts w:eastAsia="Times New Roman"/>
          <w:b/>
          <w:i/>
          <w:sz w:val="22"/>
          <w:szCs w:val="22"/>
        </w:rPr>
        <w:t xml:space="preserve">, TC </w:t>
      </w:r>
      <w:r w:rsidR="00B33383">
        <w:rPr>
          <w:b/>
          <w:i/>
          <w:sz w:val="22"/>
          <w:szCs w:val="22"/>
        </w:rPr>
        <w:t>021.893/2014-4</w:t>
      </w:r>
      <w:r w:rsidR="00B33383" w:rsidRPr="00E8535D">
        <w:rPr>
          <w:rFonts w:eastAsia="Times New Roman"/>
          <w:b/>
          <w:i/>
          <w:sz w:val="22"/>
          <w:szCs w:val="22"/>
        </w:rPr>
        <w:t xml:space="preserve">, relator </w:t>
      </w:r>
      <w:r w:rsidR="00B33383">
        <w:rPr>
          <w:b/>
          <w:i/>
          <w:sz w:val="22"/>
          <w:szCs w:val="22"/>
        </w:rPr>
        <w:t>Ministro Bruno Dantas</w:t>
      </w:r>
      <w:r w:rsidR="00B33383" w:rsidRPr="00E8535D">
        <w:rPr>
          <w:rFonts w:eastAsia="Times New Roman"/>
          <w:b/>
          <w:i/>
          <w:sz w:val="22"/>
          <w:szCs w:val="22"/>
        </w:rPr>
        <w:t>, 8.4.2015.</w:t>
      </w:r>
    </w:p>
    <w:p w:rsidR="00EB02EE" w:rsidRPr="002458FC" w:rsidRDefault="00EB02EE" w:rsidP="008717BF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b/>
          <w:bCs/>
          <w:iCs/>
          <w:sz w:val="22"/>
          <w:szCs w:val="22"/>
        </w:rPr>
      </w:pPr>
    </w:p>
    <w:p w:rsidR="00EB0B85" w:rsidRPr="00ED3B26" w:rsidRDefault="00EB0B85" w:rsidP="00173904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9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D81431" w:rsidRDefault="00D81431" w:rsidP="00784888">
      <w:pPr>
        <w:ind w:left="0"/>
        <w:rPr>
          <w:sz w:val="22"/>
          <w:szCs w:val="22"/>
        </w:rPr>
      </w:pPr>
    </w:p>
    <w:p w:rsidR="00D81431" w:rsidRDefault="00D81431" w:rsidP="00784888">
      <w:pPr>
        <w:ind w:left="0"/>
        <w:rPr>
          <w:sz w:val="22"/>
          <w:szCs w:val="22"/>
        </w:rPr>
      </w:pPr>
    </w:p>
    <w:sectPr w:rsidR="00D81431" w:rsidSect="00616945">
      <w:footerReference w:type="default" r:id="rId20"/>
      <w:headerReference w:type="first" r:id="rId21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2" w:rsidRDefault="00E717F2" w:rsidP="008B0547">
      <w:pPr>
        <w:spacing w:after="0"/>
      </w:pPr>
      <w:r>
        <w:separator/>
      </w:r>
    </w:p>
  </w:endnote>
  <w:endnote w:type="continuationSeparator" w:id="0">
    <w:p w:rsidR="00E717F2" w:rsidRDefault="00E717F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P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D7016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2" w:rsidRDefault="00E717F2" w:rsidP="008B0547">
      <w:pPr>
        <w:spacing w:after="0"/>
      </w:pPr>
      <w:r>
        <w:separator/>
      </w:r>
    </w:p>
  </w:footnote>
  <w:footnote w:type="continuationSeparator" w:id="0">
    <w:p w:rsidR="00E717F2" w:rsidRDefault="00E717F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0F4212DE"/>
    <w:multiLevelType w:val="hybridMultilevel"/>
    <w:tmpl w:val="3AAAF2B6"/>
    <w:lvl w:ilvl="0" w:tplc="05668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1A14"/>
    <w:multiLevelType w:val="hybridMultilevel"/>
    <w:tmpl w:val="E154E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851A5"/>
    <w:multiLevelType w:val="hybridMultilevel"/>
    <w:tmpl w:val="0FD6F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A91625"/>
    <w:multiLevelType w:val="hybridMultilevel"/>
    <w:tmpl w:val="916A3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DCC64EC"/>
    <w:multiLevelType w:val="hybridMultilevel"/>
    <w:tmpl w:val="1B726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3568189B"/>
    <w:multiLevelType w:val="hybridMultilevel"/>
    <w:tmpl w:val="2FC61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4A94"/>
    <w:multiLevelType w:val="hybridMultilevel"/>
    <w:tmpl w:val="83BC5734"/>
    <w:lvl w:ilvl="0" w:tplc="E9C60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E7F42"/>
    <w:multiLevelType w:val="hybridMultilevel"/>
    <w:tmpl w:val="E5A80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6"/>
    <w:lvlOverride w:ilvl="0">
      <w:startOverride w:val="1"/>
    </w:lvlOverride>
  </w:num>
  <w:num w:numId="4">
    <w:abstractNumId w:val="17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21"/>
  </w:num>
  <w:num w:numId="12">
    <w:abstractNumId w:val="23"/>
  </w:num>
  <w:num w:numId="13">
    <w:abstractNumId w:val="25"/>
  </w:num>
  <w:num w:numId="14">
    <w:abstractNumId w:val="24"/>
  </w:num>
  <w:num w:numId="15">
    <w:abstractNumId w:val="28"/>
  </w:num>
  <w:num w:numId="16">
    <w:abstractNumId w:val="0"/>
  </w:num>
  <w:num w:numId="17">
    <w:abstractNumId w:val="7"/>
  </w:num>
  <w:num w:numId="18">
    <w:abstractNumId w:val="4"/>
  </w:num>
  <w:num w:numId="19">
    <w:abstractNumId w:val="19"/>
  </w:num>
  <w:num w:numId="20">
    <w:abstractNumId w:val="1"/>
  </w:num>
  <w:num w:numId="21">
    <w:abstractNumId w:val="27"/>
  </w:num>
  <w:num w:numId="22">
    <w:abstractNumId w:val="13"/>
  </w:num>
  <w:num w:numId="23">
    <w:abstractNumId w:val="8"/>
  </w:num>
  <w:num w:numId="24">
    <w:abstractNumId w:val="6"/>
  </w:num>
  <w:num w:numId="25">
    <w:abstractNumId w:val="11"/>
  </w:num>
  <w:num w:numId="26">
    <w:abstractNumId w:val="20"/>
  </w:num>
  <w:num w:numId="27">
    <w:abstractNumId w:val="9"/>
  </w:num>
  <w:num w:numId="28">
    <w:abstractNumId w:val="15"/>
  </w:num>
  <w:num w:numId="2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0CBB"/>
    <w:rsid w:val="00000F2D"/>
    <w:rsid w:val="0000153E"/>
    <w:rsid w:val="000016BB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696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408F5"/>
    <w:rsid w:val="00040938"/>
    <w:rsid w:val="00041337"/>
    <w:rsid w:val="00041450"/>
    <w:rsid w:val="000415DA"/>
    <w:rsid w:val="00041E6A"/>
    <w:rsid w:val="00042393"/>
    <w:rsid w:val="00042A13"/>
    <w:rsid w:val="000431BD"/>
    <w:rsid w:val="00043654"/>
    <w:rsid w:val="000436B0"/>
    <w:rsid w:val="000438BA"/>
    <w:rsid w:val="000438FC"/>
    <w:rsid w:val="00044117"/>
    <w:rsid w:val="00044536"/>
    <w:rsid w:val="00044732"/>
    <w:rsid w:val="0004477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4E4"/>
    <w:rsid w:val="00047773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B44"/>
    <w:rsid w:val="00056D51"/>
    <w:rsid w:val="00056F35"/>
    <w:rsid w:val="0005700B"/>
    <w:rsid w:val="0005724A"/>
    <w:rsid w:val="00057255"/>
    <w:rsid w:val="000572BB"/>
    <w:rsid w:val="0005737C"/>
    <w:rsid w:val="00057383"/>
    <w:rsid w:val="00057892"/>
    <w:rsid w:val="00057B48"/>
    <w:rsid w:val="00057D5A"/>
    <w:rsid w:val="0006013E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04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872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87F40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3AE1"/>
    <w:rsid w:val="000940A9"/>
    <w:rsid w:val="00094730"/>
    <w:rsid w:val="00094981"/>
    <w:rsid w:val="00094A70"/>
    <w:rsid w:val="00094A7D"/>
    <w:rsid w:val="00094C5B"/>
    <w:rsid w:val="00094C72"/>
    <w:rsid w:val="00094D05"/>
    <w:rsid w:val="00094E61"/>
    <w:rsid w:val="00094EEC"/>
    <w:rsid w:val="00094F3A"/>
    <w:rsid w:val="00095069"/>
    <w:rsid w:val="000957B7"/>
    <w:rsid w:val="00095AC0"/>
    <w:rsid w:val="00095D98"/>
    <w:rsid w:val="00095E17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6E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C2"/>
    <w:rsid w:val="000C0013"/>
    <w:rsid w:val="000C02AD"/>
    <w:rsid w:val="000C049A"/>
    <w:rsid w:val="000C060B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263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D37"/>
    <w:rsid w:val="000E1DF7"/>
    <w:rsid w:val="000E23D2"/>
    <w:rsid w:val="000E2496"/>
    <w:rsid w:val="000E24D9"/>
    <w:rsid w:val="000E28AC"/>
    <w:rsid w:val="000E2D47"/>
    <w:rsid w:val="000E3599"/>
    <w:rsid w:val="000E372B"/>
    <w:rsid w:val="000E3A55"/>
    <w:rsid w:val="000E3B31"/>
    <w:rsid w:val="000E3BBB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631"/>
    <w:rsid w:val="000E69A6"/>
    <w:rsid w:val="000E6B37"/>
    <w:rsid w:val="000E6CEF"/>
    <w:rsid w:val="000E7091"/>
    <w:rsid w:val="000E71D3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3BA2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0C"/>
    <w:rsid w:val="00135548"/>
    <w:rsid w:val="00135D01"/>
    <w:rsid w:val="00135EDA"/>
    <w:rsid w:val="001360E2"/>
    <w:rsid w:val="001360FB"/>
    <w:rsid w:val="00136272"/>
    <w:rsid w:val="0013642B"/>
    <w:rsid w:val="001365EA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3B36"/>
    <w:rsid w:val="001441C9"/>
    <w:rsid w:val="001444A2"/>
    <w:rsid w:val="00144987"/>
    <w:rsid w:val="00144EBC"/>
    <w:rsid w:val="00145214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39"/>
    <w:rsid w:val="0015086F"/>
    <w:rsid w:val="00150CBB"/>
    <w:rsid w:val="00151660"/>
    <w:rsid w:val="00151F92"/>
    <w:rsid w:val="0015258E"/>
    <w:rsid w:val="00152687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0BF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77DE1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28D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3C3"/>
    <w:rsid w:val="001A052D"/>
    <w:rsid w:val="001A0725"/>
    <w:rsid w:val="001A08CA"/>
    <w:rsid w:val="001A0B42"/>
    <w:rsid w:val="001A0B5D"/>
    <w:rsid w:val="001A0CC1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1DB"/>
    <w:rsid w:val="001A4287"/>
    <w:rsid w:val="001A430F"/>
    <w:rsid w:val="001A44BC"/>
    <w:rsid w:val="001A4C6F"/>
    <w:rsid w:val="001A516E"/>
    <w:rsid w:val="001A56C7"/>
    <w:rsid w:val="001A58D8"/>
    <w:rsid w:val="001A5971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26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968"/>
    <w:rsid w:val="001D2BC5"/>
    <w:rsid w:val="001D2D43"/>
    <w:rsid w:val="001D3401"/>
    <w:rsid w:val="001D34EB"/>
    <w:rsid w:val="001D35B4"/>
    <w:rsid w:val="001D3A4D"/>
    <w:rsid w:val="001D3F21"/>
    <w:rsid w:val="001D44B8"/>
    <w:rsid w:val="001D4515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36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48E"/>
    <w:rsid w:val="001F34F8"/>
    <w:rsid w:val="001F473A"/>
    <w:rsid w:val="001F4DA1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A7"/>
    <w:rsid w:val="00206C2E"/>
    <w:rsid w:val="00206CDA"/>
    <w:rsid w:val="00206CDC"/>
    <w:rsid w:val="00207082"/>
    <w:rsid w:val="0020734D"/>
    <w:rsid w:val="00207BB8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01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08D"/>
    <w:rsid w:val="00215156"/>
    <w:rsid w:val="0021517D"/>
    <w:rsid w:val="002157BF"/>
    <w:rsid w:val="00216157"/>
    <w:rsid w:val="00216BD9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08D"/>
    <w:rsid w:val="00227776"/>
    <w:rsid w:val="00227936"/>
    <w:rsid w:val="00230096"/>
    <w:rsid w:val="002301D3"/>
    <w:rsid w:val="002304EE"/>
    <w:rsid w:val="002308C7"/>
    <w:rsid w:val="00230CAD"/>
    <w:rsid w:val="00231845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68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8FC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B58"/>
    <w:rsid w:val="00255CF8"/>
    <w:rsid w:val="00255E00"/>
    <w:rsid w:val="00255FC7"/>
    <w:rsid w:val="00256044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55"/>
    <w:rsid w:val="00262969"/>
    <w:rsid w:val="00262D24"/>
    <w:rsid w:val="002632AA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33"/>
    <w:rsid w:val="00283F64"/>
    <w:rsid w:val="00284442"/>
    <w:rsid w:val="00284CE8"/>
    <w:rsid w:val="00285482"/>
    <w:rsid w:val="00285886"/>
    <w:rsid w:val="00285A5E"/>
    <w:rsid w:val="00285F7B"/>
    <w:rsid w:val="00286100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647"/>
    <w:rsid w:val="00292791"/>
    <w:rsid w:val="00292A8E"/>
    <w:rsid w:val="002930FA"/>
    <w:rsid w:val="00293198"/>
    <w:rsid w:val="002933A1"/>
    <w:rsid w:val="0029353D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D14"/>
    <w:rsid w:val="00297F8C"/>
    <w:rsid w:val="002A0113"/>
    <w:rsid w:val="002A03ED"/>
    <w:rsid w:val="002A040F"/>
    <w:rsid w:val="002A0BC9"/>
    <w:rsid w:val="002A0F27"/>
    <w:rsid w:val="002A11C4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AA"/>
    <w:rsid w:val="002A5CF5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12B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B9B"/>
    <w:rsid w:val="002B7C88"/>
    <w:rsid w:val="002C0291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654"/>
    <w:rsid w:val="002C578A"/>
    <w:rsid w:val="002C5912"/>
    <w:rsid w:val="002C5970"/>
    <w:rsid w:val="002C5C0C"/>
    <w:rsid w:val="002C5F03"/>
    <w:rsid w:val="002C61A9"/>
    <w:rsid w:val="002C6588"/>
    <w:rsid w:val="002C662D"/>
    <w:rsid w:val="002C66E9"/>
    <w:rsid w:val="002C6B2F"/>
    <w:rsid w:val="002C6BFB"/>
    <w:rsid w:val="002C71CF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AD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2B4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BC6"/>
    <w:rsid w:val="002E1EC2"/>
    <w:rsid w:val="002E1EC7"/>
    <w:rsid w:val="002E2333"/>
    <w:rsid w:val="002E2433"/>
    <w:rsid w:val="002E28BA"/>
    <w:rsid w:val="002E2D22"/>
    <w:rsid w:val="002E361B"/>
    <w:rsid w:val="002E361C"/>
    <w:rsid w:val="002E3943"/>
    <w:rsid w:val="002E3A3E"/>
    <w:rsid w:val="002E3EAF"/>
    <w:rsid w:val="002E3F7C"/>
    <w:rsid w:val="002E4254"/>
    <w:rsid w:val="002E44C3"/>
    <w:rsid w:val="002E4691"/>
    <w:rsid w:val="002E4695"/>
    <w:rsid w:val="002E4D98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C5"/>
    <w:rsid w:val="002F6FAD"/>
    <w:rsid w:val="002F7003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474"/>
    <w:rsid w:val="0030360F"/>
    <w:rsid w:val="00303790"/>
    <w:rsid w:val="00303984"/>
    <w:rsid w:val="00303FAF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3F0C"/>
    <w:rsid w:val="00314001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20368"/>
    <w:rsid w:val="0032040C"/>
    <w:rsid w:val="00320465"/>
    <w:rsid w:val="00320A64"/>
    <w:rsid w:val="00320B02"/>
    <w:rsid w:val="00320B84"/>
    <w:rsid w:val="00320D78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37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2FCB"/>
    <w:rsid w:val="00333005"/>
    <w:rsid w:val="00333597"/>
    <w:rsid w:val="00334500"/>
    <w:rsid w:val="0033497F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998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0FD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A40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1059"/>
    <w:rsid w:val="003711A7"/>
    <w:rsid w:val="003715D6"/>
    <w:rsid w:val="003717C6"/>
    <w:rsid w:val="00371822"/>
    <w:rsid w:val="003719DE"/>
    <w:rsid w:val="00371A15"/>
    <w:rsid w:val="00371A33"/>
    <w:rsid w:val="00371F8F"/>
    <w:rsid w:val="0037285D"/>
    <w:rsid w:val="00372BF0"/>
    <w:rsid w:val="00372E83"/>
    <w:rsid w:val="003730E2"/>
    <w:rsid w:val="0037314C"/>
    <w:rsid w:val="003731C2"/>
    <w:rsid w:val="00373747"/>
    <w:rsid w:val="00373860"/>
    <w:rsid w:val="00373DBC"/>
    <w:rsid w:val="00373DDB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4C1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D2A"/>
    <w:rsid w:val="00393FCC"/>
    <w:rsid w:val="003942EA"/>
    <w:rsid w:val="003943E5"/>
    <w:rsid w:val="00394793"/>
    <w:rsid w:val="003947BD"/>
    <w:rsid w:val="00394A7E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099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32F"/>
    <w:rsid w:val="003B043F"/>
    <w:rsid w:val="003B09C9"/>
    <w:rsid w:val="003B0EB1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075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5E1D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591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4B2D"/>
    <w:rsid w:val="003C5187"/>
    <w:rsid w:val="003C526E"/>
    <w:rsid w:val="003C58C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282"/>
    <w:rsid w:val="003D4345"/>
    <w:rsid w:val="003D44C8"/>
    <w:rsid w:val="003D47FD"/>
    <w:rsid w:val="003D4AA0"/>
    <w:rsid w:val="003D4B8C"/>
    <w:rsid w:val="003D5526"/>
    <w:rsid w:val="003D5B32"/>
    <w:rsid w:val="003D660C"/>
    <w:rsid w:val="003D7016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61A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4EBB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45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936"/>
    <w:rsid w:val="00411DB9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D1A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340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4EDF"/>
    <w:rsid w:val="00435149"/>
    <w:rsid w:val="00435269"/>
    <w:rsid w:val="00435769"/>
    <w:rsid w:val="00435805"/>
    <w:rsid w:val="00435EC1"/>
    <w:rsid w:val="00436258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545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1FB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8ED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E08"/>
    <w:rsid w:val="004729D6"/>
    <w:rsid w:val="00472A18"/>
    <w:rsid w:val="00472BF3"/>
    <w:rsid w:val="00472FB0"/>
    <w:rsid w:val="00473696"/>
    <w:rsid w:val="00473721"/>
    <w:rsid w:val="00473A4B"/>
    <w:rsid w:val="00473FF7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695"/>
    <w:rsid w:val="004848A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862"/>
    <w:rsid w:val="00492E3F"/>
    <w:rsid w:val="004930B3"/>
    <w:rsid w:val="0049331C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9E7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6B"/>
    <w:rsid w:val="004B329D"/>
    <w:rsid w:val="004B32F8"/>
    <w:rsid w:val="004B3476"/>
    <w:rsid w:val="004B36AE"/>
    <w:rsid w:val="004B3FAE"/>
    <w:rsid w:val="004B4672"/>
    <w:rsid w:val="004B46EE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13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AA"/>
    <w:rsid w:val="004C68C2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631"/>
    <w:rsid w:val="004E0BDE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61D"/>
    <w:rsid w:val="004E4B6C"/>
    <w:rsid w:val="004E4E00"/>
    <w:rsid w:val="004E4F6D"/>
    <w:rsid w:val="004E5000"/>
    <w:rsid w:val="004E5251"/>
    <w:rsid w:val="004E530F"/>
    <w:rsid w:val="004E5331"/>
    <w:rsid w:val="004E5599"/>
    <w:rsid w:val="004E55D4"/>
    <w:rsid w:val="004E586B"/>
    <w:rsid w:val="004E58BB"/>
    <w:rsid w:val="004E5A83"/>
    <w:rsid w:val="004E5CB8"/>
    <w:rsid w:val="004E5DA2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2C12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08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21D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A9C"/>
    <w:rsid w:val="00525956"/>
    <w:rsid w:val="00525B92"/>
    <w:rsid w:val="00525BED"/>
    <w:rsid w:val="00525D89"/>
    <w:rsid w:val="00526027"/>
    <w:rsid w:val="0052610B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08B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7FF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D54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382"/>
    <w:rsid w:val="0054541B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CF9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9E1"/>
    <w:rsid w:val="00553C45"/>
    <w:rsid w:val="005542D6"/>
    <w:rsid w:val="005544FA"/>
    <w:rsid w:val="00554723"/>
    <w:rsid w:val="00554A33"/>
    <w:rsid w:val="00554F2F"/>
    <w:rsid w:val="00554FCF"/>
    <w:rsid w:val="00555202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28"/>
    <w:rsid w:val="00564EA1"/>
    <w:rsid w:val="00564EFD"/>
    <w:rsid w:val="0056534C"/>
    <w:rsid w:val="005661C0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BC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C41"/>
    <w:rsid w:val="00574CF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32"/>
    <w:rsid w:val="00581BEF"/>
    <w:rsid w:val="005822F5"/>
    <w:rsid w:val="00582376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1AA1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0A1D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7F"/>
    <w:rsid w:val="005A46A3"/>
    <w:rsid w:val="005A47FE"/>
    <w:rsid w:val="005A4B91"/>
    <w:rsid w:val="005A50F6"/>
    <w:rsid w:val="005A578B"/>
    <w:rsid w:val="005A5DE6"/>
    <w:rsid w:val="005A626B"/>
    <w:rsid w:val="005A6285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9CF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3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20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060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3C"/>
    <w:rsid w:val="005E6889"/>
    <w:rsid w:val="005E6EB6"/>
    <w:rsid w:val="005E7100"/>
    <w:rsid w:val="005E72FB"/>
    <w:rsid w:val="005E7F95"/>
    <w:rsid w:val="005E7FC5"/>
    <w:rsid w:val="005E7FFA"/>
    <w:rsid w:val="005F01CE"/>
    <w:rsid w:val="005F0261"/>
    <w:rsid w:val="005F0296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62C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AA0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A21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E16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E1F"/>
    <w:rsid w:val="00631034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C66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9F0"/>
    <w:rsid w:val="00637AD5"/>
    <w:rsid w:val="00637BDD"/>
    <w:rsid w:val="00637E9B"/>
    <w:rsid w:val="00637FDD"/>
    <w:rsid w:val="00640129"/>
    <w:rsid w:val="006407E3"/>
    <w:rsid w:val="0064090D"/>
    <w:rsid w:val="00641E57"/>
    <w:rsid w:val="00641E88"/>
    <w:rsid w:val="006421E9"/>
    <w:rsid w:val="006423BE"/>
    <w:rsid w:val="0064260D"/>
    <w:rsid w:val="00642673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67F07"/>
    <w:rsid w:val="00670B9B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B4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1EF"/>
    <w:rsid w:val="00697477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0FCB"/>
    <w:rsid w:val="006A1019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70E"/>
    <w:rsid w:val="006A5833"/>
    <w:rsid w:val="006A5A7A"/>
    <w:rsid w:val="006A5B87"/>
    <w:rsid w:val="006A6143"/>
    <w:rsid w:val="006A6410"/>
    <w:rsid w:val="006A67C9"/>
    <w:rsid w:val="006A72F8"/>
    <w:rsid w:val="006A7354"/>
    <w:rsid w:val="006A7460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53F8"/>
    <w:rsid w:val="006C54B1"/>
    <w:rsid w:val="006C54BB"/>
    <w:rsid w:val="006C54BE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0BE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5C7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489"/>
    <w:rsid w:val="006D6509"/>
    <w:rsid w:val="006D660D"/>
    <w:rsid w:val="006D6898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8E4"/>
    <w:rsid w:val="006E1B15"/>
    <w:rsid w:val="006E1CC8"/>
    <w:rsid w:val="006E1DA5"/>
    <w:rsid w:val="006E220A"/>
    <w:rsid w:val="006E27F1"/>
    <w:rsid w:val="006E2E12"/>
    <w:rsid w:val="006E346A"/>
    <w:rsid w:val="006E3C8A"/>
    <w:rsid w:val="006E3E0D"/>
    <w:rsid w:val="006E4064"/>
    <w:rsid w:val="006E4806"/>
    <w:rsid w:val="006E4C0D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7E0"/>
    <w:rsid w:val="006F28D9"/>
    <w:rsid w:val="006F28FC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4B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4FE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D97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B0B"/>
    <w:rsid w:val="00736376"/>
    <w:rsid w:val="00736FD3"/>
    <w:rsid w:val="00737424"/>
    <w:rsid w:val="007378AD"/>
    <w:rsid w:val="00737FEC"/>
    <w:rsid w:val="007400E2"/>
    <w:rsid w:val="00740292"/>
    <w:rsid w:val="007403DD"/>
    <w:rsid w:val="00740527"/>
    <w:rsid w:val="00740D16"/>
    <w:rsid w:val="00740DA2"/>
    <w:rsid w:val="00740FB1"/>
    <w:rsid w:val="00742422"/>
    <w:rsid w:val="007424E5"/>
    <w:rsid w:val="0074262A"/>
    <w:rsid w:val="0074269A"/>
    <w:rsid w:val="00742B07"/>
    <w:rsid w:val="00742BBB"/>
    <w:rsid w:val="00742DB5"/>
    <w:rsid w:val="00742ECE"/>
    <w:rsid w:val="00743059"/>
    <w:rsid w:val="007436AE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0ED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59E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B44"/>
    <w:rsid w:val="00774B87"/>
    <w:rsid w:val="00774C88"/>
    <w:rsid w:val="00774D02"/>
    <w:rsid w:val="007750D9"/>
    <w:rsid w:val="00775265"/>
    <w:rsid w:val="007753B5"/>
    <w:rsid w:val="00775695"/>
    <w:rsid w:val="00775788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8C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96F"/>
    <w:rsid w:val="007B2A2F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D2E"/>
    <w:rsid w:val="007C2EA3"/>
    <w:rsid w:val="007C3515"/>
    <w:rsid w:val="007C38F7"/>
    <w:rsid w:val="007C3908"/>
    <w:rsid w:val="007C3AA6"/>
    <w:rsid w:val="007C4290"/>
    <w:rsid w:val="007C42FB"/>
    <w:rsid w:val="007C4499"/>
    <w:rsid w:val="007C4720"/>
    <w:rsid w:val="007C4E99"/>
    <w:rsid w:val="007C5151"/>
    <w:rsid w:val="007C538E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19A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757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964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1F3"/>
    <w:rsid w:val="007E7577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191A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B94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5D77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72E"/>
    <w:rsid w:val="00823997"/>
    <w:rsid w:val="00823A7E"/>
    <w:rsid w:val="00823D0F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686A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21D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7BF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B78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3C33"/>
    <w:rsid w:val="00894600"/>
    <w:rsid w:val="00894749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61C"/>
    <w:rsid w:val="00896755"/>
    <w:rsid w:val="00896F38"/>
    <w:rsid w:val="00897A55"/>
    <w:rsid w:val="008A0172"/>
    <w:rsid w:val="008A019D"/>
    <w:rsid w:val="008A0395"/>
    <w:rsid w:val="008A0423"/>
    <w:rsid w:val="008A058F"/>
    <w:rsid w:val="008A07E9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5CC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A0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77"/>
    <w:rsid w:val="008B3ED8"/>
    <w:rsid w:val="008B411A"/>
    <w:rsid w:val="008B4216"/>
    <w:rsid w:val="008B434A"/>
    <w:rsid w:val="008B4458"/>
    <w:rsid w:val="008B475C"/>
    <w:rsid w:val="008B4A47"/>
    <w:rsid w:val="008B4B8E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1C52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855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4A6"/>
    <w:rsid w:val="008E3AC0"/>
    <w:rsid w:val="008E3C0B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25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E7F37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ADD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BB3"/>
    <w:rsid w:val="009104A9"/>
    <w:rsid w:val="00910550"/>
    <w:rsid w:val="00910A48"/>
    <w:rsid w:val="00910A6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4F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2B9"/>
    <w:rsid w:val="0092336E"/>
    <w:rsid w:val="009236AA"/>
    <w:rsid w:val="009238AF"/>
    <w:rsid w:val="009239AA"/>
    <w:rsid w:val="00923AF8"/>
    <w:rsid w:val="00924173"/>
    <w:rsid w:val="00924232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76C"/>
    <w:rsid w:val="00941C5B"/>
    <w:rsid w:val="00941FF5"/>
    <w:rsid w:val="00942022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E79"/>
    <w:rsid w:val="00952660"/>
    <w:rsid w:val="00952838"/>
    <w:rsid w:val="00952A65"/>
    <w:rsid w:val="00952B9C"/>
    <w:rsid w:val="00952E93"/>
    <w:rsid w:val="009530DC"/>
    <w:rsid w:val="00953422"/>
    <w:rsid w:val="00953940"/>
    <w:rsid w:val="009539F2"/>
    <w:rsid w:val="00953B70"/>
    <w:rsid w:val="00953C3C"/>
    <w:rsid w:val="00953CCB"/>
    <w:rsid w:val="00954978"/>
    <w:rsid w:val="00954C38"/>
    <w:rsid w:val="00955620"/>
    <w:rsid w:val="00955C62"/>
    <w:rsid w:val="00955DEF"/>
    <w:rsid w:val="00955E2A"/>
    <w:rsid w:val="00955F59"/>
    <w:rsid w:val="00956330"/>
    <w:rsid w:val="00956348"/>
    <w:rsid w:val="00956BA7"/>
    <w:rsid w:val="00956FD8"/>
    <w:rsid w:val="009575F7"/>
    <w:rsid w:val="009577B9"/>
    <w:rsid w:val="009577D1"/>
    <w:rsid w:val="00957A98"/>
    <w:rsid w:val="00957AFA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3E94"/>
    <w:rsid w:val="00964075"/>
    <w:rsid w:val="009642CA"/>
    <w:rsid w:val="00964559"/>
    <w:rsid w:val="00964798"/>
    <w:rsid w:val="00964B4C"/>
    <w:rsid w:val="00964BE5"/>
    <w:rsid w:val="00964ED5"/>
    <w:rsid w:val="00964F2B"/>
    <w:rsid w:val="009651EB"/>
    <w:rsid w:val="009652B6"/>
    <w:rsid w:val="00965A36"/>
    <w:rsid w:val="00965B60"/>
    <w:rsid w:val="00965CBD"/>
    <w:rsid w:val="00965D55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DAD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ED9"/>
    <w:rsid w:val="00992F2E"/>
    <w:rsid w:val="00993431"/>
    <w:rsid w:val="00993495"/>
    <w:rsid w:val="009939EB"/>
    <w:rsid w:val="00993B9D"/>
    <w:rsid w:val="00993C2E"/>
    <w:rsid w:val="00993CEC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15A"/>
    <w:rsid w:val="009975A1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900"/>
    <w:rsid w:val="009B1B10"/>
    <w:rsid w:val="009B1C1A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33CA"/>
    <w:rsid w:val="009C39AF"/>
    <w:rsid w:val="009C3EB1"/>
    <w:rsid w:val="009C4359"/>
    <w:rsid w:val="009C4B6D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781"/>
    <w:rsid w:val="009C6DC0"/>
    <w:rsid w:val="009C6ECD"/>
    <w:rsid w:val="009C7099"/>
    <w:rsid w:val="009C712A"/>
    <w:rsid w:val="009C725D"/>
    <w:rsid w:val="009C72E6"/>
    <w:rsid w:val="009D0105"/>
    <w:rsid w:val="009D0392"/>
    <w:rsid w:val="009D053E"/>
    <w:rsid w:val="009D05A4"/>
    <w:rsid w:val="009D0928"/>
    <w:rsid w:val="009D0989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107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613"/>
    <w:rsid w:val="009D7949"/>
    <w:rsid w:val="009D7A7F"/>
    <w:rsid w:val="009E0488"/>
    <w:rsid w:val="009E04DC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733E"/>
    <w:rsid w:val="009E74C5"/>
    <w:rsid w:val="009F015D"/>
    <w:rsid w:val="009F01DB"/>
    <w:rsid w:val="009F1041"/>
    <w:rsid w:val="009F1253"/>
    <w:rsid w:val="009F166C"/>
    <w:rsid w:val="009F16B2"/>
    <w:rsid w:val="009F18E8"/>
    <w:rsid w:val="009F202B"/>
    <w:rsid w:val="009F20C6"/>
    <w:rsid w:val="009F28CE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88D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5B"/>
    <w:rsid w:val="00A03D62"/>
    <w:rsid w:val="00A03FA4"/>
    <w:rsid w:val="00A0409E"/>
    <w:rsid w:val="00A041B4"/>
    <w:rsid w:val="00A046C7"/>
    <w:rsid w:val="00A04BDD"/>
    <w:rsid w:val="00A04E2C"/>
    <w:rsid w:val="00A04EDA"/>
    <w:rsid w:val="00A05202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474"/>
    <w:rsid w:val="00A138CF"/>
    <w:rsid w:val="00A13A8C"/>
    <w:rsid w:val="00A13DEE"/>
    <w:rsid w:val="00A13E26"/>
    <w:rsid w:val="00A141DC"/>
    <w:rsid w:val="00A144F9"/>
    <w:rsid w:val="00A14503"/>
    <w:rsid w:val="00A146C2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9E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6D02"/>
    <w:rsid w:val="00A26F3B"/>
    <w:rsid w:val="00A27195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45F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8B9"/>
    <w:rsid w:val="00A57A93"/>
    <w:rsid w:val="00A57FFB"/>
    <w:rsid w:val="00A60766"/>
    <w:rsid w:val="00A60A6E"/>
    <w:rsid w:val="00A60F52"/>
    <w:rsid w:val="00A615D1"/>
    <w:rsid w:val="00A61DFE"/>
    <w:rsid w:val="00A61F91"/>
    <w:rsid w:val="00A624C9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5A8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5FA5"/>
    <w:rsid w:val="00A764E0"/>
    <w:rsid w:val="00A7653B"/>
    <w:rsid w:val="00A767B2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AD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43"/>
    <w:rsid w:val="00AA46CC"/>
    <w:rsid w:val="00AA46CE"/>
    <w:rsid w:val="00AA49AF"/>
    <w:rsid w:val="00AA4F2F"/>
    <w:rsid w:val="00AA533A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4A6"/>
    <w:rsid w:val="00AB2769"/>
    <w:rsid w:val="00AB27AA"/>
    <w:rsid w:val="00AB2A85"/>
    <w:rsid w:val="00AB2E00"/>
    <w:rsid w:val="00AB3156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5D2E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65C"/>
    <w:rsid w:val="00AD4D66"/>
    <w:rsid w:val="00AD516C"/>
    <w:rsid w:val="00AD5922"/>
    <w:rsid w:val="00AD5CB8"/>
    <w:rsid w:val="00AD5E96"/>
    <w:rsid w:val="00AD5F80"/>
    <w:rsid w:val="00AD61E3"/>
    <w:rsid w:val="00AD6555"/>
    <w:rsid w:val="00AD6A0F"/>
    <w:rsid w:val="00AD6F4A"/>
    <w:rsid w:val="00AD72AF"/>
    <w:rsid w:val="00AD7357"/>
    <w:rsid w:val="00AD77E5"/>
    <w:rsid w:val="00AD791A"/>
    <w:rsid w:val="00AD79DB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44C8"/>
    <w:rsid w:val="00AF4B96"/>
    <w:rsid w:val="00AF4BF4"/>
    <w:rsid w:val="00AF4BF9"/>
    <w:rsid w:val="00AF4CC3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0A61"/>
    <w:rsid w:val="00B02099"/>
    <w:rsid w:val="00B02174"/>
    <w:rsid w:val="00B02209"/>
    <w:rsid w:val="00B02238"/>
    <w:rsid w:val="00B02265"/>
    <w:rsid w:val="00B0250B"/>
    <w:rsid w:val="00B02855"/>
    <w:rsid w:val="00B02892"/>
    <w:rsid w:val="00B0313D"/>
    <w:rsid w:val="00B03337"/>
    <w:rsid w:val="00B035B0"/>
    <w:rsid w:val="00B0389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5E8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452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0FA"/>
    <w:rsid w:val="00B3312D"/>
    <w:rsid w:val="00B33383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1E9"/>
    <w:rsid w:val="00B3423E"/>
    <w:rsid w:val="00B346BF"/>
    <w:rsid w:val="00B347F1"/>
    <w:rsid w:val="00B348F0"/>
    <w:rsid w:val="00B34A39"/>
    <w:rsid w:val="00B34A99"/>
    <w:rsid w:val="00B34CFF"/>
    <w:rsid w:val="00B34D90"/>
    <w:rsid w:val="00B34F0B"/>
    <w:rsid w:val="00B3502B"/>
    <w:rsid w:val="00B350AF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713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758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0EE3"/>
    <w:rsid w:val="00B51207"/>
    <w:rsid w:val="00B512C8"/>
    <w:rsid w:val="00B512D2"/>
    <w:rsid w:val="00B513D2"/>
    <w:rsid w:val="00B516F6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A4D"/>
    <w:rsid w:val="00B56DC4"/>
    <w:rsid w:val="00B56DFF"/>
    <w:rsid w:val="00B56E4E"/>
    <w:rsid w:val="00B57874"/>
    <w:rsid w:val="00B57A9F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6C"/>
    <w:rsid w:val="00B77BB8"/>
    <w:rsid w:val="00B77E78"/>
    <w:rsid w:val="00B77FDF"/>
    <w:rsid w:val="00B800EC"/>
    <w:rsid w:val="00B80561"/>
    <w:rsid w:val="00B8065F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0E49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32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4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3F73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2B7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28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A64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EE"/>
    <w:rsid w:val="00C23F25"/>
    <w:rsid w:val="00C23F8A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836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92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534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4DB"/>
    <w:rsid w:val="00C55E15"/>
    <w:rsid w:val="00C55F0F"/>
    <w:rsid w:val="00C569EE"/>
    <w:rsid w:val="00C56C58"/>
    <w:rsid w:val="00C56CCC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B3B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5B"/>
    <w:rsid w:val="00C66BDD"/>
    <w:rsid w:val="00C66C03"/>
    <w:rsid w:val="00C67057"/>
    <w:rsid w:val="00C67158"/>
    <w:rsid w:val="00C6724A"/>
    <w:rsid w:val="00C67A36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2ED6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830"/>
    <w:rsid w:val="00C75031"/>
    <w:rsid w:val="00C7511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48"/>
    <w:rsid w:val="00C94CF0"/>
    <w:rsid w:val="00C95005"/>
    <w:rsid w:val="00C954C8"/>
    <w:rsid w:val="00C9557C"/>
    <w:rsid w:val="00C9579D"/>
    <w:rsid w:val="00C95A9A"/>
    <w:rsid w:val="00C961CA"/>
    <w:rsid w:val="00C96242"/>
    <w:rsid w:val="00C963CB"/>
    <w:rsid w:val="00C9644D"/>
    <w:rsid w:val="00C96454"/>
    <w:rsid w:val="00C96501"/>
    <w:rsid w:val="00C96747"/>
    <w:rsid w:val="00C96897"/>
    <w:rsid w:val="00C96A84"/>
    <w:rsid w:val="00C97075"/>
    <w:rsid w:val="00C97276"/>
    <w:rsid w:val="00C972B2"/>
    <w:rsid w:val="00C97C47"/>
    <w:rsid w:val="00CA0704"/>
    <w:rsid w:val="00CA08DA"/>
    <w:rsid w:val="00CA08FF"/>
    <w:rsid w:val="00CA0CE8"/>
    <w:rsid w:val="00CA0FB3"/>
    <w:rsid w:val="00CA0FB8"/>
    <w:rsid w:val="00CA107A"/>
    <w:rsid w:val="00CA10BE"/>
    <w:rsid w:val="00CA14FD"/>
    <w:rsid w:val="00CA15F3"/>
    <w:rsid w:val="00CA1EEA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8F9"/>
    <w:rsid w:val="00CB0979"/>
    <w:rsid w:val="00CB0C53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01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4FC7"/>
    <w:rsid w:val="00CC5628"/>
    <w:rsid w:val="00CC5ABF"/>
    <w:rsid w:val="00CC64E3"/>
    <w:rsid w:val="00CC6D93"/>
    <w:rsid w:val="00CC727E"/>
    <w:rsid w:val="00CC7712"/>
    <w:rsid w:val="00CC774A"/>
    <w:rsid w:val="00CC7DDA"/>
    <w:rsid w:val="00CD03D3"/>
    <w:rsid w:val="00CD054D"/>
    <w:rsid w:val="00CD06A0"/>
    <w:rsid w:val="00CD0D04"/>
    <w:rsid w:val="00CD14BB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5AA5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0FF"/>
    <w:rsid w:val="00CE4390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49"/>
    <w:rsid w:val="00CF19C6"/>
    <w:rsid w:val="00CF1B55"/>
    <w:rsid w:val="00CF1E9A"/>
    <w:rsid w:val="00CF213F"/>
    <w:rsid w:val="00CF230D"/>
    <w:rsid w:val="00CF28DF"/>
    <w:rsid w:val="00CF2A98"/>
    <w:rsid w:val="00CF39E0"/>
    <w:rsid w:val="00CF3A66"/>
    <w:rsid w:val="00CF4349"/>
    <w:rsid w:val="00CF43C6"/>
    <w:rsid w:val="00CF454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70C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CC1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E05"/>
    <w:rsid w:val="00D51F18"/>
    <w:rsid w:val="00D520B5"/>
    <w:rsid w:val="00D5235B"/>
    <w:rsid w:val="00D526F3"/>
    <w:rsid w:val="00D52DA3"/>
    <w:rsid w:val="00D52E44"/>
    <w:rsid w:val="00D52E5A"/>
    <w:rsid w:val="00D533D5"/>
    <w:rsid w:val="00D53537"/>
    <w:rsid w:val="00D5360E"/>
    <w:rsid w:val="00D53B2D"/>
    <w:rsid w:val="00D53D6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877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F80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431"/>
    <w:rsid w:val="00D817F1"/>
    <w:rsid w:val="00D81833"/>
    <w:rsid w:val="00D818F2"/>
    <w:rsid w:val="00D82170"/>
    <w:rsid w:val="00D825BC"/>
    <w:rsid w:val="00D82676"/>
    <w:rsid w:val="00D82706"/>
    <w:rsid w:val="00D8312E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5375"/>
    <w:rsid w:val="00D8603D"/>
    <w:rsid w:val="00D865D1"/>
    <w:rsid w:val="00D86C20"/>
    <w:rsid w:val="00D86DD4"/>
    <w:rsid w:val="00D86F1D"/>
    <w:rsid w:val="00D87CFA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17C"/>
    <w:rsid w:val="00D962B7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4F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56D"/>
    <w:rsid w:val="00DB0862"/>
    <w:rsid w:val="00DB08FA"/>
    <w:rsid w:val="00DB0A1C"/>
    <w:rsid w:val="00DB1495"/>
    <w:rsid w:val="00DB14BD"/>
    <w:rsid w:val="00DB1637"/>
    <w:rsid w:val="00DB19E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21"/>
    <w:rsid w:val="00DB4BC2"/>
    <w:rsid w:val="00DB4BD4"/>
    <w:rsid w:val="00DB4E30"/>
    <w:rsid w:val="00DB52C9"/>
    <w:rsid w:val="00DB53E6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6F0"/>
    <w:rsid w:val="00DC570A"/>
    <w:rsid w:val="00DC5C5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802"/>
    <w:rsid w:val="00DD1B11"/>
    <w:rsid w:val="00DD1B33"/>
    <w:rsid w:val="00DD1B59"/>
    <w:rsid w:val="00DD1CE2"/>
    <w:rsid w:val="00DD23D3"/>
    <w:rsid w:val="00DD2F5E"/>
    <w:rsid w:val="00DD36E6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67B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3C14"/>
    <w:rsid w:val="00E1434A"/>
    <w:rsid w:val="00E14600"/>
    <w:rsid w:val="00E146CF"/>
    <w:rsid w:val="00E1488A"/>
    <w:rsid w:val="00E14BED"/>
    <w:rsid w:val="00E14E30"/>
    <w:rsid w:val="00E15048"/>
    <w:rsid w:val="00E15606"/>
    <w:rsid w:val="00E15893"/>
    <w:rsid w:val="00E15ACE"/>
    <w:rsid w:val="00E15AF3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140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58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632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2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6DD"/>
    <w:rsid w:val="00E71765"/>
    <w:rsid w:val="00E717F2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77A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F0"/>
    <w:rsid w:val="00E81B70"/>
    <w:rsid w:val="00E81CD5"/>
    <w:rsid w:val="00E820E0"/>
    <w:rsid w:val="00E82322"/>
    <w:rsid w:val="00E82484"/>
    <w:rsid w:val="00E82556"/>
    <w:rsid w:val="00E82D19"/>
    <w:rsid w:val="00E83017"/>
    <w:rsid w:val="00E830E2"/>
    <w:rsid w:val="00E832D1"/>
    <w:rsid w:val="00E836CF"/>
    <w:rsid w:val="00E83809"/>
    <w:rsid w:val="00E83A40"/>
    <w:rsid w:val="00E844D6"/>
    <w:rsid w:val="00E84629"/>
    <w:rsid w:val="00E84688"/>
    <w:rsid w:val="00E8470D"/>
    <w:rsid w:val="00E8475C"/>
    <w:rsid w:val="00E847C9"/>
    <w:rsid w:val="00E84908"/>
    <w:rsid w:val="00E84EB8"/>
    <w:rsid w:val="00E85288"/>
    <w:rsid w:val="00E852EC"/>
    <w:rsid w:val="00E8535D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B43"/>
    <w:rsid w:val="00E87D8F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06D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375D"/>
    <w:rsid w:val="00EA3F5E"/>
    <w:rsid w:val="00EA413E"/>
    <w:rsid w:val="00EA443F"/>
    <w:rsid w:val="00EA4645"/>
    <w:rsid w:val="00EA466B"/>
    <w:rsid w:val="00EA4A82"/>
    <w:rsid w:val="00EA4F3E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2EE"/>
    <w:rsid w:val="00EB09B9"/>
    <w:rsid w:val="00EB0B85"/>
    <w:rsid w:val="00EB0C2C"/>
    <w:rsid w:val="00EB0C7C"/>
    <w:rsid w:val="00EB0E75"/>
    <w:rsid w:val="00EB0F35"/>
    <w:rsid w:val="00EB1714"/>
    <w:rsid w:val="00EB19FB"/>
    <w:rsid w:val="00EB1CCC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184"/>
    <w:rsid w:val="00EB5799"/>
    <w:rsid w:val="00EB5C6E"/>
    <w:rsid w:val="00EB60F7"/>
    <w:rsid w:val="00EB6134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21EF"/>
    <w:rsid w:val="00ED2A29"/>
    <w:rsid w:val="00ED2B62"/>
    <w:rsid w:val="00ED311F"/>
    <w:rsid w:val="00ED34D4"/>
    <w:rsid w:val="00ED3ADF"/>
    <w:rsid w:val="00ED3B26"/>
    <w:rsid w:val="00ED3D84"/>
    <w:rsid w:val="00ED3D87"/>
    <w:rsid w:val="00ED3DFB"/>
    <w:rsid w:val="00ED3E53"/>
    <w:rsid w:val="00ED41DC"/>
    <w:rsid w:val="00ED42FF"/>
    <w:rsid w:val="00ED4B38"/>
    <w:rsid w:val="00ED58B3"/>
    <w:rsid w:val="00ED59A5"/>
    <w:rsid w:val="00ED5BDC"/>
    <w:rsid w:val="00ED5E6C"/>
    <w:rsid w:val="00ED6315"/>
    <w:rsid w:val="00ED6342"/>
    <w:rsid w:val="00ED6A10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9BA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6B"/>
    <w:rsid w:val="00EE6DE6"/>
    <w:rsid w:val="00EE7629"/>
    <w:rsid w:val="00EE7904"/>
    <w:rsid w:val="00EE790F"/>
    <w:rsid w:val="00EE7BA5"/>
    <w:rsid w:val="00EE7C75"/>
    <w:rsid w:val="00EE7CCF"/>
    <w:rsid w:val="00EE7F7B"/>
    <w:rsid w:val="00EF007D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0D"/>
    <w:rsid w:val="00EF42FB"/>
    <w:rsid w:val="00EF4668"/>
    <w:rsid w:val="00EF4685"/>
    <w:rsid w:val="00EF4799"/>
    <w:rsid w:val="00EF4852"/>
    <w:rsid w:val="00EF48A7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62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AF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241"/>
    <w:rsid w:val="00F07571"/>
    <w:rsid w:val="00F076C5"/>
    <w:rsid w:val="00F07C50"/>
    <w:rsid w:val="00F07E96"/>
    <w:rsid w:val="00F1054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B8"/>
    <w:rsid w:val="00F211DE"/>
    <w:rsid w:val="00F21656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25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6F8C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ACE"/>
    <w:rsid w:val="00F30C02"/>
    <w:rsid w:val="00F30C40"/>
    <w:rsid w:val="00F30CE5"/>
    <w:rsid w:val="00F30E85"/>
    <w:rsid w:val="00F30FDC"/>
    <w:rsid w:val="00F311BB"/>
    <w:rsid w:val="00F313D1"/>
    <w:rsid w:val="00F3144A"/>
    <w:rsid w:val="00F318A7"/>
    <w:rsid w:val="00F31900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BE2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D20"/>
    <w:rsid w:val="00F52BF1"/>
    <w:rsid w:val="00F52DAC"/>
    <w:rsid w:val="00F52F5E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AE0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5EAC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9B5"/>
    <w:rsid w:val="00F74BBB"/>
    <w:rsid w:val="00F74F80"/>
    <w:rsid w:val="00F759AD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1D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C88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4B9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2FF"/>
    <w:rsid w:val="00FA446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5E7C"/>
    <w:rsid w:val="00FA6330"/>
    <w:rsid w:val="00FA6410"/>
    <w:rsid w:val="00FA6443"/>
    <w:rsid w:val="00FA6924"/>
    <w:rsid w:val="00FA69D3"/>
    <w:rsid w:val="00FA6AFF"/>
    <w:rsid w:val="00FA6C90"/>
    <w:rsid w:val="00FA6F71"/>
    <w:rsid w:val="00FA7125"/>
    <w:rsid w:val="00FA7131"/>
    <w:rsid w:val="00FA7DF7"/>
    <w:rsid w:val="00FB01CC"/>
    <w:rsid w:val="00FB02FB"/>
    <w:rsid w:val="00FB08F9"/>
    <w:rsid w:val="00FB1350"/>
    <w:rsid w:val="00FB16CA"/>
    <w:rsid w:val="00FB2203"/>
    <w:rsid w:val="00FB2578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179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D7B8D"/>
    <w:rsid w:val="00FE06A2"/>
    <w:rsid w:val="00FE0CE6"/>
    <w:rsid w:val="00FE0D6F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A71675-5DF2-4EAB-BFCD-7DFA873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5F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64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4&amp;numero=3137&amp;colegiado=P" TargetMode="External"/><Relationship Id="rId18" Type="http://schemas.openxmlformats.org/officeDocument/2006/relationships/hyperlink" Target="https://contas.tcu.gov.br/juris/SvlProxyHighlight?base=ACORDAO&amp;ano=2015&amp;numero=757&amp;colegiado=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1&amp;numero=392&amp;colegiado=P" TargetMode="External"/><Relationship Id="rId17" Type="http://schemas.openxmlformats.org/officeDocument/2006/relationships/hyperlink" Target="https://contas.tcu.gov.br/juris/SvlProxyHighlight?base=ACORDAO&amp;ano=2010&amp;numero=4411&amp;colegiado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s.tcu.gov.br/juris/SvlProxyHighlight?base=ACORDAO&amp;ano=2010&amp;numero=1720&amp;colegiado=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08&amp;numero=1100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09&amp;numero=559&amp;colegiad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as.tcu.gov.br/juris/SvlProxyHighlight?base=ACORDAO&amp;ano=2015&amp;numero=754&amp;colegiado=P" TargetMode="External"/><Relationship Id="rId19" Type="http://schemas.openxmlformats.org/officeDocument/2006/relationships/hyperlink" Target="mailto:infojuris@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754&amp;colegiado=P" TargetMode="External"/><Relationship Id="rId14" Type="http://schemas.openxmlformats.org/officeDocument/2006/relationships/hyperlink" Target="https://contas.tcu.gov.br/juris/SvlProxyHighlight?base=ACORDAO&amp;ano=2004&amp;numero=612&amp;colegiad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B51D-5CA0-48B8-8CAD-D2047A4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2318</Words>
  <Characters>12518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14807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LUIZ FELYPE TABOSA PORTO</cp:lastModifiedBy>
  <cp:revision>2</cp:revision>
  <cp:lastPrinted>2014-11-17T17:22:00Z</cp:lastPrinted>
  <dcterms:created xsi:type="dcterms:W3CDTF">2015-05-07T13:29:00Z</dcterms:created>
  <dcterms:modified xsi:type="dcterms:W3CDTF">2015-05-07T13:29:00Z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