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2F3875"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23</w:t>
      </w:r>
      <w:r w:rsidR="00207BB8">
        <w:rPr>
          <w:rFonts w:ascii="Times New Roman" w:hAnsi="Times New Roman"/>
          <w:b/>
          <w:i w:val="0"/>
          <w:sz w:val="22"/>
          <w:szCs w:val="22"/>
          <w:lang w:val="pt-BR"/>
        </w:rPr>
        <w:t>5</w:t>
      </w:r>
    </w:p>
    <w:p w:rsidR="00C61626" w:rsidRPr="003A0B0D" w:rsidRDefault="0008246E" w:rsidP="002815F0">
      <w:pPr>
        <w:pStyle w:val="Ttulo8"/>
        <w:tabs>
          <w:tab w:val="right" w:pos="4423"/>
        </w:tabs>
        <w:spacing w:before="0"/>
        <w:ind w:left="0"/>
        <w:jc w:val="center"/>
        <w:rPr>
          <w:rFonts w:ascii="Times New Roman" w:hAnsi="Times New Roman"/>
          <w:b/>
          <w:i w:val="0"/>
          <w:sz w:val="22"/>
          <w:szCs w:val="22"/>
          <w:lang w:val="pt-BR"/>
        </w:rPr>
      </w:pPr>
      <w:r w:rsidRPr="003A0B0D">
        <w:rPr>
          <w:rFonts w:ascii="Times New Roman" w:hAnsi="Times New Roman"/>
          <w:b/>
          <w:i w:val="0"/>
          <w:sz w:val="22"/>
          <w:szCs w:val="22"/>
        </w:rPr>
        <w:t>Sess</w:t>
      </w:r>
      <w:r w:rsidR="00377047" w:rsidRPr="003A0B0D">
        <w:rPr>
          <w:rFonts w:ascii="Times New Roman" w:hAnsi="Times New Roman"/>
          <w:b/>
          <w:i w:val="0"/>
          <w:sz w:val="22"/>
          <w:szCs w:val="22"/>
          <w:lang w:val="pt-BR"/>
        </w:rPr>
        <w:t>ões</w:t>
      </w:r>
      <w:r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207BB8">
        <w:rPr>
          <w:rFonts w:ascii="Times New Roman" w:hAnsi="Times New Roman"/>
          <w:b/>
          <w:i w:val="0"/>
          <w:sz w:val="22"/>
          <w:szCs w:val="22"/>
          <w:lang w:val="pt-BR"/>
        </w:rPr>
        <w:t>24</w:t>
      </w:r>
      <w:r w:rsidR="002F3875">
        <w:rPr>
          <w:rFonts w:ascii="Times New Roman" w:hAnsi="Times New Roman"/>
          <w:b/>
          <w:i w:val="0"/>
          <w:sz w:val="22"/>
          <w:szCs w:val="22"/>
          <w:lang w:val="pt-BR"/>
        </w:rPr>
        <w:t xml:space="preserve"> e </w:t>
      </w:r>
      <w:r w:rsidR="00207BB8">
        <w:rPr>
          <w:rFonts w:ascii="Times New Roman" w:hAnsi="Times New Roman"/>
          <w:b/>
          <w:i w:val="0"/>
          <w:sz w:val="22"/>
          <w:szCs w:val="22"/>
          <w:lang w:val="pt-BR"/>
        </w:rPr>
        <w:t>25</w:t>
      </w:r>
      <w:r w:rsidR="00005A0B" w:rsidRPr="003A0B0D">
        <w:rPr>
          <w:rFonts w:ascii="Times New Roman" w:hAnsi="Times New Roman"/>
          <w:b/>
          <w:i w:val="0"/>
          <w:sz w:val="22"/>
          <w:szCs w:val="22"/>
          <w:lang w:val="pt-BR"/>
        </w:rPr>
        <w:t xml:space="preserve"> de </w:t>
      </w:r>
      <w:r w:rsidR="00416E99">
        <w:rPr>
          <w:rFonts w:ascii="Times New Roman" w:hAnsi="Times New Roman"/>
          <w:b/>
          <w:i w:val="0"/>
          <w:sz w:val="22"/>
          <w:szCs w:val="22"/>
          <w:lang w:val="pt-BR"/>
        </w:rPr>
        <w:t>março</w:t>
      </w:r>
      <w:r w:rsidR="00E15D59">
        <w:rPr>
          <w:rFonts w:ascii="Times New Roman" w:hAnsi="Times New Roman"/>
          <w:b/>
          <w:i w:val="0"/>
          <w:sz w:val="22"/>
          <w:szCs w:val="22"/>
          <w:lang w:val="pt-BR"/>
        </w:rPr>
        <w:t xml:space="preserve"> 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3A0B0D"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175500" w:rsidRPr="003A0B0D" w:rsidRDefault="0008246E" w:rsidP="00A47A9A">
      <w:pPr>
        <w:autoSpaceDE w:val="0"/>
        <w:autoSpaceDN w:val="0"/>
        <w:adjustRightInd w:val="0"/>
        <w:spacing w:after="60"/>
        <w:ind w:left="0"/>
        <w:rPr>
          <w:b/>
          <w:sz w:val="22"/>
          <w:szCs w:val="22"/>
          <w:lang w:eastAsia="pt-BR"/>
        </w:rPr>
      </w:pPr>
      <w:r w:rsidRPr="003A0B0D">
        <w:rPr>
          <w:b/>
          <w:sz w:val="22"/>
          <w:szCs w:val="22"/>
          <w:lang w:eastAsia="pt-BR"/>
        </w:rPr>
        <w:t>Plenário</w:t>
      </w:r>
    </w:p>
    <w:p w:rsidR="002A5CAA" w:rsidRPr="00EB0B85" w:rsidRDefault="00EB0B85" w:rsidP="00EB0B85">
      <w:pPr>
        <w:tabs>
          <w:tab w:val="left" w:pos="0"/>
        </w:tabs>
        <w:autoSpaceDE w:val="0"/>
        <w:autoSpaceDN w:val="0"/>
        <w:adjustRightInd w:val="0"/>
        <w:spacing w:after="60"/>
        <w:ind w:left="0"/>
        <w:rPr>
          <w:rFonts w:eastAsia="Times New Roman"/>
          <w:color w:val="000000"/>
          <w:sz w:val="22"/>
          <w:szCs w:val="22"/>
          <w:lang w:eastAsia="pt-BR"/>
        </w:rPr>
      </w:pPr>
      <w:r w:rsidRPr="00EB0B85">
        <w:rPr>
          <w:rFonts w:eastAsia="Times New Roman"/>
          <w:color w:val="000000"/>
          <w:sz w:val="22"/>
          <w:szCs w:val="22"/>
          <w:lang w:eastAsia="pt-BR"/>
        </w:rPr>
        <w:t xml:space="preserve">1. </w:t>
      </w:r>
      <w:r w:rsidR="00EA006D" w:rsidRPr="00EA006D">
        <w:rPr>
          <w:rFonts w:eastAsia="Times New Roman"/>
          <w:color w:val="000000"/>
          <w:sz w:val="22"/>
          <w:szCs w:val="22"/>
          <w:lang w:eastAsia="pt-BR"/>
        </w:rPr>
        <w:t>As contratações de seguros por órgãos da Administração Pública</w:t>
      </w:r>
      <w:r w:rsidR="003C2591">
        <w:rPr>
          <w:rFonts w:eastAsia="Times New Roman"/>
          <w:color w:val="000000"/>
          <w:sz w:val="22"/>
          <w:szCs w:val="22"/>
          <w:lang w:eastAsia="pt-BR"/>
        </w:rPr>
        <w:t>,</w:t>
      </w:r>
      <w:r w:rsidR="00EA006D" w:rsidRPr="00EA006D">
        <w:rPr>
          <w:rFonts w:eastAsia="Times New Roman"/>
          <w:color w:val="000000"/>
          <w:sz w:val="22"/>
          <w:szCs w:val="22"/>
          <w:lang w:eastAsia="pt-BR"/>
        </w:rPr>
        <w:t xml:space="preserve"> e seus respectivos aditivos, quando realizadas mediante simples emissão de apólices de forma unilateral pela empresa seguradora e sem a devida formalização por meio de instrumento de contrato, configuram desconformidade com os </w:t>
      </w:r>
      <w:proofErr w:type="spellStart"/>
      <w:r w:rsidR="00EA006D" w:rsidRPr="00EA006D">
        <w:rPr>
          <w:rFonts w:eastAsia="Times New Roman"/>
          <w:color w:val="000000"/>
          <w:sz w:val="22"/>
          <w:szCs w:val="22"/>
          <w:lang w:eastAsia="pt-BR"/>
        </w:rPr>
        <w:t>arts</w:t>
      </w:r>
      <w:proofErr w:type="spellEnd"/>
      <w:r w:rsidR="00EA006D" w:rsidRPr="00EA006D">
        <w:rPr>
          <w:rFonts w:eastAsia="Times New Roman"/>
          <w:color w:val="000000"/>
          <w:sz w:val="22"/>
          <w:szCs w:val="22"/>
          <w:lang w:eastAsia="pt-BR"/>
        </w:rPr>
        <w:t>. 60 e 62 da Lei 8.666/93, tendo em vista a necessária discriminação de cláusulas previstas no art. 55 e das informações constantes do art. 61 da mesma lei</w:t>
      </w:r>
      <w:r w:rsidRPr="00EB0B85">
        <w:rPr>
          <w:rFonts w:eastAsia="Times New Roman"/>
          <w:color w:val="000000"/>
          <w:sz w:val="22"/>
          <w:szCs w:val="22"/>
          <w:lang w:eastAsia="pt-BR"/>
        </w:rPr>
        <w:t>.</w:t>
      </w:r>
    </w:p>
    <w:p w:rsidR="00234684" w:rsidRDefault="00EB0B85" w:rsidP="004F7D96">
      <w:pPr>
        <w:autoSpaceDE w:val="0"/>
        <w:autoSpaceDN w:val="0"/>
        <w:adjustRightInd w:val="0"/>
        <w:spacing w:after="60"/>
        <w:ind w:left="0"/>
        <w:rPr>
          <w:color w:val="000000"/>
          <w:sz w:val="22"/>
          <w:szCs w:val="22"/>
        </w:rPr>
      </w:pPr>
      <w:r>
        <w:rPr>
          <w:sz w:val="22"/>
          <w:szCs w:val="22"/>
        </w:rPr>
        <w:t>2</w:t>
      </w:r>
      <w:r w:rsidR="00EC47AB" w:rsidRPr="00DD5140">
        <w:rPr>
          <w:sz w:val="22"/>
          <w:szCs w:val="22"/>
        </w:rPr>
        <w:t xml:space="preserve">. </w:t>
      </w:r>
      <w:r w:rsidR="002B312B">
        <w:rPr>
          <w:color w:val="000000"/>
          <w:sz w:val="22"/>
          <w:szCs w:val="22"/>
        </w:rPr>
        <w:t>É vedada a intermediação de empresa corretora n</w:t>
      </w:r>
      <w:r w:rsidR="004E461D" w:rsidRPr="002B312B">
        <w:rPr>
          <w:color w:val="000000"/>
          <w:sz w:val="22"/>
          <w:szCs w:val="22"/>
        </w:rPr>
        <w:t>a execução de contrato de seguros adquiridos pela Administração Pública, ainda que inexista vínculo formal direto da corretora com o órgão contratante.</w:t>
      </w:r>
    </w:p>
    <w:p w:rsidR="00262955" w:rsidRPr="00262955" w:rsidRDefault="0099715A" w:rsidP="00262955">
      <w:pPr>
        <w:tabs>
          <w:tab w:val="left" w:pos="0"/>
        </w:tabs>
        <w:autoSpaceDE w:val="0"/>
        <w:autoSpaceDN w:val="0"/>
        <w:adjustRightInd w:val="0"/>
        <w:spacing w:after="0"/>
        <w:ind w:left="0"/>
        <w:rPr>
          <w:rFonts w:eastAsia="Times New Roman"/>
          <w:color w:val="000000"/>
          <w:sz w:val="22"/>
          <w:szCs w:val="22"/>
          <w:lang w:eastAsia="pt-BR"/>
        </w:rPr>
      </w:pPr>
      <w:r w:rsidRPr="00262955">
        <w:rPr>
          <w:color w:val="000000"/>
          <w:sz w:val="22"/>
          <w:szCs w:val="22"/>
        </w:rPr>
        <w:t>3</w:t>
      </w:r>
      <w:r w:rsidR="002458FC" w:rsidRPr="00262955">
        <w:rPr>
          <w:color w:val="000000"/>
          <w:sz w:val="22"/>
          <w:szCs w:val="22"/>
        </w:rPr>
        <w:t>.</w:t>
      </w:r>
      <w:r w:rsidR="00262955" w:rsidRPr="00262955">
        <w:rPr>
          <w:rFonts w:eastAsia="Times New Roman"/>
          <w:color w:val="000000"/>
          <w:sz w:val="22"/>
          <w:szCs w:val="22"/>
          <w:lang w:eastAsia="pt-BR"/>
        </w:rPr>
        <w:t xml:space="preserve"> Ante a lacuna existente no Decreto 2.745/98 e nos normativos da Petrobras acerca dos elementos mínimos que devem constar nas propostas comerciais recebidas nas licitações, aplicam-se às contratações de obras e serviços de engenharia da estatal, em especial às empreitadas por preço global, procedimentos análogos aos das contratações integradas do Regime Diferenciado de Contratações Públicas (RDC),</w:t>
      </w:r>
      <w:r w:rsidR="00642673">
        <w:rPr>
          <w:rFonts w:eastAsia="Times New Roman"/>
          <w:color w:val="000000"/>
          <w:sz w:val="22"/>
          <w:szCs w:val="22"/>
          <w:lang w:eastAsia="pt-BR"/>
        </w:rPr>
        <w:t xml:space="preserve"> delimitados</w:t>
      </w:r>
      <w:r w:rsidR="00262955" w:rsidRPr="00262955">
        <w:rPr>
          <w:rFonts w:eastAsia="Times New Roman"/>
          <w:color w:val="000000"/>
          <w:sz w:val="22"/>
          <w:szCs w:val="22"/>
          <w:lang w:eastAsia="pt-BR"/>
        </w:rPr>
        <w:t xml:space="preserve"> </w:t>
      </w:r>
      <w:r w:rsidR="00642673">
        <w:rPr>
          <w:rFonts w:eastAsia="Times New Roman"/>
          <w:color w:val="000000"/>
          <w:sz w:val="22"/>
          <w:szCs w:val="22"/>
          <w:lang w:eastAsia="pt-BR"/>
        </w:rPr>
        <w:t>em</w:t>
      </w:r>
      <w:r w:rsidR="00262955" w:rsidRPr="00262955">
        <w:rPr>
          <w:rFonts w:eastAsia="Times New Roman"/>
          <w:color w:val="000000"/>
          <w:sz w:val="22"/>
          <w:szCs w:val="22"/>
          <w:lang w:eastAsia="pt-BR"/>
        </w:rPr>
        <w:t xml:space="preserve"> ente</w:t>
      </w:r>
      <w:r w:rsidR="00642673">
        <w:rPr>
          <w:rFonts w:eastAsia="Times New Roman"/>
          <w:color w:val="000000"/>
          <w:sz w:val="22"/>
          <w:szCs w:val="22"/>
          <w:lang w:eastAsia="pt-BR"/>
        </w:rPr>
        <w:t>ndimentos do TCU</w:t>
      </w:r>
      <w:r w:rsidR="00262955" w:rsidRPr="00262955">
        <w:rPr>
          <w:rFonts w:eastAsia="Times New Roman"/>
          <w:color w:val="000000"/>
          <w:sz w:val="22"/>
          <w:szCs w:val="22"/>
          <w:lang w:eastAsia="pt-BR"/>
        </w:rPr>
        <w:t>, em prestígio aos princípios da segurança jurídica, do julgamento objetivo, da isonomia, da eficiência e da obtenção da melhor proposta.</w:t>
      </w:r>
    </w:p>
    <w:p w:rsidR="004E461D" w:rsidRPr="00DD5140" w:rsidRDefault="004E461D" w:rsidP="004F7D96">
      <w:pPr>
        <w:autoSpaceDE w:val="0"/>
        <w:autoSpaceDN w:val="0"/>
        <w:adjustRightInd w:val="0"/>
        <w:spacing w:after="60"/>
        <w:ind w:left="0"/>
        <w:rPr>
          <w:rFonts w:eastAsia="Times New Roman"/>
          <w:sz w:val="22"/>
          <w:szCs w:val="22"/>
          <w:lang w:eastAsia="pt-BR"/>
        </w:rPr>
      </w:pPr>
    </w:p>
    <w:p w:rsidR="006B62B4" w:rsidRPr="003A0B0D"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rsidR="00FC6135" w:rsidRDefault="00FC6135" w:rsidP="00594C49">
      <w:pPr>
        <w:pStyle w:val="enter-3pt"/>
        <w:tabs>
          <w:tab w:val="left" w:pos="2590"/>
        </w:tabs>
        <w:spacing w:line="240" w:lineRule="auto"/>
        <w:rPr>
          <w:b/>
          <w:sz w:val="22"/>
          <w:szCs w:val="22"/>
        </w:rPr>
      </w:pPr>
    </w:p>
    <w:p w:rsidR="008B3E77" w:rsidRPr="003C2591" w:rsidRDefault="00EB0B85" w:rsidP="003C2591">
      <w:pPr>
        <w:tabs>
          <w:tab w:val="left" w:pos="0"/>
        </w:tabs>
        <w:autoSpaceDE w:val="0"/>
        <w:autoSpaceDN w:val="0"/>
        <w:adjustRightInd w:val="0"/>
        <w:spacing w:after="0"/>
        <w:ind w:left="0"/>
        <w:rPr>
          <w:rFonts w:eastAsia="Times New Roman"/>
          <w:b/>
          <w:color w:val="000000"/>
          <w:sz w:val="22"/>
          <w:szCs w:val="22"/>
          <w:lang w:eastAsia="pt-BR"/>
        </w:rPr>
      </w:pPr>
      <w:r w:rsidRPr="003C2591">
        <w:rPr>
          <w:rFonts w:eastAsia="Times New Roman"/>
          <w:b/>
          <w:color w:val="000000"/>
          <w:sz w:val="22"/>
          <w:szCs w:val="22"/>
          <w:lang w:eastAsia="pt-BR"/>
        </w:rPr>
        <w:t xml:space="preserve">1. </w:t>
      </w:r>
      <w:r w:rsidR="003510FD" w:rsidRPr="003C2591">
        <w:rPr>
          <w:rFonts w:eastAsia="Times New Roman"/>
          <w:b/>
          <w:color w:val="000000"/>
          <w:sz w:val="22"/>
          <w:szCs w:val="22"/>
          <w:lang w:eastAsia="pt-BR"/>
        </w:rPr>
        <w:t>As contratações de seguros por órgãos da Administração Pública</w:t>
      </w:r>
      <w:r w:rsidR="003C2591">
        <w:rPr>
          <w:rFonts w:eastAsia="Times New Roman"/>
          <w:b/>
          <w:color w:val="000000"/>
          <w:sz w:val="22"/>
          <w:szCs w:val="22"/>
          <w:lang w:eastAsia="pt-BR"/>
        </w:rPr>
        <w:t>,</w:t>
      </w:r>
      <w:r w:rsidR="003510FD" w:rsidRPr="003C2591">
        <w:rPr>
          <w:rFonts w:eastAsia="Times New Roman"/>
          <w:b/>
          <w:color w:val="000000"/>
          <w:sz w:val="22"/>
          <w:szCs w:val="22"/>
          <w:lang w:eastAsia="pt-BR"/>
        </w:rPr>
        <w:t xml:space="preserve"> e seus respectivos aditivos, quando realizadas mediante simples emissão de apólices de forma unilateral pela empresa seguradora e sem a devida formalização por meio de instrumento de contrato, configuram desconformidade com os </w:t>
      </w:r>
      <w:proofErr w:type="spellStart"/>
      <w:r w:rsidR="003510FD" w:rsidRPr="003C2591">
        <w:rPr>
          <w:rFonts w:eastAsia="Times New Roman"/>
          <w:b/>
          <w:color w:val="000000"/>
          <w:sz w:val="22"/>
          <w:szCs w:val="22"/>
          <w:lang w:eastAsia="pt-BR"/>
        </w:rPr>
        <w:t>arts</w:t>
      </w:r>
      <w:proofErr w:type="spellEnd"/>
      <w:r w:rsidR="003510FD" w:rsidRPr="003C2591">
        <w:rPr>
          <w:rFonts w:eastAsia="Times New Roman"/>
          <w:b/>
          <w:color w:val="000000"/>
          <w:sz w:val="22"/>
          <w:szCs w:val="22"/>
          <w:lang w:eastAsia="pt-BR"/>
        </w:rPr>
        <w:t>. 60 e 62 da Lei 8.666/93, tendo em vista a necessária discriminação de cláusulas previstas no art. 55 e das informações constantes do art. 61 da mesma lei</w:t>
      </w:r>
      <w:r w:rsidRPr="003C2591">
        <w:rPr>
          <w:rFonts w:eastAsia="Times New Roman"/>
          <w:b/>
          <w:color w:val="000000"/>
          <w:sz w:val="22"/>
          <w:szCs w:val="22"/>
          <w:lang w:eastAsia="pt-BR"/>
        </w:rPr>
        <w:t>.</w:t>
      </w:r>
    </w:p>
    <w:p w:rsidR="00EB0B85" w:rsidRPr="003C2591" w:rsidRDefault="008B3E77" w:rsidP="003C2591">
      <w:pPr>
        <w:pStyle w:val="Default"/>
        <w:jc w:val="both"/>
        <w:rPr>
          <w:rFonts w:eastAsia="Times New Roman"/>
          <w:b/>
          <w:i/>
          <w:sz w:val="22"/>
          <w:szCs w:val="22"/>
        </w:rPr>
      </w:pPr>
      <w:r w:rsidRPr="003C2591">
        <w:rPr>
          <w:rFonts w:eastAsia="Times New Roman"/>
          <w:sz w:val="22"/>
          <w:szCs w:val="22"/>
        </w:rPr>
        <w:t xml:space="preserve">Representação formulada </w:t>
      </w:r>
      <w:r w:rsidR="00CF1949" w:rsidRPr="003C2591">
        <w:rPr>
          <w:rFonts w:eastAsia="Times New Roman"/>
          <w:sz w:val="22"/>
          <w:szCs w:val="22"/>
        </w:rPr>
        <w:t>pela</w:t>
      </w:r>
      <w:r w:rsidR="00CF1949" w:rsidRPr="003C2591">
        <w:rPr>
          <w:rFonts w:eastAsia="Times New Roman"/>
          <w:color w:val="auto"/>
          <w:sz w:val="22"/>
          <w:szCs w:val="22"/>
          <w:lang w:eastAsia="en-US"/>
        </w:rPr>
        <w:t xml:space="preserve"> </w:t>
      </w:r>
      <w:r w:rsidR="00CF1949" w:rsidRPr="003C2591">
        <w:rPr>
          <w:rFonts w:eastAsia="Times New Roman"/>
          <w:sz w:val="22"/>
          <w:szCs w:val="22"/>
        </w:rPr>
        <w:t>Procuradoria da República no R</w:t>
      </w:r>
      <w:r w:rsidR="003C2591">
        <w:rPr>
          <w:rFonts w:eastAsia="Times New Roman"/>
          <w:sz w:val="22"/>
          <w:szCs w:val="22"/>
        </w:rPr>
        <w:t xml:space="preserve">io de </w:t>
      </w:r>
      <w:r w:rsidR="00CF1949" w:rsidRPr="003C2591">
        <w:rPr>
          <w:rFonts w:eastAsia="Times New Roman"/>
          <w:sz w:val="22"/>
          <w:szCs w:val="22"/>
        </w:rPr>
        <w:t>J</w:t>
      </w:r>
      <w:r w:rsidR="003C2591">
        <w:rPr>
          <w:rFonts w:eastAsia="Times New Roman"/>
          <w:sz w:val="22"/>
          <w:szCs w:val="22"/>
        </w:rPr>
        <w:t>aneiro</w:t>
      </w:r>
      <w:r w:rsidRPr="003C2591">
        <w:rPr>
          <w:rFonts w:eastAsia="Times New Roman"/>
          <w:sz w:val="22"/>
          <w:szCs w:val="22"/>
        </w:rPr>
        <w:t xml:space="preserve"> apontara possíveis irregularidades em contrato</w:t>
      </w:r>
      <w:r w:rsidR="00CB7C01" w:rsidRPr="003C2591">
        <w:rPr>
          <w:rFonts w:eastAsia="Times New Roman"/>
          <w:sz w:val="22"/>
          <w:szCs w:val="22"/>
        </w:rPr>
        <w:t>s</w:t>
      </w:r>
      <w:r w:rsidRPr="003C2591">
        <w:rPr>
          <w:rFonts w:eastAsia="Times New Roman"/>
          <w:sz w:val="22"/>
          <w:szCs w:val="22"/>
        </w:rPr>
        <w:t xml:space="preserve"> de seguro de vida em grupo firmado</w:t>
      </w:r>
      <w:r w:rsidR="003F6345" w:rsidRPr="003C2591">
        <w:rPr>
          <w:rFonts w:eastAsia="Times New Roman"/>
          <w:sz w:val="22"/>
          <w:szCs w:val="22"/>
        </w:rPr>
        <w:t>s</w:t>
      </w:r>
      <w:r w:rsidRPr="003C2591">
        <w:rPr>
          <w:rFonts w:eastAsia="Times New Roman"/>
          <w:sz w:val="22"/>
          <w:szCs w:val="22"/>
        </w:rPr>
        <w:t xml:space="preserve"> pela Companhia de Pesquisa de Recursos Minerais (CPRM), dentre elas a continuidade de serviços e pagamentos mesmo após expirada a vigência contratual. Realizada inspeção para saneamento dos autos, a Secex Estat</w:t>
      </w:r>
      <w:r w:rsidR="003C2591">
        <w:rPr>
          <w:rFonts w:eastAsia="Times New Roman"/>
          <w:sz w:val="22"/>
          <w:szCs w:val="22"/>
        </w:rPr>
        <w:t>ais, cuja instrução técnica foi</w:t>
      </w:r>
      <w:r w:rsidRPr="003C2591">
        <w:rPr>
          <w:rFonts w:eastAsia="Times New Roman"/>
          <w:sz w:val="22"/>
          <w:szCs w:val="22"/>
        </w:rPr>
        <w:t xml:space="preserve"> transcrita no Relatório que deu suporte ao voto condutor do acórdão sintetizado, apontara que, de fato, a CPRM não formalizou contrato administrativo com a empresa vencedora das licitações e que </w:t>
      </w:r>
      <w:r w:rsidRPr="003C2591">
        <w:rPr>
          <w:rFonts w:eastAsia="Times New Roman"/>
          <w:i/>
          <w:sz w:val="22"/>
          <w:szCs w:val="22"/>
        </w:rPr>
        <w:t>“os instrumentos que regiam a prestação de serviços de seguros eram as apólices, suas cartas de renovação e eventuais aditivos, sendo que estas apólices foram renovadas sucessiva e automaticamente (</w:t>
      </w:r>
      <w:r w:rsidR="00F02AF8" w:rsidRPr="003C2591">
        <w:rPr>
          <w:rFonts w:eastAsia="Times New Roman"/>
          <w:i/>
          <w:sz w:val="22"/>
          <w:szCs w:val="22"/>
        </w:rPr>
        <w:t>...</w:t>
      </w:r>
      <w:r w:rsidRPr="003C2591">
        <w:rPr>
          <w:rFonts w:eastAsia="Times New Roman"/>
          <w:i/>
          <w:sz w:val="22"/>
          <w:szCs w:val="22"/>
        </w:rPr>
        <w:t>), em alguns casos expressamente, e em outros sem manifestação expressa da Administração”</w:t>
      </w:r>
      <w:r w:rsidRPr="003C2591">
        <w:rPr>
          <w:rFonts w:eastAsia="Times New Roman"/>
          <w:sz w:val="22"/>
          <w:szCs w:val="22"/>
        </w:rPr>
        <w:t>.</w:t>
      </w:r>
      <w:r w:rsidR="00F02AF8" w:rsidRPr="003C2591">
        <w:rPr>
          <w:rFonts w:eastAsia="Times New Roman"/>
          <w:sz w:val="22"/>
          <w:szCs w:val="22"/>
        </w:rPr>
        <w:t xml:space="preserve"> </w:t>
      </w:r>
      <w:r w:rsidR="00CE4390" w:rsidRPr="003C2591">
        <w:rPr>
          <w:rFonts w:eastAsia="Times New Roman"/>
          <w:sz w:val="22"/>
          <w:szCs w:val="22"/>
        </w:rPr>
        <w:t>Não</w:t>
      </w:r>
      <w:r w:rsidR="00A13474">
        <w:rPr>
          <w:rFonts w:eastAsia="Times New Roman"/>
          <w:sz w:val="22"/>
          <w:szCs w:val="22"/>
        </w:rPr>
        <w:t xml:space="preserve"> obstante</w:t>
      </w:r>
      <w:r w:rsidR="00CE4390" w:rsidRPr="003C2591">
        <w:rPr>
          <w:rFonts w:eastAsia="Times New Roman"/>
          <w:sz w:val="22"/>
          <w:szCs w:val="22"/>
        </w:rPr>
        <w:t xml:space="preserve">, ponderou a unidade instrutiva: </w:t>
      </w:r>
      <w:r w:rsidR="00CE4390" w:rsidRPr="003C2591">
        <w:rPr>
          <w:rFonts w:eastAsia="Times New Roman"/>
          <w:i/>
          <w:sz w:val="22"/>
          <w:szCs w:val="22"/>
        </w:rPr>
        <w:t>“(i) que os pagamentos realizados pela CPRM estavam sustentados em apólices de seguro vigentes, ou seja, não houve pagamento sem a devida cobertura e contraprestação de serviços; (</w:t>
      </w:r>
      <w:proofErr w:type="spellStart"/>
      <w:r w:rsidR="00CE4390" w:rsidRPr="003C2591">
        <w:rPr>
          <w:rFonts w:eastAsia="Times New Roman"/>
          <w:i/>
          <w:sz w:val="22"/>
          <w:szCs w:val="22"/>
        </w:rPr>
        <w:t>ii</w:t>
      </w:r>
      <w:proofErr w:type="spellEnd"/>
      <w:r w:rsidR="00CE4390" w:rsidRPr="003C2591">
        <w:rPr>
          <w:rFonts w:eastAsia="Times New Roman"/>
          <w:i/>
          <w:sz w:val="22"/>
          <w:szCs w:val="22"/>
        </w:rPr>
        <w:t>) que, nos casos em que a renovação se deu com o reajuste da apólice, a empresa buscou analisar preços de outras seguradores (...); (</w:t>
      </w:r>
      <w:proofErr w:type="spellStart"/>
      <w:r w:rsidR="00CE4390" w:rsidRPr="003C2591">
        <w:rPr>
          <w:rFonts w:eastAsia="Times New Roman"/>
          <w:i/>
          <w:sz w:val="22"/>
          <w:szCs w:val="22"/>
        </w:rPr>
        <w:t>iii</w:t>
      </w:r>
      <w:proofErr w:type="spellEnd"/>
      <w:r w:rsidR="00CE4390" w:rsidRPr="003C2591">
        <w:rPr>
          <w:rFonts w:eastAsia="Times New Roman"/>
          <w:i/>
          <w:sz w:val="22"/>
          <w:szCs w:val="22"/>
        </w:rPr>
        <w:t>) que o TCU reconheceu a possibilidade de prorrogação além do prazo previsto no art. 57, inciso II, da Lei 8.666/93 para contrato de locação, ajuste regido predominantemente pelo direito privado, como o de seguros; (</w:t>
      </w:r>
      <w:proofErr w:type="spellStart"/>
      <w:r w:rsidR="00CE4390" w:rsidRPr="003C2591">
        <w:rPr>
          <w:rFonts w:eastAsia="Times New Roman"/>
          <w:i/>
          <w:sz w:val="22"/>
          <w:szCs w:val="22"/>
        </w:rPr>
        <w:t>iv</w:t>
      </w:r>
      <w:proofErr w:type="spellEnd"/>
      <w:r w:rsidR="00CE4390" w:rsidRPr="003C2591">
        <w:rPr>
          <w:rFonts w:eastAsia="Times New Roman"/>
          <w:i/>
          <w:sz w:val="22"/>
          <w:szCs w:val="22"/>
        </w:rPr>
        <w:t>) que o art. 62, § 3º, inciso I, da Lei 8.666/93, afasta a aplicação do prazo do art. 57, inciso II, aos contratos de seguro; (v) que diferentes normas do direito privado preveem a possibilidade de renovação tácita da apólice ou contrato de seguros, e que esta é uma prática consagrada do mercado securitário, o que torna parcialmente escusável a falha dos gestores responsáveis pela administração da apólice da CPRM; (vi) que a CPRM estava obrigada a manter, por força do Acordo Coletivo de Trabalho, a cobertura do seguro de vida de seus empregados, sob pena de ter de se responsabilizar pelo pagamento de sinistros ocorridos, no caso de descontinuidade da contratação da seguradora; (</w:t>
      </w:r>
      <w:proofErr w:type="spellStart"/>
      <w:r w:rsidR="00CE4390" w:rsidRPr="003C2591">
        <w:rPr>
          <w:rFonts w:eastAsia="Times New Roman"/>
          <w:i/>
          <w:sz w:val="22"/>
          <w:szCs w:val="22"/>
        </w:rPr>
        <w:t>vii</w:t>
      </w:r>
      <w:proofErr w:type="spellEnd"/>
      <w:r w:rsidR="00CE4390" w:rsidRPr="003C2591">
        <w:rPr>
          <w:rFonts w:eastAsia="Times New Roman"/>
          <w:i/>
          <w:sz w:val="22"/>
          <w:szCs w:val="22"/>
        </w:rPr>
        <w:t xml:space="preserve">) que os </w:t>
      </w:r>
      <w:proofErr w:type="spellStart"/>
      <w:r w:rsidR="00CE4390" w:rsidRPr="003C2591">
        <w:rPr>
          <w:rFonts w:eastAsia="Times New Roman"/>
          <w:i/>
          <w:sz w:val="22"/>
          <w:szCs w:val="22"/>
        </w:rPr>
        <w:t>arts</w:t>
      </w:r>
      <w:proofErr w:type="spellEnd"/>
      <w:r w:rsidR="00CE4390" w:rsidRPr="003C2591">
        <w:rPr>
          <w:rFonts w:eastAsia="Times New Roman"/>
          <w:i/>
          <w:sz w:val="22"/>
          <w:szCs w:val="22"/>
        </w:rPr>
        <w:t>. 60 e 62, caput, da Lei 8.666/93, estabelecem a necessidade de lavrar os contratos e aditivos na repartição, além de obrigar a formalização de instrumento de contrato nos casos de contratação nas modalidades de concorrência e tomada de preços, faixa na qual se situa a presente avença”</w:t>
      </w:r>
      <w:r w:rsidR="00CE4390" w:rsidRPr="003C2591">
        <w:rPr>
          <w:rFonts w:eastAsia="Times New Roman"/>
          <w:sz w:val="22"/>
          <w:szCs w:val="22"/>
        </w:rPr>
        <w:t>. Em decorrência, a unidade técnica propôs</w:t>
      </w:r>
      <w:r w:rsidR="00A03D5B">
        <w:rPr>
          <w:rFonts w:eastAsia="Times New Roman"/>
          <w:sz w:val="22"/>
          <w:szCs w:val="22"/>
        </w:rPr>
        <w:t xml:space="preserve"> que</w:t>
      </w:r>
      <w:r w:rsidR="00CE4390" w:rsidRPr="003C2591">
        <w:rPr>
          <w:rFonts w:eastAsia="Times New Roman"/>
          <w:sz w:val="22"/>
          <w:szCs w:val="22"/>
        </w:rPr>
        <w:t xml:space="preserve"> fosse cientificada a CPRM de que </w:t>
      </w:r>
      <w:r w:rsidR="00CE4390" w:rsidRPr="003C2591">
        <w:rPr>
          <w:rFonts w:eastAsia="Times New Roman"/>
          <w:i/>
          <w:sz w:val="22"/>
          <w:szCs w:val="22"/>
        </w:rPr>
        <w:t xml:space="preserve">“as contratações de seguros por órgãos da Administração Pública e seus respectivos aditivos, quando realizadas mediante simples emissão de apólices de forma unilateral pela empresa seguradora e sem a devida formalização por meio de instrumento de contrato, configuram desconformidade com os </w:t>
      </w:r>
      <w:proofErr w:type="spellStart"/>
      <w:r w:rsidR="00CE4390" w:rsidRPr="003C2591">
        <w:rPr>
          <w:rFonts w:eastAsia="Times New Roman"/>
          <w:i/>
          <w:sz w:val="22"/>
          <w:szCs w:val="22"/>
        </w:rPr>
        <w:t>arts</w:t>
      </w:r>
      <w:proofErr w:type="spellEnd"/>
      <w:r w:rsidR="00CE4390" w:rsidRPr="003C2591">
        <w:rPr>
          <w:rFonts w:eastAsia="Times New Roman"/>
          <w:i/>
          <w:sz w:val="22"/>
          <w:szCs w:val="22"/>
        </w:rPr>
        <w:t>. 60 e 62 da Lei nº 8.666/93, tendo em vista a necessária discriminação de cláusulas previstas no art. 55 e das informações constantes do art. 61 da mesma lei”</w:t>
      </w:r>
      <w:r w:rsidR="00CE4390" w:rsidRPr="003C2591">
        <w:rPr>
          <w:rFonts w:eastAsia="Times New Roman"/>
          <w:sz w:val="22"/>
          <w:szCs w:val="22"/>
        </w:rPr>
        <w:t xml:space="preserve">.  </w:t>
      </w:r>
      <w:r w:rsidR="00D962B7" w:rsidRPr="003C2591">
        <w:rPr>
          <w:rFonts w:eastAsia="Times New Roman"/>
          <w:sz w:val="22"/>
          <w:szCs w:val="22"/>
        </w:rPr>
        <w:t xml:space="preserve">Assim, uma vez que não foi identificado </w:t>
      </w:r>
      <w:proofErr w:type="spellStart"/>
      <w:r w:rsidR="00D962B7" w:rsidRPr="003C2591">
        <w:rPr>
          <w:rFonts w:eastAsia="Times New Roman"/>
          <w:sz w:val="22"/>
          <w:szCs w:val="22"/>
        </w:rPr>
        <w:t>dano</w:t>
      </w:r>
      <w:proofErr w:type="spellEnd"/>
      <w:r w:rsidR="00D962B7" w:rsidRPr="003C2591">
        <w:rPr>
          <w:rFonts w:eastAsia="Times New Roman"/>
          <w:sz w:val="22"/>
          <w:szCs w:val="22"/>
        </w:rPr>
        <w:t xml:space="preserve"> ao erário ou prejuízo aos funcionários da CPRM,</w:t>
      </w:r>
      <w:r w:rsidR="003C2591">
        <w:rPr>
          <w:rFonts w:eastAsia="Times New Roman"/>
          <w:sz w:val="22"/>
          <w:szCs w:val="22"/>
        </w:rPr>
        <w:t xml:space="preserve"> bem como má-fé</w:t>
      </w:r>
      <w:r w:rsidR="00D962B7" w:rsidRPr="003C2591">
        <w:rPr>
          <w:rFonts w:eastAsia="Times New Roman"/>
          <w:sz w:val="22"/>
          <w:szCs w:val="22"/>
        </w:rPr>
        <w:t xml:space="preserve"> dos responsáveis, e tendo o relator acolhido a análise e o encaminhamento sugerido pela Secex Estatais, o Plenário ju</w:t>
      </w:r>
      <w:r w:rsidR="003C2591">
        <w:rPr>
          <w:rFonts w:eastAsia="Times New Roman"/>
          <w:sz w:val="22"/>
          <w:szCs w:val="22"/>
        </w:rPr>
        <w:t>lgou parcialmente procedente a R</w:t>
      </w:r>
      <w:r w:rsidR="00D962B7" w:rsidRPr="003C2591">
        <w:rPr>
          <w:rFonts w:eastAsia="Times New Roman"/>
          <w:sz w:val="22"/>
          <w:szCs w:val="22"/>
        </w:rPr>
        <w:t xml:space="preserve">epresentação, expedindo, dentre outros comandos, a ciência proposta. </w:t>
      </w:r>
      <w:hyperlink r:id="rId9" w:history="1">
        <w:r w:rsidR="00D962B7" w:rsidRPr="003C2591">
          <w:rPr>
            <w:rStyle w:val="Hyperlink"/>
            <w:rFonts w:eastAsia="Times New Roman"/>
            <w:b/>
            <w:i/>
            <w:sz w:val="22"/>
            <w:szCs w:val="22"/>
          </w:rPr>
          <w:t>Acórdão 600/2015-Plenário</w:t>
        </w:r>
      </w:hyperlink>
      <w:r w:rsidR="00D962B7" w:rsidRPr="003C2591">
        <w:rPr>
          <w:rFonts w:eastAsia="Times New Roman"/>
          <w:b/>
          <w:i/>
          <w:sz w:val="22"/>
          <w:szCs w:val="22"/>
        </w:rPr>
        <w:t>, TC 011.796/2011-1, relator Ministro Raimundo Carreiro, 25.3.2015</w:t>
      </w:r>
    </w:p>
    <w:p w:rsidR="00EB0B85" w:rsidRPr="003C2591" w:rsidRDefault="00EB0B85" w:rsidP="003C2591">
      <w:pPr>
        <w:pStyle w:val="enter-3pt"/>
        <w:tabs>
          <w:tab w:val="left" w:pos="2590"/>
        </w:tabs>
        <w:spacing w:line="240" w:lineRule="auto"/>
        <w:rPr>
          <w:b/>
          <w:sz w:val="22"/>
          <w:szCs w:val="22"/>
        </w:rPr>
      </w:pPr>
    </w:p>
    <w:p w:rsidR="00D118ED" w:rsidRPr="002B312B" w:rsidRDefault="00EB0B85" w:rsidP="003C2591">
      <w:pPr>
        <w:pStyle w:val="enter-3pt"/>
        <w:tabs>
          <w:tab w:val="left" w:pos="2590"/>
        </w:tabs>
        <w:spacing w:line="240" w:lineRule="auto"/>
        <w:rPr>
          <w:b/>
          <w:color w:val="000000"/>
          <w:sz w:val="22"/>
          <w:szCs w:val="22"/>
        </w:rPr>
      </w:pPr>
      <w:r w:rsidRPr="003C2591">
        <w:rPr>
          <w:b/>
          <w:sz w:val="22"/>
          <w:szCs w:val="22"/>
        </w:rPr>
        <w:t>2</w:t>
      </w:r>
      <w:r w:rsidR="00520615" w:rsidRPr="003C2591">
        <w:rPr>
          <w:b/>
          <w:sz w:val="22"/>
          <w:szCs w:val="22"/>
        </w:rPr>
        <w:t xml:space="preserve">. </w:t>
      </w:r>
      <w:r w:rsidR="002B312B" w:rsidRPr="002B312B">
        <w:rPr>
          <w:b/>
          <w:color w:val="000000"/>
          <w:sz w:val="22"/>
          <w:szCs w:val="22"/>
        </w:rPr>
        <w:t>É vedada a intermediação de empresa corretora na execução de contrato de seguros adquiridos pela Administração Pública, ainda que inexista vínculo formal direto da corretora com o órgão contratante.</w:t>
      </w:r>
    </w:p>
    <w:p w:rsidR="004E0BDE" w:rsidRPr="003C2591" w:rsidRDefault="002B312B" w:rsidP="003C2591">
      <w:pPr>
        <w:pStyle w:val="enter-3pt"/>
        <w:spacing w:line="240" w:lineRule="auto"/>
        <w:rPr>
          <w:b/>
          <w:bCs/>
          <w:color w:val="000000"/>
          <w:sz w:val="22"/>
          <w:szCs w:val="22"/>
        </w:rPr>
      </w:pPr>
      <w:r>
        <w:rPr>
          <w:sz w:val="22"/>
          <w:szCs w:val="22"/>
        </w:rPr>
        <w:t>Ainda na R</w:t>
      </w:r>
      <w:r w:rsidR="00044117" w:rsidRPr="003C2591">
        <w:rPr>
          <w:sz w:val="22"/>
          <w:szCs w:val="22"/>
        </w:rPr>
        <w:t>epresentação acerca de possíveis irregularidades em contrato</w:t>
      </w:r>
      <w:r w:rsidR="00CB7C01" w:rsidRPr="003C2591">
        <w:rPr>
          <w:sz w:val="22"/>
          <w:szCs w:val="22"/>
        </w:rPr>
        <w:t>s</w:t>
      </w:r>
      <w:r w:rsidR="00044117" w:rsidRPr="003C2591">
        <w:rPr>
          <w:sz w:val="22"/>
          <w:szCs w:val="22"/>
        </w:rPr>
        <w:t xml:space="preserve"> de seguro de vida em grupo firmado</w:t>
      </w:r>
      <w:r w:rsidR="003F6345" w:rsidRPr="003C2591">
        <w:rPr>
          <w:sz w:val="22"/>
          <w:szCs w:val="22"/>
        </w:rPr>
        <w:t>s</w:t>
      </w:r>
      <w:r w:rsidR="00044117" w:rsidRPr="003C2591">
        <w:rPr>
          <w:sz w:val="22"/>
          <w:szCs w:val="22"/>
        </w:rPr>
        <w:t xml:space="preserve"> pela </w:t>
      </w:r>
      <w:r w:rsidR="00CB7C01" w:rsidRPr="003C2591">
        <w:rPr>
          <w:sz w:val="22"/>
          <w:szCs w:val="22"/>
        </w:rPr>
        <w:t>CPRM,</w:t>
      </w:r>
      <w:r w:rsidR="00044117" w:rsidRPr="003C2591">
        <w:rPr>
          <w:sz w:val="22"/>
          <w:szCs w:val="22"/>
        </w:rPr>
        <w:t xml:space="preserve"> fora q</w:t>
      </w:r>
      <w:r w:rsidR="00CB7C01" w:rsidRPr="003C2591">
        <w:rPr>
          <w:sz w:val="22"/>
          <w:szCs w:val="22"/>
        </w:rPr>
        <w:t>uestionada</w:t>
      </w:r>
      <w:r w:rsidR="00044117" w:rsidRPr="003C2591">
        <w:rPr>
          <w:sz w:val="22"/>
          <w:szCs w:val="22"/>
        </w:rPr>
        <w:t xml:space="preserve"> a efetivação</w:t>
      </w:r>
      <w:r w:rsidR="00607AA0">
        <w:rPr>
          <w:sz w:val="22"/>
          <w:szCs w:val="22"/>
        </w:rPr>
        <w:t>,</w:t>
      </w:r>
      <w:r w:rsidR="00044117" w:rsidRPr="003C2591">
        <w:rPr>
          <w:sz w:val="22"/>
          <w:szCs w:val="22"/>
        </w:rPr>
        <w:t xml:space="preserve"> pela </w:t>
      </w:r>
      <w:r w:rsidR="00607AA0">
        <w:rPr>
          <w:sz w:val="22"/>
          <w:szCs w:val="22"/>
        </w:rPr>
        <w:t>A</w:t>
      </w:r>
      <w:r w:rsidR="00CB7C01" w:rsidRPr="003C2591">
        <w:rPr>
          <w:sz w:val="22"/>
          <w:szCs w:val="22"/>
        </w:rPr>
        <w:t>dministração</w:t>
      </w:r>
      <w:r w:rsidR="00607AA0">
        <w:rPr>
          <w:sz w:val="22"/>
          <w:szCs w:val="22"/>
        </w:rPr>
        <w:t>,</w:t>
      </w:r>
      <w:r w:rsidR="00CB7C01" w:rsidRPr="003C2591">
        <w:rPr>
          <w:sz w:val="22"/>
          <w:szCs w:val="22"/>
        </w:rPr>
        <w:t xml:space="preserve"> de pagamentos indevidos à corretora</w:t>
      </w:r>
      <w:r w:rsidR="00DA0D4F" w:rsidRPr="003C2591">
        <w:rPr>
          <w:sz w:val="22"/>
          <w:szCs w:val="22"/>
        </w:rPr>
        <w:t>,</w:t>
      </w:r>
      <w:r w:rsidR="00CB7C01" w:rsidRPr="003C2591">
        <w:rPr>
          <w:sz w:val="22"/>
          <w:szCs w:val="22"/>
        </w:rPr>
        <w:t xml:space="preserve"> </w:t>
      </w:r>
      <w:r w:rsidR="00DA0D4F" w:rsidRPr="003C2591">
        <w:rPr>
          <w:sz w:val="22"/>
          <w:szCs w:val="22"/>
        </w:rPr>
        <w:t>os quais</w:t>
      </w:r>
      <w:r w:rsidR="00CB7C01" w:rsidRPr="003C2591">
        <w:rPr>
          <w:sz w:val="22"/>
          <w:szCs w:val="22"/>
        </w:rPr>
        <w:t xml:space="preserve"> </w:t>
      </w:r>
      <w:r w:rsidR="00062A04" w:rsidRPr="003C2591">
        <w:rPr>
          <w:sz w:val="22"/>
          <w:szCs w:val="22"/>
        </w:rPr>
        <w:t>seriam de responsabilidade da empresa</w:t>
      </w:r>
      <w:r w:rsidR="00CB7C01" w:rsidRPr="003C2591">
        <w:rPr>
          <w:sz w:val="22"/>
          <w:szCs w:val="22"/>
        </w:rPr>
        <w:t xml:space="preserve"> </w:t>
      </w:r>
      <w:r w:rsidR="00062A04" w:rsidRPr="003C2591">
        <w:rPr>
          <w:sz w:val="22"/>
          <w:szCs w:val="22"/>
        </w:rPr>
        <w:t>seguradora</w:t>
      </w:r>
      <w:r w:rsidR="00044117" w:rsidRPr="003C2591">
        <w:rPr>
          <w:sz w:val="22"/>
          <w:szCs w:val="22"/>
        </w:rPr>
        <w:t xml:space="preserve">. </w:t>
      </w:r>
      <w:r w:rsidR="003F6345" w:rsidRPr="003C2591">
        <w:rPr>
          <w:sz w:val="22"/>
          <w:szCs w:val="22"/>
        </w:rPr>
        <w:t xml:space="preserve">Embora </w:t>
      </w:r>
      <w:r w:rsidR="00B34D90" w:rsidRPr="003C2591">
        <w:rPr>
          <w:sz w:val="22"/>
          <w:szCs w:val="22"/>
        </w:rPr>
        <w:t>o questionamento original</w:t>
      </w:r>
      <w:r w:rsidR="003F6345" w:rsidRPr="003C2591">
        <w:rPr>
          <w:sz w:val="22"/>
          <w:szCs w:val="22"/>
        </w:rPr>
        <w:t xml:space="preserve"> tenha se mostrado, no ponto, improcedente, a unidade instrutiva destacou que </w:t>
      </w:r>
      <w:r w:rsidR="003F6345" w:rsidRPr="003C2591">
        <w:rPr>
          <w:i/>
          <w:sz w:val="22"/>
          <w:szCs w:val="22"/>
        </w:rPr>
        <w:t>“</w:t>
      </w:r>
      <w:r w:rsidR="00B34D90" w:rsidRPr="003C2591">
        <w:rPr>
          <w:i/>
          <w:sz w:val="22"/>
          <w:szCs w:val="22"/>
        </w:rPr>
        <w:t xml:space="preserve">ainda que </w:t>
      </w:r>
      <w:r w:rsidR="003F6345" w:rsidRPr="003C2591">
        <w:rPr>
          <w:i/>
          <w:sz w:val="22"/>
          <w:szCs w:val="22"/>
        </w:rPr>
        <w:t xml:space="preserve">não tenha havido pagamentos diretos à corretora, e por conseguinte, inexistindo relação contratual entre a CPRM e a empresa de corretagem, deve-se destacar que a presente inspeção verificou que a </w:t>
      </w:r>
      <w:r w:rsidR="003F6345" w:rsidRPr="003C2591">
        <w:rPr>
          <w:sz w:val="22"/>
          <w:szCs w:val="22"/>
        </w:rPr>
        <w:t>[empresa de corretagem]</w:t>
      </w:r>
      <w:r w:rsidR="003F6345" w:rsidRPr="003C2591">
        <w:rPr>
          <w:i/>
          <w:sz w:val="22"/>
          <w:szCs w:val="22"/>
        </w:rPr>
        <w:t xml:space="preserve"> atuou, de fato, como intermediária na relação da CPRM e a seguradora”</w:t>
      </w:r>
      <w:r w:rsidR="003F6345" w:rsidRPr="003C2591">
        <w:rPr>
          <w:sz w:val="22"/>
          <w:szCs w:val="22"/>
        </w:rPr>
        <w:t>.</w:t>
      </w:r>
      <w:r w:rsidR="00B34D90" w:rsidRPr="003C2591">
        <w:rPr>
          <w:sz w:val="22"/>
          <w:szCs w:val="22"/>
        </w:rPr>
        <w:t xml:space="preserve"> A Secex Estatais, revisitando a legislação e a jurisprudência do TCU sobre o assunto, concluiu que </w:t>
      </w:r>
      <w:r w:rsidR="00B34D90" w:rsidRPr="003C2591">
        <w:rPr>
          <w:i/>
          <w:sz w:val="22"/>
          <w:szCs w:val="22"/>
        </w:rPr>
        <w:t>“nos termos do art. 3º da Lei 8.666/93 c/c art. 16 do Decreto 60.459/67, o procedimento licitatório se destina à seleção, de forma direta junto ao mercado de empresas seguradoras nacionais, da proposta mais vantajosa para a administração pública, não havendo previsão legal para a atuação de corretor junto à administração como intermediário da relação contratual com empresa seguradora”</w:t>
      </w:r>
      <w:r w:rsidR="00B34D90" w:rsidRPr="003C2591">
        <w:rPr>
          <w:sz w:val="22"/>
          <w:szCs w:val="22"/>
        </w:rPr>
        <w:t xml:space="preserve">. Isso porque </w:t>
      </w:r>
      <w:r w:rsidR="00B34D90" w:rsidRPr="003C2591">
        <w:rPr>
          <w:i/>
          <w:sz w:val="22"/>
          <w:szCs w:val="22"/>
        </w:rPr>
        <w:t>“a licitação, procedimento formal que objetiva a seleção da proposta mais vantajosa à Administração, cumpre justamente o papel que, no mercado privado formado pelas pessoas físicas e jurídicas de direito privado, é atribuído ao corretor de seguros, que ‘angaria e promove’ os contratos entre as seguradoras e os interessados, buscando a proposta que melhor atende ao interesse do segurado privado junto às empresas seguradoras”</w:t>
      </w:r>
      <w:r w:rsidR="00B34D90" w:rsidRPr="003C2591">
        <w:rPr>
          <w:sz w:val="22"/>
          <w:szCs w:val="22"/>
        </w:rPr>
        <w:t>.</w:t>
      </w:r>
      <w:r w:rsidR="00D962B7" w:rsidRPr="003C2591">
        <w:rPr>
          <w:sz w:val="22"/>
          <w:szCs w:val="22"/>
        </w:rPr>
        <w:t xml:space="preserve"> Em decorrência, a unidade técnica propôs</w:t>
      </w:r>
      <w:r w:rsidR="00607AA0">
        <w:rPr>
          <w:sz w:val="22"/>
          <w:szCs w:val="22"/>
        </w:rPr>
        <w:t xml:space="preserve"> que </w:t>
      </w:r>
      <w:r w:rsidR="00D962B7" w:rsidRPr="003C2591">
        <w:rPr>
          <w:sz w:val="22"/>
          <w:szCs w:val="22"/>
        </w:rPr>
        <w:t xml:space="preserve">fosse cientificada a CPRM de que </w:t>
      </w:r>
      <w:r w:rsidR="00D962B7" w:rsidRPr="003C2591">
        <w:rPr>
          <w:i/>
          <w:sz w:val="22"/>
          <w:szCs w:val="22"/>
        </w:rPr>
        <w:t xml:space="preserve">“atuação de empresa corretora de seguros na intermediação da execução do contrato de seguros, ainda que sem vínculo formal direto com a Administração Pública, constitui afronta aos </w:t>
      </w:r>
      <w:proofErr w:type="spellStart"/>
      <w:r w:rsidR="00D962B7" w:rsidRPr="003C2591">
        <w:rPr>
          <w:i/>
          <w:sz w:val="22"/>
          <w:szCs w:val="22"/>
        </w:rPr>
        <w:t>arts</w:t>
      </w:r>
      <w:proofErr w:type="spellEnd"/>
      <w:r w:rsidR="00D962B7" w:rsidRPr="003C2591">
        <w:rPr>
          <w:i/>
          <w:sz w:val="22"/>
          <w:szCs w:val="22"/>
        </w:rPr>
        <w:t>. 16, § 3º, do Decreto 60.459/67, aos princípios da licitação constantes da Lei 8.666/93 e do art. 37, XXI, da Constituição Federal, bem como contraria jurisprudência do TCU sobre a matéria (Decisões 938/2002-TCU-Plenário e 400/1995-TCU-Plenário)</w:t>
      </w:r>
      <w:r w:rsidR="00D962B7" w:rsidRPr="003C2591">
        <w:rPr>
          <w:sz w:val="22"/>
          <w:szCs w:val="22"/>
        </w:rPr>
        <w:t xml:space="preserve">”. Assim, uma vez que não foi identificado </w:t>
      </w:r>
      <w:proofErr w:type="spellStart"/>
      <w:r w:rsidR="00D962B7" w:rsidRPr="003C2591">
        <w:rPr>
          <w:sz w:val="22"/>
          <w:szCs w:val="22"/>
        </w:rPr>
        <w:t>dano</w:t>
      </w:r>
      <w:proofErr w:type="spellEnd"/>
      <w:r w:rsidR="00D962B7" w:rsidRPr="003C2591">
        <w:rPr>
          <w:sz w:val="22"/>
          <w:szCs w:val="22"/>
        </w:rPr>
        <w:t xml:space="preserve"> ao erário ou prejuízo aos funcionários da CPRM, b</w:t>
      </w:r>
      <w:r w:rsidR="00607AA0">
        <w:rPr>
          <w:sz w:val="22"/>
          <w:szCs w:val="22"/>
        </w:rPr>
        <w:t>em como má-fé</w:t>
      </w:r>
      <w:r w:rsidR="00D962B7" w:rsidRPr="003C2591">
        <w:rPr>
          <w:sz w:val="22"/>
          <w:szCs w:val="22"/>
        </w:rPr>
        <w:t xml:space="preserve"> dos responsáveis, e tendo o relator acolhido a análise e o encaminhamento sugerido pela Secex Estatais, o Plenário ju</w:t>
      </w:r>
      <w:r w:rsidR="00607AA0">
        <w:rPr>
          <w:sz w:val="22"/>
          <w:szCs w:val="22"/>
        </w:rPr>
        <w:t>lgou parcialmente procedente a R</w:t>
      </w:r>
      <w:r w:rsidR="00D962B7" w:rsidRPr="003C2591">
        <w:rPr>
          <w:sz w:val="22"/>
          <w:szCs w:val="22"/>
        </w:rPr>
        <w:t xml:space="preserve">epresentação, expedindo, dentre outros comandos, a ciência proposta. </w:t>
      </w:r>
      <w:hyperlink r:id="rId10" w:history="1">
        <w:r w:rsidR="009C6781" w:rsidRPr="003C2591">
          <w:rPr>
            <w:rStyle w:val="Hyperlink"/>
            <w:b/>
            <w:i/>
            <w:sz w:val="22"/>
            <w:szCs w:val="22"/>
          </w:rPr>
          <w:t>Acórdão 600/2015-Plenário</w:t>
        </w:r>
      </w:hyperlink>
      <w:r w:rsidR="003510FD" w:rsidRPr="003C2591">
        <w:rPr>
          <w:b/>
          <w:i/>
          <w:sz w:val="22"/>
          <w:szCs w:val="22"/>
        </w:rPr>
        <w:t>, TC 011.796/2011-1, relator Ministro Raimundo Carreiro, 25.3.2015.</w:t>
      </w:r>
    </w:p>
    <w:p w:rsidR="00FC6135" w:rsidRPr="00C23F8A" w:rsidRDefault="00FC6135" w:rsidP="003C2591">
      <w:pPr>
        <w:pStyle w:val="enter-3pt"/>
        <w:tabs>
          <w:tab w:val="left" w:pos="2590"/>
        </w:tabs>
        <w:spacing w:line="240" w:lineRule="auto"/>
        <w:rPr>
          <w:bCs/>
          <w:iCs/>
          <w:sz w:val="22"/>
          <w:szCs w:val="22"/>
        </w:rPr>
      </w:pPr>
    </w:p>
    <w:p w:rsidR="002458FC" w:rsidRPr="003C2591" w:rsidRDefault="0099715A" w:rsidP="003C2591">
      <w:pPr>
        <w:tabs>
          <w:tab w:val="left" w:pos="0"/>
        </w:tabs>
        <w:autoSpaceDE w:val="0"/>
        <w:autoSpaceDN w:val="0"/>
        <w:adjustRightInd w:val="0"/>
        <w:spacing w:after="0"/>
        <w:ind w:left="0"/>
        <w:rPr>
          <w:rFonts w:eastAsia="Times New Roman"/>
          <w:b/>
          <w:color w:val="000000"/>
          <w:sz w:val="22"/>
          <w:szCs w:val="22"/>
          <w:lang w:eastAsia="pt-BR"/>
        </w:rPr>
      </w:pPr>
      <w:r>
        <w:rPr>
          <w:rFonts w:eastAsia="Times New Roman"/>
          <w:b/>
          <w:color w:val="000000"/>
          <w:sz w:val="22"/>
          <w:szCs w:val="22"/>
          <w:lang w:eastAsia="pt-BR"/>
        </w:rPr>
        <w:t>3</w:t>
      </w:r>
      <w:r w:rsidR="002458FC" w:rsidRPr="003C2591">
        <w:rPr>
          <w:rFonts w:eastAsia="Times New Roman"/>
          <w:b/>
          <w:color w:val="000000"/>
          <w:sz w:val="22"/>
          <w:szCs w:val="22"/>
          <w:lang w:eastAsia="pt-BR"/>
        </w:rPr>
        <w:t>.</w:t>
      </w:r>
      <w:r w:rsidR="00C23F8A">
        <w:rPr>
          <w:rFonts w:eastAsia="Times New Roman"/>
          <w:b/>
          <w:color w:val="000000"/>
          <w:sz w:val="22"/>
          <w:szCs w:val="22"/>
          <w:lang w:eastAsia="pt-BR"/>
        </w:rPr>
        <w:t xml:space="preserve"> </w:t>
      </w:r>
      <w:r w:rsidR="00E13C14">
        <w:rPr>
          <w:rFonts w:eastAsia="Times New Roman"/>
          <w:b/>
          <w:color w:val="000000"/>
          <w:sz w:val="22"/>
          <w:szCs w:val="22"/>
          <w:lang w:eastAsia="pt-BR"/>
        </w:rPr>
        <w:t xml:space="preserve">Ante a </w:t>
      </w:r>
      <w:r w:rsidR="00E13C14" w:rsidRPr="003C2591">
        <w:rPr>
          <w:rFonts w:eastAsia="Times New Roman"/>
          <w:b/>
          <w:color w:val="000000"/>
          <w:sz w:val="22"/>
          <w:szCs w:val="22"/>
          <w:lang w:eastAsia="pt-BR"/>
        </w:rPr>
        <w:t>lacuna</w:t>
      </w:r>
      <w:r w:rsidR="00E13C14">
        <w:rPr>
          <w:rFonts w:eastAsia="Times New Roman"/>
          <w:b/>
          <w:color w:val="000000"/>
          <w:sz w:val="22"/>
          <w:szCs w:val="22"/>
          <w:lang w:eastAsia="pt-BR"/>
        </w:rPr>
        <w:t xml:space="preserve"> existente no Decreto 2.745/98 e nos normativos da Petrobras acerca</w:t>
      </w:r>
      <w:r w:rsidR="00E13C14" w:rsidRPr="003C2591">
        <w:rPr>
          <w:rFonts w:eastAsia="Times New Roman"/>
          <w:b/>
          <w:color w:val="000000"/>
          <w:sz w:val="22"/>
          <w:szCs w:val="22"/>
          <w:lang w:eastAsia="pt-BR"/>
        </w:rPr>
        <w:t xml:space="preserve"> </w:t>
      </w:r>
      <w:r w:rsidR="00E13C14">
        <w:rPr>
          <w:rFonts w:eastAsia="Times New Roman"/>
          <w:b/>
          <w:color w:val="000000"/>
          <w:sz w:val="22"/>
          <w:szCs w:val="22"/>
          <w:lang w:eastAsia="pt-BR"/>
        </w:rPr>
        <w:t>d</w:t>
      </w:r>
      <w:r w:rsidR="00E13C14" w:rsidRPr="003C2591">
        <w:rPr>
          <w:rFonts w:eastAsia="Times New Roman"/>
          <w:b/>
          <w:color w:val="000000"/>
          <w:sz w:val="22"/>
          <w:szCs w:val="22"/>
          <w:lang w:eastAsia="pt-BR"/>
        </w:rPr>
        <w:t>os elementos mínimos que</w:t>
      </w:r>
      <w:r w:rsidR="00E13C14">
        <w:rPr>
          <w:rFonts w:eastAsia="Times New Roman"/>
          <w:b/>
          <w:color w:val="000000"/>
          <w:sz w:val="22"/>
          <w:szCs w:val="22"/>
          <w:lang w:eastAsia="pt-BR"/>
        </w:rPr>
        <w:t xml:space="preserve"> devem constar nas propostas</w:t>
      </w:r>
      <w:r w:rsidR="004E58BB">
        <w:rPr>
          <w:rFonts w:eastAsia="Times New Roman"/>
          <w:b/>
          <w:color w:val="000000"/>
          <w:sz w:val="22"/>
          <w:szCs w:val="22"/>
          <w:lang w:eastAsia="pt-BR"/>
        </w:rPr>
        <w:t xml:space="preserve"> comerciais recebidas nas licitações</w:t>
      </w:r>
      <w:r w:rsidR="00262955">
        <w:rPr>
          <w:rFonts w:eastAsia="Times New Roman"/>
          <w:b/>
          <w:color w:val="000000"/>
          <w:sz w:val="22"/>
          <w:szCs w:val="22"/>
          <w:lang w:eastAsia="pt-BR"/>
        </w:rPr>
        <w:t xml:space="preserve">, </w:t>
      </w:r>
      <w:r w:rsidR="006728B4">
        <w:rPr>
          <w:rFonts w:eastAsia="Times New Roman"/>
          <w:b/>
          <w:color w:val="000000"/>
          <w:sz w:val="22"/>
          <w:szCs w:val="22"/>
          <w:lang w:eastAsia="pt-BR"/>
        </w:rPr>
        <w:t>a</w:t>
      </w:r>
      <w:r w:rsidR="004E58BB">
        <w:rPr>
          <w:rFonts w:eastAsia="Times New Roman"/>
          <w:b/>
          <w:color w:val="000000"/>
          <w:sz w:val="22"/>
          <w:szCs w:val="22"/>
          <w:lang w:eastAsia="pt-BR"/>
        </w:rPr>
        <w:t>plicam-se às contratações</w:t>
      </w:r>
      <w:r w:rsidR="006728B4">
        <w:rPr>
          <w:rFonts w:eastAsia="Times New Roman"/>
          <w:b/>
          <w:color w:val="000000"/>
          <w:sz w:val="22"/>
          <w:szCs w:val="22"/>
          <w:lang w:eastAsia="pt-BR"/>
        </w:rPr>
        <w:t xml:space="preserve"> </w:t>
      </w:r>
      <w:r w:rsidR="002458FC" w:rsidRPr="003C2591">
        <w:rPr>
          <w:rFonts w:eastAsia="Times New Roman"/>
          <w:b/>
          <w:color w:val="000000"/>
          <w:sz w:val="22"/>
          <w:szCs w:val="22"/>
          <w:lang w:eastAsia="pt-BR"/>
        </w:rPr>
        <w:t xml:space="preserve">de obras e serviços de </w:t>
      </w:r>
      <w:r w:rsidR="006728B4">
        <w:rPr>
          <w:rFonts w:eastAsia="Times New Roman"/>
          <w:b/>
          <w:color w:val="000000"/>
          <w:sz w:val="22"/>
          <w:szCs w:val="22"/>
          <w:lang w:eastAsia="pt-BR"/>
        </w:rPr>
        <w:t>engenharia da estatal</w:t>
      </w:r>
      <w:r w:rsidR="00CD5AA5">
        <w:rPr>
          <w:rFonts w:eastAsia="Times New Roman"/>
          <w:b/>
          <w:color w:val="000000"/>
          <w:sz w:val="22"/>
          <w:szCs w:val="22"/>
          <w:lang w:eastAsia="pt-BR"/>
        </w:rPr>
        <w:t>, em especial à</w:t>
      </w:r>
      <w:r w:rsidR="002458FC" w:rsidRPr="003C2591">
        <w:rPr>
          <w:rFonts w:eastAsia="Times New Roman"/>
          <w:b/>
          <w:color w:val="000000"/>
          <w:sz w:val="22"/>
          <w:szCs w:val="22"/>
          <w:lang w:eastAsia="pt-BR"/>
        </w:rPr>
        <w:t>s empreitadas por preço global, procedimentos análog</w:t>
      </w:r>
      <w:r w:rsidR="00CD5AA5">
        <w:rPr>
          <w:rFonts w:eastAsia="Times New Roman"/>
          <w:b/>
          <w:color w:val="000000"/>
          <w:sz w:val="22"/>
          <w:szCs w:val="22"/>
          <w:lang w:eastAsia="pt-BR"/>
        </w:rPr>
        <w:t>os aos</w:t>
      </w:r>
      <w:r w:rsidR="004E58BB">
        <w:rPr>
          <w:rFonts w:eastAsia="Times New Roman"/>
          <w:b/>
          <w:color w:val="000000"/>
          <w:sz w:val="22"/>
          <w:szCs w:val="22"/>
          <w:lang w:eastAsia="pt-BR"/>
        </w:rPr>
        <w:t xml:space="preserve"> das</w:t>
      </w:r>
      <w:r w:rsidR="002458FC" w:rsidRPr="003C2591">
        <w:rPr>
          <w:rFonts w:eastAsia="Times New Roman"/>
          <w:b/>
          <w:color w:val="000000"/>
          <w:sz w:val="22"/>
          <w:szCs w:val="22"/>
          <w:lang w:eastAsia="pt-BR"/>
        </w:rPr>
        <w:t xml:space="preserve"> contratações integradas do Regime Diferenciado de Contratações Públicas (RDC)</w:t>
      </w:r>
      <w:r w:rsidR="00E13C14">
        <w:rPr>
          <w:rFonts w:eastAsia="Times New Roman"/>
          <w:b/>
          <w:color w:val="000000"/>
          <w:sz w:val="22"/>
          <w:szCs w:val="22"/>
          <w:lang w:eastAsia="pt-BR"/>
        </w:rPr>
        <w:t>,</w:t>
      </w:r>
      <w:r w:rsidR="00642673">
        <w:rPr>
          <w:rFonts w:eastAsia="Times New Roman"/>
          <w:b/>
          <w:color w:val="000000"/>
          <w:sz w:val="22"/>
          <w:szCs w:val="22"/>
          <w:lang w:eastAsia="pt-BR"/>
        </w:rPr>
        <w:t xml:space="preserve"> delimitados</w:t>
      </w:r>
      <w:r w:rsidR="00262955">
        <w:rPr>
          <w:rFonts w:eastAsia="Times New Roman"/>
          <w:b/>
          <w:color w:val="000000"/>
          <w:sz w:val="22"/>
          <w:szCs w:val="22"/>
          <w:lang w:eastAsia="pt-BR"/>
        </w:rPr>
        <w:t xml:space="preserve"> </w:t>
      </w:r>
      <w:r w:rsidR="00642673">
        <w:rPr>
          <w:rFonts w:eastAsia="Times New Roman"/>
          <w:b/>
          <w:color w:val="000000"/>
          <w:sz w:val="22"/>
          <w:szCs w:val="22"/>
          <w:lang w:eastAsia="pt-BR"/>
        </w:rPr>
        <w:t>em</w:t>
      </w:r>
      <w:r w:rsidR="00262955">
        <w:rPr>
          <w:rFonts w:eastAsia="Times New Roman"/>
          <w:b/>
          <w:color w:val="000000"/>
          <w:sz w:val="22"/>
          <w:szCs w:val="22"/>
          <w:lang w:eastAsia="pt-BR"/>
        </w:rPr>
        <w:t xml:space="preserve"> ente</w:t>
      </w:r>
      <w:r w:rsidR="00642673">
        <w:rPr>
          <w:rFonts w:eastAsia="Times New Roman"/>
          <w:b/>
          <w:color w:val="000000"/>
          <w:sz w:val="22"/>
          <w:szCs w:val="22"/>
          <w:lang w:eastAsia="pt-BR"/>
        </w:rPr>
        <w:t>ndimentos do TCU</w:t>
      </w:r>
      <w:r w:rsidR="00262955">
        <w:rPr>
          <w:rFonts w:eastAsia="Times New Roman"/>
          <w:b/>
          <w:color w:val="000000"/>
          <w:sz w:val="22"/>
          <w:szCs w:val="22"/>
          <w:lang w:eastAsia="pt-BR"/>
        </w:rPr>
        <w:t>,</w:t>
      </w:r>
      <w:r w:rsidR="00E13C14">
        <w:rPr>
          <w:rFonts w:eastAsia="Times New Roman"/>
          <w:b/>
          <w:color w:val="000000"/>
          <w:sz w:val="22"/>
          <w:szCs w:val="22"/>
          <w:lang w:eastAsia="pt-BR"/>
        </w:rPr>
        <w:t xml:space="preserve"> em prestígio</w:t>
      </w:r>
      <w:r w:rsidR="00C23F8A" w:rsidRPr="003C2591">
        <w:rPr>
          <w:rFonts w:eastAsia="Times New Roman"/>
          <w:b/>
          <w:color w:val="000000"/>
          <w:sz w:val="22"/>
          <w:szCs w:val="22"/>
          <w:lang w:eastAsia="pt-BR"/>
        </w:rPr>
        <w:t xml:space="preserve"> aos princípios da segurança jurídica, do julgamento objetivo, da isonomia, da eficiência e da obtenção da melhor proposta</w:t>
      </w:r>
      <w:r w:rsidR="00E13C14">
        <w:rPr>
          <w:rFonts w:eastAsia="Times New Roman"/>
          <w:b/>
          <w:color w:val="000000"/>
          <w:sz w:val="22"/>
          <w:szCs w:val="22"/>
          <w:lang w:eastAsia="pt-BR"/>
        </w:rPr>
        <w:t>.</w:t>
      </w:r>
    </w:p>
    <w:p w:rsidR="002458FC" w:rsidRPr="003C2591" w:rsidRDefault="002458FC" w:rsidP="003C2591">
      <w:pPr>
        <w:pStyle w:val="Default"/>
        <w:jc w:val="both"/>
        <w:rPr>
          <w:b/>
          <w:i/>
          <w:sz w:val="22"/>
          <w:szCs w:val="22"/>
        </w:rPr>
      </w:pPr>
      <w:r w:rsidRPr="003C2591">
        <w:rPr>
          <w:rFonts w:eastAsia="Times New Roman"/>
          <w:sz w:val="22"/>
          <w:szCs w:val="22"/>
        </w:rPr>
        <w:t>Auditoria realizada nas obras de implantação do Complexo Petroquímico</w:t>
      </w:r>
      <w:r w:rsidR="00C23F8A">
        <w:rPr>
          <w:rFonts w:eastAsia="Times New Roman"/>
          <w:sz w:val="22"/>
          <w:szCs w:val="22"/>
        </w:rPr>
        <w:t xml:space="preserve"> do Rio de Janeiro (</w:t>
      </w:r>
      <w:proofErr w:type="spellStart"/>
      <w:r w:rsidRPr="003C2591">
        <w:rPr>
          <w:rFonts w:eastAsia="Times New Roman"/>
          <w:sz w:val="22"/>
          <w:szCs w:val="22"/>
        </w:rPr>
        <w:t>Comperj</w:t>
      </w:r>
      <w:proofErr w:type="spellEnd"/>
      <w:r w:rsidR="00C23F8A">
        <w:rPr>
          <w:rFonts w:eastAsia="Times New Roman"/>
          <w:sz w:val="22"/>
          <w:szCs w:val="22"/>
        </w:rPr>
        <w:t>)</w:t>
      </w:r>
      <w:r w:rsidRPr="003C2591">
        <w:rPr>
          <w:rFonts w:eastAsia="Times New Roman"/>
          <w:sz w:val="22"/>
          <w:szCs w:val="22"/>
        </w:rPr>
        <w:t>, executadas pela Petróleo Brasileiro S.A</w:t>
      </w:r>
      <w:r w:rsidR="00C23F8A">
        <w:rPr>
          <w:rFonts w:eastAsia="Times New Roman"/>
          <w:sz w:val="22"/>
          <w:szCs w:val="22"/>
        </w:rPr>
        <w:t>.</w:t>
      </w:r>
      <w:r w:rsidRPr="003C2591">
        <w:rPr>
          <w:rFonts w:eastAsia="Times New Roman"/>
          <w:sz w:val="22"/>
          <w:szCs w:val="22"/>
        </w:rPr>
        <w:t xml:space="preserve"> (Petrobras),</w:t>
      </w:r>
      <w:r w:rsidRPr="003C2591">
        <w:rPr>
          <w:sz w:val="22"/>
          <w:szCs w:val="22"/>
        </w:rPr>
        <w:t xml:space="preserve"> </w:t>
      </w:r>
      <w:r w:rsidRPr="003C2591">
        <w:rPr>
          <w:rFonts w:eastAsia="Times New Roman"/>
          <w:sz w:val="22"/>
          <w:szCs w:val="22"/>
        </w:rPr>
        <w:t>apontara, como indício de irregularidade, o modelo de formalização das propostas comerciais, denominado Demonstrativo de Formação de Preços (DFP), que não exigia a apresentação das composições dos custos dos serviços ofertados pelos licitantes. Ao examinar o caso</w:t>
      </w:r>
      <w:r w:rsidR="00C15A64">
        <w:rPr>
          <w:rFonts w:eastAsia="Times New Roman"/>
          <w:sz w:val="22"/>
          <w:szCs w:val="22"/>
        </w:rPr>
        <w:t>,</w:t>
      </w:r>
      <w:r w:rsidRPr="003C2591">
        <w:rPr>
          <w:rFonts w:eastAsia="Times New Roman"/>
          <w:sz w:val="22"/>
          <w:szCs w:val="22"/>
        </w:rPr>
        <w:t xml:space="preserve"> o relator, mencionando o Manual da Petrobras para Contratação e destacando a omissão do </w:t>
      </w:r>
      <w:r w:rsidR="00CD5AA5">
        <w:rPr>
          <w:rFonts w:eastAsia="Times New Roman"/>
          <w:sz w:val="22"/>
          <w:szCs w:val="22"/>
        </w:rPr>
        <w:t>Decreto 2.745/</w:t>
      </w:r>
      <w:r w:rsidRPr="003C2591">
        <w:rPr>
          <w:rFonts w:eastAsia="Times New Roman"/>
          <w:sz w:val="22"/>
          <w:szCs w:val="22"/>
        </w:rPr>
        <w:t>98 sobre o tema, sentenciou que “</w:t>
      </w:r>
      <w:r w:rsidRPr="003C2591">
        <w:rPr>
          <w:rFonts w:eastAsia="Times New Roman"/>
          <w:i/>
          <w:sz w:val="22"/>
          <w:szCs w:val="22"/>
        </w:rPr>
        <w:t xml:space="preserve">é de clareza solar que não há regra geral sobre como os preços ofertados pelos licitantes deverão ser discriminados; em cada contratação, os parâmetros a serem seguidos pelos licitantes na formulação de suas propostas comerciais serão arbitrados, a critério dos agentes da Petrobras. As licitantes, pautadas nas exigências </w:t>
      </w:r>
      <w:proofErr w:type="spellStart"/>
      <w:r w:rsidRPr="003C2591">
        <w:rPr>
          <w:rFonts w:eastAsia="Times New Roman"/>
          <w:i/>
          <w:sz w:val="22"/>
          <w:szCs w:val="22"/>
        </w:rPr>
        <w:t>editalícias</w:t>
      </w:r>
      <w:proofErr w:type="spellEnd"/>
      <w:r w:rsidRPr="003C2591">
        <w:rPr>
          <w:rFonts w:eastAsia="Times New Roman"/>
          <w:i/>
          <w:sz w:val="22"/>
          <w:szCs w:val="22"/>
        </w:rPr>
        <w:t xml:space="preserve"> – e na ausência de critérios cogentes inscritos em normativos superiores, detalham seu preço no DFP segundo os padrões estabelecidos</w:t>
      </w:r>
      <w:r w:rsidRPr="003C2591">
        <w:rPr>
          <w:rFonts w:eastAsia="Times New Roman"/>
          <w:sz w:val="22"/>
          <w:szCs w:val="22"/>
        </w:rPr>
        <w:t>”. Por causa da utilização desse modelo, prosseguiu o relator, “</w:t>
      </w:r>
      <w:r w:rsidRPr="003C2591">
        <w:rPr>
          <w:rFonts w:eastAsia="Times New Roman"/>
          <w:i/>
          <w:sz w:val="22"/>
          <w:szCs w:val="22"/>
        </w:rPr>
        <w:t>ao ofertar seus preços, os empreiteiros não indicam os serviços que estão sendo precificados, nem apresentam quaisquer composições e/ou memórias justificativas que minudenciem a forma como os preços propostos foram constituídos</w:t>
      </w:r>
      <w:r w:rsidRPr="003C2591">
        <w:rPr>
          <w:rFonts w:eastAsia="Times New Roman"/>
          <w:sz w:val="22"/>
          <w:szCs w:val="22"/>
        </w:rPr>
        <w:t>”. Tran</w:t>
      </w:r>
      <w:r w:rsidR="00C15A64">
        <w:rPr>
          <w:rFonts w:eastAsia="Times New Roman"/>
          <w:sz w:val="22"/>
          <w:szCs w:val="22"/>
        </w:rPr>
        <w:t>screvendo determinações feita</w:t>
      </w:r>
      <w:r w:rsidRPr="003C2591">
        <w:rPr>
          <w:rFonts w:eastAsia="Times New Roman"/>
          <w:sz w:val="22"/>
          <w:szCs w:val="22"/>
        </w:rPr>
        <w:t>s à Petrobras em julgados anteriores, o relator observou fragilidades detectadas pelo TC</w:t>
      </w:r>
      <w:r w:rsidR="00CD5AA5">
        <w:rPr>
          <w:rFonts w:eastAsia="Times New Roman"/>
          <w:sz w:val="22"/>
          <w:szCs w:val="22"/>
        </w:rPr>
        <w:t>U na forma como a estatal exige e avalia</w:t>
      </w:r>
      <w:r w:rsidR="00E13C14">
        <w:rPr>
          <w:rFonts w:eastAsia="Times New Roman"/>
          <w:sz w:val="22"/>
          <w:szCs w:val="22"/>
        </w:rPr>
        <w:t xml:space="preserve"> </w:t>
      </w:r>
      <w:r w:rsidRPr="003C2591">
        <w:rPr>
          <w:rFonts w:eastAsia="Times New Roman"/>
          <w:sz w:val="22"/>
          <w:szCs w:val="22"/>
        </w:rPr>
        <w:t>os custos de suas contratações. Após rebater os argumentos trazidos em oitiva da auditada, o relator asseverou a existência de lacuna normativa sobre o tema, o que “</w:t>
      </w:r>
      <w:r w:rsidRPr="003C2591">
        <w:rPr>
          <w:rFonts w:eastAsia="Times New Roman"/>
          <w:i/>
          <w:sz w:val="22"/>
          <w:szCs w:val="22"/>
        </w:rPr>
        <w:t>demanda a necessidade de serem delineadas trilhas firmes para o bom trato do patrimônio da Estatal</w:t>
      </w:r>
      <w:r w:rsidRPr="003C2591">
        <w:rPr>
          <w:rFonts w:eastAsia="Times New Roman"/>
          <w:sz w:val="22"/>
          <w:szCs w:val="22"/>
        </w:rPr>
        <w:t>”. Nesse sentido, acolhendo posicionamento da unidade técnica, ancorado na semelhança e paralelismo entre as contratações integradas do RDC (Regime Diferenciado de Contratações Públicas) e os contratos EPC (</w:t>
      </w:r>
      <w:proofErr w:type="spellStart"/>
      <w:r w:rsidRPr="003C2591">
        <w:rPr>
          <w:rFonts w:eastAsia="Times New Roman"/>
          <w:i/>
          <w:sz w:val="22"/>
          <w:szCs w:val="22"/>
        </w:rPr>
        <w:t>Engineering</w:t>
      </w:r>
      <w:proofErr w:type="spellEnd"/>
      <w:r w:rsidRPr="003C2591">
        <w:rPr>
          <w:rFonts w:eastAsia="Times New Roman"/>
          <w:i/>
          <w:sz w:val="22"/>
          <w:szCs w:val="22"/>
        </w:rPr>
        <w:t xml:space="preserve">, </w:t>
      </w:r>
      <w:proofErr w:type="spellStart"/>
      <w:r w:rsidRPr="003C2591">
        <w:rPr>
          <w:rFonts w:eastAsia="Times New Roman"/>
          <w:i/>
          <w:sz w:val="22"/>
          <w:szCs w:val="22"/>
        </w:rPr>
        <w:t>Procurement</w:t>
      </w:r>
      <w:proofErr w:type="spellEnd"/>
      <w:r w:rsidRPr="003C2591">
        <w:rPr>
          <w:rFonts w:eastAsia="Times New Roman"/>
          <w:i/>
          <w:sz w:val="22"/>
          <w:szCs w:val="22"/>
        </w:rPr>
        <w:t xml:space="preserve"> </w:t>
      </w:r>
      <w:proofErr w:type="spellStart"/>
      <w:r w:rsidRPr="003C2591">
        <w:rPr>
          <w:rFonts w:eastAsia="Times New Roman"/>
          <w:i/>
          <w:sz w:val="22"/>
          <w:szCs w:val="22"/>
        </w:rPr>
        <w:t>and</w:t>
      </w:r>
      <w:proofErr w:type="spellEnd"/>
      <w:r w:rsidRPr="003C2591">
        <w:rPr>
          <w:rFonts w:eastAsia="Times New Roman"/>
          <w:i/>
          <w:sz w:val="22"/>
          <w:szCs w:val="22"/>
        </w:rPr>
        <w:t xml:space="preserve"> </w:t>
      </w:r>
      <w:proofErr w:type="spellStart"/>
      <w:r w:rsidRPr="003C2591">
        <w:rPr>
          <w:rFonts w:eastAsia="Times New Roman"/>
          <w:i/>
          <w:sz w:val="22"/>
          <w:szCs w:val="22"/>
        </w:rPr>
        <w:t>Construction</w:t>
      </w:r>
      <w:proofErr w:type="spellEnd"/>
      <w:r w:rsidRPr="003C2591">
        <w:rPr>
          <w:rFonts w:eastAsia="Times New Roman"/>
          <w:sz w:val="22"/>
          <w:szCs w:val="22"/>
        </w:rPr>
        <w:t>) a</w:t>
      </w:r>
      <w:r w:rsidR="00E13C14">
        <w:rPr>
          <w:rFonts w:eastAsia="Times New Roman"/>
          <w:sz w:val="22"/>
          <w:szCs w:val="22"/>
        </w:rPr>
        <w:t>utorizados pelo Decreto 2.745/</w:t>
      </w:r>
      <w:r w:rsidRPr="003C2591">
        <w:rPr>
          <w:rFonts w:eastAsia="Times New Roman"/>
          <w:sz w:val="22"/>
          <w:szCs w:val="22"/>
        </w:rPr>
        <w:t>98, o condutor do processo afirmou que vários dos entendimentos da Corte de Contas relacionados ao RDC teriam a mesma aplicabilidade aos contratos da Petrobras e deveriam ser à estatal brasileira estendidos. Assim, como primeira medida, deveria ser exigida “</w:t>
      </w:r>
      <w:r w:rsidRPr="003C2591">
        <w:rPr>
          <w:rFonts w:eastAsia="Times New Roman"/>
          <w:i/>
          <w:sz w:val="22"/>
          <w:szCs w:val="22"/>
        </w:rPr>
        <w:t>uma ‘matriz de riscos’, a ser divulgada no certame licitatório e posteriormente inserida nos termos contratuais da Petrobras</w:t>
      </w:r>
      <w:r w:rsidRPr="003C2591">
        <w:rPr>
          <w:rFonts w:eastAsia="Times New Roman"/>
          <w:sz w:val="22"/>
          <w:szCs w:val="22"/>
        </w:rPr>
        <w:t>”, com a finalidade precípua de</w:t>
      </w:r>
      <w:r w:rsidRPr="003C2591">
        <w:rPr>
          <w:rFonts w:eastAsia="Times New Roman"/>
          <w:i/>
          <w:sz w:val="22"/>
          <w:szCs w:val="22"/>
        </w:rPr>
        <w:t xml:space="preserve"> </w:t>
      </w:r>
      <w:r w:rsidRPr="003C2591">
        <w:rPr>
          <w:rFonts w:eastAsia="Times New Roman"/>
          <w:sz w:val="22"/>
          <w:szCs w:val="22"/>
        </w:rPr>
        <w:t>“</w:t>
      </w:r>
      <w:r w:rsidRPr="003C2591">
        <w:rPr>
          <w:rFonts w:eastAsia="Times New Roman"/>
          <w:i/>
          <w:sz w:val="22"/>
          <w:szCs w:val="22"/>
        </w:rPr>
        <w:t>indicar, de maneira explícita e objetiva, as etapas do projeto licitado que serão passíveis de definição posterior pela contratada, que assumirá os riscos pelo detalhamento do projeto</w:t>
      </w:r>
      <w:r w:rsidRPr="003C2591">
        <w:rPr>
          <w:rFonts w:eastAsia="Times New Roman"/>
          <w:sz w:val="22"/>
          <w:szCs w:val="22"/>
        </w:rPr>
        <w:t>”. Em seguimento a essa etapa, “</w:t>
      </w:r>
      <w:r w:rsidRPr="003C2591">
        <w:rPr>
          <w:rFonts w:eastAsia="Times New Roman"/>
          <w:i/>
          <w:sz w:val="22"/>
          <w:szCs w:val="22"/>
        </w:rPr>
        <w:t>uma vez estabelecidas as parcelas da obra com incipiente grau de avanço de projeto (e que ficarão sob a responsabilidade da contratada), o detalhamento exigido do orçamento base da Administração e das propostas comerciais deverá ser proporcional ao nível de minúcias que cada etapa do projeto licitado possui</w:t>
      </w:r>
      <w:r w:rsidRPr="003C2591">
        <w:rPr>
          <w:rFonts w:eastAsia="Times New Roman"/>
          <w:sz w:val="22"/>
          <w:szCs w:val="22"/>
        </w:rPr>
        <w:t>”. Por fim, concordando com a unidade instrutiva, o relator reforçou ser oportuno</w:t>
      </w:r>
      <w:r w:rsidR="008C1C52">
        <w:rPr>
          <w:rFonts w:eastAsia="Times New Roman"/>
          <w:sz w:val="22"/>
          <w:szCs w:val="22"/>
        </w:rPr>
        <w:t xml:space="preserve"> que etapas do projeto definidas, </w:t>
      </w:r>
      <w:r w:rsidR="008C1C52" w:rsidRPr="008C1C52">
        <w:rPr>
          <w:rFonts w:eastAsia="Times New Roman"/>
          <w:i/>
          <w:sz w:val="22"/>
          <w:szCs w:val="22"/>
        </w:rPr>
        <w:t>“</w:t>
      </w:r>
      <w:r w:rsidR="008C1C52" w:rsidRPr="008C1C52">
        <w:rPr>
          <w:i/>
          <w:sz w:val="22"/>
          <w:szCs w:val="22"/>
        </w:rPr>
        <w:t>com soluções de engenharia já pré-estabelecidas na licitação e cuja responsabilidade por sua integridade recairá sobre a Administração</w:t>
      </w:r>
      <w:r w:rsidR="008C1C52">
        <w:rPr>
          <w:i/>
          <w:sz w:val="22"/>
          <w:szCs w:val="22"/>
        </w:rPr>
        <w:t>,</w:t>
      </w:r>
      <w:r w:rsidR="008C1C52" w:rsidRPr="008C1C52">
        <w:rPr>
          <w:i/>
          <w:sz w:val="22"/>
          <w:szCs w:val="22"/>
        </w:rPr>
        <w:t xml:space="preserve"> (...)</w:t>
      </w:r>
      <w:r w:rsidRPr="003C2591">
        <w:rPr>
          <w:rFonts w:eastAsia="Times New Roman"/>
          <w:i/>
          <w:sz w:val="22"/>
          <w:szCs w:val="22"/>
        </w:rPr>
        <w:t xml:space="preserve"> sejam discriminadas em composições de custo que exprimam todas as informações necessárias à perfeita e inequívoca caracterização do valor ofertado. Complementarmente, etapas do projeto que ainda virão a ser detalhadas pela futura contratada, responsável pelo EPC, deverão ser esmiuçadas na proporção do grau de maturidade do projeto, sem olvidar de serem apresentadas todas as premissas orçamentárias que pautaram a formulação dos preços ofertados</w:t>
      </w:r>
      <w:r w:rsidRPr="003C2591">
        <w:rPr>
          <w:rFonts w:eastAsia="Times New Roman"/>
          <w:sz w:val="22"/>
          <w:szCs w:val="22"/>
        </w:rPr>
        <w:t>”. Recepcionando na íntegra o voto da relatoria, o Plenário deci</w:t>
      </w:r>
      <w:r w:rsidR="007C538E">
        <w:rPr>
          <w:rFonts w:eastAsia="Times New Roman"/>
          <w:sz w:val="22"/>
          <w:szCs w:val="22"/>
        </w:rPr>
        <w:t>diu, dentre outras deliberações, determinar à Petrobras,</w:t>
      </w:r>
      <w:r w:rsidR="007908C6">
        <w:rPr>
          <w:rFonts w:eastAsia="Times New Roman"/>
          <w:sz w:val="22"/>
          <w:szCs w:val="22"/>
        </w:rPr>
        <w:t xml:space="preserve"> </w:t>
      </w:r>
      <w:r w:rsidRPr="003C2591">
        <w:rPr>
          <w:rFonts w:eastAsia="Times New Roman"/>
          <w:sz w:val="22"/>
          <w:szCs w:val="22"/>
        </w:rPr>
        <w:t>“</w:t>
      </w:r>
      <w:r w:rsidRPr="003C2591">
        <w:rPr>
          <w:rFonts w:eastAsia="Times New Roman"/>
          <w:i/>
          <w:sz w:val="22"/>
          <w:szCs w:val="22"/>
        </w:rPr>
        <w:t>em prestígio aos princípios da segurança jurídica, do julgamento objetivo, da isonomia, da eficiência e da obtenção da melhor proposta, que passe a adotar os seguintes procedimentos em suas contratações de obras e serviços de engenharia, em especial nas empreitadas por preço global:</w:t>
      </w:r>
      <w:r w:rsidR="006A1019">
        <w:rPr>
          <w:rFonts w:eastAsia="Times New Roman"/>
          <w:i/>
          <w:sz w:val="22"/>
          <w:szCs w:val="22"/>
        </w:rPr>
        <w:t xml:space="preserve"> </w:t>
      </w:r>
      <w:r w:rsidRPr="003C2591">
        <w:rPr>
          <w:rFonts w:eastAsia="Times New Roman"/>
          <w:i/>
          <w:sz w:val="22"/>
          <w:szCs w:val="22"/>
        </w:rPr>
        <w:t xml:space="preserve">9.1.1. </w:t>
      </w:r>
      <w:proofErr w:type="gramStart"/>
      <w:r w:rsidRPr="003C2591">
        <w:rPr>
          <w:rFonts w:eastAsia="Times New Roman"/>
          <w:i/>
          <w:sz w:val="22"/>
          <w:szCs w:val="22"/>
        </w:rPr>
        <w:t>faça</w:t>
      </w:r>
      <w:proofErr w:type="gramEnd"/>
      <w:r w:rsidRPr="003C2591">
        <w:rPr>
          <w:rFonts w:eastAsia="Times New Roman"/>
          <w:i/>
          <w:sz w:val="22"/>
          <w:szCs w:val="22"/>
        </w:rPr>
        <w:t xml:space="preserve"> constar, no instrumento convocatório das licitações, documento que estabeleça, de forma precisa, quais frações do empreendimento haverá liberdade das contratadas para inovar em termos das soluções metodológicas ou tecnológicas, seja em termos de modificação das soluções previamente delineadas no projeto-base da licitação, seja detalhando os sistemas e procedimentos construtivos do projeto-base da licitação;</w:t>
      </w:r>
      <w:r w:rsidR="007908C6">
        <w:rPr>
          <w:rFonts w:eastAsia="Times New Roman"/>
          <w:i/>
          <w:sz w:val="22"/>
          <w:szCs w:val="22"/>
        </w:rPr>
        <w:t xml:space="preserve"> </w:t>
      </w:r>
      <w:r w:rsidRPr="003C2591">
        <w:rPr>
          <w:rFonts w:eastAsia="Times New Roman"/>
          <w:i/>
          <w:sz w:val="22"/>
          <w:szCs w:val="22"/>
        </w:rPr>
        <w:t xml:space="preserve">9.1.2. </w:t>
      </w:r>
      <w:proofErr w:type="gramStart"/>
      <w:r w:rsidRPr="003C2591">
        <w:rPr>
          <w:rFonts w:eastAsia="Times New Roman"/>
          <w:i/>
          <w:sz w:val="22"/>
          <w:szCs w:val="22"/>
        </w:rPr>
        <w:t>elabore</w:t>
      </w:r>
      <w:proofErr w:type="gramEnd"/>
      <w:r w:rsidRPr="003C2591">
        <w:rPr>
          <w:rFonts w:eastAsia="Times New Roman"/>
          <w:i/>
          <w:sz w:val="22"/>
          <w:szCs w:val="22"/>
        </w:rPr>
        <w:t xml:space="preserve"> e faça constar nos seus instrumentos</w:t>
      </w:r>
      <w:r w:rsidR="00E13C14">
        <w:rPr>
          <w:rFonts w:eastAsia="Times New Roman"/>
          <w:i/>
          <w:sz w:val="22"/>
          <w:szCs w:val="22"/>
        </w:rPr>
        <w:t xml:space="preserve"> convocatórios e contratos uma ‘matriz de riscos’</w:t>
      </w:r>
      <w:r w:rsidRPr="003C2591">
        <w:rPr>
          <w:rFonts w:eastAsia="Times New Roman"/>
          <w:i/>
          <w:sz w:val="22"/>
          <w:szCs w:val="22"/>
        </w:rPr>
        <w:t xml:space="preserve">, capaz de definir a repartição objetiva de responsabilidades advindas de eventos supervenientes à contratação, como informação indispensável para a caracterização do objeto e das respectivas responsabilidades contratuais, como também elemento capaz de subsidiar o dimensionamento das propostas </w:t>
      </w:r>
      <w:r w:rsidR="006A1019">
        <w:rPr>
          <w:rFonts w:eastAsia="Times New Roman"/>
          <w:i/>
          <w:sz w:val="22"/>
          <w:szCs w:val="22"/>
        </w:rPr>
        <w:t xml:space="preserve">por parte das licitantes; </w:t>
      </w:r>
      <w:r w:rsidRPr="003C2591">
        <w:rPr>
          <w:rFonts w:eastAsia="Times New Roman"/>
          <w:i/>
          <w:sz w:val="22"/>
          <w:szCs w:val="22"/>
        </w:rPr>
        <w:t>9.1.3. exija das licitantes a fundamentação técnica (ou memória de cálculo) dos preços ofertados, por meio da apresentação de informações detalhadas em seus Demonstrativos de Formação de Preços (DFP), requerendo, para a parcela da obra que possui projeto desenvolvido, ou para casos em que a totalidade do projeto já estiver definida pela Estatal, de forma que não haja liberdade dos particulares modificarem o projeto licitado, todos os dados necessários à perfeita e inequívoca caracterização dos valores propostos, discriminados, no mínimo, nas seguintes informações:</w:t>
      </w:r>
      <w:r w:rsidR="006A1019">
        <w:rPr>
          <w:rFonts w:eastAsia="Times New Roman"/>
          <w:i/>
          <w:sz w:val="22"/>
          <w:szCs w:val="22"/>
        </w:rPr>
        <w:t xml:space="preserve"> </w:t>
      </w:r>
      <w:r w:rsidRPr="003C2591">
        <w:rPr>
          <w:rFonts w:eastAsia="Times New Roman"/>
          <w:i/>
          <w:sz w:val="22"/>
          <w:szCs w:val="22"/>
        </w:rPr>
        <w:t>a) relação dos serviços previstos para a obra, com os respectivos preços, quantidades e unidades de quantificação, acompanhadas de memórias de cálculo e justificativas;</w:t>
      </w:r>
      <w:r w:rsidR="006A1019">
        <w:rPr>
          <w:rFonts w:eastAsia="Times New Roman"/>
          <w:i/>
          <w:sz w:val="22"/>
          <w:szCs w:val="22"/>
        </w:rPr>
        <w:t xml:space="preserve"> </w:t>
      </w:r>
      <w:r w:rsidRPr="003C2591">
        <w:rPr>
          <w:rFonts w:eastAsia="Times New Roman"/>
          <w:i/>
          <w:sz w:val="22"/>
          <w:szCs w:val="22"/>
        </w:rPr>
        <w:t>b) composição e produtividade das equipes de trabalho;</w:t>
      </w:r>
      <w:r w:rsidR="006A1019">
        <w:rPr>
          <w:rFonts w:eastAsia="Times New Roman"/>
          <w:i/>
          <w:sz w:val="22"/>
          <w:szCs w:val="22"/>
        </w:rPr>
        <w:t xml:space="preserve"> </w:t>
      </w:r>
      <w:r w:rsidRPr="003C2591">
        <w:rPr>
          <w:rFonts w:eastAsia="Times New Roman"/>
          <w:i/>
          <w:sz w:val="22"/>
          <w:szCs w:val="22"/>
        </w:rPr>
        <w:t>c) coeficiente de consumo dos insumos; e</w:t>
      </w:r>
      <w:r w:rsidR="006A1019">
        <w:rPr>
          <w:rFonts w:eastAsia="Times New Roman"/>
          <w:i/>
          <w:sz w:val="22"/>
          <w:szCs w:val="22"/>
        </w:rPr>
        <w:t xml:space="preserve"> </w:t>
      </w:r>
      <w:r w:rsidRPr="003C2591">
        <w:rPr>
          <w:rFonts w:eastAsia="Times New Roman"/>
          <w:i/>
          <w:sz w:val="22"/>
          <w:szCs w:val="22"/>
        </w:rPr>
        <w:t>d) conti</w:t>
      </w:r>
      <w:r w:rsidR="0094176C">
        <w:rPr>
          <w:rFonts w:eastAsia="Times New Roman"/>
          <w:i/>
          <w:sz w:val="22"/>
          <w:szCs w:val="22"/>
        </w:rPr>
        <w:t>ngenciamentos considerados;</w:t>
      </w:r>
      <w:r w:rsidR="006A1019">
        <w:rPr>
          <w:rFonts w:eastAsia="Times New Roman"/>
          <w:i/>
          <w:sz w:val="22"/>
          <w:szCs w:val="22"/>
        </w:rPr>
        <w:t xml:space="preserve"> </w:t>
      </w:r>
      <w:r w:rsidRPr="003C2591">
        <w:rPr>
          <w:rFonts w:eastAsia="Times New Roman"/>
          <w:i/>
          <w:sz w:val="22"/>
          <w:szCs w:val="22"/>
        </w:rPr>
        <w:t xml:space="preserve">9.1.4. </w:t>
      </w:r>
      <w:proofErr w:type="gramStart"/>
      <w:r w:rsidRPr="003C2591">
        <w:rPr>
          <w:rFonts w:eastAsia="Times New Roman"/>
          <w:i/>
          <w:sz w:val="22"/>
          <w:szCs w:val="22"/>
        </w:rPr>
        <w:t>para</w:t>
      </w:r>
      <w:proofErr w:type="gramEnd"/>
      <w:r w:rsidRPr="003C2591">
        <w:rPr>
          <w:rFonts w:eastAsia="Times New Roman"/>
          <w:i/>
          <w:sz w:val="22"/>
          <w:szCs w:val="22"/>
        </w:rPr>
        <w:t xml:space="preserve"> a parcela da obra cujo risco de desenvolvimento do projeto estiver ao encargo da futura contratada, em que existir liberdade para as contratadas apresentarem solução de engenharia própria:</w:t>
      </w:r>
      <w:r w:rsidR="006A1019">
        <w:rPr>
          <w:rFonts w:eastAsia="Times New Roman"/>
          <w:i/>
          <w:sz w:val="22"/>
          <w:szCs w:val="22"/>
        </w:rPr>
        <w:t xml:space="preserve"> </w:t>
      </w:r>
      <w:r w:rsidRPr="003C2591">
        <w:rPr>
          <w:rFonts w:eastAsia="Times New Roman"/>
          <w:i/>
          <w:sz w:val="22"/>
          <w:szCs w:val="22"/>
        </w:rPr>
        <w:t xml:space="preserve">9.1.4.1. estabeleça nos editais, a padronização das informações mínimas necessárias nos Demonstrativos de Formação de Preços das contratadas (DFP) que viabilizem o julgamento das propostas, em termos de exequibilidade, alinhamento da oferta aos requisitos </w:t>
      </w:r>
      <w:proofErr w:type="spellStart"/>
      <w:r w:rsidRPr="003C2591">
        <w:rPr>
          <w:rFonts w:eastAsia="Times New Roman"/>
          <w:i/>
          <w:sz w:val="22"/>
          <w:szCs w:val="22"/>
        </w:rPr>
        <w:t>editalícios</w:t>
      </w:r>
      <w:proofErr w:type="spellEnd"/>
      <w:r w:rsidRPr="003C2591">
        <w:rPr>
          <w:rFonts w:eastAsia="Times New Roman"/>
          <w:i/>
          <w:sz w:val="22"/>
          <w:szCs w:val="22"/>
        </w:rPr>
        <w:t xml:space="preserve"> e vantagem dos preços, em comparação com o pré-dimensionamento estabelecido na estimativas de custo do projeto-base da licitação, solicitando da proponentes informações que demonstrem as premissas orçamentárias consideradas para cada etapa de execução do empreendimento, em especial as contingências inseridas nos preços;</w:t>
      </w:r>
      <w:r w:rsidR="006A1019">
        <w:rPr>
          <w:rFonts w:eastAsia="Times New Roman"/>
          <w:i/>
          <w:sz w:val="22"/>
          <w:szCs w:val="22"/>
        </w:rPr>
        <w:t xml:space="preserve"> </w:t>
      </w:r>
      <w:r w:rsidRPr="003C2591">
        <w:rPr>
          <w:rFonts w:eastAsia="Times New Roman"/>
          <w:i/>
          <w:sz w:val="22"/>
          <w:szCs w:val="22"/>
        </w:rPr>
        <w:t>9.1.4.2. sempre que o projeto-base da licitação, por seus elementos mínimos, assim o permitir, as estimativas de preço da Companhia devem se basear em orçamento tão detalhado quanto possível, devendo a utilização de estimativas paramétricas e a avaliação aproximada baseada em outras obras similares serem realizadas somente nas frações do empreendimento não suficientemente detalhadas pelo projeto-base da licitação, exigindo no mínimo o mesmo nível de detalhamento das contratadas em seus Demonstrativ</w:t>
      </w:r>
      <w:r w:rsidR="006A1019">
        <w:rPr>
          <w:rFonts w:eastAsia="Times New Roman"/>
          <w:i/>
          <w:sz w:val="22"/>
          <w:szCs w:val="22"/>
        </w:rPr>
        <w:t xml:space="preserve">os de Formação de Preços (DFP); </w:t>
      </w:r>
      <w:r w:rsidRPr="003C2591">
        <w:rPr>
          <w:rFonts w:eastAsia="Times New Roman"/>
          <w:i/>
          <w:sz w:val="22"/>
          <w:szCs w:val="22"/>
        </w:rPr>
        <w:t>9.1.4.3. quando utilizada metodologia expedita ou paramétrica para abalizar o valor do empreendimento – ou fração dele –, consideradas as disposições do subitem anterior, dentre duas ou mais técnicas estimativas possíveis, utilize em suas estimativas de preço-base a que viabilize a maior precisão orçamentária, exigindo no mínimo o mesmo nível de detalhamento das contratadas em seus Demonstrativos de Formação de Preços (DFP)</w:t>
      </w:r>
      <w:r w:rsidRPr="003C2591">
        <w:rPr>
          <w:rFonts w:eastAsia="Times New Roman"/>
          <w:sz w:val="22"/>
          <w:szCs w:val="22"/>
        </w:rPr>
        <w:t xml:space="preserve">”. </w:t>
      </w:r>
      <w:hyperlink r:id="rId11" w:history="1">
        <w:r w:rsidRPr="003C2591">
          <w:rPr>
            <w:rStyle w:val="Hyperlink"/>
            <w:b/>
            <w:i/>
            <w:sz w:val="22"/>
            <w:szCs w:val="22"/>
          </w:rPr>
          <w:t>Acórdão 621/2015-Plenário</w:t>
        </w:r>
      </w:hyperlink>
      <w:r w:rsidRPr="003C2591">
        <w:rPr>
          <w:b/>
          <w:i/>
          <w:sz w:val="22"/>
          <w:szCs w:val="22"/>
        </w:rPr>
        <w:t>, TC 007.315/2011-2, relator Ministro Vital do Rêgo, 25.3.2015.</w:t>
      </w:r>
    </w:p>
    <w:p w:rsidR="002458FC" w:rsidRPr="002458FC" w:rsidRDefault="002458FC" w:rsidP="00234684">
      <w:pPr>
        <w:pStyle w:val="enter-3pt"/>
        <w:tabs>
          <w:tab w:val="left" w:pos="2590"/>
        </w:tabs>
        <w:rPr>
          <w:b/>
          <w:bCs/>
          <w:iCs/>
          <w:sz w:val="22"/>
          <w:szCs w:val="22"/>
        </w:rPr>
      </w:pPr>
    </w:p>
    <w:p w:rsidR="00EB0B85" w:rsidRPr="00ED3B26" w:rsidRDefault="00EB0B85" w:rsidP="00173904">
      <w:pPr>
        <w:autoSpaceDE w:val="0"/>
        <w:autoSpaceDN w:val="0"/>
        <w:adjustRightInd w:val="0"/>
        <w:spacing w:after="0"/>
        <w:ind w:left="0"/>
        <w:rPr>
          <w:b/>
          <w:i/>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2" w:history="1">
              <w:r w:rsidRPr="00827830">
                <w:rPr>
                  <w:rStyle w:val="Hyperlink"/>
                  <w:b/>
                  <w:i/>
                  <w:color w:val="auto"/>
                  <w:sz w:val="18"/>
                  <w:szCs w:val="18"/>
                </w:rPr>
                <w:t>infojuris@tcu.gov.br</w:t>
              </w:r>
            </w:hyperlink>
          </w:p>
        </w:tc>
      </w:tr>
    </w:tbl>
    <w:p w:rsidR="004A3A81" w:rsidRDefault="004A3A81" w:rsidP="00784888">
      <w:pPr>
        <w:ind w:left="0"/>
        <w:rPr>
          <w:sz w:val="22"/>
          <w:szCs w:val="22"/>
        </w:rPr>
      </w:pPr>
    </w:p>
    <w:p w:rsidR="00EB0B85" w:rsidRDefault="00EB0B85" w:rsidP="00784888">
      <w:pPr>
        <w:ind w:left="0"/>
        <w:rPr>
          <w:sz w:val="22"/>
          <w:szCs w:val="22"/>
        </w:rPr>
      </w:pPr>
    </w:p>
    <w:p w:rsidR="00EB0B85" w:rsidRDefault="00EB0B85" w:rsidP="00784888">
      <w:pPr>
        <w:ind w:left="0"/>
        <w:rPr>
          <w:sz w:val="22"/>
          <w:szCs w:val="22"/>
        </w:rPr>
      </w:pPr>
    </w:p>
    <w:sectPr w:rsidR="00EB0B85" w:rsidSect="00616945">
      <w:footerReference w:type="default" r:id="rId13"/>
      <w:headerReference w:type="first" r:id="rId14"/>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72" w:rsidRDefault="00066872" w:rsidP="008B0547">
      <w:pPr>
        <w:spacing w:after="0"/>
      </w:pPr>
      <w:r>
        <w:separator/>
      </w:r>
    </w:p>
  </w:endnote>
  <w:endnote w:type="continuationSeparator" w:id="0">
    <w:p w:rsidR="00066872" w:rsidRDefault="0006687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332DC2">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72" w:rsidRDefault="00066872" w:rsidP="008B0547">
      <w:pPr>
        <w:spacing w:after="0"/>
      </w:pPr>
      <w:r>
        <w:separator/>
      </w:r>
    </w:p>
  </w:footnote>
  <w:footnote w:type="continuationSeparator" w:id="0">
    <w:p w:rsidR="00066872" w:rsidRDefault="0006687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0F4212DE"/>
    <w:multiLevelType w:val="hybridMultilevel"/>
    <w:tmpl w:val="3AAAF2B6"/>
    <w:lvl w:ilvl="0" w:tplc="056680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0291A14"/>
    <w:multiLevelType w:val="hybridMultilevel"/>
    <w:tmpl w:val="E154E3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0851A5"/>
    <w:multiLevelType w:val="hybridMultilevel"/>
    <w:tmpl w:val="0FD6F7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5A91625"/>
    <w:multiLevelType w:val="hybridMultilevel"/>
    <w:tmpl w:val="916A3A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3">
    <w:nsid w:val="1DCC64EC"/>
    <w:multiLevelType w:val="hybridMultilevel"/>
    <w:tmpl w:val="1B726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5">
    <w:nsid w:val="3568189B"/>
    <w:multiLevelType w:val="hybridMultilevel"/>
    <w:tmpl w:val="2FC61D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7">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8">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9">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DC4A94"/>
    <w:multiLevelType w:val="hybridMultilevel"/>
    <w:tmpl w:val="83BC5734"/>
    <w:lvl w:ilvl="0" w:tplc="E9C601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6">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
  </w:num>
  <w:num w:numId="3">
    <w:abstractNumId w:val="25"/>
    <w:lvlOverride w:ilvl="0">
      <w:startOverride w:val="1"/>
    </w:lvlOverride>
  </w:num>
  <w:num w:numId="4">
    <w:abstractNumId w:val="17"/>
  </w:num>
  <w:num w:numId="5">
    <w:abstractNumId w:val="12"/>
  </w:num>
  <w:num w:numId="6">
    <w:abstractNumId w:val="10"/>
  </w:num>
  <w:num w:numId="7">
    <w:abstractNumId w:val="16"/>
  </w:num>
  <w:num w:numId="8">
    <w:abstractNumId w:val="18"/>
  </w:num>
  <w:num w:numId="9">
    <w:abstractNumId w:val="3"/>
  </w:num>
  <w:num w:numId="10">
    <w:abstractNumId w:val="5"/>
  </w:num>
  <w:num w:numId="11">
    <w:abstractNumId w:val="21"/>
  </w:num>
  <w:num w:numId="12">
    <w:abstractNumId w:val="22"/>
  </w:num>
  <w:num w:numId="13">
    <w:abstractNumId w:val="24"/>
  </w:num>
  <w:num w:numId="14">
    <w:abstractNumId w:val="23"/>
  </w:num>
  <w:num w:numId="15">
    <w:abstractNumId w:val="27"/>
  </w:num>
  <w:num w:numId="16">
    <w:abstractNumId w:val="0"/>
  </w:num>
  <w:num w:numId="17">
    <w:abstractNumId w:val="7"/>
  </w:num>
  <w:num w:numId="18">
    <w:abstractNumId w:val="4"/>
  </w:num>
  <w:num w:numId="19">
    <w:abstractNumId w:val="19"/>
  </w:num>
  <w:num w:numId="20">
    <w:abstractNumId w:val="1"/>
  </w:num>
  <w:num w:numId="21">
    <w:abstractNumId w:val="26"/>
  </w:num>
  <w:num w:numId="22">
    <w:abstractNumId w:val="13"/>
  </w:num>
  <w:num w:numId="23">
    <w:abstractNumId w:val="8"/>
  </w:num>
  <w:num w:numId="24">
    <w:abstractNumId w:val="6"/>
  </w:num>
  <w:num w:numId="25">
    <w:abstractNumId w:val="11"/>
  </w:num>
  <w:num w:numId="26">
    <w:abstractNumId w:val="20"/>
  </w:num>
  <w:num w:numId="27">
    <w:abstractNumId w:val="9"/>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F0C"/>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61F7"/>
    <w:rsid w:val="0001636D"/>
    <w:rsid w:val="0001643A"/>
    <w:rsid w:val="0001657D"/>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8CF"/>
    <w:rsid w:val="00023AFD"/>
    <w:rsid w:val="00023D72"/>
    <w:rsid w:val="00024363"/>
    <w:rsid w:val="00025103"/>
    <w:rsid w:val="000253D1"/>
    <w:rsid w:val="000253EE"/>
    <w:rsid w:val="00025450"/>
    <w:rsid w:val="00025753"/>
    <w:rsid w:val="00025A32"/>
    <w:rsid w:val="00025AA0"/>
    <w:rsid w:val="00025C63"/>
    <w:rsid w:val="000262E8"/>
    <w:rsid w:val="0002659E"/>
    <w:rsid w:val="0002663F"/>
    <w:rsid w:val="00026CE8"/>
    <w:rsid w:val="00026F3D"/>
    <w:rsid w:val="000271FA"/>
    <w:rsid w:val="0002751C"/>
    <w:rsid w:val="000278BE"/>
    <w:rsid w:val="00027B2E"/>
    <w:rsid w:val="00027C86"/>
    <w:rsid w:val="00027EFC"/>
    <w:rsid w:val="000300A2"/>
    <w:rsid w:val="000304BD"/>
    <w:rsid w:val="00030996"/>
    <w:rsid w:val="00030C19"/>
    <w:rsid w:val="00030EC2"/>
    <w:rsid w:val="0003113F"/>
    <w:rsid w:val="00031B07"/>
    <w:rsid w:val="00031B9D"/>
    <w:rsid w:val="00032198"/>
    <w:rsid w:val="0003282A"/>
    <w:rsid w:val="00032CA1"/>
    <w:rsid w:val="00032CE9"/>
    <w:rsid w:val="00032D47"/>
    <w:rsid w:val="000334D4"/>
    <w:rsid w:val="00033551"/>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408F5"/>
    <w:rsid w:val="00040938"/>
    <w:rsid w:val="00041337"/>
    <w:rsid w:val="00041450"/>
    <w:rsid w:val="000415DA"/>
    <w:rsid w:val="00041E6A"/>
    <w:rsid w:val="00042393"/>
    <w:rsid w:val="00042A13"/>
    <w:rsid w:val="000431BD"/>
    <w:rsid w:val="00043654"/>
    <w:rsid w:val="000436B0"/>
    <w:rsid w:val="000438BA"/>
    <w:rsid w:val="000438FC"/>
    <w:rsid w:val="00044117"/>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13E"/>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04"/>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872"/>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7F6"/>
    <w:rsid w:val="00072916"/>
    <w:rsid w:val="00072D55"/>
    <w:rsid w:val="00072F56"/>
    <w:rsid w:val="00073231"/>
    <w:rsid w:val="00073509"/>
    <w:rsid w:val="000735D1"/>
    <w:rsid w:val="0007405B"/>
    <w:rsid w:val="00074384"/>
    <w:rsid w:val="00074AC5"/>
    <w:rsid w:val="000756E7"/>
    <w:rsid w:val="00075CE6"/>
    <w:rsid w:val="00075D3C"/>
    <w:rsid w:val="000761CD"/>
    <w:rsid w:val="0007670D"/>
    <w:rsid w:val="000768BB"/>
    <w:rsid w:val="00076909"/>
    <w:rsid w:val="00076CF7"/>
    <w:rsid w:val="00077346"/>
    <w:rsid w:val="00077A56"/>
    <w:rsid w:val="00077BA4"/>
    <w:rsid w:val="0008010D"/>
    <w:rsid w:val="00080148"/>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761"/>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87F40"/>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B36"/>
    <w:rsid w:val="000A2C56"/>
    <w:rsid w:val="000A2DF9"/>
    <w:rsid w:val="000A301D"/>
    <w:rsid w:val="000A37A7"/>
    <w:rsid w:val="000A3939"/>
    <w:rsid w:val="000A402F"/>
    <w:rsid w:val="000A40FD"/>
    <w:rsid w:val="000A4384"/>
    <w:rsid w:val="000A4632"/>
    <w:rsid w:val="000A47EA"/>
    <w:rsid w:val="000A4DD9"/>
    <w:rsid w:val="000A4E36"/>
    <w:rsid w:val="000A504A"/>
    <w:rsid w:val="000A50D4"/>
    <w:rsid w:val="000A5457"/>
    <w:rsid w:val="000A54F5"/>
    <w:rsid w:val="000A57DA"/>
    <w:rsid w:val="000A599E"/>
    <w:rsid w:val="000A6269"/>
    <w:rsid w:val="000A62BD"/>
    <w:rsid w:val="000A6645"/>
    <w:rsid w:val="000A6CDC"/>
    <w:rsid w:val="000A6E08"/>
    <w:rsid w:val="000A75EF"/>
    <w:rsid w:val="000A77BB"/>
    <w:rsid w:val="000A78E5"/>
    <w:rsid w:val="000A79DB"/>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342"/>
    <w:rsid w:val="000B639F"/>
    <w:rsid w:val="000B63F3"/>
    <w:rsid w:val="000B6475"/>
    <w:rsid w:val="000B6BC1"/>
    <w:rsid w:val="000B6DA0"/>
    <w:rsid w:val="000B706C"/>
    <w:rsid w:val="000B759E"/>
    <w:rsid w:val="000B775A"/>
    <w:rsid w:val="000B77F3"/>
    <w:rsid w:val="000B79DD"/>
    <w:rsid w:val="000B7EC2"/>
    <w:rsid w:val="000C0013"/>
    <w:rsid w:val="000C02AD"/>
    <w:rsid w:val="000C049A"/>
    <w:rsid w:val="000C060B"/>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C9"/>
    <w:rsid w:val="000C4BA1"/>
    <w:rsid w:val="000C4FAE"/>
    <w:rsid w:val="000C5199"/>
    <w:rsid w:val="000C51DE"/>
    <w:rsid w:val="000C5536"/>
    <w:rsid w:val="000C556A"/>
    <w:rsid w:val="000C5799"/>
    <w:rsid w:val="000C5FDE"/>
    <w:rsid w:val="000C61FA"/>
    <w:rsid w:val="000C69B3"/>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D37"/>
    <w:rsid w:val="000E1DF7"/>
    <w:rsid w:val="000E23D2"/>
    <w:rsid w:val="000E2496"/>
    <w:rsid w:val="000E24D9"/>
    <w:rsid w:val="000E28AC"/>
    <w:rsid w:val="000E2D47"/>
    <w:rsid w:val="000E3599"/>
    <w:rsid w:val="000E372B"/>
    <w:rsid w:val="000E3A55"/>
    <w:rsid w:val="000E3B31"/>
    <w:rsid w:val="000E3BBB"/>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FC"/>
    <w:rsid w:val="001016F1"/>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101"/>
    <w:rsid w:val="001064E1"/>
    <w:rsid w:val="001071C7"/>
    <w:rsid w:val="00107244"/>
    <w:rsid w:val="001072E1"/>
    <w:rsid w:val="00107486"/>
    <w:rsid w:val="00107A34"/>
    <w:rsid w:val="00107AC8"/>
    <w:rsid w:val="001100F8"/>
    <w:rsid w:val="0011038F"/>
    <w:rsid w:val="0011039E"/>
    <w:rsid w:val="001103EC"/>
    <w:rsid w:val="001104BA"/>
    <w:rsid w:val="001108C0"/>
    <w:rsid w:val="00110C79"/>
    <w:rsid w:val="00111441"/>
    <w:rsid w:val="00111866"/>
    <w:rsid w:val="00111A2A"/>
    <w:rsid w:val="00111A71"/>
    <w:rsid w:val="00111B67"/>
    <w:rsid w:val="00111E00"/>
    <w:rsid w:val="00112265"/>
    <w:rsid w:val="001125A2"/>
    <w:rsid w:val="00112676"/>
    <w:rsid w:val="0011273C"/>
    <w:rsid w:val="00112A5F"/>
    <w:rsid w:val="0011373A"/>
    <w:rsid w:val="00113A1F"/>
    <w:rsid w:val="00113B55"/>
    <w:rsid w:val="00114137"/>
    <w:rsid w:val="0011429C"/>
    <w:rsid w:val="00114511"/>
    <w:rsid w:val="00114ABD"/>
    <w:rsid w:val="00115305"/>
    <w:rsid w:val="0011552F"/>
    <w:rsid w:val="001156BA"/>
    <w:rsid w:val="0011582E"/>
    <w:rsid w:val="00115911"/>
    <w:rsid w:val="0011615F"/>
    <w:rsid w:val="0011629D"/>
    <w:rsid w:val="001165AC"/>
    <w:rsid w:val="00116706"/>
    <w:rsid w:val="0011691F"/>
    <w:rsid w:val="00116BAB"/>
    <w:rsid w:val="00117178"/>
    <w:rsid w:val="001173EC"/>
    <w:rsid w:val="0011748D"/>
    <w:rsid w:val="001174F7"/>
    <w:rsid w:val="00117631"/>
    <w:rsid w:val="00117A9F"/>
    <w:rsid w:val="00117E95"/>
    <w:rsid w:val="0012006A"/>
    <w:rsid w:val="001203BE"/>
    <w:rsid w:val="00121213"/>
    <w:rsid w:val="00121290"/>
    <w:rsid w:val="001212BD"/>
    <w:rsid w:val="00121782"/>
    <w:rsid w:val="001217A0"/>
    <w:rsid w:val="00121BE3"/>
    <w:rsid w:val="00121EDA"/>
    <w:rsid w:val="0012277E"/>
    <w:rsid w:val="00122950"/>
    <w:rsid w:val="00122F63"/>
    <w:rsid w:val="0012305F"/>
    <w:rsid w:val="00123E4E"/>
    <w:rsid w:val="00123E5C"/>
    <w:rsid w:val="00123E6B"/>
    <w:rsid w:val="0012419E"/>
    <w:rsid w:val="00124A6A"/>
    <w:rsid w:val="00124A77"/>
    <w:rsid w:val="00125476"/>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752"/>
    <w:rsid w:val="00130A0C"/>
    <w:rsid w:val="00130B06"/>
    <w:rsid w:val="00130EF3"/>
    <w:rsid w:val="00131679"/>
    <w:rsid w:val="001316FC"/>
    <w:rsid w:val="0013176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BB"/>
    <w:rsid w:val="0013714A"/>
    <w:rsid w:val="00137335"/>
    <w:rsid w:val="0013735A"/>
    <w:rsid w:val="001374E3"/>
    <w:rsid w:val="001378A3"/>
    <w:rsid w:val="00137908"/>
    <w:rsid w:val="00137A34"/>
    <w:rsid w:val="00137B22"/>
    <w:rsid w:val="00137D7E"/>
    <w:rsid w:val="00137FE3"/>
    <w:rsid w:val="00140820"/>
    <w:rsid w:val="00140984"/>
    <w:rsid w:val="00140C58"/>
    <w:rsid w:val="00140CA5"/>
    <w:rsid w:val="00140DD7"/>
    <w:rsid w:val="00140FED"/>
    <w:rsid w:val="0014137E"/>
    <w:rsid w:val="00141D7A"/>
    <w:rsid w:val="00141DE9"/>
    <w:rsid w:val="001420D1"/>
    <w:rsid w:val="001420FE"/>
    <w:rsid w:val="00142621"/>
    <w:rsid w:val="00142699"/>
    <w:rsid w:val="0014299D"/>
    <w:rsid w:val="00142A39"/>
    <w:rsid w:val="00142AB7"/>
    <w:rsid w:val="00142C16"/>
    <w:rsid w:val="00142F14"/>
    <w:rsid w:val="001430DC"/>
    <w:rsid w:val="001438E6"/>
    <w:rsid w:val="00143B36"/>
    <w:rsid w:val="001441C9"/>
    <w:rsid w:val="001444A2"/>
    <w:rsid w:val="00144987"/>
    <w:rsid w:val="00144EBC"/>
    <w:rsid w:val="00145439"/>
    <w:rsid w:val="00145B06"/>
    <w:rsid w:val="00145B71"/>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4AE"/>
    <w:rsid w:val="0016352E"/>
    <w:rsid w:val="00163585"/>
    <w:rsid w:val="00163752"/>
    <w:rsid w:val="001638FF"/>
    <w:rsid w:val="00163A36"/>
    <w:rsid w:val="00164355"/>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904"/>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3E5"/>
    <w:rsid w:val="00186AF4"/>
    <w:rsid w:val="00186C7E"/>
    <w:rsid w:val="0018763E"/>
    <w:rsid w:val="0018776F"/>
    <w:rsid w:val="00187F3D"/>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28D"/>
    <w:rsid w:val="001943EB"/>
    <w:rsid w:val="00194BE9"/>
    <w:rsid w:val="00194C5E"/>
    <w:rsid w:val="00194CA4"/>
    <w:rsid w:val="00194E35"/>
    <w:rsid w:val="00194EDA"/>
    <w:rsid w:val="00195023"/>
    <w:rsid w:val="001951C9"/>
    <w:rsid w:val="001956E2"/>
    <w:rsid w:val="00195F77"/>
    <w:rsid w:val="00196098"/>
    <w:rsid w:val="00196898"/>
    <w:rsid w:val="00196ADB"/>
    <w:rsid w:val="00196E11"/>
    <w:rsid w:val="0019736D"/>
    <w:rsid w:val="001977ED"/>
    <w:rsid w:val="001979BB"/>
    <w:rsid w:val="00197C2F"/>
    <w:rsid w:val="001A03C3"/>
    <w:rsid w:val="001A052D"/>
    <w:rsid w:val="001A0725"/>
    <w:rsid w:val="001A08CA"/>
    <w:rsid w:val="001A0B42"/>
    <w:rsid w:val="001A0B5D"/>
    <w:rsid w:val="001A0CC1"/>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ED"/>
    <w:rsid w:val="001C3CF9"/>
    <w:rsid w:val="001C3FE0"/>
    <w:rsid w:val="001C412B"/>
    <w:rsid w:val="001C423E"/>
    <w:rsid w:val="001C437E"/>
    <w:rsid w:val="001C4723"/>
    <w:rsid w:val="001C4F39"/>
    <w:rsid w:val="001C4FE9"/>
    <w:rsid w:val="001C51E4"/>
    <w:rsid w:val="001C536B"/>
    <w:rsid w:val="001C5777"/>
    <w:rsid w:val="001C5B26"/>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968"/>
    <w:rsid w:val="001D2BC5"/>
    <w:rsid w:val="001D2D43"/>
    <w:rsid w:val="001D3401"/>
    <w:rsid w:val="001D34EB"/>
    <w:rsid w:val="001D35B4"/>
    <w:rsid w:val="001D3A4D"/>
    <w:rsid w:val="001D3F21"/>
    <w:rsid w:val="001D44B8"/>
    <w:rsid w:val="001D4515"/>
    <w:rsid w:val="001D476E"/>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E28"/>
    <w:rsid w:val="001E1E6E"/>
    <w:rsid w:val="001E2620"/>
    <w:rsid w:val="001E2B28"/>
    <w:rsid w:val="001E3674"/>
    <w:rsid w:val="001E3AC2"/>
    <w:rsid w:val="001E3D51"/>
    <w:rsid w:val="001E3D84"/>
    <w:rsid w:val="001E3DCC"/>
    <w:rsid w:val="001E4147"/>
    <w:rsid w:val="001E4381"/>
    <w:rsid w:val="001E44D3"/>
    <w:rsid w:val="001E4CBA"/>
    <w:rsid w:val="001E548C"/>
    <w:rsid w:val="001E5B5B"/>
    <w:rsid w:val="001E5CBA"/>
    <w:rsid w:val="001E69E4"/>
    <w:rsid w:val="001E7019"/>
    <w:rsid w:val="001E7047"/>
    <w:rsid w:val="001E713F"/>
    <w:rsid w:val="001E71F0"/>
    <w:rsid w:val="001E71F9"/>
    <w:rsid w:val="001E725A"/>
    <w:rsid w:val="001E736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B05"/>
    <w:rsid w:val="001F2B1F"/>
    <w:rsid w:val="001F348E"/>
    <w:rsid w:val="001F34F8"/>
    <w:rsid w:val="001F473A"/>
    <w:rsid w:val="001F4DA1"/>
    <w:rsid w:val="001F5268"/>
    <w:rsid w:val="001F553C"/>
    <w:rsid w:val="001F5A5A"/>
    <w:rsid w:val="001F5E50"/>
    <w:rsid w:val="001F5EB4"/>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5C7B"/>
    <w:rsid w:val="0020621C"/>
    <w:rsid w:val="00206508"/>
    <w:rsid w:val="002067A7"/>
    <w:rsid w:val="00206C2E"/>
    <w:rsid w:val="00206CDA"/>
    <w:rsid w:val="00206CDC"/>
    <w:rsid w:val="00207082"/>
    <w:rsid w:val="0020734D"/>
    <w:rsid w:val="00207BB8"/>
    <w:rsid w:val="00207BF8"/>
    <w:rsid w:val="00207E85"/>
    <w:rsid w:val="00210018"/>
    <w:rsid w:val="0021001C"/>
    <w:rsid w:val="0021022F"/>
    <w:rsid w:val="002108A7"/>
    <w:rsid w:val="00211194"/>
    <w:rsid w:val="0021149E"/>
    <w:rsid w:val="00211816"/>
    <w:rsid w:val="00211C55"/>
    <w:rsid w:val="0021201E"/>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08D"/>
    <w:rsid w:val="00215156"/>
    <w:rsid w:val="0021517D"/>
    <w:rsid w:val="002157BF"/>
    <w:rsid w:val="00216157"/>
    <w:rsid w:val="00216BD9"/>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BB3"/>
    <w:rsid w:val="00231CBC"/>
    <w:rsid w:val="00231DA0"/>
    <w:rsid w:val="00232158"/>
    <w:rsid w:val="00232164"/>
    <w:rsid w:val="0023253B"/>
    <w:rsid w:val="0023279B"/>
    <w:rsid w:val="002328F9"/>
    <w:rsid w:val="00232B8A"/>
    <w:rsid w:val="00233117"/>
    <w:rsid w:val="00233785"/>
    <w:rsid w:val="0023395B"/>
    <w:rsid w:val="00233A5A"/>
    <w:rsid w:val="00233CE3"/>
    <w:rsid w:val="002340FE"/>
    <w:rsid w:val="00234285"/>
    <w:rsid w:val="002343BF"/>
    <w:rsid w:val="002344C1"/>
    <w:rsid w:val="00234556"/>
    <w:rsid w:val="00234634"/>
    <w:rsid w:val="0023468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68"/>
    <w:rsid w:val="00243797"/>
    <w:rsid w:val="002442D9"/>
    <w:rsid w:val="002447C9"/>
    <w:rsid w:val="00244A11"/>
    <w:rsid w:val="00244BA7"/>
    <w:rsid w:val="00244CA2"/>
    <w:rsid w:val="0024506F"/>
    <w:rsid w:val="00245351"/>
    <w:rsid w:val="00245432"/>
    <w:rsid w:val="002454B8"/>
    <w:rsid w:val="002458FC"/>
    <w:rsid w:val="0024593F"/>
    <w:rsid w:val="00245B87"/>
    <w:rsid w:val="00245CC7"/>
    <w:rsid w:val="002465A6"/>
    <w:rsid w:val="00246827"/>
    <w:rsid w:val="00246897"/>
    <w:rsid w:val="002468A3"/>
    <w:rsid w:val="00246C03"/>
    <w:rsid w:val="0024701E"/>
    <w:rsid w:val="00247218"/>
    <w:rsid w:val="002472D3"/>
    <w:rsid w:val="002476B6"/>
    <w:rsid w:val="00247E76"/>
    <w:rsid w:val="00247E8F"/>
    <w:rsid w:val="00250146"/>
    <w:rsid w:val="00250777"/>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B58"/>
    <w:rsid w:val="00255CF8"/>
    <w:rsid w:val="00255E00"/>
    <w:rsid w:val="00255FC7"/>
    <w:rsid w:val="00256044"/>
    <w:rsid w:val="002565C7"/>
    <w:rsid w:val="0025663C"/>
    <w:rsid w:val="00256671"/>
    <w:rsid w:val="002568DA"/>
    <w:rsid w:val="00256989"/>
    <w:rsid w:val="00256A50"/>
    <w:rsid w:val="00256D8B"/>
    <w:rsid w:val="00256FE1"/>
    <w:rsid w:val="00257178"/>
    <w:rsid w:val="0025771F"/>
    <w:rsid w:val="0025781A"/>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55"/>
    <w:rsid w:val="00262969"/>
    <w:rsid w:val="00262D24"/>
    <w:rsid w:val="00263304"/>
    <w:rsid w:val="002633D9"/>
    <w:rsid w:val="0026340E"/>
    <w:rsid w:val="0026362E"/>
    <w:rsid w:val="00263993"/>
    <w:rsid w:val="002639CA"/>
    <w:rsid w:val="002642F2"/>
    <w:rsid w:val="0026473A"/>
    <w:rsid w:val="002648A3"/>
    <w:rsid w:val="002649A7"/>
    <w:rsid w:val="00264FC3"/>
    <w:rsid w:val="00265350"/>
    <w:rsid w:val="00265736"/>
    <w:rsid w:val="002657B3"/>
    <w:rsid w:val="00265874"/>
    <w:rsid w:val="0026589B"/>
    <w:rsid w:val="0026620A"/>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2A37"/>
    <w:rsid w:val="002830F6"/>
    <w:rsid w:val="00283507"/>
    <w:rsid w:val="002836C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379"/>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647"/>
    <w:rsid w:val="00292791"/>
    <w:rsid w:val="00292A8E"/>
    <w:rsid w:val="002930FA"/>
    <w:rsid w:val="00293198"/>
    <w:rsid w:val="002933A1"/>
    <w:rsid w:val="0029353D"/>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D14"/>
    <w:rsid w:val="00297F8C"/>
    <w:rsid w:val="002A0113"/>
    <w:rsid w:val="002A03ED"/>
    <w:rsid w:val="002A040F"/>
    <w:rsid w:val="002A0BC9"/>
    <w:rsid w:val="002A0F27"/>
    <w:rsid w:val="002A11C4"/>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AA"/>
    <w:rsid w:val="002A5CF5"/>
    <w:rsid w:val="002A5F01"/>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12B"/>
    <w:rsid w:val="002B32CA"/>
    <w:rsid w:val="002B32DD"/>
    <w:rsid w:val="002B3968"/>
    <w:rsid w:val="002B4001"/>
    <w:rsid w:val="002B409B"/>
    <w:rsid w:val="002B40EA"/>
    <w:rsid w:val="002B4392"/>
    <w:rsid w:val="002B4A50"/>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625"/>
    <w:rsid w:val="002C0678"/>
    <w:rsid w:val="002C1252"/>
    <w:rsid w:val="002C12D8"/>
    <w:rsid w:val="002C15D5"/>
    <w:rsid w:val="002C171E"/>
    <w:rsid w:val="002C182C"/>
    <w:rsid w:val="002C1896"/>
    <w:rsid w:val="002C1A06"/>
    <w:rsid w:val="002C208E"/>
    <w:rsid w:val="002C2F67"/>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F03"/>
    <w:rsid w:val="002C6588"/>
    <w:rsid w:val="002C662D"/>
    <w:rsid w:val="002C66E9"/>
    <w:rsid w:val="002C6B2F"/>
    <w:rsid w:val="002C6BFB"/>
    <w:rsid w:val="002C71CF"/>
    <w:rsid w:val="002C78D8"/>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4F"/>
    <w:rsid w:val="002D26EC"/>
    <w:rsid w:val="002D2BF5"/>
    <w:rsid w:val="002D2D0E"/>
    <w:rsid w:val="002D3043"/>
    <w:rsid w:val="002D35F5"/>
    <w:rsid w:val="002D3B6D"/>
    <w:rsid w:val="002D3D5A"/>
    <w:rsid w:val="002D3E5B"/>
    <w:rsid w:val="002D4510"/>
    <w:rsid w:val="002D47AD"/>
    <w:rsid w:val="002D47FE"/>
    <w:rsid w:val="002D4A56"/>
    <w:rsid w:val="002D4B1D"/>
    <w:rsid w:val="002D5270"/>
    <w:rsid w:val="002D532D"/>
    <w:rsid w:val="002D58FC"/>
    <w:rsid w:val="002D5D7D"/>
    <w:rsid w:val="002D5F27"/>
    <w:rsid w:val="002D5FDF"/>
    <w:rsid w:val="002D607B"/>
    <w:rsid w:val="002D6582"/>
    <w:rsid w:val="002D65E2"/>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BC6"/>
    <w:rsid w:val="002E1EC2"/>
    <w:rsid w:val="002E1EC7"/>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FDB"/>
    <w:rsid w:val="002E700E"/>
    <w:rsid w:val="002E71B1"/>
    <w:rsid w:val="002E7794"/>
    <w:rsid w:val="002E79A6"/>
    <w:rsid w:val="002F0A46"/>
    <w:rsid w:val="002F0C37"/>
    <w:rsid w:val="002F0E1E"/>
    <w:rsid w:val="002F104B"/>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5497"/>
    <w:rsid w:val="002F556F"/>
    <w:rsid w:val="002F5678"/>
    <w:rsid w:val="002F5F3B"/>
    <w:rsid w:val="002F61A4"/>
    <w:rsid w:val="002F64E5"/>
    <w:rsid w:val="002F693C"/>
    <w:rsid w:val="002F69BB"/>
    <w:rsid w:val="002F6EC5"/>
    <w:rsid w:val="002F6FAD"/>
    <w:rsid w:val="002F7003"/>
    <w:rsid w:val="002F7707"/>
    <w:rsid w:val="002F797B"/>
    <w:rsid w:val="002F7A9E"/>
    <w:rsid w:val="002F7C6D"/>
    <w:rsid w:val="003006FA"/>
    <w:rsid w:val="0030071B"/>
    <w:rsid w:val="003010D4"/>
    <w:rsid w:val="0030120B"/>
    <w:rsid w:val="00302044"/>
    <w:rsid w:val="003020F4"/>
    <w:rsid w:val="003023A1"/>
    <w:rsid w:val="003025C7"/>
    <w:rsid w:val="0030360F"/>
    <w:rsid w:val="00303790"/>
    <w:rsid w:val="00303984"/>
    <w:rsid w:val="00303FAF"/>
    <w:rsid w:val="00304072"/>
    <w:rsid w:val="00304161"/>
    <w:rsid w:val="003043A7"/>
    <w:rsid w:val="00304618"/>
    <w:rsid w:val="00304643"/>
    <w:rsid w:val="0030477F"/>
    <w:rsid w:val="003047D2"/>
    <w:rsid w:val="0030493A"/>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001"/>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20368"/>
    <w:rsid w:val="0032040C"/>
    <w:rsid w:val="00320465"/>
    <w:rsid w:val="00320A64"/>
    <w:rsid w:val="00320B02"/>
    <w:rsid w:val="00320B84"/>
    <w:rsid w:val="00320D78"/>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337"/>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DC2"/>
    <w:rsid w:val="00332EF9"/>
    <w:rsid w:val="00332F67"/>
    <w:rsid w:val="00333005"/>
    <w:rsid w:val="00333597"/>
    <w:rsid w:val="00334500"/>
    <w:rsid w:val="0033497F"/>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E16"/>
    <w:rsid w:val="003401CA"/>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998"/>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0FD"/>
    <w:rsid w:val="00351286"/>
    <w:rsid w:val="00351609"/>
    <w:rsid w:val="00352323"/>
    <w:rsid w:val="00352B17"/>
    <w:rsid w:val="00352C98"/>
    <w:rsid w:val="00353018"/>
    <w:rsid w:val="00353253"/>
    <w:rsid w:val="003533A6"/>
    <w:rsid w:val="003536BB"/>
    <w:rsid w:val="00353B7C"/>
    <w:rsid w:val="00353BE4"/>
    <w:rsid w:val="00353D60"/>
    <w:rsid w:val="0035402B"/>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DA"/>
    <w:rsid w:val="003577EB"/>
    <w:rsid w:val="00357CBE"/>
    <w:rsid w:val="00357D66"/>
    <w:rsid w:val="003602F2"/>
    <w:rsid w:val="003603B9"/>
    <w:rsid w:val="0036046F"/>
    <w:rsid w:val="003609A7"/>
    <w:rsid w:val="00360C13"/>
    <w:rsid w:val="00361263"/>
    <w:rsid w:val="003613E4"/>
    <w:rsid w:val="00361427"/>
    <w:rsid w:val="00361487"/>
    <w:rsid w:val="00361661"/>
    <w:rsid w:val="0036199D"/>
    <w:rsid w:val="00362905"/>
    <w:rsid w:val="003629D8"/>
    <w:rsid w:val="00362D04"/>
    <w:rsid w:val="00362D33"/>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5BB"/>
    <w:rsid w:val="00370612"/>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0E2"/>
    <w:rsid w:val="0037314C"/>
    <w:rsid w:val="003731C2"/>
    <w:rsid w:val="00373747"/>
    <w:rsid w:val="00373860"/>
    <w:rsid w:val="00373DBC"/>
    <w:rsid w:val="00373DDB"/>
    <w:rsid w:val="00374226"/>
    <w:rsid w:val="00374B8C"/>
    <w:rsid w:val="00375080"/>
    <w:rsid w:val="0037523C"/>
    <w:rsid w:val="00375561"/>
    <w:rsid w:val="00375772"/>
    <w:rsid w:val="0037593A"/>
    <w:rsid w:val="00375D9E"/>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75D"/>
    <w:rsid w:val="003849D7"/>
    <w:rsid w:val="00384BEF"/>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C7"/>
    <w:rsid w:val="00390154"/>
    <w:rsid w:val="00390393"/>
    <w:rsid w:val="0039039F"/>
    <w:rsid w:val="00390480"/>
    <w:rsid w:val="00390ED6"/>
    <w:rsid w:val="003918DC"/>
    <w:rsid w:val="00391955"/>
    <w:rsid w:val="00391B5C"/>
    <w:rsid w:val="00392509"/>
    <w:rsid w:val="003925E5"/>
    <w:rsid w:val="0039277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F18"/>
    <w:rsid w:val="003A5479"/>
    <w:rsid w:val="003A57F9"/>
    <w:rsid w:val="003A5C1B"/>
    <w:rsid w:val="003A5F8F"/>
    <w:rsid w:val="003A60B9"/>
    <w:rsid w:val="003A6665"/>
    <w:rsid w:val="003A6CF4"/>
    <w:rsid w:val="003A6E79"/>
    <w:rsid w:val="003A7971"/>
    <w:rsid w:val="003A7C7F"/>
    <w:rsid w:val="003A7F48"/>
    <w:rsid w:val="003A7FDB"/>
    <w:rsid w:val="003B0162"/>
    <w:rsid w:val="003B023B"/>
    <w:rsid w:val="003B0304"/>
    <w:rsid w:val="003B043F"/>
    <w:rsid w:val="003B09C9"/>
    <w:rsid w:val="003B0EB1"/>
    <w:rsid w:val="003B155C"/>
    <w:rsid w:val="003B16DB"/>
    <w:rsid w:val="003B1E19"/>
    <w:rsid w:val="003B1F33"/>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591"/>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4B2D"/>
    <w:rsid w:val="003C5187"/>
    <w:rsid w:val="003C526E"/>
    <w:rsid w:val="003C58C9"/>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98F"/>
    <w:rsid w:val="003D1993"/>
    <w:rsid w:val="003D201E"/>
    <w:rsid w:val="003D2665"/>
    <w:rsid w:val="003D314A"/>
    <w:rsid w:val="003D331D"/>
    <w:rsid w:val="003D3574"/>
    <w:rsid w:val="003D3857"/>
    <w:rsid w:val="003D3A0C"/>
    <w:rsid w:val="003D3A71"/>
    <w:rsid w:val="003D4149"/>
    <w:rsid w:val="003D4345"/>
    <w:rsid w:val="003D44C8"/>
    <w:rsid w:val="003D47FD"/>
    <w:rsid w:val="003D4AA0"/>
    <w:rsid w:val="003D4B8C"/>
    <w:rsid w:val="003D5526"/>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B68"/>
    <w:rsid w:val="003E1DE4"/>
    <w:rsid w:val="003E21AD"/>
    <w:rsid w:val="003E21C8"/>
    <w:rsid w:val="003E2417"/>
    <w:rsid w:val="003E2594"/>
    <w:rsid w:val="003E2601"/>
    <w:rsid w:val="003E2E52"/>
    <w:rsid w:val="003E343C"/>
    <w:rsid w:val="003E3D77"/>
    <w:rsid w:val="003E3DCA"/>
    <w:rsid w:val="003E4100"/>
    <w:rsid w:val="003E4408"/>
    <w:rsid w:val="003E5242"/>
    <w:rsid w:val="003E5587"/>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33C"/>
    <w:rsid w:val="003F54FB"/>
    <w:rsid w:val="003F5542"/>
    <w:rsid w:val="003F56E5"/>
    <w:rsid w:val="003F58D6"/>
    <w:rsid w:val="003F5BB5"/>
    <w:rsid w:val="003F5D3A"/>
    <w:rsid w:val="003F5E59"/>
    <w:rsid w:val="003F6345"/>
    <w:rsid w:val="003F6371"/>
    <w:rsid w:val="003F6408"/>
    <w:rsid w:val="003F6572"/>
    <w:rsid w:val="003F6578"/>
    <w:rsid w:val="003F6BD4"/>
    <w:rsid w:val="003F6C4D"/>
    <w:rsid w:val="003F6D1F"/>
    <w:rsid w:val="003F72AE"/>
    <w:rsid w:val="003F7416"/>
    <w:rsid w:val="003F78D3"/>
    <w:rsid w:val="003F7D98"/>
    <w:rsid w:val="004000C9"/>
    <w:rsid w:val="004002AB"/>
    <w:rsid w:val="0040048C"/>
    <w:rsid w:val="00400533"/>
    <w:rsid w:val="00400C90"/>
    <w:rsid w:val="00400F7F"/>
    <w:rsid w:val="00401930"/>
    <w:rsid w:val="00401ABD"/>
    <w:rsid w:val="00401B73"/>
    <w:rsid w:val="004023F7"/>
    <w:rsid w:val="00402B9B"/>
    <w:rsid w:val="00402C93"/>
    <w:rsid w:val="00402CED"/>
    <w:rsid w:val="0040363C"/>
    <w:rsid w:val="004036AF"/>
    <w:rsid w:val="0040371E"/>
    <w:rsid w:val="00403A08"/>
    <w:rsid w:val="00403A0F"/>
    <w:rsid w:val="00403BE7"/>
    <w:rsid w:val="00403F52"/>
    <w:rsid w:val="0040424B"/>
    <w:rsid w:val="0040434E"/>
    <w:rsid w:val="004045DC"/>
    <w:rsid w:val="0040481F"/>
    <w:rsid w:val="004048E5"/>
    <w:rsid w:val="00404D1E"/>
    <w:rsid w:val="00405316"/>
    <w:rsid w:val="004057B0"/>
    <w:rsid w:val="00405876"/>
    <w:rsid w:val="00406224"/>
    <w:rsid w:val="004065C0"/>
    <w:rsid w:val="00406623"/>
    <w:rsid w:val="0040692C"/>
    <w:rsid w:val="00406F1D"/>
    <w:rsid w:val="00407AB6"/>
    <w:rsid w:val="00407FCA"/>
    <w:rsid w:val="00410810"/>
    <w:rsid w:val="004108C3"/>
    <w:rsid w:val="004109CD"/>
    <w:rsid w:val="00410ED3"/>
    <w:rsid w:val="00411268"/>
    <w:rsid w:val="0041153E"/>
    <w:rsid w:val="004117A3"/>
    <w:rsid w:val="00411DB9"/>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D1A"/>
    <w:rsid w:val="00425431"/>
    <w:rsid w:val="004254F2"/>
    <w:rsid w:val="004257A8"/>
    <w:rsid w:val="00425BB7"/>
    <w:rsid w:val="00425D34"/>
    <w:rsid w:val="00425FF9"/>
    <w:rsid w:val="00426328"/>
    <w:rsid w:val="004266DC"/>
    <w:rsid w:val="0042677E"/>
    <w:rsid w:val="00426A0F"/>
    <w:rsid w:val="0042706F"/>
    <w:rsid w:val="004274A1"/>
    <w:rsid w:val="004275C7"/>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5"/>
    <w:rsid w:val="00442838"/>
    <w:rsid w:val="0044284D"/>
    <w:rsid w:val="00442C13"/>
    <w:rsid w:val="00442E88"/>
    <w:rsid w:val="00443050"/>
    <w:rsid w:val="00443352"/>
    <w:rsid w:val="0044336F"/>
    <w:rsid w:val="004438B7"/>
    <w:rsid w:val="004439F1"/>
    <w:rsid w:val="0044417A"/>
    <w:rsid w:val="0044434A"/>
    <w:rsid w:val="0044437F"/>
    <w:rsid w:val="00444447"/>
    <w:rsid w:val="004446ED"/>
    <w:rsid w:val="00444D9A"/>
    <w:rsid w:val="0044529F"/>
    <w:rsid w:val="004452BC"/>
    <w:rsid w:val="004453BC"/>
    <w:rsid w:val="004453D0"/>
    <w:rsid w:val="00445787"/>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576D"/>
    <w:rsid w:val="00456230"/>
    <w:rsid w:val="0045665B"/>
    <w:rsid w:val="00456C61"/>
    <w:rsid w:val="00457013"/>
    <w:rsid w:val="004571D3"/>
    <w:rsid w:val="004573A3"/>
    <w:rsid w:val="004573D3"/>
    <w:rsid w:val="004576DF"/>
    <w:rsid w:val="004578EA"/>
    <w:rsid w:val="00457AAC"/>
    <w:rsid w:val="00457DF0"/>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562"/>
    <w:rsid w:val="00465C8E"/>
    <w:rsid w:val="00465CB6"/>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E08"/>
    <w:rsid w:val="004729D6"/>
    <w:rsid w:val="00472A18"/>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695"/>
    <w:rsid w:val="004848A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5F2"/>
    <w:rsid w:val="00491AE6"/>
    <w:rsid w:val="00491B1C"/>
    <w:rsid w:val="00491B9F"/>
    <w:rsid w:val="004922BC"/>
    <w:rsid w:val="004923BD"/>
    <w:rsid w:val="00492862"/>
    <w:rsid w:val="00492E3F"/>
    <w:rsid w:val="004930B3"/>
    <w:rsid w:val="0049331C"/>
    <w:rsid w:val="00493F5C"/>
    <w:rsid w:val="00494129"/>
    <w:rsid w:val="0049412A"/>
    <w:rsid w:val="00494269"/>
    <w:rsid w:val="004945E3"/>
    <w:rsid w:val="0049469C"/>
    <w:rsid w:val="00494A4D"/>
    <w:rsid w:val="00494D66"/>
    <w:rsid w:val="00494EB3"/>
    <w:rsid w:val="00494F75"/>
    <w:rsid w:val="00495135"/>
    <w:rsid w:val="004952F2"/>
    <w:rsid w:val="0049560D"/>
    <w:rsid w:val="00495DB3"/>
    <w:rsid w:val="00495F43"/>
    <w:rsid w:val="00496B7B"/>
    <w:rsid w:val="00497F5E"/>
    <w:rsid w:val="004A00B0"/>
    <w:rsid w:val="004A10F9"/>
    <w:rsid w:val="004A16BB"/>
    <w:rsid w:val="004A171B"/>
    <w:rsid w:val="004A1A36"/>
    <w:rsid w:val="004A1C9C"/>
    <w:rsid w:val="004A207E"/>
    <w:rsid w:val="004A2148"/>
    <w:rsid w:val="004A2358"/>
    <w:rsid w:val="004A2385"/>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3E6"/>
    <w:rsid w:val="004B2835"/>
    <w:rsid w:val="004B28C5"/>
    <w:rsid w:val="004B326B"/>
    <w:rsid w:val="004B329D"/>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913"/>
    <w:rsid w:val="004B7997"/>
    <w:rsid w:val="004B7E45"/>
    <w:rsid w:val="004B7FE2"/>
    <w:rsid w:val="004C07BD"/>
    <w:rsid w:val="004C07E2"/>
    <w:rsid w:val="004C0EF4"/>
    <w:rsid w:val="004C109F"/>
    <w:rsid w:val="004C14B1"/>
    <w:rsid w:val="004C1A46"/>
    <w:rsid w:val="004C1C2F"/>
    <w:rsid w:val="004C289A"/>
    <w:rsid w:val="004C28C4"/>
    <w:rsid w:val="004C2ADF"/>
    <w:rsid w:val="004C31BF"/>
    <w:rsid w:val="004C3427"/>
    <w:rsid w:val="004C41ED"/>
    <w:rsid w:val="004C4453"/>
    <w:rsid w:val="004C4A77"/>
    <w:rsid w:val="004C4D53"/>
    <w:rsid w:val="004C5692"/>
    <w:rsid w:val="004C5A50"/>
    <w:rsid w:val="004C5D4D"/>
    <w:rsid w:val="004C60F8"/>
    <w:rsid w:val="004C6173"/>
    <w:rsid w:val="004C61A3"/>
    <w:rsid w:val="004C68C2"/>
    <w:rsid w:val="004C6E03"/>
    <w:rsid w:val="004C6F47"/>
    <w:rsid w:val="004C6F97"/>
    <w:rsid w:val="004C73E2"/>
    <w:rsid w:val="004C780C"/>
    <w:rsid w:val="004C79B9"/>
    <w:rsid w:val="004C7AA2"/>
    <w:rsid w:val="004C7D5A"/>
    <w:rsid w:val="004D03BA"/>
    <w:rsid w:val="004D0A75"/>
    <w:rsid w:val="004D0F17"/>
    <w:rsid w:val="004D0FAE"/>
    <w:rsid w:val="004D118A"/>
    <w:rsid w:val="004D1346"/>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BDE"/>
    <w:rsid w:val="004E0C6F"/>
    <w:rsid w:val="004E0F37"/>
    <w:rsid w:val="004E14AB"/>
    <w:rsid w:val="004E1622"/>
    <w:rsid w:val="004E1E98"/>
    <w:rsid w:val="004E22F6"/>
    <w:rsid w:val="004E26E4"/>
    <w:rsid w:val="004E2AB8"/>
    <w:rsid w:val="004E357A"/>
    <w:rsid w:val="004E35EE"/>
    <w:rsid w:val="004E3800"/>
    <w:rsid w:val="004E3861"/>
    <w:rsid w:val="004E434A"/>
    <w:rsid w:val="004E461D"/>
    <w:rsid w:val="004E4B6C"/>
    <w:rsid w:val="004E4F6D"/>
    <w:rsid w:val="004E5000"/>
    <w:rsid w:val="004E5251"/>
    <w:rsid w:val="004E530F"/>
    <w:rsid w:val="004E5331"/>
    <w:rsid w:val="004E5599"/>
    <w:rsid w:val="004E55D4"/>
    <w:rsid w:val="004E586B"/>
    <w:rsid w:val="004E58BB"/>
    <w:rsid w:val="004E5A83"/>
    <w:rsid w:val="004E5CB8"/>
    <w:rsid w:val="004E5DA2"/>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2C12"/>
    <w:rsid w:val="004F3035"/>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C43"/>
    <w:rsid w:val="004F7D96"/>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F6D"/>
    <w:rsid w:val="0050761D"/>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4D4"/>
    <w:rsid w:val="0052382F"/>
    <w:rsid w:val="005239DD"/>
    <w:rsid w:val="00523BB0"/>
    <w:rsid w:val="00523BD9"/>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08B"/>
    <w:rsid w:val="005359AE"/>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7FF"/>
    <w:rsid w:val="00541BF0"/>
    <w:rsid w:val="00541C34"/>
    <w:rsid w:val="00542821"/>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382"/>
    <w:rsid w:val="005455FC"/>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081"/>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2B3"/>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4070"/>
    <w:rsid w:val="005640E1"/>
    <w:rsid w:val="00564496"/>
    <w:rsid w:val="005647B6"/>
    <w:rsid w:val="00564E28"/>
    <w:rsid w:val="00564EA1"/>
    <w:rsid w:val="0056534C"/>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6BC"/>
    <w:rsid w:val="00572B78"/>
    <w:rsid w:val="00573426"/>
    <w:rsid w:val="00573713"/>
    <w:rsid w:val="00573ADD"/>
    <w:rsid w:val="00573D3B"/>
    <w:rsid w:val="00573EE2"/>
    <w:rsid w:val="00573F6A"/>
    <w:rsid w:val="005741C8"/>
    <w:rsid w:val="005742D5"/>
    <w:rsid w:val="00574329"/>
    <w:rsid w:val="0057432C"/>
    <w:rsid w:val="00574657"/>
    <w:rsid w:val="00574676"/>
    <w:rsid w:val="00574C41"/>
    <w:rsid w:val="00574CF9"/>
    <w:rsid w:val="00575314"/>
    <w:rsid w:val="00575BD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32"/>
    <w:rsid w:val="00581BEF"/>
    <w:rsid w:val="005822F5"/>
    <w:rsid w:val="00582376"/>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8D7"/>
    <w:rsid w:val="00587BD5"/>
    <w:rsid w:val="00587BD9"/>
    <w:rsid w:val="00587C5F"/>
    <w:rsid w:val="00587CCA"/>
    <w:rsid w:val="00590750"/>
    <w:rsid w:val="00590907"/>
    <w:rsid w:val="00590B0F"/>
    <w:rsid w:val="0059130F"/>
    <w:rsid w:val="00592283"/>
    <w:rsid w:val="00592385"/>
    <w:rsid w:val="0059241D"/>
    <w:rsid w:val="00592491"/>
    <w:rsid w:val="0059266B"/>
    <w:rsid w:val="0059346F"/>
    <w:rsid w:val="00593875"/>
    <w:rsid w:val="00593B35"/>
    <w:rsid w:val="00593E2F"/>
    <w:rsid w:val="005943C5"/>
    <w:rsid w:val="005945F8"/>
    <w:rsid w:val="005948C2"/>
    <w:rsid w:val="00594A7B"/>
    <w:rsid w:val="00594C49"/>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0A1D"/>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7F"/>
    <w:rsid w:val="005A46A3"/>
    <w:rsid w:val="005A47FE"/>
    <w:rsid w:val="005A4B91"/>
    <w:rsid w:val="005A50F6"/>
    <w:rsid w:val="005A578B"/>
    <w:rsid w:val="005A5DE6"/>
    <w:rsid w:val="005A626B"/>
    <w:rsid w:val="005A6381"/>
    <w:rsid w:val="005A6858"/>
    <w:rsid w:val="005A697D"/>
    <w:rsid w:val="005A6AFA"/>
    <w:rsid w:val="005A6BA0"/>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589"/>
    <w:rsid w:val="005B574D"/>
    <w:rsid w:val="005B5B3D"/>
    <w:rsid w:val="005B5CEE"/>
    <w:rsid w:val="005B5CFF"/>
    <w:rsid w:val="005B630A"/>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D03"/>
    <w:rsid w:val="005D50D9"/>
    <w:rsid w:val="005D529B"/>
    <w:rsid w:val="005D5E15"/>
    <w:rsid w:val="005D6261"/>
    <w:rsid w:val="005D65AE"/>
    <w:rsid w:val="005D6A61"/>
    <w:rsid w:val="005D6B60"/>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906"/>
    <w:rsid w:val="005F0E46"/>
    <w:rsid w:val="005F135B"/>
    <w:rsid w:val="005F1535"/>
    <w:rsid w:val="005F1942"/>
    <w:rsid w:val="005F1A1B"/>
    <w:rsid w:val="005F1BB0"/>
    <w:rsid w:val="005F20AE"/>
    <w:rsid w:val="005F22B3"/>
    <w:rsid w:val="005F2426"/>
    <w:rsid w:val="005F24DF"/>
    <w:rsid w:val="005F2AE8"/>
    <w:rsid w:val="005F2B41"/>
    <w:rsid w:val="005F2D16"/>
    <w:rsid w:val="005F335B"/>
    <w:rsid w:val="005F353B"/>
    <w:rsid w:val="005F362F"/>
    <w:rsid w:val="005F3709"/>
    <w:rsid w:val="005F3A57"/>
    <w:rsid w:val="005F3C7E"/>
    <w:rsid w:val="005F3EAB"/>
    <w:rsid w:val="005F4027"/>
    <w:rsid w:val="005F42BB"/>
    <w:rsid w:val="005F45DB"/>
    <w:rsid w:val="005F4603"/>
    <w:rsid w:val="005F48C0"/>
    <w:rsid w:val="005F4E54"/>
    <w:rsid w:val="005F4EAE"/>
    <w:rsid w:val="005F574A"/>
    <w:rsid w:val="005F57F7"/>
    <w:rsid w:val="005F59DC"/>
    <w:rsid w:val="005F5DC9"/>
    <w:rsid w:val="005F6186"/>
    <w:rsid w:val="005F662C"/>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AA0"/>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E16"/>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07B"/>
    <w:rsid w:val="006272EC"/>
    <w:rsid w:val="006275F3"/>
    <w:rsid w:val="00627733"/>
    <w:rsid w:val="00627921"/>
    <w:rsid w:val="00627FB8"/>
    <w:rsid w:val="0063016C"/>
    <w:rsid w:val="00630A86"/>
    <w:rsid w:val="00630E1F"/>
    <w:rsid w:val="006311E3"/>
    <w:rsid w:val="006314EC"/>
    <w:rsid w:val="00631786"/>
    <w:rsid w:val="00631B1E"/>
    <w:rsid w:val="00631FE7"/>
    <w:rsid w:val="006321EA"/>
    <w:rsid w:val="006324E6"/>
    <w:rsid w:val="0063272C"/>
    <w:rsid w:val="00632ACC"/>
    <w:rsid w:val="006332CD"/>
    <w:rsid w:val="00633313"/>
    <w:rsid w:val="006335C9"/>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9F0"/>
    <w:rsid w:val="00637AD5"/>
    <w:rsid w:val="00637E9B"/>
    <w:rsid w:val="00637FDD"/>
    <w:rsid w:val="00640129"/>
    <w:rsid w:val="006407E3"/>
    <w:rsid w:val="0064090D"/>
    <w:rsid w:val="00641E57"/>
    <w:rsid w:val="00641E88"/>
    <w:rsid w:val="006421E9"/>
    <w:rsid w:val="006423BE"/>
    <w:rsid w:val="0064260D"/>
    <w:rsid w:val="00642673"/>
    <w:rsid w:val="00642A39"/>
    <w:rsid w:val="00642DBC"/>
    <w:rsid w:val="0064307F"/>
    <w:rsid w:val="006430E6"/>
    <w:rsid w:val="006430FF"/>
    <w:rsid w:val="006432A3"/>
    <w:rsid w:val="006439EC"/>
    <w:rsid w:val="00643CED"/>
    <w:rsid w:val="00643D90"/>
    <w:rsid w:val="00644234"/>
    <w:rsid w:val="00644878"/>
    <w:rsid w:val="00644DE2"/>
    <w:rsid w:val="00645126"/>
    <w:rsid w:val="00645349"/>
    <w:rsid w:val="00645858"/>
    <w:rsid w:val="006458F4"/>
    <w:rsid w:val="00645F03"/>
    <w:rsid w:val="00646486"/>
    <w:rsid w:val="0064658A"/>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67F07"/>
    <w:rsid w:val="00670B9B"/>
    <w:rsid w:val="00670BE7"/>
    <w:rsid w:val="00670D78"/>
    <w:rsid w:val="00670FEA"/>
    <w:rsid w:val="00671162"/>
    <w:rsid w:val="0067179C"/>
    <w:rsid w:val="00671874"/>
    <w:rsid w:val="00671CD0"/>
    <w:rsid w:val="00671DC9"/>
    <w:rsid w:val="0067252D"/>
    <w:rsid w:val="006728B4"/>
    <w:rsid w:val="006728C2"/>
    <w:rsid w:val="00672C31"/>
    <w:rsid w:val="00672D4E"/>
    <w:rsid w:val="006730AC"/>
    <w:rsid w:val="006733DB"/>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223"/>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CC8"/>
    <w:rsid w:val="006A0F9D"/>
    <w:rsid w:val="006A1019"/>
    <w:rsid w:val="006A1D7D"/>
    <w:rsid w:val="006A1E12"/>
    <w:rsid w:val="006A2019"/>
    <w:rsid w:val="006A21CC"/>
    <w:rsid w:val="006A294D"/>
    <w:rsid w:val="006A30E6"/>
    <w:rsid w:val="006A3D41"/>
    <w:rsid w:val="006A4022"/>
    <w:rsid w:val="006A4C19"/>
    <w:rsid w:val="006A511D"/>
    <w:rsid w:val="006A53F3"/>
    <w:rsid w:val="006A570E"/>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CA1"/>
    <w:rsid w:val="006B2F28"/>
    <w:rsid w:val="006B3325"/>
    <w:rsid w:val="006B33F7"/>
    <w:rsid w:val="006B38B3"/>
    <w:rsid w:val="006B3AF9"/>
    <w:rsid w:val="006B3C91"/>
    <w:rsid w:val="006B403E"/>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26D6"/>
    <w:rsid w:val="006C2C87"/>
    <w:rsid w:val="006C2FED"/>
    <w:rsid w:val="006C30CF"/>
    <w:rsid w:val="006C32CF"/>
    <w:rsid w:val="006C335E"/>
    <w:rsid w:val="006C37B4"/>
    <w:rsid w:val="006C3A1F"/>
    <w:rsid w:val="006C41D7"/>
    <w:rsid w:val="006C4579"/>
    <w:rsid w:val="006C53F8"/>
    <w:rsid w:val="006C54B1"/>
    <w:rsid w:val="006C54BB"/>
    <w:rsid w:val="006C54BE"/>
    <w:rsid w:val="006C56FC"/>
    <w:rsid w:val="006C5C6C"/>
    <w:rsid w:val="006C5F8C"/>
    <w:rsid w:val="006C63EB"/>
    <w:rsid w:val="006C72C5"/>
    <w:rsid w:val="006C7304"/>
    <w:rsid w:val="006C7488"/>
    <w:rsid w:val="006C761F"/>
    <w:rsid w:val="006C7815"/>
    <w:rsid w:val="006C7DE0"/>
    <w:rsid w:val="006D00BE"/>
    <w:rsid w:val="006D024B"/>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D06"/>
    <w:rsid w:val="006D2070"/>
    <w:rsid w:val="006D209E"/>
    <w:rsid w:val="006D2162"/>
    <w:rsid w:val="006D23EE"/>
    <w:rsid w:val="006D252A"/>
    <w:rsid w:val="006D2AB0"/>
    <w:rsid w:val="006D35C7"/>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489"/>
    <w:rsid w:val="006D6509"/>
    <w:rsid w:val="006D660D"/>
    <w:rsid w:val="006D68AC"/>
    <w:rsid w:val="006D6DF7"/>
    <w:rsid w:val="006D6EBA"/>
    <w:rsid w:val="006D7DD5"/>
    <w:rsid w:val="006D7E18"/>
    <w:rsid w:val="006E00A7"/>
    <w:rsid w:val="006E010C"/>
    <w:rsid w:val="006E0A87"/>
    <w:rsid w:val="006E0A93"/>
    <w:rsid w:val="006E0E41"/>
    <w:rsid w:val="006E1B15"/>
    <w:rsid w:val="006E1CC8"/>
    <w:rsid w:val="006E1DA5"/>
    <w:rsid w:val="006E220A"/>
    <w:rsid w:val="006E27F1"/>
    <w:rsid w:val="006E2E12"/>
    <w:rsid w:val="006E346A"/>
    <w:rsid w:val="006E3C8A"/>
    <w:rsid w:val="006E3E0D"/>
    <w:rsid w:val="006E4064"/>
    <w:rsid w:val="006E4806"/>
    <w:rsid w:val="006E4C0D"/>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83D"/>
    <w:rsid w:val="006E799D"/>
    <w:rsid w:val="006E79FB"/>
    <w:rsid w:val="006E7BA7"/>
    <w:rsid w:val="006E7E32"/>
    <w:rsid w:val="006E7FA2"/>
    <w:rsid w:val="006F0036"/>
    <w:rsid w:val="006F024E"/>
    <w:rsid w:val="006F0D97"/>
    <w:rsid w:val="006F10D4"/>
    <w:rsid w:val="006F1233"/>
    <w:rsid w:val="006F1244"/>
    <w:rsid w:val="006F172C"/>
    <w:rsid w:val="006F27E0"/>
    <w:rsid w:val="006F28D9"/>
    <w:rsid w:val="006F2F67"/>
    <w:rsid w:val="006F30EF"/>
    <w:rsid w:val="006F3625"/>
    <w:rsid w:val="006F3CA4"/>
    <w:rsid w:val="006F4148"/>
    <w:rsid w:val="006F41AA"/>
    <w:rsid w:val="006F4986"/>
    <w:rsid w:val="006F4DE0"/>
    <w:rsid w:val="006F4EF0"/>
    <w:rsid w:val="006F4FB2"/>
    <w:rsid w:val="006F515A"/>
    <w:rsid w:val="006F5BCB"/>
    <w:rsid w:val="006F5BF3"/>
    <w:rsid w:val="006F5C90"/>
    <w:rsid w:val="006F5DB5"/>
    <w:rsid w:val="006F5E2D"/>
    <w:rsid w:val="006F62C5"/>
    <w:rsid w:val="006F6483"/>
    <w:rsid w:val="006F6EEB"/>
    <w:rsid w:val="006F7316"/>
    <w:rsid w:val="006F7332"/>
    <w:rsid w:val="006F7AF3"/>
    <w:rsid w:val="006F7BB6"/>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4B"/>
    <w:rsid w:val="00703C5B"/>
    <w:rsid w:val="00703F00"/>
    <w:rsid w:val="0070407E"/>
    <w:rsid w:val="00704530"/>
    <w:rsid w:val="007046DD"/>
    <w:rsid w:val="0070494F"/>
    <w:rsid w:val="00704969"/>
    <w:rsid w:val="00704BB0"/>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8AF"/>
    <w:rsid w:val="007179F7"/>
    <w:rsid w:val="00717B0D"/>
    <w:rsid w:val="00717F41"/>
    <w:rsid w:val="00720723"/>
    <w:rsid w:val="00720910"/>
    <w:rsid w:val="00720D97"/>
    <w:rsid w:val="00720F29"/>
    <w:rsid w:val="00720FF8"/>
    <w:rsid w:val="00721038"/>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327F"/>
    <w:rsid w:val="007233E9"/>
    <w:rsid w:val="007235B1"/>
    <w:rsid w:val="00723840"/>
    <w:rsid w:val="007238C4"/>
    <w:rsid w:val="007238EE"/>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B0B"/>
    <w:rsid w:val="00736376"/>
    <w:rsid w:val="00736FD3"/>
    <w:rsid w:val="00737424"/>
    <w:rsid w:val="007378AD"/>
    <w:rsid w:val="00737FEC"/>
    <w:rsid w:val="007400E2"/>
    <w:rsid w:val="00740292"/>
    <w:rsid w:val="007403DD"/>
    <w:rsid w:val="00740D16"/>
    <w:rsid w:val="00740DA2"/>
    <w:rsid w:val="00740FB1"/>
    <w:rsid w:val="00742422"/>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47D96"/>
    <w:rsid w:val="007502E4"/>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97"/>
    <w:rsid w:val="00763A41"/>
    <w:rsid w:val="00763AE0"/>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CC5"/>
    <w:rsid w:val="00771DB8"/>
    <w:rsid w:val="0077228C"/>
    <w:rsid w:val="00772BB8"/>
    <w:rsid w:val="00772F03"/>
    <w:rsid w:val="00772FA8"/>
    <w:rsid w:val="00773149"/>
    <w:rsid w:val="007737D3"/>
    <w:rsid w:val="00773A71"/>
    <w:rsid w:val="00773B74"/>
    <w:rsid w:val="00773CAE"/>
    <w:rsid w:val="007741FA"/>
    <w:rsid w:val="00774593"/>
    <w:rsid w:val="00774725"/>
    <w:rsid w:val="00774B44"/>
    <w:rsid w:val="00774B87"/>
    <w:rsid w:val="00774C88"/>
    <w:rsid w:val="00774D02"/>
    <w:rsid w:val="007750D9"/>
    <w:rsid w:val="00775265"/>
    <w:rsid w:val="007753B5"/>
    <w:rsid w:val="00775695"/>
    <w:rsid w:val="00775788"/>
    <w:rsid w:val="00775AAA"/>
    <w:rsid w:val="00776EDA"/>
    <w:rsid w:val="007773AF"/>
    <w:rsid w:val="00777599"/>
    <w:rsid w:val="007779A0"/>
    <w:rsid w:val="00777A2C"/>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8C6"/>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93C"/>
    <w:rsid w:val="00794F40"/>
    <w:rsid w:val="007951D5"/>
    <w:rsid w:val="0079585F"/>
    <w:rsid w:val="00795A23"/>
    <w:rsid w:val="00795EE0"/>
    <w:rsid w:val="00796068"/>
    <w:rsid w:val="00796163"/>
    <w:rsid w:val="00796472"/>
    <w:rsid w:val="0079679D"/>
    <w:rsid w:val="00796CC0"/>
    <w:rsid w:val="00796CF1"/>
    <w:rsid w:val="00797317"/>
    <w:rsid w:val="007974AF"/>
    <w:rsid w:val="007979EA"/>
    <w:rsid w:val="00797A74"/>
    <w:rsid w:val="00797ACF"/>
    <w:rsid w:val="00797C1C"/>
    <w:rsid w:val="007A1151"/>
    <w:rsid w:val="007A1397"/>
    <w:rsid w:val="007A13C1"/>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922"/>
    <w:rsid w:val="007A5924"/>
    <w:rsid w:val="007A5969"/>
    <w:rsid w:val="007A5AAE"/>
    <w:rsid w:val="007A5EED"/>
    <w:rsid w:val="007A63D4"/>
    <w:rsid w:val="007A671A"/>
    <w:rsid w:val="007A679D"/>
    <w:rsid w:val="007A71E1"/>
    <w:rsid w:val="007A7232"/>
    <w:rsid w:val="007A7635"/>
    <w:rsid w:val="007A767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2A2F"/>
    <w:rsid w:val="007B322F"/>
    <w:rsid w:val="007B38E3"/>
    <w:rsid w:val="007B3F28"/>
    <w:rsid w:val="007B3F58"/>
    <w:rsid w:val="007B434A"/>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38E"/>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104"/>
    <w:rsid w:val="007D420F"/>
    <w:rsid w:val="007D4757"/>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4109"/>
    <w:rsid w:val="007E456A"/>
    <w:rsid w:val="007E4655"/>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1F3"/>
    <w:rsid w:val="007E7577"/>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97E"/>
    <w:rsid w:val="007F4E05"/>
    <w:rsid w:val="007F521A"/>
    <w:rsid w:val="007F5240"/>
    <w:rsid w:val="007F532E"/>
    <w:rsid w:val="007F5688"/>
    <w:rsid w:val="007F588F"/>
    <w:rsid w:val="007F5E63"/>
    <w:rsid w:val="007F603C"/>
    <w:rsid w:val="007F617F"/>
    <w:rsid w:val="007F633E"/>
    <w:rsid w:val="007F66A5"/>
    <w:rsid w:val="007F6947"/>
    <w:rsid w:val="007F7247"/>
    <w:rsid w:val="007F72E0"/>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6BC2"/>
    <w:rsid w:val="0080733E"/>
    <w:rsid w:val="0080783D"/>
    <w:rsid w:val="00807D62"/>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72E"/>
    <w:rsid w:val="00823997"/>
    <w:rsid w:val="00823A7E"/>
    <w:rsid w:val="00823D0F"/>
    <w:rsid w:val="00824A8C"/>
    <w:rsid w:val="008250A5"/>
    <w:rsid w:val="00825155"/>
    <w:rsid w:val="0082545C"/>
    <w:rsid w:val="008258FE"/>
    <w:rsid w:val="00825D4C"/>
    <w:rsid w:val="00825D9F"/>
    <w:rsid w:val="00825EB9"/>
    <w:rsid w:val="008261E9"/>
    <w:rsid w:val="008263A8"/>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21D"/>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6CE5"/>
    <w:rsid w:val="008475D6"/>
    <w:rsid w:val="00847B37"/>
    <w:rsid w:val="00847CE5"/>
    <w:rsid w:val="0085012C"/>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F4"/>
    <w:rsid w:val="00861E30"/>
    <w:rsid w:val="008625ED"/>
    <w:rsid w:val="00862725"/>
    <w:rsid w:val="00862AAE"/>
    <w:rsid w:val="00862DB7"/>
    <w:rsid w:val="00862F06"/>
    <w:rsid w:val="008634A8"/>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958"/>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40D"/>
    <w:rsid w:val="00892702"/>
    <w:rsid w:val="00892841"/>
    <w:rsid w:val="008928A8"/>
    <w:rsid w:val="008928EB"/>
    <w:rsid w:val="00892ABE"/>
    <w:rsid w:val="00892BB8"/>
    <w:rsid w:val="00892EBB"/>
    <w:rsid w:val="00893014"/>
    <w:rsid w:val="008939C2"/>
    <w:rsid w:val="00893BAF"/>
    <w:rsid w:val="00893C33"/>
    <w:rsid w:val="00894600"/>
    <w:rsid w:val="0089513A"/>
    <w:rsid w:val="008953B7"/>
    <w:rsid w:val="008954E8"/>
    <w:rsid w:val="00895D68"/>
    <w:rsid w:val="00895DFF"/>
    <w:rsid w:val="00895F77"/>
    <w:rsid w:val="00896078"/>
    <w:rsid w:val="008961D5"/>
    <w:rsid w:val="008965FF"/>
    <w:rsid w:val="0089661C"/>
    <w:rsid w:val="00896755"/>
    <w:rsid w:val="00896F38"/>
    <w:rsid w:val="00897A55"/>
    <w:rsid w:val="008A0172"/>
    <w:rsid w:val="008A019D"/>
    <w:rsid w:val="008A0395"/>
    <w:rsid w:val="008A0423"/>
    <w:rsid w:val="008A058F"/>
    <w:rsid w:val="008A0843"/>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5A0"/>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77"/>
    <w:rsid w:val="008B3ED8"/>
    <w:rsid w:val="008B411A"/>
    <w:rsid w:val="008B4216"/>
    <w:rsid w:val="008B434A"/>
    <w:rsid w:val="008B4458"/>
    <w:rsid w:val="008B475C"/>
    <w:rsid w:val="008B4A47"/>
    <w:rsid w:val="008B4B8E"/>
    <w:rsid w:val="008B4E7C"/>
    <w:rsid w:val="008B50D8"/>
    <w:rsid w:val="008B510B"/>
    <w:rsid w:val="008B5688"/>
    <w:rsid w:val="008B56B8"/>
    <w:rsid w:val="008B58F9"/>
    <w:rsid w:val="008B5DA7"/>
    <w:rsid w:val="008B607E"/>
    <w:rsid w:val="008B6640"/>
    <w:rsid w:val="008B71A7"/>
    <w:rsid w:val="008B756E"/>
    <w:rsid w:val="008B79A7"/>
    <w:rsid w:val="008B7AC2"/>
    <w:rsid w:val="008B7B55"/>
    <w:rsid w:val="008B7E1F"/>
    <w:rsid w:val="008C0339"/>
    <w:rsid w:val="008C12EF"/>
    <w:rsid w:val="008C15C2"/>
    <w:rsid w:val="008C1917"/>
    <w:rsid w:val="008C1A4A"/>
    <w:rsid w:val="008C1AFD"/>
    <w:rsid w:val="008C1C52"/>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5667"/>
    <w:rsid w:val="008D57ED"/>
    <w:rsid w:val="008D597F"/>
    <w:rsid w:val="008D603D"/>
    <w:rsid w:val="008D61B7"/>
    <w:rsid w:val="008D61F8"/>
    <w:rsid w:val="008D62A6"/>
    <w:rsid w:val="008D675C"/>
    <w:rsid w:val="008D6B2F"/>
    <w:rsid w:val="008D6D9A"/>
    <w:rsid w:val="008D6F5D"/>
    <w:rsid w:val="008D7A0A"/>
    <w:rsid w:val="008D7AD8"/>
    <w:rsid w:val="008D7CB3"/>
    <w:rsid w:val="008D7CB8"/>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C0"/>
    <w:rsid w:val="008E3C0B"/>
    <w:rsid w:val="008E3F76"/>
    <w:rsid w:val="008E4027"/>
    <w:rsid w:val="008E40B8"/>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97"/>
    <w:rsid w:val="008F03C0"/>
    <w:rsid w:val="008F03CB"/>
    <w:rsid w:val="008F045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6A0"/>
    <w:rsid w:val="00900822"/>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104A9"/>
    <w:rsid w:val="00910550"/>
    <w:rsid w:val="00910A48"/>
    <w:rsid w:val="00910A6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4F"/>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6F4"/>
    <w:rsid w:val="0092299C"/>
    <w:rsid w:val="00922CD3"/>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576"/>
    <w:rsid w:val="009405C8"/>
    <w:rsid w:val="00940DD8"/>
    <w:rsid w:val="0094104B"/>
    <w:rsid w:val="0094141F"/>
    <w:rsid w:val="0094176C"/>
    <w:rsid w:val="00941C5B"/>
    <w:rsid w:val="00941FF5"/>
    <w:rsid w:val="00942022"/>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C6B"/>
    <w:rsid w:val="009465EE"/>
    <w:rsid w:val="00946A49"/>
    <w:rsid w:val="00946D3C"/>
    <w:rsid w:val="009476BA"/>
    <w:rsid w:val="00947AEE"/>
    <w:rsid w:val="00947F64"/>
    <w:rsid w:val="0095030E"/>
    <w:rsid w:val="00950390"/>
    <w:rsid w:val="00950775"/>
    <w:rsid w:val="009509C0"/>
    <w:rsid w:val="00950AFF"/>
    <w:rsid w:val="00951313"/>
    <w:rsid w:val="009514DE"/>
    <w:rsid w:val="00951938"/>
    <w:rsid w:val="00952660"/>
    <w:rsid w:val="00952838"/>
    <w:rsid w:val="00952A65"/>
    <w:rsid w:val="00952B9C"/>
    <w:rsid w:val="00952E93"/>
    <w:rsid w:val="009530DC"/>
    <w:rsid w:val="00953422"/>
    <w:rsid w:val="00953940"/>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798"/>
    <w:rsid w:val="00964B4C"/>
    <w:rsid w:val="00964BE5"/>
    <w:rsid w:val="00964ED5"/>
    <w:rsid w:val="00964F2B"/>
    <w:rsid w:val="009652B6"/>
    <w:rsid w:val="00965A36"/>
    <w:rsid w:val="00965B60"/>
    <w:rsid w:val="00965CBD"/>
    <w:rsid w:val="00965D55"/>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5E49"/>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DAD"/>
    <w:rsid w:val="00982ED7"/>
    <w:rsid w:val="00983541"/>
    <w:rsid w:val="00983A7B"/>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2ED9"/>
    <w:rsid w:val="00992F2E"/>
    <w:rsid w:val="00993431"/>
    <w:rsid w:val="00993495"/>
    <w:rsid w:val="009939EB"/>
    <w:rsid w:val="00993B9D"/>
    <w:rsid w:val="00993C2E"/>
    <w:rsid w:val="00993CEC"/>
    <w:rsid w:val="00993D33"/>
    <w:rsid w:val="0099454E"/>
    <w:rsid w:val="0099456D"/>
    <w:rsid w:val="00994618"/>
    <w:rsid w:val="00994948"/>
    <w:rsid w:val="00994F60"/>
    <w:rsid w:val="00995151"/>
    <w:rsid w:val="0099545F"/>
    <w:rsid w:val="00995BF1"/>
    <w:rsid w:val="00995DF2"/>
    <w:rsid w:val="0099715A"/>
    <w:rsid w:val="0099769B"/>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45A"/>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1ED2"/>
    <w:rsid w:val="009C22E6"/>
    <w:rsid w:val="009C2E9D"/>
    <w:rsid w:val="009C33CA"/>
    <w:rsid w:val="009C39AF"/>
    <w:rsid w:val="009C3EB1"/>
    <w:rsid w:val="009C4359"/>
    <w:rsid w:val="009C4B6D"/>
    <w:rsid w:val="009C55C1"/>
    <w:rsid w:val="009C56E6"/>
    <w:rsid w:val="009C57AC"/>
    <w:rsid w:val="009C5803"/>
    <w:rsid w:val="009C5B2F"/>
    <w:rsid w:val="009C5EDE"/>
    <w:rsid w:val="009C6087"/>
    <w:rsid w:val="009C62B6"/>
    <w:rsid w:val="009C656F"/>
    <w:rsid w:val="009C6781"/>
    <w:rsid w:val="009C6DC0"/>
    <w:rsid w:val="009C6ECD"/>
    <w:rsid w:val="009C7099"/>
    <w:rsid w:val="009C712A"/>
    <w:rsid w:val="009C725D"/>
    <w:rsid w:val="009C72E6"/>
    <w:rsid w:val="009D0105"/>
    <w:rsid w:val="009D0392"/>
    <w:rsid w:val="009D053E"/>
    <w:rsid w:val="009D05A4"/>
    <w:rsid w:val="009D0928"/>
    <w:rsid w:val="009D0989"/>
    <w:rsid w:val="009D15F8"/>
    <w:rsid w:val="009D1941"/>
    <w:rsid w:val="009D1B99"/>
    <w:rsid w:val="009D1DD8"/>
    <w:rsid w:val="009D2609"/>
    <w:rsid w:val="009D2884"/>
    <w:rsid w:val="009D2A4F"/>
    <w:rsid w:val="009D2E46"/>
    <w:rsid w:val="009D2F24"/>
    <w:rsid w:val="009D325B"/>
    <w:rsid w:val="009D3407"/>
    <w:rsid w:val="009D35CC"/>
    <w:rsid w:val="009D377D"/>
    <w:rsid w:val="009D3890"/>
    <w:rsid w:val="009D3B41"/>
    <w:rsid w:val="009D3D0B"/>
    <w:rsid w:val="009D4062"/>
    <w:rsid w:val="009D45C8"/>
    <w:rsid w:val="009D4D44"/>
    <w:rsid w:val="009D4DF9"/>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764"/>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CD6"/>
    <w:rsid w:val="009E733E"/>
    <w:rsid w:val="009E74C5"/>
    <w:rsid w:val="009F015D"/>
    <w:rsid w:val="009F01DB"/>
    <w:rsid w:val="009F1041"/>
    <w:rsid w:val="009F1253"/>
    <w:rsid w:val="009F16B2"/>
    <w:rsid w:val="009F18E8"/>
    <w:rsid w:val="009F202B"/>
    <w:rsid w:val="009F20C6"/>
    <w:rsid w:val="009F28CE"/>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C2C"/>
    <w:rsid w:val="00A02EFA"/>
    <w:rsid w:val="00A02FC7"/>
    <w:rsid w:val="00A033FF"/>
    <w:rsid w:val="00A038D7"/>
    <w:rsid w:val="00A038E2"/>
    <w:rsid w:val="00A03D5B"/>
    <w:rsid w:val="00A03D62"/>
    <w:rsid w:val="00A03FA4"/>
    <w:rsid w:val="00A0409E"/>
    <w:rsid w:val="00A041B4"/>
    <w:rsid w:val="00A046C7"/>
    <w:rsid w:val="00A04BDD"/>
    <w:rsid w:val="00A04E2C"/>
    <w:rsid w:val="00A04EDA"/>
    <w:rsid w:val="00A05202"/>
    <w:rsid w:val="00A05450"/>
    <w:rsid w:val="00A05840"/>
    <w:rsid w:val="00A05843"/>
    <w:rsid w:val="00A05FF4"/>
    <w:rsid w:val="00A06137"/>
    <w:rsid w:val="00A06344"/>
    <w:rsid w:val="00A063FE"/>
    <w:rsid w:val="00A06C38"/>
    <w:rsid w:val="00A06EDB"/>
    <w:rsid w:val="00A07738"/>
    <w:rsid w:val="00A07ACC"/>
    <w:rsid w:val="00A1108E"/>
    <w:rsid w:val="00A11259"/>
    <w:rsid w:val="00A11430"/>
    <w:rsid w:val="00A11799"/>
    <w:rsid w:val="00A1184F"/>
    <w:rsid w:val="00A11BFE"/>
    <w:rsid w:val="00A122A9"/>
    <w:rsid w:val="00A122C5"/>
    <w:rsid w:val="00A123F2"/>
    <w:rsid w:val="00A12D25"/>
    <w:rsid w:val="00A131A1"/>
    <w:rsid w:val="00A1329C"/>
    <w:rsid w:val="00A13474"/>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A49"/>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2EC"/>
    <w:rsid w:val="00A24599"/>
    <w:rsid w:val="00A24E78"/>
    <w:rsid w:val="00A24FBC"/>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307"/>
    <w:rsid w:val="00A3439B"/>
    <w:rsid w:val="00A347EE"/>
    <w:rsid w:val="00A35495"/>
    <w:rsid w:val="00A35595"/>
    <w:rsid w:val="00A35A7A"/>
    <w:rsid w:val="00A35AA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A9A"/>
    <w:rsid w:val="00A47D31"/>
    <w:rsid w:val="00A501F6"/>
    <w:rsid w:val="00A50BCE"/>
    <w:rsid w:val="00A51066"/>
    <w:rsid w:val="00A51516"/>
    <w:rsid w:val="00A51653"/>
    <w:rsid w:val="00A51BDE"/>
    <w:rsid w:val="00A51CBF"/>
    <w:rsid w:val="00A51DA8"/>
    <w:rsid w:val="00A51DF8"/>
    <w:rsid w:val="00A5205B"/>
    <w:rsid w:val="00A5219C"/>
    <w:rsid w:val="00A5256F"/>
    <w:rsid w:val="00A52D8E"/>
    <w:rsid w:val="00A52DA1"/>
    <w:rsid w:val="00A5328B"/>
    <w:rsid w:val="00A53AA9"/>
    <w:rsid w:val="00A53BBB"/>
    <w:rsid w:val="00A54367"/>
    <w:rsid w:val="00A544CD"/>
    <w:rsid w:val="00A5485E"/>
    <w:rsid w:val="00A548B1"/>
    <w:rsid w:val="00A5499C"/>
    <w:rsid w:val="00A54CCB"/>
    <w:rsid w:val="00A54E77"/>
    <w:rsid w:val="00A55424"/>
    <w:rsid w:val="00A55682"/>
    <w:rsid w:val="00A55C52"/>
    <w:rsid w:val="00A5605D"/>
    <w:rsid w:val="00A560BA"/>
    <w:rsid w:val="00A560D5"/>
    <w:rsid w:val="00A569F9"/>
    <w:rsid w:val="00A56A2B"/>
    <w:rsid w:val="00A56E63"/>
    <w:rsid w:val="00A57301"/>
    <w:rsid w:val="00A574C8"/>
    <w:rsid w:val="00A574DE"/>
    <w:rsid w:val="00A5757E"/>
    <w:rsid w:val="00A57A93"/>
    <w:rsid w:val="00A60766"/>
    <w:rsid w:val="00A60A6E"/>
    <w:rsid w:val="00A60F52"/>
    <w:rsid w:val="00A615D1"/>
    <w:rsid w:val="00A61DFE"/>
    <w:rsid w:val="00A61F91"/>
    <w:rsid w:val="00A624C9"/>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676"/>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5C7F"/>
    <w:rsid w:val="00A75FA5"/>
    <w:rsid w:val="00A764E0"/>
    <w:rsid w:val="00A7653B"/>
    <w:rsid w:val="00A767B2"/>
    <w:rsid w:val="00A76BDD"/>
    <w:rsid w:val="00A76BE7"/>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424"/>
    <w:rsid w:val="00A846F1"/>
    <w:rsid w:val="00A84937"/>
    <w:rsid w:val="00A85468"/>
    <w:rsid w:val="00A85469"/>
    <w:rsid w:val="00A857B4"/>
    <w:rsid w:val="00A85B14"/>
    <w:rsid w:val="00A85B90"/>
    <w:rsid w:val="00A8674E"/>
    <w:rsid w:val="00A86F91"/>
    <w:rsid w:val="00A875C0"/>
    <w:rsid w:val="00A87C15"/>
    <w:rsid w:val="00A90925"/>
    <w:rsid w:val="00A90DDB"/>
    <w:rsid w:val="00A918DC"/>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33A"/>
    <w:rsid w:val="00AA57CE"/>
    <w:rsid w:val="00AA584E"/>
    <w:rsid w:val="00AA5AD2"/>
    <w:rsid w:val="00AA5ADC"/>
    <w:rsid w:val="00AA5D14"/>
    <w:rsid w:val="00AA5D22"/>
    <w:rsid w:val="00AA5DF4"/>
    <w:rsid w:val="00AA5E45"/>
    <w:rsid w:val="00AA6517"/>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4A6"/>
    <w:rsid w:val="00AB2769"/>
    <w:rsid w:val="00AB27AA"/>
    <w:rsid w:val="00AB2A85"/>
    <w:rsid w:val="00AB2E00"/>
    <w:rsid w:val="00AB3283"/>
    <w:rsid w:val="00AB38AD"/>
    <w:rsid w:val="00AB3C8A"/>
    <w:rsid w:val="00AB3E6B"/>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8FF"/>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65C"/>
    <w:rsid w:val="00AD4D66"/>
    <w:rsid w:val="00AD516C"/>
    <w:rsid w:val="00AD5922"/>
    <w:rsid w:val="00AD5CB8"/>
    <w:rsid w:val="00AD5E96"/>
    <w:rsid w:val="00AD5F80"/>
    <w:rsid w:val="00AD61E3"/>
    <w:rsid w:val="00AD6555"/>
    <w:rsid w:val="00AD6A0F"/>
    <w:rsid w:val="00AD6F4A"/>
    <w:rsid w:val="00AD72AF"/>
    <w:rsid w:val="00AD77E5"/>
    <w:rsid w:val="00AD791A"/>
    <w:rsid w:val="00AD79DB"/>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0A61"/>
    <w:rsid w:val="00B02099"/>
    <w:rsid w:val="00B02174"/>
    <w:rsid w:val="00B02209"/>
    <w:rsid w:val="00B02238"/>
    <w:rsid w:val="00B02265"/>
    <w:rsid w:val="00B0250B"/>
    <w:rsid w:val="00B02892"/>
    <w:rsid w:val="00B0313D"/>
    <w:rsid w:val="00B03337"/>
    <w:rsid w:val="00B035B0"/>
    <w:rsid w:val="00B0389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98"/>
    <w:rsid w:val="00B22BFA"/>
    <w:rsid w:val="00B22D6E"/>
    <w:rsid w:val="00B230E1"/>
    <w:rsid w:val="00B23135"/>
    <w:rsid w:val="00B231DE"/>
    <w:rsid w:val="00B232FE"/>
    <w:rsid w:val="00B23522"/>
    <w:rsid w:val="00B23564"/>
    <w:rsid w:val="00B23698"/>
    <w:rsid w:val="00B2376E"/>
    <w:rsid w:val="00B2388A"/>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0FA"/>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D90"/>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47DFA"/>
    <w:rsid w:val="00B50022"/>
    <w:rsid w:val="00B50446"/>
    <w:rsid w:val="00B506FA"/>
    <w:rsid w:val="00B50A6E"/>
    <w:rsid w:val="00B51207"/>
    <w:rsid w:val="00B512C8"/>
    <w:rsid w:val="00B512D2"/>
    <w:rsid w:val="00B513D2"/>
    <w:rsid w:val="00B516F6"/>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260"/>
    <w:rsid w:val="00B67AB1"/>
    <w:rsid w:val="00B67B4F"/>
    <w:rsid w:val="00B67E6B"/>
    <w:rsid w:val="00B67F6E"/>
    <w:rsid w:val="00B702CD"/>
    <w:rsid w:val="00B7041C"/>
    <w:rsid w:val="00B7070A"/>
    <w:rsid w:val="00B70D22"/>
    <w:rsid w:val="00B71898"/>
    <w:rsid w:val="00B71A1D"/>
    <w:rsid w:val="00B71BBB"/>
    <w:rsid w:val="00B71D73"/>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FB2"/>
    <w:rsid w:val="00B76FCB"/>
    <w:rsid w:val="00B77236"/>
    <w:rsid w:val="00B7749A"/>
    <w:rsid w:val="00B77582"/>
    <w:rsid w:val="00B779BB"/>
    <w:rsid w:val="00B77A5A"/>
    <w:rsid w:val="00B77B07"/>
    <w:rsid w:val="00B77BB8"/>
    <w:rsid w:val="00B77E78"/>
    <w:rsid w:val="00B77FDF"/>
    <w:rsid w:val="00B800EC"/>
    <w:rsid w:val="00B80561"/>
    <w:rsid w:val="00B8065F"/>
    <w:rsid w:val="00B8103D"/>
    <w:rsid w:val="00B81718"/>
    <w:rsid w:val="00B8179E"/>
    <w:rsid w:val="00B81A37"/>
    <w:rsid w:val="00B8252D"/>
    <w:rsid w:val="00B82652"/>
    <w:rsid w:val="00B8314D"/>
    <w:rsid w:val="00B8325B"/>
    <w:rsid w:val="00B83972"/>
    <w:rsid w:val="00B84245"/>
    <w:rsid w:val="00B8468D"/>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39"/>
    <w:rsid w:val="00B909D7"/>
    <w:rsid w:val="00B909E7"/>
    <w:rsid w:val="00B90A28"/>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32"/>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AC3"/>
    <w:rsid w:val="00BB6C49"/>
    <w:rsid w:val="00BB6E9D"/>
    <w:rsid w:val="00BB7373"/>
    <w:rsid w:val="00BB76DF"/>
    <w:rsid w:val="00BB779D"/>
    <w:rsid w:val="00BB7C9F"/>
    <w:rsid w:val="00BB7CB3"/>
    <w:rsid w:val="00BC050A"/>
    <w:rsid w:val="00BC066A"/>
    <w:rsid w:val="00BC072F"/>
    <w:rsid w:val="00BC11FD"/>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737"/>
    <w:rsid w:val="00BC5EB0"/>
    <w:rsid w:val="00BC605D"/>
    <w:rsid w:val="00BC6274"/>
    <w:rsid w:val="00BC639A"/>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386A"/>
    <w:rsid w:val="00BD3A51"/>
    <w:rsid w:val="00BD3C1A"/>
    <w:rsid w:val="00BD3C68"/>
    <w:rsid w:val="00BD3F92"/>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876"/>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E58"/>
    <w:rsid w:val="00C13567"/>
    <w:rsid w:val="00C13BA5"/>
    <w:rsid w:val="00C13C61"/>
    <w:rsid w:val="00C1421F"/>
    <w:rsid w:val="00C145C0"/>
    <w:rsid w:val="00C1477D"/>
    <w:rsid w:val="00C14D9F"/>
    <w:rsid w:val="00C156A5"/>
    <w:rsid w:val="00C156D7"/>
    <w:rsid w:val="00C15740"/>
    <w:rsid w:val="00C15A27"/>
    <w:rsid w:val="00C15A64"/>
    <w:rsid w:val="00C15D0C"/>
    <w:rsid w:val="00C15FEF"/>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92"/>
    <w:rsid w:val="00C22275"/>
    <w:rsid w:val="00C22519"/>
    <w:rsid w:val="00C22725"/>
    <w:rsid w:val="00C22950"/>
    <w:rsid w:val="00C229D9"/>
    <w:rsid w:val="00C22C7B"/>
    <w:rsid w:val="00C22F12"/>
    <w:rsid w:val="00C2305C"/>
    <w:rsid w:val="00C233D0"/>
    <w:rsid w:val="00C234A2"/>
    <w:rsid w:val="00C2380D"/>
    <w:rsid w:val="00C23A7F"/>
    <w:rsid w:val="00C23EEE"/>
    <w:rsid w:val="00C23F25"/>
    <w:rsid w:val="00C23F8A"/>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92"/>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F6D"/>
    <w:rsid w:val="00C574AE"/>
    <w:rsid w:val="00C57B3F"/>
    <w:rsid w:val="00C60320"/>
    <w:rsid w:val="00C607FA"/>
    <w:rsid w:val="00C60A63"/>
    <w:rsid w:val="00C60A94"/>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2ED6"/>
    <w:rsid w:val="00C730CB"/>
    <w:rsid w:val="00C731FC"/>
    <w:rsid w:val="00C7329F"/>
    <w:rsid w:val="00C73314"/>
    <w:rsid w:val="00C73586"/>
    <w:rsid w:val="00C73782"/>
    <w:rsid w:val="00C73B8D"/>
    <w:rsid w:val="00C73F9C"/>
    <w:rsid w:val="00C74107"/>
    <w:rsid w:val="00C74430"/>
    <w:rsid w:val="00C745E5"/>
    <w:rsid w:val="00C74830"/>
    <w:rsid w:val="00C75031"/>
    <w:rsid w:val="00C752ED"/>
    <w:rsid w:val="00C754A0"/>
    <w:rsid w:val="00C754FF"/>
    <w:rsid w:val="00C7593A"/>
    <w:rsid w:val="00C75D4B"/>
    <w:rsid w:val="00C76330"/>
    <w:rsid w:val="00C76932"/>
    <w:rsid w:val="00C76976"/>
    <w:rsid w:val="00C76D32"/>
    <w:rsid w:val="00C76E8A"/>
    <w:rsid w:val="00C77134"/>
    <w:rsid w:val="00C772D2"/>
    <w:rsid w:val="00C778A2"/>
    <w:rsid w:val="00C77E68"/>
    <w:rsid w:val="00C8034B"/>
    <w:rsid w:val="00C8056E"/>
    <w:rsid w:val="00C80C77"/>
    <w:rsid w:val="00C80D90"/>
    <w:rsid w:val="00C8104E"/>
    <w:rsid w:val="00C8117A"/>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680"/>
    <w:rsid w:val="00C939EE"/>
    <w:rsid w:val="00C94A2F"/>
    <w:rsid w:val="00C94B76"/>
    <w:rsid w:val="00C94BDC"/>
    <w:rsid w:val="00C94BF9"/>
    <w:rsid w:val="00C94CF0"/>
    <w:rsid w:val="00C95005"/>
    <w:rsid w:val="00C954C8"/>
    <w:rsid w:val="00C9557C"/>
    <w:rsid w:val="00C9579D"/>
    <w:rsid w:val="00C95A9A"/>
    <w:rsid w:val="00C961CA"/>
    <w:rsid w:val="00C96242"/>
    <w:rsid w:val="00C9644D"/>
    <w:rsid w:val="00C96454"/>
    <w:rsid w:val="00C96501"/>
    <w:rsid w:val="00C96747"/>
    <w:rsid w:val="00C96897"/>
    <w:rsid w:val="00C96A84"/>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F6"/>
    <w:rsid w:val="00CA7FB2"/>
    <w:rsid w:val="00CB00F3"/>
    <w:rsid w:val="00CB031D"/>
    <w:rsid w:val="00CB036A"/>
    <w:rsid w:val="00CB040C"/>
    <w:rsid w:val="00CB072B"/>
    <w:rsid w:val="00CB07A9"/>
    <w:rsid w:val="00CB0979"/>
    <w:rsid w:val="00CB0C53"/>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01"/>
    <w:rsid w:val="00CB7CCD"/>
    <w:rsid w:val="00CC02AE"/>
    <w:rsid w:val="00CC0511"/>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3D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5AA5"/>
    <w:rsid w:val="00CD6121"/>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C3"/>
    <w:rsid w:val="00CE4390"/>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49"/>
    <w:rsid w:val="00CF19C6"/>
    <w:rsid w:val="00CF1B55"/>
    <w:rsid w:val="00CF1E9A"/>
    <w:rsid w:val="00CF213F"/>
    <w:rsid w:val="00CF230D"/>
    <w:rsid w:val="00CF2A98"/>
    <w:rsid w:val="00CF39E0"/>
    <w:rsid w:val="00CF3A66"/>
    <w:rsid w:val="00CF4349"/>
    <w:rsid w:val="00CF43C6"/>
    <w:rsid w:val="00CF454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D003F8"/>
    <w:rsid w:val="00D0052C"/>
    <w:rsid w:val="00D00B02"/>
    <w:rsid w:val="00D00E04"/>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3EC"/>
    <w:rsid w:val="00D23801"/>
    <w:rsid w:val="00D23A28"/>
    <w:rsid w:val="00D24035"/>
    <w:rsid w:val="00D2440E"/>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70C"/>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CC"/>
    <w:rsid w:val="00D442F0"/>
    <w:rsid w:val="00D4446B"/>
    <w:rsid w:val="00D44B3D"/>
    <w:rsid w:val="00D44CC1"/>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E05"/>
    <w:rsid w:val="00D51F18"/>
    <w:rsid w:val="00D520B5"/>
    <w:rsid w:val="00D5235B"/>
    <w:rsid w:val="00D526F3"/>
    <w:rsid w:val="00D52DA3"/>
    <w:rsid w:val="00D52E44"/>
    <w:rsid w:val="00D52E5A"/>
    <w:rsid w:val="00D53537"/>
    <w:rsid w:val="00D5360E"/>
    <w:rsid w:val="00D53B2D"/>
    <w:rsid w:val="00D53D6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E16"/>
    <w:rsid w:val="00D57FAE"/>
    <w:rsid w:val="00D6014E"/>
    <w:rsid w:val="00D60210"/>
    <w:rsid w:val="00D602E2"/>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F80"/>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7EA"/>
    <w:rsid w:val="00D8081F"/>
    <w:rsid w:val="00D80898"/>
    <w:rsid w:val="00D80B6A"/>
    <w:rsid w:val="00D80C8B"/>
    <w:rsid w:val="00D80DF6"/>
    <w:rsid w:val="00D8114A"/>
    <w:rsid w:val="00D817F1"/>
    <w:rsid w:val="00D81833"/>
    <w:rsid w:val="00D818F2"/>
    <w:rsid w:val="00D825BC"/>
    <w:rsid w:val="00D82676"/>
    <w:rsid w:val="00D82706"/>
    <w:rsid w:val="00D8312E"/>
    <w:rsid w:val="00D8371D"/>
    <w:rsid w:val="00D83A9F"/>
    <w:rsid w:val="00D83B48"/>
    <w:rsid w:val="00D8414C"/>
    <w:rsid w:val="00D841A5"/>
    <w:rsid w:val="00D844B1"/>
    <w:rsid w:val="00D8469F"/>
    <w:rsid w:val="00D84D91"/>
    <w:rsid w:val="00D84DE3"/>
    <w:rsid w:val="00D84E4D"/>
    <w:rsid w:val="00D85375"/>
    <w:rsid w:val="00D8603D"/>
    <w:rsid w:val="00D865D1"/>
    <w:rsid w:val="00D86C20"/>
    <w:rsid w:val="00D86DD4"/>
    <w:rsid w:val="00D86F1D"/>
    <w:rsid w:val="00D87CFA"/>
    <w:rsid w:val="00D87F1F"/>
    <w:rsid w:val="00D90046"/>
    <w:rsid w:val="00D9038D"/>
    <w:rsid w:val="00D90898"/>
    <w:rsid w:val="00D90998"/>
    <w:rsid w:val="00D909BB"/>
    <w:rsid w:val="00D90CE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17C"/>
    <w:rsid w:val="00D962B7"/>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D4F"/>
    <w:rsid w:val="00DA0EFB"/>
    <w:rsid w:val="00DA0F4A"/>
    <w:rsid w:val="00DA1342"/>
    <w:rsid w:val="00DA1613"/>
    <w:rsid w:val="00DA1868"/>
    <w:rsid w:val="00DA18EE"/>
    <w:rsid w:val="00DA18FC"/>
    <w:rsid w:val="00DA1A4B"/>
    <w:rsid w:val="00DA2074"/>
    <w:rsid w:val="00DA2241"/>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9E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509C"/>
    <w:rsid w:val="00DC56F0"/>
    <w:rsid w:val="00DC570A"/>
    <w:rsid w:val="00DC5C5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802"/>
    <w:rsid w:val="00DD1B11"/>
    <w:rsid w:val="00DD1B33"/>
    <w:rsid w:val="00DD1B59"/>
    <w:rsid w:val="00DD1CE2"/>
    <w:rsid w:val="00DD23D3"/>
    <w:rsid w:val="00DD2F5E"/>
    <w:rsid w:val="00DD371B"/>
    <w:rsid w:val="00DD4238"/>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67B"/>
    <w:rsid w:val="00DD697B"/>
    <w:rsid w:val="00DD6D82"/>
    <w:rsid w:val="00DD7594"/>
    <w:rsid w:val="00DD7749"/>
    <w:rsid w:val="00DD786C"/>
    <w:rsid w:val="00DD7B43"/>
    <w:rsid w:val="00DD7B5E"/>
    <w:rsid w:val="00DD7D55"/>
    <w:rsid w:val="00DD7DCE"/>
    <w:rsid w:val="00DD7E6D"/>
    <w:rsid w:val="00DD7F2D"/>
    <w:rsid w:val="00DE0129"/>
    <w:rsid w:val="00DE026F"/>
    <w:rsid w:val="00DE0452"/>
    <w:rsid w:val="00DE045E"/>
    <w:rsid w:val="00DE074F"/>
    <w:rsid w:val="00DE0772"/>
    <w:rsid w:val="00DE1064"/>
    <w:rsid w:val="00DE1240"/>
    <w:rsid w:val="00DE1258"/>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A7E"/>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02"/>
    <w:rsid w:val="00E05DA6"/>
    <w:rsid w:val="00E05F35"/>
    <w:rsid w:val="00E06065"/>
    <w:rsid w:val="00E0668C"/>
    <w:rsid w:val="00E066F2"/>
    <w:rsid w:val="00E06A81"/>
    <w:rsid w:val="00E06B51"/>
    <w:rsid w:val="00E07772"/>
    <w:rsid w:val="00E07901"/>
    <w:rsid w:val="00E079C6"/>
    <w:rsid w:val="00E100A0"/>
    <w:rsid w:val="00E10AE7"/>
    <w:rsid w:val="00E10B9A"/>
    <w:rsid w:val="00E10BFA"/>
    <w:rsid w:val="00E1133A"/>
    <w:rsid w:val="00E11428"/>
    <w:rsid w:val="00E116C6"/>
    <w:rsid w:val="00E116D4"/>
    <w:rsid w:val="00E12030"/>
    <w:rsid w:val="00E1239C"/>
    <w:rsid w:val="00E1262D"/>
    <w:rsid w:val="00E1273C"/>
    <w:rsid w:val="00E128A2"/>
    <w:rsid w:val="00E12AD1"/>
    <w:rsid w:val="00E13137"/>
    <w:rsid w:val="00E13207"/>
    <w:rsid w:val="00E134FE"/>
    <w:rsid w:val="00E13958"/>
    <w:rsid w:val="00E13C14"/>
    <w:rsid w:val="00E1434A"/>
    <w:rsid w:val="00E14600"/>
    <w:rsid w:val="00E146CF"/>
    <w:rsid w:val="00E1488A"/>
    <w:rsid w:val="00E14BED"/>
    <w:rsid w:val="00E14E30"/>
    <w:rsid w:val="00E15048"/>
    <w:rsid w:val="00E15606"/>
    <w:rsid w:val="00E15893"/>
    <w:rsid w:val="00E15ACE"/>
    <w:rsid w:val="00E15BA6"/>
    <w:rsid w:val="00E15C2B"/>
    <w:rsid w:val="00E15D59"/>
    <w:rsid w:val="00E15F9F"/>
    <w:rsid w:val="00E15FFB"/>
    <w:rsid w:val="00E1633F"/>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1ED"/>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DF0"/>
    <w:rsid w:val="00E46EF3"/>
    <w:rsid w:val="00E471D6"/>
    <w:rsid w:val="00E473F4"/>
    <w:rsid w:val="00E47502"/>
    <w:rsid w:val="00E500D9"/>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1E2"/>
    <w:rsid w:val="00E53948"/>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0A4"/>
    <w:rsid w:val="00E632A2"/>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6DD"/>
    <w:rsid w:val="00E7176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77A"/>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F5"/>
    <w:rsid w:val="00E905D8"/>
    <w:rsid w:val="00E906F6"/>
    <w:rsid w:val="00E90724"/>
    <w:rsid w:val="00E90988"/>
    <w:rsid w:val="00E90A23"/>
    <w:rsid w:val="00E910F0"/>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5EC4"/>
    <w:rsid w:val="00E965C3"/>
    <w:rsid w:val="00E96897"/>
    <w:rsid w:val="00E96918"/>
    <w:rsid w:val="00E969FC"/>
    <w:rsid w:val="00E96BCD"/>
    <w:rsid w:val="00E96DE6"/>
    <w:rsid w:val="00E96FD8"/>
    <w:rsid w:val="00E97045"/>
    <w:rsid w:val="00E973CF"/>
    <w:rsid w:val="00E976A8"/>
    <w:rsid w:val="00E97851"/>
    <w:rsid w:val="00E97B8E"/>
    <w:rsid w:val="00E97DA3"/>
    <w:rsid w:val="00E97E70"/>
    <w:rsid w:val="00EA0038"/>
    <w:rsid w:val="00EA006D"/>
    <w:rsid w:val="00EA088B"/>
    <w:rsid w:val="00EA0AE7"/>
    <w:rsid w:val="00EA0CE1"/>
    <w:rsid w:val="00EA1086"/>
    <w:rsid w:val="00EA10B1"/>
    <w:rsid w:val="00EA1BA6"/>
    <w:rsid w:val="00EA20D4"/>
    <w:rsid w:val="00EA270C"/>
    <w:rsid w:val="00EA281B"/>
    <w:rsid w:val="00EA2AE4"/>
    <w:rsid w:val="00EA2BBE"/>
    <w:rsid w:val="00EA2E2F"/>
    <w:rsid w:val="00EA2ECB"/>
    <w:rsid w:val="00EA2ED7"/>
    <w:rsid w:val="00EA3185"/>
    <w:rsid w:val="00EA36EA"/>
    <w:rsid w:val="00EA3F5E"/>
    <w:rsid w:val="00EA413E"/>
    <w:rsid w:val="00EA443F"/>
    <w:rsid w:val="00EA4645"/>
    <w:rsid w:val="00EA466B"/>
    <w:rsid w:val="00EA4A82"/>
    <w:rsid w:val="00EA4F3E"/>
    <w:rsid w:val="00EA4FEE"/>
    <w:rsid w:val="00EA5717"/>
    <w:rsid w:val="00EA57EA"/>
    <w:rsid w:val="00EA5CB5"/>
    <w:rsid w:val="00EA5CF4"/>
    <w:rsid w:val="00EA6351"/>
    <w:rsid w:val="00EA6548"/>
    <w:rsid w:val="00EA67AD"/>
    <w:rsid w:val="00EA6CF3"/>
    <w:rsid w:val="00EA72D8"/>
    <w:rsid w:val="00EA72FC"/>
    <w:rsid w:val="00EA7303"/>
    <w:rsid w:val="00EA7ACC"/>
    <w:rsid w:val="00EA7E45"/>
    <w:rsid w:val="00EB09B9"/>
    <w:rsid w:val="00EB0B85"/>
    <w:rsid w:val="00EB0C2C"/>
    <w:rsid w:val="00EB0C7C"/>
    <w:rsid w:val="00EB0E75"/>
    <w:rsid w:val="00EB0F35"/>
    <w:rsid w:val="00EB1714"/>
    <w:rsid w:val="00EB19FB"/>
    <w:rsid w:val="00EB2310"/>
    <w:rsid w:val="00EB2721"/>
    <w:rsid w:val="00EB2B78"/>
    <w:rsid w:val="00EB2F62"/>
    <w:rsid w:val="00EB30BE"/>
    <w:rsid w:val="00EB30E8"/>
    <w:rsid w:val="00EB3404"/>
    <w:rsid w:val="00EB3599"/>
    <w:rsid w:val="00EB3934"/>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134"/>
    <w:rsid w:val="00EB6530"/>
    <w:rsid w:val="00EB659F"/>
    <w:rsid w:val="00EB65AE"/>
    <w:rsid w:val="00EB76F7"/>
    <w:rsid w:val="00EB77B7"/>
    <w:rsid w:val="00EB793B"/>
    <w:rsid w:val="00EB7C5B"/>
    <w:rsid w:val="00EB7C76"/>
    <w:rsid w:val="00EB7CB1"/>
    <w:rsid w:val="00EC01B9"/>
    <w:rsid w:val="00EC04E1"/>
    <w:rsid w:val="00EC0569"/>
    <w:rsid w:val="00EC0614"/>
    <w:rsid w:val="00EC0715"/>
    <w:rsid w:val="00EC084B"/>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E45"/>
    <w:rsid w:val="00EC5ED6"/>
    <w:rsid w:val="00EC608C"/>
    <w:rsid w:val="00EC61C2"/>
    <w:rsid w:val="00EC61FC"/>
    <w:rsid w:val="00EC62D2"/>
    <w:rsid w:val="00EC66E8"/>
    <w:rsid w:val="00EC69B8"/>
    <w:rsid w:val="00EC6A5C"/>
    <w:rsid w:val="00EC6DE5"/>
    <w:rsid w:val="00EC7E97"/>
    <w:rsid w:val="00ED0557"/>
    <w:rsid w:val="00ED0CF0"/>
    <w:rsid w:val="00ED0D6E"/>
    <w:rsid w:val="00ED0DA8"/>
    <w:rsid w:val="00ED10FA"/>
    <w:rsid w:val="00ED1407"/>
    <w:rsid w:val="00ED17CE"/>
    <w:rsid w:val="00ED1A74"/>
    <w:rsid w:val="00ED21EF"/>
    <w:rsid w:val="00ED2A29"/>
    <w:rsid w:val="00ED2B62"/>
    <w:rsid w:val="00ED311F"/>
    <w:rsid w:val="00ED34D4"/>
    <w:rsid w:val="00ED3ADF"/>
    <w:rsid w:val="00ED3B26"/>
    <w:rsid w:val="00ED3D84"/>
    <w:rsid w:val="00ED3D87"/>
    <w:rsid w:val="00ED3E53"/>
    <w:rsid w:val="00ED41DC"/>
    <w:rsid w:val="00ED42FF"/>
    <w:rsid w:val="00ED4B38"/>
    <w:rsid w:val="00ED58B3"/>
    <w:rsid w:val="00ED59A5"/>
    <w:rsid w:val="00ED5BDC"/>
    <w:rsid w:val="00ED5E6C"/>
    <w:rsid w:val="00ED6315"/>
    <w:rsid w:val="00ED6342"/>
    <w:rsid w:val="00ED6A10"/>
    <w:rsid w:val="00ED747F"/>
    <w:rsid w:val="00ED74FB"/>
    <w:rsid w:val="00ED766C"/>
    <w:rsid w:val="00ED76FB"/>
    <w:rsid w:val="00ED7895"/>
    <w:rsid w:val="00ED78A3"/>
    <w:rsid w:val="00ED7C00"/>
    <w:rsid w:val="00ED7E1E"/>
    <w:rsid w:val="00EE05C2"/>
    <w:rsid w:val="00EE06A6"/>
    <w:rsid w:val="00EE0D01"/>
    <w:rsid w:val="00EE0EA6"/>
    <w:rsid w:val="00EE11DC"/>
    <w:rsid w:val="00EE124D"/>
    <w:rsid w:val="00EE14BD"/>
    <w:rsid w:val="00EE1B7B"/>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6B"/>
    <w:rsid w:val="00EE6DE6"/>
    <w:rsid w:val="00EE7904"/>
    <w:rsid w:val="00EE790F"/>
    <w:rsid w:val="00EE7BA5"/>
    <w:rsid w:val="00EE7C75"/>
    <w:rsid w:val="00EE7CCF"/>
    <w:rsid w:val="00EE7F7B"/>
    <w:rsid w:val="00EF007D"/>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873"/>
    <w:rsid w:val="00EF6902"/>
    <w:rsid w:val="00EF6F24"/>
    <w:rsid w:val="00EF7132"/>
    <w:rsid w:val="00EF7143"/>
    <w:rsid w:val="00EF73BD"/>
    <w:rsid w:val="00EF78DB"/>
    <w:rsid w:val="00EF7C62"/>
    <w:rsid w:val="00EF7C7D"/>
    <w:rsid w:val="00F0055F"/>
    <w:rsid w:val="00F0080B"/>
    <w:rsid w:val="00F00BE1"/>
    <w:rsid w:val="00F00DF6"/>
    <w:rsid w:val="00F01122"/>
    <w:rsid w:val="00F01572"/>
    <w:rsid w:val="00F015B1"/>
    <w:rsid w:val="00F01B31"/>
    <w:rsid w:val="00F02322"/>
    <w:rsid w:val="00F02AF8"/>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241"/>
    <w:rsid w:val="00F07571"/>
    <w:rsid w:val="00F076C5"/>
    <w:rsid w:val="00F07C50"/>
    <w:rsid w:val="00F07E96"/>
    <w:rsid w:val="00F10546"/>
    <w:rsid w:val="00F10B0A"/>
    <w:rsid w:val="00F11537"/>
    <w:rsid w:val="00F120D9"/>
    <w:rsid w:val="00F124BE"/>
    <w:rsid w:val="00F125DE"/>
    <w:rsid w:val="00F12638"/>
    <w:rsid w:val="00F12A36"/>
    <w:rsid w:val="00F12A9F"/>
    <w:rsid w:val="00F13137"/>
    <w:rsid w:val="00F1339B"/>
    <w:rsid w:val="00F13A2F"/>
    <w:rsid w:val="00F14C13"/>
    <w:rsid w:val="00F14CE8"/>
    <w:rsid w:val="00F15471"/>
    <w:rsid w:val="00F15FBF"/>
    <w:rsid w:val="00F17174"/>
    <w:rsid w:val="00F172D0"/>
    <w:rsid w:val="00F17939"/>
    <w:rsid w:val="00F17DD6"/>
    <w:rsid w:val="00F20740"/>
    <w:rsid w:val="00F211B8"/>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C5A"/>
    <w:rsid w:val="00F24D30"/>
    <w:rsid w:val="00F24DF1"/>
    <w:rsid w:val="00F24E8D"/>
    <w:rsid w:val="00F25177"/>
    <w:rsid w:val="00F25225"/>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ACE"/>
    <w:rsid w:val="00F30C02"/>
    <w:rsid w:val="00F30C40"/>
    <w:rsid w:val="00F30CE5"/>
    <w:rsid w:val="00F30E85"/>
    <w:rsid w:val="00F30FDC"/>
    <w:rsid w:val="00F311BB"/>
    <w:rsid w:val="00F313D1"/>
    <w:rsid w:val="00F3144A"/>
    <w:rsid w:val="00F318A7"/>
    <w:rsid w:val="00F31900"/>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BE2"/>
    <w:rsid w:val="00F37C18"/>
    <w:rsid w:val="00F37E5B"/>
    <w:rsid w:val="00F4046C"/>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6D1"/>
    <w:rsid w:val="00F4470C"/>
    <w:rsid w:val="00F44B59"/>
    <w:rsid w:val="00F44BB8"/>
    <w:rsid w:val="00F4537F"/>
    <w:rsid w:val="00F459C7"/>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D20"/>
    <w:rsid w:val="00F52BF1"/>
    <w:rsid w:val="00F52DAC"/>
    <w:rsid w:val="00F52F5E"/>
    <w:rsid w:val="00F530D0"/>
    <w:rsid w:val="00F53166"/>
    <w:rsid w:val="00F5335D"/>
    <w:rsid w:val="00F53808"/>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E2"/>
    <w:rsid w:val="00F65EAC"/>
    <w:rsid w:val="00F6607F"/>
    <w:rsid w:val="00F66122"/>
    <w:rsid w:val="00F665D5"/>
    <w:rsid w:val="00F666FD"/>
    <w:rsid w:val="00F667C5"/>
    <w:rsid w:val="00F66EC1"/>
    <w:rsid w:val="00F67099"/>
    <w:rsid w:val="00F672F1"/>
    <w:rsid w:val="00F67302"/>
    <w:rsid w:val="00F67600"/>
    <w:rsid w:val="00F677AF"/>
    <w:rsid w:val="00F67A00"/>
    <w:rsid w:val="00F67A35"/>
    <w:rsid w:val="00F67B5F"/>
    <w:rsid w:val="00F67B7D"/>
    <w:rsid w:val="00F67FC4"/>
    <w:rsid w:val="00F70895"/>
    <w:rsid w:val="00F71419"/>
    <w:rsid w:val="00F721D8"/>
    <w:rsid w:val="00F72357"/>
    <w:rsid w:val="00F723D2"/>
    <w:rsid w:val="00F72620"/>
    <w:rsid w:val="00F72E0A"/>
    <w:rsid w:val="00F733CC"/>
    <w:rsid w:val="00F73930"/>
    <w:rsid w:val="00F73B70"/>
    <w:rsid w:val="00F74088"/>
    <w:rsid w:val="00F74118"/>
    <w:rsid w:val="00F74217"/>
    <w:rsid w:val="00F746A3"/>
    <w:rsid w:val="00F749B5"/>
    <w:rsid w:val="00F74BBB"/>
    <w:rsid w:val="00F759AD"/>
    <w:rsid w:val="00F75BDF"/>
    <w:rsid w:val="00F763C6"/>
    <w:rsid w:val="00F7642A"/>
    <w:rsid w:val="00F765E8"/>
    <w:rsid w:val="00F76851"/>
    <w:rsid w:val="00F769C0"/>
    <w:rsid w:val="00F76EE1"/>
    <w:rsid w:val="00F77084"/>
    <w:rsid w:val="00F772AD"/>
    <w:rsid w:val="00F7768D"/>
    <w:rsid w:val="00F77B00"/>
    <w:rsid w:val="00F77E2A"/>
    <w:rsid w:val="00F77F57"/>
    <w:rsid w:val="00F80A71"/>
    <w:rsid w:val="00F80E81"/>
    <w:rsid w:val="00F80F3C"/>
    <w:rsid w:val="00F8124E"/>
    <w:rsid w:val="00F81421"/>
    <w:rsid w:val="00F81526"/>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C88"/>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4B9"/>
    <w:rsid w:val="00FA2910"/>
    <w:rsid w:val="00FA2948"/>
    <w:rsid w:val="00FA29F4"/>
    <w:rsid w:val="00FA2B04"/>
    <w:rsid w:val="00FA3206"/>
    <w:rsid w:val="00FA3291"/>
    <w:rsid w:val="00FA362D"/>
    <w:rsid w:val="00FA3D25"/>
    <w:rsid w:val="00FA3D8C"/>
    <w:rsid w:val="00FA3E51"/>
    <w:rsid w:val="00FA403D"/>
    <w:rsid w:val="00FA40A3"/>
    <w:rsid w:val="00FA427F"/>
    <w:rsid w:val="00FA446F"/>
    <w:rsid w:val="00FA45CD"/>
    <w:rsid w:val="00FA4810"/>
    <w:rsid w:val="00FA4AD4"/>
    <w:rsid w:val="00FA4C3B"/>
    <w:rsid w:val="00FA4D76"/>
    <w:rsid w:val="00FA52BF"/>
    <w:rsid w:val="00FA5975"/>
    <w:rsid w:val="00FA5989"/>
    <w:rsid w:val="00FA5A62"/>
    <w:rsid w:val="00FA5B17"/>
    <w:rsid w:val="00FA5E7C"/>
    <w:rsid w:val="00FA6330"/>
    <w:rsid w:val="00FA6410"/>
    <w:rsid w:val="00FA6443"/>
    <w:rsid w:val="00FA6924"/>
    <w:rsid w:val="00FA69D3"/>
    <w:rsid w:val="00FA6AFF"/>
    <w:rsid w:val="00FA6C90"/>
    <w:rsid w:val="00FA7125"/>
    <w:rsid w:val="00FA7131"/>
    <w:rsid w:val="00FA7DF7"/>
    <w:rsid w:val="00FB01CC"/>
    <w:rsid w:val="00FB02FB"/>
    <w:rsid w:val="00FB08F9"/>
    <w:rsid w:val="00FB1350"/>
    <w:rsid w:val="00FB16CA"/>
    <w:rsid w:val="00FB2203"/>
    <w:rsid w:val="00FB2578"/>
    <w:rsid w:val="00FB26BD"/>
    <w:rsid w:val="00FB2C23"/>
    <w:rsid w:val="00FB2DE1"/>
    <w:rsid w:val="00FB3325"/>
    <w:rsid w:val="00FB33FA"/>
    <w:rsid w:val="00FB35CC"/>
    <w:rsid w:val="00FB3866"/>
    <w:rsid w:val="00FB386A"/>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179"/>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69"/>
    <w:rsid w:val="00FD52F8"/>
    <w:rsid w:val="00FD5328"/>
    <w:rsid w:val="00FD5360"/>
    <w:rsid w:val="00FD54CC"/>
    <w:rsid w:val="00FD5914"/>
    <w:rsid w:val="00FD5D1D"/>
    <w:rsid w:val="00FD5F6C"/>
    <w:rsid w:val="00FD65AD"/>
    <w:rsid w:val="00FD6B34"/>
    <w:rsid w:val="00FD6C6D"/>
    <w:rsid w:val="00FD6C8C"/>
    <w:rsid w:val="00FD6DBB"/>
    <w:rsid w:val="00FD7529"/>
    <w:rsid w:val="00FD795C"/>
    <w:rsid w:val="00FD7A8D"/>
    <w:rsid w:val="00FE06A2"/>
    <w:rsid w:val="00FE0CE6"/>
    <w:rsid w:val="00FE0D6F"/>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A71675-5DF2-4EAB-BFCD-7DFA8732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79"/>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39966004">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ris@tcu.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621&amp;colegiad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s.tcu.gov.br/juris/SvlProxyHighlight?base=ACORDAO&amp;ano=2015&amp;numero=600&amp;colegiado=P"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600&amp;colegiado=P"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6A8D8-3A58-4FC9-9E29-A9D0B300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2723</Words>
  <Characters>14707</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17396</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Porto</dc:creator>
  <cp:lastModifiedBy>LUIZ FELYPE TABOSA PORTO</cp:lastModifiedBy>
  <cp:revision>2</cp:revision>
  <cp:lastPrinted>2014-11-17T17:22:00Z</cp:lastPrinted>
  <dcterms:created xsi:type="dcterms:W3CDTF">2015-05-07T13:29:00Z</dcterms:created>
  <dcterms:modified xsi:type="dcterms:W3CDTF">2015-05-07T13:29:00Z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