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C156D7" w:rsidP="00BC47C5">
      <w:pPr>
        <w:pStyle w:val="Ttulo8"/>
        <w:tabs>
          <w:tab w:val="right" w:pos="4423"/>
        </w:tabs>
        <w:spacing w:before="0" w:after="0"/>
        <w:ind w:left="0"/>
        <w:rPr>
          <w:rFonts w:ascii="Times New Roman" w:hAnsi="Times New Roman"/>
          <w:b/>
          <w:i w:val="0"/>
          <w:sz w:val="22"/>
          <w:szCs w:val="22"/>
        </w:rPr>
      </w:pPr>
      <w:bookmarkStart w:id="0" w:name="_GoBack"/>
      <w:bookmarkEnd w:id="0"/>
      <w:r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2F3875"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23</w:t>
      </w:r>
      <w:r w:rsidR="000C060B">
        <w:rPr>
          <w:rFonts w:ascii="Times New Roman" w:hAnsi="Times New Roman"/>
          <w:b/>
          <w:i w:val="0"/>
          <w:sz w:val="22"/>
          <w:szCs w:val="22"/>
          <w:lang w:val="pt-BR"/>
        </w:rPr>
        <w:t>3</w:t>
      </w:r>
    </w:p>
    <w:p w:rsidR="00C61626" w:rsidRPr="003A0B0D" w:rsidRDefault="0008246E" w:rsidP="002815F0">
      <w:pPr>
        <w:pStyle w:val="Ttulo8"/>
        <w:tabs>
          <w:tab w:val="right" w:pos="4423"/>
        </w:tabs>
        <w:spacing w:before="0"/>
        <w:ind w:left="0"/>
        <w:jc w:val="center"/>
        <w:rPr>
          <w:rFonts w:ascii="Times New Roman" w:hAnsi="Times New Roman"/>
          <w:b/>
          <w:i w:val="0"/>
          <w:sz w:val="22"/>
          <w:szCs w:val="22"/>
          <w:lang w:val="pt-BR"/>
        </w:rPr>
      </w:pPr>
      <w:r w:rsidRPr="003A0B0D">
        <w:rPr>
          <w:rFonts w:ascii="Times New Roman" w:hAnsi="Times New Roman"/>
          <w:b/>
          <w:i w:val="0"/>
          <w:sz w:val="22"/>
          <w:szCs w:val="22"/>
        </w:rPr>
        <w:t>Sess</w:t>
      </w:r>
      <w:r w:rsidR="00377047" w:rsidRPr="003A0B0D">
        <w:rPr>
          <w:rFonts w:ascii="Times New Roman" w:hAnsi="Times New Roman"/>
          <w:b/>
          <w:i w:val="0"/>
          <w:sz w:val="22"/>
          <w:szCs w:val="22"/>
          <w:lang w:val="pt-BR"/>
        </w:rPr>
        <w:t>ões</w:t>
      </w:r>
      <w:r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0C060B">
        <w:rPr>
          <w:rFonts w:ascii="Times New Roman" w:hAnsi="Times New Roman"/>
          <w:b/>
          <w:i w:val="0"/>
          <w:sz w:val="22"/>
          <w:szCs w:val="22"/>
          <w:lang w:val="pt-BR"/>
        </w:rPr>
        <w:t>10</w:t>
      </w:r>
      <w:r w:rsidR="002F3875">
        <w:rPr>
          <w:rFonts w:ascii="Times New Roman" w:hAnsi="Times New Roman"/>
          <w:b/>
          <w:i w:val="0"/>
          <w:sz w:val="22"/>
          <w:szCs w:val="22"/>
          <w:lang w:val="pt-BR"/>
        </w:rPr>
        <w:t xml:space="preserve"> e </w:t>
      </w:r>
      <w:r w:rsidR="000C060B">
        <w:rPr>
          <w:rFonts w:ascii="Times New Roman" w:hAnsi="Times New Roman"/>
          <w:b/>
          <w:i w:val="0"/>
          <w:sz w:val="22"/>
          <w:szCs w:val="22"/>
          <w:lang w:val="pt-BR"/>
        </w:rPr>
        <w:t>11</w:t>
      </w:r>
      <w:r w:rsidR="00005A0B" w:rsidRPr="003A0B0D">
        <w:rPr>
          <w:rFonts w:ascii="Times New Roman" w:hAnsi="Times New Roman"/>
          <w:b/>
          <w:i w:val="0"/>
          <w:sz w:val="22"/>
          <w:szCs w:val="22"/>
          <w:lang w:val="pt-BR"/>
        </w:rPr>
        <w:t xml:space="preserve"> de </w:t>
      </w:r>
      <w:r w:rsidR="00416E99">
        <w:rPr>
          <w:rFonts w:ascii="Times New Roman" w:hAnsi="Times New Roman"/>
          <w:b/>
          <w:i w:val="0"/>
          <w:sz w:val="22"/>
          <w:szCs w:val="22"/>
          <w:lang w:val="pt-BR"/>
        </w:rPr>
        <w:t>março</w:t>
      </w:r>
      <w:r w:rsidR="00E15D59">
        <w:rPr>
          <w:rFonts w:ascii="Times New Roman" w:hAnsi="Times New Roman"/>
          <w:b/>
          <w:i w:val="0"/>
          <w:sz w:val="22"/>
          <w:szCs w:val="22"/>
          <w:lang w:val="pt-BR"/>
        </w:rPr>
        <w:t xml:space="preserve"> 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08246E" w:rsidRPr="003A0B0D"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rsidR="00175500" w:rsidRPr="003A0B0D" w:rsidRDefault="0008246E" w:rsidP="00A47A9A">
      <w:pPr>
        <w:autoSpaceDE w:val="0"/>
        <w:autoSpaceDN w:val="0"/>
        <w:adjustRightInd w:val="0"/>
        <w:spacing w:after="60"/>
        <w:ind w:left="0"/>
        <w:rPr>
          <w:b/>
          <w:sz w:val="22"/>
          <w:szCs w:val="22"/>
          <w:lang w:eastAsia="pt-BR"/>
        </w:rPr>
      </w:pPr>
      <w:r w:rsidRPr="003A0B0D">
        <w:rPr>
          <w:b/>
          <w:sz w:val="22"/>
          <w:szCs w:val="22"/>
          <w:lang w:eastAsia="pt-BR"/>
        </w:rPr>
        <w:t>Plenário</w:t>
      </w:r>
    </w:p>
    <w:p w:rsidR="00F65EAC" w:rsidRDefault="00A918DC" w:rsidP="002529E0">
      <w:pPr>
        <w:pStyle w:val="enter-3pt"/>
        <w:tabs>
          <w:tab w:val="left" w:pos="2590"/>
        </w:tabs>
        <w:spacing w:after="60" w:line="240" w:lineRule="auto"/>
        <w:rPr>
          <w:sz w:val="22"/>
          <w:szCs w:val="22"/>
        </w:rPr>
      </w:pPr>
      <w:r w:rsidRPr="00A918DC">
        <w:rPr>
          <w:sz w:val="22"/>
          <w:szCs w:val="22"/>
        </w:rPr>
        <w:t>1.</w:t>
      </w:r>
      <w:r w:rsidR="00F65EAC" w:rsidRPr="00F65EAC">
        <w:t xml:space="preserve"> </w:t>
      </w:r>
      <w:r w:rsidR="00F65EAC" w:rsidRPr="00F65EAC">
        <w:rPr>
          <w:sz w:val="22"/>
          <w:szCs w:val="22"/>
        </w:rPr>
        <w:t>Os preços dos serviços novos acrescidos por termo aditivo, embora derivem de prévio acordo entre as partes (art. 65,</w:t>
      </w:r>
      <w:r w:rsidR="00BE1876">
        <w:rPr>
          <w:sz w:val="22"/>
          <w:szCs w:val="22"/>
        </w:rPr>
        <w:t xml:space="preserve"> </w:t>
      </w:r>
      <w:r w:rsidR="00F65EAC" w:rsidRPr="00F65EAC">
        <w:rPr>
          <w:sz w:val="22"/>
          <w:szCs w:val="22"/>
        </w:rPr>
        <w:t>§ 3º da Lei 8.666/93), devem ser parametrizados pelos preços referenciais da Administração vigentes à época da licitação (sistemas oficiais de custos e taxa de BDI do orçamento base), e não pelos preços em vigor à época do aditamento, observando-se ainda a manutenção do mesmo percentual de desconto entre o valor global do contrato original e o obtido a partir dos preços referenciais à época da licitação.</w:t>
      </w:r>
    </w:p>
    <w:p w:rsidR="003D0C4D" w:rsidRPr="006E2E12" w:rsidRDefault="00F65EAC" w:rsidP="006E2E12">
      <w:pPr>
        <w:pStyle w:val="enter-3pt"/>
        <w:tabs>
          <w:tab w:val="left" w:pos="2590"/>
        </w:tabs>
        <w:spacing w:after="60" w:line="240" w:lineRule="auto"/>
        <w:rPr>
          <w:color w:val="000000"/>
          <w:sz w:val="22"/>
          <w:szCs w:val="22"/>
        </w:rPr>
      </w:pPr>
      <w:r w:rsidRPr="006E2E12">
        <w:rPr>
          <w:sz w:val="22"/>
          <w:szCs w:val="22"/>
        </w:rPr>
        <w:t xml:space="preserve">2. </w:t>
      </w:r>
      <w:r w:rsidR="006E2E12" w:rsidRPr="006E2E12">
        <w:rPr>
          <w:color w:val="000000"/>
          <w:sz w:val="22"/>
          <w:szCs w:val="22"/>
        </w:rPr>
        <w:t>A utilização de equipamentos já mobilizados em razão de contrato anterior constitui vantagem competitiva da contratada, que tem direito a ser remunerada pelas despesas de “mobilização e desmobilização” conforme previsto na planilha orçamentária do contrato, desde que o preço orçado esteja de acordo com as especificações de projeto e os custos de referência.</w:t>
      </w:r>
    </w:p>
    <w:p w:rsidR="00FC6135" w:rsidRPr="002529E0" w:rsidRDefault="00F65EAC" w:rsidP="002529E0">
      <w:pPr>
        <w:pStyle w:val="enter-3pt"/>
        <w:tabs>
          <w:tab w:val="left" w:pos="2590"/>
        </w:tabs>
        <w:spacing w:after="60" w:line="240" w:lineRule="auto"/>
        <w:rPr>
          <w:bCs/>
          <w:i/>
          <w:iCs/>
          <w:sz w:val="22"/>
          <w:szCs w:val="22"/>
        </w:rPr>
      </w:pPr>
      <w:r>
        <w:rPr>
          <w:bCs/>
          <w:iCs/>
          <w:sz w:val="22"/>
          <w:szCs w:val="22"/>
        </w:rPr>
        <w:t>3</w:t>
      </w:r>
      <w:r w:rsidR="002529E0" w:rsidRPr="002529E0">
        <w:rPr>
          <w:bCs/>
          <w:iCs/>
          <w:sz w:val="22"/>
          <w:szCs w:val="22"/>
        </w:rPr>
        <w:t xml:space="preserve">. </w:t>
      </w:r>
      <w:r w:rsidR="00E96BCD" w:rsidRPr="00E96BCD">
        <w:rPr>
          <w:bCs/>
          <w:iCs/>
          <w:sz w:val="22"/>
          <w:szCs w:val="22"/>
        </w:rPr>
        <w:t>Não cabe desclassificação de licitante motivada por presunção de intenção de fraude durante a execução do contrato</w:t>
      </w:r>
      <w:r w:rsidR="002529E0" w:rsidRPr="002529E0">
        <w:rPr>
          <w:bCs/>
          <w:iCs/>
          <w:sz w:val="22"/>
          <w:szCs w:val="22"/>
        </w:rPr>
        <w:t xml:space="preserve">.  </w:t>
      </w:r>
    </w:p>
    <w:p w:rsidR="00A47A9A" w:rsidRDefault="00F65EAC" w:rsidP="009F28CE">
      <w:pPr>
        <w:pStyle w:val="enter-3pt"/>
        <w:tabs>
          <w:tab w:val="left" w:pos="2590"/>
        </w:tabs>
        <w:spacing w:after="60" w:line="240" w:lineRule="auto"/>
        <w:rPr>
          <w:sz w:val="22"/>
          <w:szCs w:val="22"/>
        </w:rPr>
      </w:pPr>
      <w:r>
        <w:rPr>
          <w:sz w:val="22"/>
          <w:szCs w:val="22"/>
        </w:rPr>
        <w:t>4</w:t>
      </w:r>
      <w:r w:rsidR="003A0B0D" w:rsidRPr="0079585F">
        <w:rPr>
          <w:sz w:val="22"/>
          <w:szCs w:val="22"/>
        </w:rPr>
        <w:t xml:space="preserve">. </w:t>
      </w:r>
      <w:r w:rsidR="009F28CE" w:rsidRPr="009F28CE">
        <w:rPr>
          <w:sz w:val="22"/>
          <w:szCs w:val="22"/>
        </w:rPr>
        <w:t>A capacidade técnico-operacional da empresa não é</w:t>
      </w:r>
      <w:r w:rsidR="00775788">
        <w:rPr>
          <w:sz w:val="22"/>
          <w:szCs w:val="22"/>
        </w:rPr>
        <w:t xml:space="preserve"> afastada em razão de mudanças n</w:t>
      </w:r>
      <w:r w:rsidR="009F28CE" w:rsidRPr="009F28CE">
        <w:rPr>
          <w:sz w:val="22"/>
          <w:szCs w:val="22"/>
        </w:rPr>
        <w:t>o seu quadro de responsáveis técnicos</w:t>
      </w:r>
      <w:r>
        <w:rPr>
          <w:sz w:val="22"/>
          <w:szCs w:val="22"/>
        </w:rPr>
        <w:t>.</w:t>
      </w:r>
    </w:p>
    <w:p w:rsidR="00F65EAC" w:rsidRPr="00BB5F40" w:rsidRDefault="00F65EAC" w:rsidP="009F28CE">
      <w:pPr>
        <w:pStyle w:val="enter-3pt"/>
        <w:tabs>
          <w:tab w:val="left" w:pos="2590"/>
        </w:tabs>
        <w:spacing w:after="60" w:line="240" w:lineRule="auto"/>
        <w:rPr>
          <w:sz w:val="22"/>
          <w:szCs w:val="22"/>
        </w:rPr>
      </w:pPr>
      <w:r w:rsidRPr="00BB5F40">
        <w:rPr>
          <w:sz w:val="22"/>
          <w:szCs w:val="22"/>
        </w:rPr>
        <w:t xml:space="preserve">5. </w:t>
      </w:r>
      <w:r w:rsidR="00BB5F40" w:rsidRPr="00BB5F40">
        <w:rPr>
          <w:bCs/>
          <w:iCs/>
          <w:sz w:val="22"/>
          <w:szCs w:val="22"/>
        </w:rPr>
        <w:t>Não viola o princípio da isonomia a participação de pessoa jurídica enquadrada no regime de desoneração tributária previsto na Lei 12.546/11 em licitação cujo objeto caracteriza atividade econômica distinta da atividade principal que vincula a empresa ao referido regime.</w:t>
      </w:r>
    </w:p>
    <w:p w:rsidR="00552081" w:rsidRDefault="00F65EAC" w:rsidP="00A47A9A">
      <w:pPr>
        <w:pStyle w:val="enter-3pt"/>
        <w:tabs>
          <w:tab w:val="left" w:pos="2590"/>
        </w:tabs>
        <w:spacing w:after="60" w:line="240" w:lineRule="auto"/>
        <w:rPr>
          <w:color w:val="000000"/>
          <w:sz w:val="22"/>
          <w:szCs w:val="22"/>
        </w:rPr>
      </w:pPr>
      <w:r>
        <w:rPr>
          <w:sz w:val="22"/>
          <w:szCs w:val="22"/>
        </w:rPr>
        <w:t>6.</w:t>
      </w:r>
      <w:r w:rsidR="00EC57EB">
        <w:rPr>
          <w:sz w:val="22"/>
          <w:szCs w:val="22"/>
        </w:rPr>
        <w:t xml:space="preserve"> </w:t>
      </w:r>
      <w:r w:rsidR="00BE1876" w:rsidRPr="00BE1876">
        <w:rPr>
          <w:color w:val="000000"/>
          <w:sz w:val="22"/>
          <w:szCs w:val="22"/>
        </w:rPr>
        <w:t>A adesão a ata de registro de preços deve ser justificada pelo órgão não participante mediante detalhamento das necessidades que pretende suprir por meio do contrato e demonstração da sua compatibilidade com o objeto discriminado na ata, não servindo a esse propósito a mera reprodução, parcial ou</w:t>
      </w:r>
      <w:r w:rsidR="007A671A">
        <w:rPr>
          <w:color w:val="000000"/>
          <w:sz w:val="22"/>
          <w:szCs w:val="22"/>
        </w:rPr>
        <w:t xml:space="preserve"> integral, do plano de trabalho </w:t>
      </w:r>
      <w:r w:rsidR="00BE1876" w:rsidRPr="00BE1876">
        <w:rPr>
          <w:color w:val="000000"/>
          <w:sz w:val="22"/>
          <w:szCs w:val="22"/>
        </w:rPr>
        <w:t>do órgão gerenciador. A comprovação da vantagem da adesão deve estar evidenciada pelo confronto entre os preços unitários dos bens e serviços constantes da ata de registro de preços e referenciais válidos de mercado.</w:t>
      </w:r>
    </w:p>
    <w:p w:rsidR="00D70D36" w:rsidRPr="002A339A" w:rsidRDefault="00D70D36" w:rsidP="00D70D36">
      <w:pPr>
        <w:autoSpaceDE w:val="0"/>
        <w:autoSpaceDN w:val="0"/>
        <w:adjustRightInd w:val="0"/>
        <w:spacing w:after="60"/>
        <w:ind w:left="0"/>
        <w:rPr>
          <w:b/>
          <w:sz w:val="22"/>
          <w:szCs w:val="22"/>
        </w:rPr>
      </w:pPr>
      <w:r w:rsidRPr="002A339A">
        <w:rPr>
          <w:b/>
          <w:sz w:val="22"/>
          <w:szCs w:val="22"/>
        </w:rPr>
        <w:t>Inovação Legislativa</w:t>
      </w:r>
    </w:p>
    <w:p w:rsidR="00D70D36" w:rsidRDefault="00D70D36" w:rsidP="00D70D36">
      <w:pPr>
        <w:autoSpaceDE w:val="0"/>
        <w:autoSpaceDN w:val="0"/>
        <w:adjustRightInd w:val="0"/>
        <w:spacing w:after="60"/>
        <w:ind w:left="0"/>
        <w:rPr>
          <w:sz w:val="22"/>
          <w:szCs w:val="22"/>
        </w:rPr>
      </w:pPr>
      <w:r>
        <w:rPr>
          <w:sz w:val="22"/>
          <w:szCs w:val="22"/>
        </w:rPr>
        <w:t xml:space="preserve">Decreto </w:t>
      </w:r>
      <w:r w:rsidR="008263A8">
        <w:rPr>
          <w:sz w:val="22"/>
          <w:szCs w:val="22"/>
        </w:rPr>
        <w:t>8.420, de 18.3.2015</w:t>
      </w:r>
    </w:p>
    <w:p w:rsidR="008263A8" w:rsidRDefault="008263A8" w:rsidP="00D70D36">
      <w:pPr>
        <w:autoSpaceDE w:val="0"/>
        <w:autoSpaceDN w:val="0"/>
        <w:adjustRightInd w:val="0"/>
        <w:spacing w:after="60"/>
        <w:ind w:left="0"/>
        <w:rPr>
          <w:sz w:val="22"/>
          <w:szCs w:val="22"/>
        </w:rPr>
      </w:pPr>
    </w:p>
    <w:p w:rsidR="006B62B4" w:rsidRPr="003A0B0D"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rsidR="00FC6135" w:rsidRDefault="00FC6135" w:rsidP="00594C49">
      <w:pPr>
        <w:pStyle w:val="enter-3pt"/>
        <w:tabs>
          <w:tab w:val="left" w:pos="2590"/>
        </w:tabs>
        <w:spacing w:line="240" w:lineRule="auto"/>
        <w:rPr>
          <w:b/>
          <w:sz w:val="22"/>
          <w:szCs w:val="22"/>
        </w:rPr>
      </w:pPr>
    </w:p>
    <w:p w:rsidR="00520615" w:rsidRPr="0016039D" w:rsidRDefault="00520615" w:rsidP="00520615">
      <w:pPr>
        <w:pStyle w:val="enter-3pt"/>
        <w:tabs>
          <w:tab w:val="left" w:pos="2590"/>
        </w:tabs>
        <w:spacing w:line="240" w:lineRule="auto"/>
        <w:rPr>
          <w:b/>
          <w:sz w:val="22"/>
          <w:szCs w:val="22"/>
        </w:rPr>
      </w:pPr>
      <w:r>
        <w:rPr>
          <w:b/>
          <w:sz w:val="22"/>
          <w:szCs w:val="22"/>
        </w:rPr>
        <w:t>1</w:t>
      </w:r>
      <w:r w:rsidRPr="0016039D">
        <w:rPr>
          <w:b/>
          <w:sz w:val="22"/>
          <w:szCs w:val="22"/>
        </w:rPr>
        <w:t xml:space="preserve">. </w:t>
      </w:r>
      <w:r>
        <w:rPr>
          <w:b/>
          <w:sz w:val="22"/>
          <w:szCs w:val="22"/>
        </w:rPr>
        <w:t>Os preços dos serviços novos acrescidos por termo aditivo, embora derivem de prévio acordo entre as partes (art. 65,</w:t>
      </w:r>
      <w:r w:rsidR="00A20A49">
        <w:rPr>
          <w:b/>
          <w:sz w:val="22"/>
          <w:szCs w:val="22"/>
        </w:rPr>
        <w:t xml:space="preserve"> § </w:t>
      </w:r>
      <w:r>
        <w:rPr>
          <w:b/>
          <w:sz w:val="22"/>
          <w:szCs w:val="22"/>
        </w:rPr>
        <w:t xml:space="preserve">3º da Lei 8.666/93), devem ser parametrizados pelos preços referenciais da Administração vigentes à época da licitação (sistemas oficiais de custos e taxa de BDI do orçamento base), e não pelos preços em vigor à época do aditamento, observando-se ainda a manutenção do mesmo </w:t>
      </w:r>
      <w:r w:rsidRPr="00D233EC">
        <w:rPr>
          <w:b/>
          <w:sz w:val="22"/>
          <w:szCs w:val="22"/>
        </w:rPr>
        <w:t xml:space="preserve">percentual de desconto entre o valor global do contrato original e o obtido a partir dos </w:t>
      </w:r>
      <w:r>
        <w:rPr>
          <w:b/>
          <w:sz w:val="22"/>
          <w:szCs w:val="22"/>
        </w:rPr>
        <w:t>preços referenciais à</w:t>
      </w:r>
      <w:r w:rsidRPr="00D233EC">
        <w:rPr>
          <w:b/>
          <w:sz w:val="22"/>
          <w:szCs w:val="22"/>
        </w:rPr>
        <w:t xml:space="preserve"> época da licitação</w:t>
      </w:r>
      <w:r>
        <w:rPr>
          <w:b/>
          <w:sz w:val="22"/>
          <w:szCs w:val="22"/>
        </w:rPr>
        <w:t>.</w:t>
      </w:r>
    </w:p>
    <w:p w:rsidR="00520615" w:rsidRDefault="00520615" w:rsidP="00520615">
      <w:pPr>
        <w:pStyle w:val="enter-3pt"/>
        <w:tabs>
          <w:tab w:val="left" w:pos="2590"/>
        </w:tabs>
        <w:spacing w:line="240" w:lineRule="auto"/>
        <w:rPr>
          <w:b/>
          <w:bCs/>
          <w:i/>
          <w:iCs/>
          <w:sz w:val="22"/>
          <w:szCs w:val="22"/>
        </w:rPr>
      </w:pPr>
      <w:r w:rsidRPr="00C85610">
        <w:rPr>
          <w:bCs/>
          <w:iCs/>
          <w:sz w:val="22"/>
          <w:szCs w:val="22"/>
        </w:rPr>
        <w:lastRenderedPageBreak/>
        <w:t>Auditoria realizada nas obras de implantação e pavimentação da BR-448/RS</w:t>
      </w:r>
      <w:r>
        <w:rPr>
          <w:bCs/>
          <w:iCs/>
          <w:sz w:val="22"/>
          <w:szCs w:val="22"/>
        </w:rPr>
        <w:t>,</w:t>
      </w:r>
      <w:r w:rsidRPr="00C85610">
        <w:rPr>
          <w:bCs/>
          <w:iCs/>
          <w:sz w:val="22"/>
          <w:szCs w:val="22"/>
        </w:rPr>
        <w:t xml:space="preserve"> sob responsabilidade do Departamento Nacional de Infraestrutura de Transporte (DNIT),</w:t>
      </w:r>
      <w:r>
        <w:rPr>
          <w:bCs/>
          <w:iCs/>
          <w:sz w:val="22"/>
          <w:szCs w:val="22"/>
        </w:rPr>
        <w:t xml:space="preserve"> apontara, dentre outras ocorrências, “</w:t>
      </w:r>
      <w:r w:rsidRPr="005E1B02">
        <w:rPr>
          <w:bCs/>
          <w:i/>
          <w:iCs/>
          <w:sz w:val="22"/>
          <w:szCs w:val="22"/>
        </w:rPr>
        <w:t>sobrepreço decorrente da inclusão de serviços novos em termos aditivos, cujos valores unitários estavam acima dos limites admissíveis pela legislação vigente à época e pela jurisprudência do TCU</w:t>
      </w:r>
      <w:r>
        <w:rPr>
          <w:bCs/>
          <w:iCs/>
          <w:sz w:val="22"/>
          <w:szCs w:val="22"/>
        </w:rPr>
        <w:t xml:space="preserve">”. </w:t>
      </w:r>
      <w:r w:rsidRPr="005E1B02">
        <w:rPr>
          <w:bCs/>
          <w:iCs/>
          <w:sz w:val="22"/>
          <w:szCs w:val="22"/>
        </w:rPr>
        <w:t>Conforme demonstrado no relatório de fiscalização</w:t>
      </w:r>
      <w:r>
        <w:rPr>
          <w:bCs/>
          <w:iCs/>
          <w:sz w:val="22"/>
          <w:szCs w:val="22"/>
        </w:rPr>
        <w:t>, o</w:t>
      </w:r>
      <w:r w:rsidRPr="007812FC">
        <w:rPr>
          <w:bCs/>
          <w:iCs/>
          <w:sz w:val="22"/>
          <w:szCs w:val="22"/>
        </w:rPr>
        <w:t xml:space="preserve">s preços unitários de serviços novos foram pactuados </w:t>
      </w:r>
      <w:r>
        <w:rPr>
          <w:bCs/>
          <w:iCs/>
          <w:sz w:val="22"/>
          <w:szCs w:val="22"/>
        </w:rPr>
        <w:t xml:space="preserve">indevidamente </w:t>
      </w:r>
      <w:r w:rsidRPr="007812FC">
        <w:rPr>
          <w:bCs/>
          <w:iCs/>
          <w:sz w:val="22"/>
          <w:szCs w:val="22"/>
        </w:rPr>
        <w:t>a partir de cotações de mercado, retroagidos à data base dos contratos e acrescidos de percentual de BDI (</w:t>
      </w:r>
      <w:r>
        <w:rPr>
          <w:bCs/>
          <w:iCs/>
          <w:sz w:val="22"/>
          <w:szCs w:val="22"/>
        </w:rPr>
        <w:t>B</w:t>
      </w:r>
      <w:r w:rsidRPr="007812FC">
        <w:rPr>
          <w:bCs/>
          <w:iCs/>
          <w:sz w:val="22"/>
          <w:szCs w:val="22"/>
        </w:rPr>
        <w:t xml:space="preserve">onificação e </w:t>
      </w:r>
      <w:r>
        <w:rPr>
          <w:bCs/>
          <w:iCs/>
          <w:sz w:val="22"/>
          <w:szCs w:val="22"/>
        </w:rPr>
        <w:t>D</w:t>
      </w:r>
      <w:r w:rsidRPr="007812FC">
        <w:rPr>
          <w:bCs/>
          <w:iCs/>
          <w:sz w:val="22"/>
          <w:szCs w:val="22"/>
        </w:rPr>
        <w:t xml:space="preserve">espesas </w:t>
      </w:r>
      <w:r>
        <w:rPr>
          <w:bCs/>
          <w:iCs/>
          <w:sz w:val="22"/>
          <w:szCs w:val="22"/>
        </w:rPr>
        <w:t>I</w:t>
      </w:r>
      <w:r w:rsidRPr="007812FC">
        <w:rPr>
          <w:bCs/>
          <w:iCs/>
          <w:sz w:val="22"/>
          <w:szCs w:val="22"/>
        </w:rPr>
        <w:t xml:space="preserve">ndiretas) </w:t>
      </w:r>
      <w:r>
        <w:rPr>
          <w:bCs/>
          <w:iCs/>
          <w:sz w:val="22"/>
          <w:szCs w:val="22"/>
        </w:rPr>
        <w:t xml:space="preserve">de 30 %, </w:t>
      </w:r>
      <w:r w:rsidRPr="007812FC">
        <w:rPr>
          <w:bCs/>
          <w:iCs/>
          <w:sz w:val="22"/>
          <w:szCs w:val="22"/>
        </w:rPr>
        <w:t>proposto pelos consórcios construtores</w:t>
      </w:r>
      <w:r>
        <w:rPr>
          <w:bCs/>
          <w:iCs/>
          <w:sz w:val="22"/>
          <w:szCs w:val="22"/>
        </w:rPr>
        <w:t>. Além disso, o DNIT não exigira desconto adicional a fim de manter o mesmo equilíbrio econômico financeiro resultante da licitação, de forma que os preços unitários</w:t>
      </w:r>
      <w:r w:rsidRPr="007812FC">
        <w:rPr>
          <w:bCs/>
          <w:iCs/>
          <w:sz w:val="22"/>
          <w:szCs w:val="22"/>
        </w:rPr>
        <w:t xml:space="preserve"> dos aditamentos foram superiores aos preços de referência da Administração</w:t>
      </w:r>
      <w:r>
        <w:rPr>
          <w:bCs/>
          <w:iCs/>
          <w:sz w:val="22"/>
          <w:szCs w:val="22"/>
        </w:rPr>
        <w:t xml:space="preserve"> (o</w:t>
      </w:r>
      <w:r w:rsidRPr="007812FC">
        <w:rPr>
          <w:bCs/>
          <w:iCs/>
          <w:sz w:val="22"/>
          <w:szCs w:val="22"/>
        </w:rPr>
        <w:t xml:space="preserve">btidos a partir de parâmetros de custos do Sistema SICRO e de taxa de BDI </w:t>
      </w:r>
      <w:r>
        <w:rPr>
          <w:bCs/>
          <w:iCs/>
          <w:sz w:val="22"/>
          <w:szCs w:val="22"/>
        </w:rPr>
        <w:t>de 19,</w:t>
      </w:r>
      <w:r w:rsidRPr="007812FC">
        <w:rPr>
          <w:bCs/>
          <w:iCs/>
          <w:sz w:val="22"/>
          <w:szCs w:val="22"/>
        </w:rPr>
        <w:t>6%</w:t>
      </w:r>
      <w:r>
        <w:rPr>
          <w:bCs/>
          <w:iCs/>
          <w:sz w:val="22"/>
          <w:szCs w:val="22"/>
        </w:rPr>
        <w:t>). Ao analisar o caso, o relator observou que, “</w:t>
      </w:r>
      <w:r w:rsidRPr="006F3625">
        <w:rPr>
          <w:bCs/>
          <w:i/>
          <w:iCs/>
          <w:sz w:val="22"/>
          <w:szCs w:val="22"/>
        </w:rPr>
        <w:t>embora o regime jurídico dos contratos administrativos preveja que o estabelecimento dos valores dos serviços novos dependa de acordo entre as partes, a Administração tem por dever verificar a adequação dos preços a serem contratados aos preços de mercado, observando as exigências da Lei e os princípios da eficiência e da economicidade</w:t>
      </w:r>
      <w:r>
        <w:rPr>
          <w:bCs/>
          <w:iCs/>
          <w:sz w:val="22"/>
          <w:szCs w:val="22"/>
        </w:rPr>
        <w:t>”</w:t>
      </w:r>
      <w:r w:rsidRPr="006F3625">
        <w:rPr>
          <w:bCs/>
          <w:iCs/>
          <w:sz w:val="22"/>
          <w:szCs w:val="22"/>
        </w:rPr>
        <w:t>.</w:t>
      </w:r>
      <w:r>
        <w:rPr>
          <w:bCs/>
          <w:iCs/>
          <w:sz w:val="22"/>
          <w:szCs w:val="22"/>
        </w:rPr>
        <w:t xml:space="preserve"> Explicou ainda que, nos termos do</w:t>
      </w:r>
      <w:r w:rsidRPr="00F311BB">
        <w:rPr>
          <w:bCs/>
          <w:iCs/>
          <w:sz w:val="22"/>
          <w:szCs w:val="22"/>
        </w:rPr>
        <w:t xml:space="preserve"> artigo 37, inc</w:t>
      </w:r>
      <w:r>
        <w:rPr>
          <w:bCs/>
          <w:iCs/>
          <w:sz w:val="22"/>
          <w:szCs w:val="22"/>
        </w:rPr>
        <w:t>iso XXI da Constituição Federal, “</w:t>
      </w:r>
      <w:r w:rsidRPr="00F311BB">
        <w:rPr>
          <w:bCs/>
          <w:i/>
          <w:iCs/>
          <w:sz w:val="22"/>
          <w:szCs w:val="22"/>
        </w:rPr>
        <w:t xml:space="preserve">o valor referencial máximo admitido pela Administração para o serviço novo acrescido por meio de termo aditivo deve ser aquele vigente à data base dos contratos, por espelhar mais fielmente as condições efetivas da proposta estabelecidas ao tempo da licitação </w:t>
      </w:r>
      <w:r>
        <w:rPr>
          <w:bCs/>
          <w:i/>
          <w:iCs/>
          <w:sz w:val="22"/>
          <w:szCs w:val="22"/>
        </w:rPr>
        <w:t>(...)</w:t>
      </w:r>
      <w:r w:rsidRPr="00F311BB">
        <w:rPr>
          <w:bCs/>
          <w:i/>
          <w:iCs/>
          <w:sz w:val="22"/>
          <w:szCs w:val="22"/>
        </w:rPr>
        <w:t>.</w:t>
      </w:r>
      <w:r>
        <w:rPr>
          <w:bCs/>
          <w:i/>
          <w:iCs/>
          <w:sz w:val="22"/>
          <w:szCs w:val="22"/>
        </w:rPr>
        <w:t xml:space="preserve"> </w:t>
      </w:r>
      <w:r w:rsidRPr="00F311BB">
        <w:rPr>
          <w:bCs/>
          <w:i/>
          <w:iCs/>
          <w:sz w:val="22"/>
          <w:szCs w:val="22"/>
        </w:rPr>
        <w:t>Tais condições iniciais devem ser mantidas ao longo da execução das avenças mesmo em face da celebração de termos aditivo</w:t>
      </w:r>
      <w:r w:rsidR="00256671">
        <w:rPr>
          <w:bCs/>
          <w:i/>
          <w:iCs/>
          <w:sz w:val="22"/>
          <w:szCs w:val="22"/>
        </w:rPr>
        <w:t>s”</w:t>
      </w:r>
      <w:r>
        <w:rPr>
          <w:bCs/>
          <w:i/>
          <w:iCs/>
          <w:sz w:val="22"/>
          <w:szCs w:val="22"/>
        </w:rPr>
        <w:t>.</w:t>
      </w:r>
      <w:r>
        <w:rPr>
          <w:bCs/>
          <w:iCs/>
          <w:sz w:val="22"/>
          <w:szCs w:val="22"/>
        </w:rPr>
        <w:t xml:space="preserve"> Dessa forma, no caso em exame, </w:t>
      </w:r>
      <w:r w:rsidRPr="00AA1FD8">
        <w:rPr>
          <w:bCs/>
          <w:iCs/>
          <w:sz w:val="22"/>
          <w:szCs w:val="22"/>
        </w:rPr>
        <w:t>os preços de referên</w:t>
      </w:r>
      <w:r w:rsidR="00256671">
        <w:rPr>
          <w:bCs/>
          <w:iCs/>
          <w:sz w:val="22"/>
          <w:szCs w:val="22"/>
        </w:rPr>
        <w:t>cia para os serviços novos deveriam</w:t>
      </w:r>
      <w:r w:rsidRPr="00AA1FD8">
        <w:rPr>
          <w:bCs/>
          <w:iCs/>
          <w:sz w:val="22"/>
          <w:szCs w:val="22"/>
        </w:rPr>
        <w:t xml:space="preserve"> ser parametrizados pelos custos unitários constantes do Sistema SICRO/RS vigentes na data base dos contratos, e não aqueles em vigor na época dos aditamentos.</w:t>
      </w:r>
      <w:r w:rsidRPr="00147789">
        <w:rPr>
          <w:bCs/>
          <w:i/>
          <w:iCs/>
          <w:sz w:val="22"/>
          <w:szCs w:val="22"/>
        </w:rPr>
        <w:t xml:space="preserve"> </w:t>
      </w:r>
      <w:r w:rsidR="00A26F3B">
        <w:rPr>
          <w:bCs/>
          <w:i/>
          <w:iCs/>
          <w:sz w:val="22"/>
          <w:szCs w:val="22"/>
        </w:rPr>
        <w:t>“</w:t>
      </w:r>
      <w:r w:rsidRPr="00147789">
        <w:rPr>
          <w:bCs/>
          <w:i/>
          <w:iCs/>
          <w:sz w:val="22"/>
          <w:szCs w:val="22"/>
        </w:rPr>
        <w:t>A esses custos paramétricos deve ser acrescida taxa de BDI referencial de 19,60%, também adotada no orçamento base licitação, e não a taxa vigente no período dos aditivos</w:t>
      </w:r>
      <w:r>
        <w:rPr>
          <w:bCs/>
          <w:i/>
          <w:iCs/>
          <w:sz w:val="22"/>
          <w:szCs w:val="22"/>
        </w:rPr>
        <w:t>”.</w:t>
      </w:r>
      <w:r>
        <w:rPr>
          <w:bCs/>
          <w:iCs/>
          <w:sz w:val="22"/>
          <w:szCs w:val="22"/>
        </w:rPr>
        <w:t xml:space="preserve"> Acrescentou o relator que os preços estimativos traduz</w:t>
      </w:r>
      <w:r w:rsidR="000042F7">
        <w:rPr>
          <w:bCs/>
          <w:iCs/>
          <w:sz w:val="22"/>
          <w:szCs w:val="22"/>
        </w:rPr>
        <w:t>em a quantia máxima autorizada a se</w:t>
      </w:r>
      <w:r>
        <w:rPr>
          <w:bCs/>
          <w:iCs/>
          <w:sz w:val="22"/>
          <w:szCs w:val="22"/>
        </w:rPr>
        <w:t xml:space="preserve"> pagar pelos serviços novos, considerando as regras do edital de licitação, as limitações impostas pela Lei de Diretrizes Orçamentárias e os princípios da economicidade e eficiência. Por fim, mencionou diversos julgados do Tribunal que </w:t>
      </w:r>
      <w:r w:rsidRPr="00125FC9">
        <w:rPr>
          <w:bCs/>
          <w:iCs/>
          <w:sz w:val="22"/>
          <w:szCs w:val="22"/>
        </w:rPr>
        <w:t xml:space="preserve">exigem a limitação dos preços unitários de serviços novos </w:t>
      </w:r>
      <w:r>
        <w:rPr>
          <w:bCs/>
          <w:iCs/>
          <w:sz w:val="22"/>
          <w:szCs w:val="22"/>
        </w:rPr>
        <w:t>a</w:t>
      </w:r>
      <w:r w:rsidRPr="00125FC9">
        <w:rPr>
          <w:bCs/>
          <w:iCs/>
          <w:sz w:val="22"/>
          <w:szCs w:val="22"/>
        </w:rPr>
        <w:t xml:space="preserve">os preços unitários referenciais apurados com base </w:t>
      </w:r>
      <w:r>
        <w:rPr>
          <w:bCs/>
          <w:iCs/>
          <w:sz w:val="22"/>
          <w:szCs w:val="22"/>
        </w:rPr>
        <w:t xml:space="preserve">no </w:t>
      </w:r>
      <w:r w:rsidRPr="00125FC9">
        <w:rPr>
          <w:bCs/>
          <w:iCs/>
          <w:sz w:val="22"/>
          <w:szCs w:val="22"/>
        </w:rPr>
        <w:t xml:space="preserve">Sistema </w:t>
      </w:r>
      <w:r>
        <w:rPr>
          <w:bCs/>
          <w:iCs/>
          <w:sz w:val="22"/>
          <w:szCs w:val="22"/>
        </w:rPr>
        <w:t>SICRO</w:t>
      </w:r>
      <w:r w:rsidRPr="00125FC9">
        <w:rPr>
          <w:bCs/>
          <w:iCs/>
          <w:sz w:val="22"/>
          <w:szCs w:val="22"/>
        </w:rPr>
        <w:t>, acrescidos da taxa de BDI do orçamento base, vigentes à época da licitação</w:t>
      </w:r>
      <w:r>
        <w:rPr>
          <w:bCs/>
          <w:iCs/>
          <w:sz w:val="22"/>
          <w:szCs w:val="22"/>
        </w:rPr>
        <w:t>, ressaltando ainda que deve ser mantido, nos aditamentos,</w:t>
      </w:r>
      <w:r w:rsidRPr="004240C2">
        <w:rPr>
          <w:rFonts w:ascii="Trebuchet MS" w:eastAsia="Calibri" w:hAnsi="Trebuchet MS"/>
          <w:sz w:val="20"/>
          <w:szCs w:val="20"/>
          <w:lang w:eastAsia="en-US"/>
        </w:rPr>
        <w:t xml:space="preserve"> </w:t>
      </w:r>
      <w:r>
        <w:rPr>
          <w:rFonts w:ascii="Trebuchet MS" w:eastAsia="Calibri" w:hAnsi="Trebuchet MS"/>
          <w:sz w:val="20"/>
          <w:szCs w:val="20"/>
          <w:lang w:eastAsia="en-US"/>
        </w:rPr>
        <w:t>“</w:t>
      </w:r>
      <w:r w:rsidRPr="004240C2">
        <w:rPr>
          <w:bCs/>
          <w:i/>
          <w:iCs/>
          <w:sz w:val="22"/>
          <w:szCs w:val="22"/>
        </w:rPr>
        <w:t>o mesmo percentual de desconto entre o valor global do contrato original e o obtido a partir dos custos unitários e BDI do Sistema SICRO à época da licitação</w:t>
      </w:r>
      <w:r>
        <w:rPr>
          <w:bCs/>
          <w:iCs/>
          <w:sz w:val="22"/>
          <w:szCs w:val="22"/>
        </w:rPr>
        <w:t>”. Considerando o sobrepreço apurado, o Tribunal, acolhendo o voto do relator, determinou, dentre outras medidas, a instauração de Tomada de Contas Especial para a citação dos responsáveis.</w:t>
      </w:r>
      <w:r w:rsidRPr="00243768">
        <w:rPr>
          <w:b/>
          <w:i/>
          <w:iCs/>
          <w:sz w:val="22"/>
          <w:szCs w:val="22"/>
        </w:rPr>
        <w:t xml:space="preserve"> </w:t>
      </w:r>
      <w:hyperlink r:id="rId9" w:history="1">
        <w:r w:rsidRPr="006423BE">
          <w:rPr>
            <w:rStyle w:val="Hyperlink"/>
            <w:b/>
            <w:bCs/>
            <w:i/>
            <w:iCs/>
            <w:sz w:val="22"/>
            <w:szCs w:val="22"/>
          </w:rPr>
          <w:t>Acórdão 467/2015-Plenário</w:t>
        </w:r>
      </w:hyperlink>
      <w:r w:rsidRPr="00243768">
        <w:rPr>
          <w:b/>
          <w:bCs/>
          <w:i/>
          <w:iCs/>
          <w:sz w:val="22"/>
          <w:szCs w:val="22"/>
        </w:rPr>
        <w:t>, TC 0</w:t>
      </w:r>
      <w:r>
        <w:rPr>
          <w:b/>
          <w:bCs/>
          <w:i/>
          <w:iCs/>
          <w:sz w:val="22"/>
          <w:szCs w:val="22"/>
        </w:rPr>
        <w:t>12</w:t>
      </w:r>
      <w:r w:rsidRPr="00243768">
        <w:rPr>
          <w:b/>
          <w:bCs/>
          <w:i/>
          <w:iCs/>
          <w:sz w:val="22"/>
          <w:szCs w:val="22"/>
        </w:rPr>
        <w:t>.</w:t>
      </w:r>
      <w:r>
        <w:rPr>
          <w:b/>
          <w:bCs/>
          <w:i/>
          <w:iCs/>
          <w:sz w:val="22"/>
          <w:szCs w:val="22"/>
        </w:rPr>
        <w:t>291</w:t>
      </w:r>
      <w:r w:rsidRPr="00243768">
        <w:rPr>
          <w:b/>
          <w:bCs/>
          <w:i/>
          <w:iCs/>
          <w:sz w:val="22"/>
          <w:szCs w:val="22"/>
        </w:rPr>
        <w:t>/201</w:t>
      </w:r>
      <w:r>
        <w:rPr>
          <w:b/>
          <w:bCs/>
          <w:i/>
          <w:iCs/>
          <w:sz w:val="22"/>
          <w:szCs w:val="22"/>
        </w:rPr>
        <w:t>3</w:t>
      </w:r>
      <w:r w:rsidRPr="00243768">
        <w:rPr>
          <w:b/>
          <w:bCs/>
          <w:i/>
          <w:iCs/>
          <w:sz w:val="22"/>
          <w:szCs w:val="22"/>
        </w:rPr>
        <w:t>-</w:t>
      </w:r>
      <w:r>
        <w:rPr>
          <w:b/>
          <w:bCs/>
          <w:i/>
          <w:iCs/>
          <w:sz w:val="22"/>
          <w:szCs w:val="22"/>
        </w:rPr>
        <w:t>7</w:t>
      </w:r>
      <w:r w:rsidRPr="00243768">
        <w:rPr>
          <w:b/>
          <w:bCs/>
          <w:i/>
          <w:iCs/>
          <w:sz w:val="22"/>
          <w:szCs w:val="22"/>
        </w:rPr>
        <w:t xml:space="preserve">, relator Ministro </w:t>
      </w:r>
      <w:r>
        <w:rPr>
          <w:b/>
          <w:bCs/>
          <w:i/>
          <w:iCs/>
          <w:sz w:val="22"/>
          <w:szCs w:val="22"/>
        </w:rPr>
        <w:t>Walton Alencar Rodrigues</w:t>
      </w:r>
      <w:r w:rsidRPr="00243768">
        <w:rPr>
          <w:b/>
          <w:bCs/>
          <w:i/>
          <w:iCs/>
          <w:sz w:val="22"/>
          <w:szCs w:val="22"/>
        </w:rPr>
        <w:t>, 11.3.2015.</w:t>
      </w:r>
    </w:p>
    <w:p w:rsidR="00520615" w:rsidRDefault="00520615" w:rsidP="00594C49">
      <w:pPr>
        <w:pStyle w:val="enter-3pt"/>
        <w:tabs>
          <w:tab w:val="left" w:pos="2590"/>
        </w:tabs>
        <w:spacing w:line="240" w:lineRule="auto"/>
        <w:rPr>
          <w:b/>
          <w:sz w:val="22"/>
          <w:szCs w:val="22"/>
        </w:rPr>
      </w:pPr>
    </w:p>
    <w:p w:rsidR="006E2E12" w:rsidRPr="006E2E12" w:rsidRDefault="00F65EAC" w:rsidP="006E2E12">
      <w:pPr>
        <w:pStyle w:val="enter-3pt"/>
        <w:tabs>
          <w:tab w:val="left" w:pos="2590"/>
        </w:tabs>
        <w:spacing w:line="240" w:lineRule="auto"/>
        <w:rPr>
          <w:b/>
          <w:color w:val="000000"/>
          <w:sz w:val="22"/>
          <w:szCs w:val="22"/>
        </w:rPr>
      </w:pPr>
      <w:r>
        <w:rPr>
          <w:b/>
          <w:sz w:val="22"/>
          <w:szCs w:val="22"/>
        </w:rPr>
        <w:t>2</w:t>
      </w:r>
      <w:r w:rsidR="00FC6135" w:rsidRPr="0016039D">
        <w:rPr>
          <w:b/>
          <w:sz w:val="22"/>
          <w:szCs w:val="22"/>
        </w:rPr>
        <w:t xml:space="preserve">. </w:t>
      </w:r>
      <w:r w:rsidR="006E2E12" w:rsidRPr="006E2E12">
        <w:rPr>
          <w:b/>
          <w:color w:val="000000"/>
          <w:sz w:val="22"/>
          <w:szCs w:val="22"/>
        </w:rPr>
        <w:t>A utilização de equipamentos já mobilizados em razão de contrato anterior constitui vantagem competitiva da contratada, que tem direito a ser remunerada pelas despesas de “mobilização e desmobilização” conforme previsto na planilha orçamentária do contrato, desde que o preço orçado esteja de acordo com as especificações de projeto e os custos de referência.</w:t>
      </w:r>
    </w:p>
    <w:p w:rsidR="00FC6135" w:rsidRPr="00CF7D22" w:rsidRDefault="00DC5C5A" w:rsidP="006E2E12">
      <w:pPr>
        <w:pStyle w:val="enter-3pt"/>
        <w:tabs>
          <w:tab w:val="left" w:pos="2590"/>
        </w:tabs>
        <w:spacing w:line="240" w:lineRule="auto"/>
        <w:rPr>
          <w:b/>
          <w:i/>
          <w:color w:val="000000"/>
          <w:sz w:val="22"/>
          <w:szCs w:val="22"/>
        </w:rPr>
      </w:pPr>
      <w:r>
        <w:rPr>
          <w:sz w:val="22"/>
          <w:szCs w:val="22"/>
        </w:rPr>
        <w:t>R</w:t>
      </w:r>
      <w:r w:rsidRPr="00DC5C5A">
        <w:rPr>
          <w:sz w:val="22"/>
          <w:szCs w:val="22"/>
        </w:rPr>
        <w:t>epresentação formulada pela Procuradoria da</w:t>
      </w:r>
      <w:r w:rsidR="003807B1">
        <w:rPr>
          <w:sz w:val="22"/>
          <w:szCs w:val="22"/>
        </w:rPr>
        <w:t xml:space="preserve"> República no Estado do Piauí</w:t>
      </w:r>
      <w:r w:rsidRPr="00DC5C5A">
        <w:rPr>
          <w:sz w:val="22"/>
          <w:szCs w:val="22"/>
        </w:rPr>
        <w:t xml:space="preserve"> </w:t>
      </w:r>
      <w:r>
        <w:rPr>
          <w:sz w:val="22"/>
          <w:szCs w:val="22"/>
        </w:rPr>
        <w:t>apontara</w:t>
      </w:r>
      <w:r w:rsidRPr="00DC5C5A">
        <w:rPr>
          <w:sz w:val="22"/>
          <w:szCs w:val="22"/>
        </w:rPr>
        <w:t xml:space="preserve"> possíveis irregularidades </w:t>
      </w:r>
      <w:r>
        <w:rPr>
          <w:sz w:val="22"/>
          <w:szCs w:val="22"/>
        </w:rPr>
        <w:t>em</w:t>
      </w:r>
      <w:r w:rsidRPr="00DC5C5A">
        <w:rPr>
          <w:sz w:val="22"/>
          <w:szCs w:val="22"/>
        </w:rPr>
        <w:t xml:space="preserve"> </w:t>
      </w:r>
      <w:r>
        <w:rPr>
          <w:sz w:val="22"/>
          <w:szCs w:val="22"/>
        </w:rPr>
        <w:t>licitação e contratos realizados</w:t>
      </w:r>
      <w:r w:rsidRPr="00DC5C5A">
        <w:rPr>
          <w:sz w:val="22"/>
          <w:szCs w:val="22"/>
        </w:rPr>
        <w:t xml:space="preserve"> pela Secretaria de Infraestrutura do Estado do Piauí (Seinfra/PI), com vistas à implementação do projeto de construção do aero</w:t>
      </w:r>
      <w:r>
        <w:rPr>
          <w:sz w:val="22"/>
          <w:szCs w:val="22"/>
        </w:rPr>
        <w:t>porto de São Raimundo Nonato/PI</w:t>
      </w:r>
      <w:r>
        <w:rPr>
          <w:iCs/>
          <w:sz w:val="22"/>
          <w:szCs w:val="22"/>
        </w:rPr>
        <w:t>, com recursos federais</w:t>
      </w:r>
      <w:r w:rsidR="00711B1F">
        <w:rPr>
          <w:iCs/>
          <w:sz w:val="22"/>
          <w:szCs w:val="22"/>
        </w:rPr>
        <w:t xml:space="preserve"> </w:t>
      </w:r>
      <w:r w:rsidR="00706774">
        <w:rPr>
          <w:iCs/>
          <w:sz w:val="22"/>
          <w:szCs w:val="22"/>
        </w:rPr>
        <w:t>aporta</w:t>
      </w:r>
      <w:r w:rsidR="00711B1F">
        <w:rPr>
          <w:iCs/>
          <w:sz w:val="22"/>
          <w:szCs w:val="22"/>
        </w:rPr>
        <w:t xml:space="preserve">dos, mediante convênio, pelo Ministério do Turismo. Em decisão </w:t>
      </w:r>
      <w:r w:rsidR="00ED7E1E">
        <w:rPr>
          <w:iCs/>
          <w:sz w:val="22"/>
          <w:szCs w:val="22"/>
        </w:rPr>
        <w:t>preliminar</w:t>
      </w:r>
      <w:r w:rsidR="00711B1F">
        <w:rPr>
          <w:iCs/>
          <w:sz w:val="22"/>
          <w:szCs w:val="22"/>
        </w:rPr>
        <w:t>, determinou o Tribunal a audiência dos responsáveis em face das irregularidades apuradas, bem como a oitiva da Seinfra/PI e da empresa contratada para que se pronunciassem</w:t>
      </w:r>
      <w:r w:rsidR="00711B1F" w:rsidRPr="00711B1F">
        <w:rPr>
          <w:iCs/>
          <w:sz w:val="22"/>
          <w:szCs w:val="22"/>
        </w:rPr>
        <w:t xml:space="preserve"> a respeito dos indícios de sobrepreço/superfaturamento </w:t>
      </w:r>
      <w:r w:rsidR="00711B1F">
        <w:rPr>
          <w:iCs/>
          <w:sz w:val="22"/>
          <w:szCs w:val="22"/>
        </w:rPr>
        <w:t xml:space="preserve">observados em um dos contratos assinados. </w:t>
      </w:r>
      <w:r w:rsidR="00E632A2">
        <w:rPr>
          <w:iCs/>
          <w:sz w:val="22"/>
          <w:szCs w:val="22"/>
        </w:rPr>
        <w:t>No que respeita aos fatos apurados mediante oitiva, entendeu o relator não ter sido comprovada a ocorrência do sobrepreço</w:t>
      </w:r>
      <w:r w:rsidR="003807B1">
        <w:rPr>
          <w:iCs/>
          <w:sz w:val="22"/>
          <w:szCs w:val="22"/>
        </w:rPr>
        <w:t>, discordando</w:t>
      </w:r>
      <w:r w:rsidR="00E632A2" w:rsidRPr="00A624C9">
        <w:rPr>
          <w:iCs/>
          <w:sz w:val="22"/>
          <w:szCs w:val="22"/>
        </w:rPr>
        <w:t xml:space="preserve"> da unidade instrutiva quanto à exclusão do custo de </w:t>
      </w:r>
      <w:r w:rsidR="00EE7F7B">
        <w:rPr>
          <w:iCs/>
          <w:sz w:val="22"/>
          <w:szCs w:val="22"/>
        </w:rPr>
        <w:t>“</w:t>
      </w:r>
      <w:r w:rsidR="00E632A2" w:rsidRPr="00A624C9">
        <w:rPr>
          <w:iCs/>
          <w:sz w:val="22"/>
          <w:szCs w:val="22"/>
        </w:rPr>
        <w:t>mobilização e desmobilização</w:t>
      </w:r>
      <w:r w:rsidR="00EE7F7B">
        <w:rPr>
          <w:iCs/>
          <w:sz w:val="22"/>
          <w:szCs w:val="22"/>
        </w:rPr>
        <w:t>”</w:t>
      </w:r>
      <w:r w:rsidR="00E632A2" w:rsidRPr="00A624C9">
        <w:rPr>
          <w:iCs/>
          <w:sz w:val="22"/>
          <w:szCs w:val="22"/>
        </w:rPr>
        <w:t xml:space="preserve"> do preço global de referência do certame</w:t>
      </w:r>
      <w:r w:rsidR="00E632A2">
        <w:rPr>
          <w:iCs/>
          <w:sz w:val="22"/>
          <w:szCs w:val="22"/>
        </w:rPr>
        <w:t xml:space="preserve">. </w:t>
      </w:r>
      <w:r w:rsidR="00E20531">
        <w:rPr>
          <w:iCs/>
          <w:sz w:val="22"/>
          <w:szCs w:val="22"/>
        </w:rPr>
        <w:t xml:space="preserve">Levantamento efetuado por dirigente da unidade instrutiva constatara que todos os equipamentos necessários à execução de um dos contratos já estavam no local da obra, em face de sua utilização nos serviços de outro contrato, executado pela mesma empresa em período imediatamente anterior. </w:t>
      </w:r>
      <w:r w:rsidR="00906150">
        <w:rPr>
          <w:iCs/>
          <w:sz w:val="22"/>
          <w:szCs w:val="22"/>
        </w:rPr>
        <w:t>Sobre o fato</w:t>
      </w:r>
      <w:r w:rsidR="00E20531">
        <w:rPr>
          <w:iCs/>
          <w:sz w:val="22"/>
          <w:szCs w:val="22"/>
        </w:rPr>
        <w:t xml:space="preserve">, inferiu o relator, </w:t>
      </w:r>
      <w:r w:rsidR="00E20531" w:rsidRPr="00E20531">
        <w:rPr>
          <w:i/>
          <w:iCs/>
          <w:sz w:val="22"/>
          <w:szCs w:val="22"/>
        </w:rPr>
        <w:t>“há indícios de que os equipamentos usados neste ajuste foram aproveitados para a execução do contrato post</w:t>
      </w:r>
      <w:r w:rsidR="00E20531">
        <w:rPr>
          <w:i/>
          <w:iCs/>
          <w:sz w:val="22"/>
          <w:szCs w:val="22"/>
        </w:rPr>
        <w:t>erior, de modo que não ocorreu ‘desmobilização’ no Contrato 54/2007 nem ‘mobilização’</w:t>
      </w:r>
      <w:r w:rsidR="00E20531" w:rsidRPr="00E20531">
        <w:rPr>
          <w:i/>
          <w:iCs/>
          <w:sz w:val="22"/>
          <w:szCs w:val="22"/>
        </w:rPr>
        <w:t xml:space="preserve"> no Contrato 149/2008”</w:t>
      </w:r>
      <w:r w:rsidR="00E20531">
        <w:rPr>
          <w:iCs/>
          <w:sz w:val="22"/>
          <w:szCs w:val="22"/>
        </w:rPr>
        <w:t>.</w:t>
      </w:r>
      <w:r w:rsidR="00A624C9">
        <w:rPr>
          <w:iCs/>
          <w:sz w:val="22"/>
          <w:szCs w:val="22"/>
        </w:rPr>
        <w:t xml:space="preserve"> </w:t>
      </w:r>
      <w:r w:rsidR="00906150">
        <w:rPr>
          <w:iCs/>
          <w:sz w:val="22"/>
          <w:szCs w:val="22"/>
        </w:rPr>
        <w:t>Contudo</w:t>
      </w:r>
      <w:r w:rsidR="00A624C9">
        <w:rPr>
          <w:iCs/>
          <w:sz w:val="22"/>
          <w:szCs w:val="22"/>
        </w:rPr>
        <w:t xml:space="preserve">, prosseguiu, </w:t>
      </w:r>
      <w:r w:rsidR="00A624C9" w:rsidRPr="00A624C9">
        <w:rPr>
          <w:i/>
          <w:iCs/>
          <w:sz w:val="22"/>
          <w:szCs w:val="22"/>
        </w:rPr>
        <w:t>“a suposta utilização dos equipamentos do primeiro ajuste na execução do segundo constitui vantagem competitiva da empresa contratada que decorre de condição fática a ela inerente, não tendo sido originada de fraude, visto que obrigada a cotar o item, nem de descumprimento do projeto”</w:t>
      </w:r>
      <w:r w:rsidR="00A624C9">
        <w:rPr>
          <w:iCs/>
          <w:sz w:val="22"/>
          <w:szCs w:val="22"/>
        </w:rPr>
        <w:t xml:space="preserve">. </w:t>
      </w:r>
      <w:r w:rsidR="00EE7F7B">
        <w:rPr>
          <w:iCs/>
          <w:sz w:val="22"/>
          <w:szCs w:val="22"/>
        </w:rPr>
        <w:t>Assim</w:t>
      </w:r>
      <w:r w:rsidR="00906150">
        <w:rPr>
          <w:iCs/>
          <w:sz w:val="22"/>
          <w:szCs w:val="22"/>
        </w:rPr>
        <w:t xml:space="preserve">, </w:t>
      </w:r>
      <w:r w:rsidR="00906150" w:rsidRPr="00494F75">
        <w:rPr>
          <w:i/>
          <w:iCs/>
          <w:sz w:val="22"/>
          <w:szCs w:val="22"/>
        </w:rPr>
        <w:t>“embora o item ‘mobilização e desmobilização’ constitua custo direto e deva fazer parte da planilha orçamentária contratual, segundo a jurisprudência do Tribunal e a prática atual de orçamentação, tais despesas, em verdade, são acessórias e instrumentais à execução do objeto contratual, de forma que a empresa contratada pode, dentro da margem de liberdade que possui para executar o projeto, adotar as estratégias que entender convenientes para executar a obra, desde que cumpra as especificações de qualidade e prazo”</w:t>
      </w:r>
      <w:r w:rsidR="00906150">
        <w:rPr>
          <w:iCs/>
          <w:sz w:val="22"/>
          <w:szCs w:val="22"/>
        </w:rPr>
        <w:t>.</w:t>
      </w:r>
      <w:r w:rsidR="00494F75">
        <w:rPr>
          <w:iCs/>
          <w:sz w:val="22"/>
          <w:szCs w:val="22"/>
        </w:rPr>
        <w:t xml:space="preserve"> Ou, em formulação alternativa, </w:t>
      </w:r>
      <w:r w:rsidR="00494F75" w:rsidRPr="00494F75">
        <w:rPr>
          <w:i/>
          <w:iCs/>
          <w:sz w:val="22"/>
          <w:szCs w:val="22"/>
        </w:rPr>
        <w:t>“se o preço orçado para fazer frente às despesas de mobilização e desmobilização está compatível com o obtido a partir das especificações de projeto e os custos de referência, se não há qualquer impropriedade na estimativa de equipamentos e nas premissas adotadas na orçamentação, enfim, se o preço proposto constitui a remuneração justa para a consecução de tais dispêndios, que, repito, são acessórios à execução da obra em si, entendo que a contratada tem direito à remuneração, independentemente da forma como utiliza os valores a serem repassados pela administração contratante”</w:t>
      </w:r>
      <w:r w:rsidR="00494F75">
        <w:rPr>
          <w:iCs/>
          <w:sz w:val="22"/>
          <w:szCs w:val="22"/>
        </w:rPr>
        <w:t>.</w:t>
      </w:r>
      <w:r w:rsidR="00706774">
        <w:rPr>
          <w:iCs/>
          <w:sz w:val="22"/>
          <w:szCs w:val="22"/>
        </w:rPr>
        <w:t xml:space="preserve"> Nesses termos, considerando inexistir inconsistências nas premissas orçamentárias adotadas pelo órgão estadual e que o contratado respeitou o preço de referência do item</w:t>
      </w:r>
      <w:r w:rsidR="00EE7F7B">
        <w:rPr>
          <w:iCs/>
          <w:sz w:val="22"/>
          <w:szCs w:val="22"/>
        </w:rPr>
        <w:t>, o Tribunal acolheu, no ponto, o entendimento do relator, julgando</w:t>
      </w:r>
      <w:r w:rsidR="006E7E32">
        <w:rPr>
          <w:iCs/>
          <w:sz w:val="22"/>
          <w:szCs w:val="22"/>
        </w:rPr>
        <w:t xml:space="preserve"> </w:t>
      </w:r>
      <w:r w:rsidR="00EE7F7B">
        <w:rPr>
          <w:iCs/>
          <w:sz w:val="22"/>
          <w:szCs w:val="22"/>
        </w:rPr>
        <w:t>parcialmente procedente a representação, em face de outras irregularidades não elididas</w:t>
      </w:r>
      <w:r w:rsidR="002B6B43">
        <w:rPr>
          <w:iCs/>
          <w:sz w:val="22"/>
          <w:szCs w:val="22"/>
        </w:rPr>
        <w:t xml:space="preserve"> pelos responsáveis</w:t>
      </w:r>
      <w:r w:rsidR="001F5A5A">
        <w:rPr>
          <w:iCs/>
          <w:sz w:val="22"/>
          <w:szCs w:val="22"/>
        </w:rPr>
        <w:t xml:space="preserve">, </w:t>
      </w:r>
      <w:r w:rsidR="002B6B43">
        <w:rPr>
          <w:iCs/>
          <w:sz w:val="22"/>
          <w:szCs w:val="22"/>
        </w:rPr>
        <w:t>aplicando-lhes</w:t>
      </w:r>
      <w:r w:rsidR="001F5A5A">
        <w:rPr>
          <w:iCs/>
          <w:sz w:val="22"/>
          <w:szCs w:val="22"/>
        </w:rPr>
        <w:t xml:space="preserve"> a multa capitulada no </w:t>
      </w:r>
      <w:r w:rsidR="001F5A5A" w:rsidRPr="001F5A5A">
        <w:rPr>
          <w:iCs/>
          <w:sz w:val="22"/>
          <w:szCs w:val="22"/>
        </w:rPr>
        <w:t>art</w:t>
      </w:r>
      <w:r w:rsidR="003807B1">
        <w:rPr>
          <w:iCs/>
          <w:sz w:val="22"/>
          <w:szCs w:val="22"/>
        </w:rPr>
        <w:t>. 58, inciso II, da Lei 8.443/</w:t>
      </w:r>
      <w:r w:rsidR="001F5A5A" w:rsidRPr="001F5A5A">
        <w:rPr>
          <w:iCs/>
          <w:sz w:val="22"/>
          <w:szCs w:val="22"/>
        </w:rPr>
        <w:t>92</w:t>
      </w:r>
      <w:r w:rsidR="00EE7F7B">
        <w:rPr>
          <w:iCs/>
          <w:sz w:val="22"/>
          <w:szCs w:val="22"/>
        </w:rPr>
        <w:t xml:space="preserve">. </w:t>
      </w:r>
      <w:hyperlink r:id="rId10" w:history="1">
        <w:r w:rsidR="00CF7D22" w:rsidRPr="006423BE">
          <w:rPr>
            <w:rStyle w:val="Hyperlink"/>
            <w:b/>
            <w:i/>
            <w:iCs/>
            <w:sz w:val="22"/>
            <w:szCs w:val="22"/>
          </w:rPr>
          <w:t>Acórdão 477/2015-Plenário</w:t>
        </w:r>
      </w:hyperlink>
      <w:r w:rsidR="00CF7D22" w:rsidRPr="00CF7D22">
        <w:rPr>
          <w:b/>
          <w:i/>
          <w:iCs/>
          <w:sz w:val="22"/>
          <w:szCs w:val="22"/>
        </w:rPr>
        <w:t xml:space="preserve">, TC 023.220/2009-9, relator Ministro Benjamin Zymler, </w:t>
      </w:r>
      <w:r w:rsidR="00CF7D22">
        <w:rPr>
          <w:b/>
          <w:i/>
          <w:iCs/>
          <w:sz w:val="22"/>
          <w:szCs w:val="22"/>
        </w:rPr>
        <w:t>11</w:t>
      </w:r>
      <w:r w:rsidR="00CF7D22" w:rsidRPr="00CF7D22">
        <w:rPr>
          <w:b/>
          <w:i/>
          <w:iCs/>
          <w:sz w:val="22"/>
          <w:szCs w:val="22"/>
        </w:rPr>
        <w:t>.3.2015.</w:t>
      </w:r>
    </w:p>
    <w:p w:rsidR="00FC6135" w:rsidRPr="0016039D" w:rsidRDefault="00FC6135" w:rsidP="0016039D">
      <w:pPr>
        <w:pStyle w:val="enter-3pt"/>
        <w:tabs>
          <w:tab w:val="left" w:pos="2590"/>
        </w:tabs>
        <w:spacing w:line="240" w:lineRule="auto"/>
        <w:rPr>
          <w:b/>
          <w:bCs/>
          <w:i/>
          <w:iCs/>
          <w:sz w:val="22"/>
          <w:szCs w:val="22"/>
        </w:rPr>
      </w:pPr>
    </w:p>
    <w:p w:rsidR="00FC6135" w:rsidRPr="0016039D" w:rsidRDefault="00F65EAC" w:rsidP="0016039D">
      <w:pPr>
        <w:pStyle w:val="enter-3pt"/>
        <w:tabs>
          <w:tab w:val="left" w:pos="2590"/>
        </w:tabs>
        <w:spacing w:line="240" w:lineRule="auto"/>
        <w:rPr>
          <w:b/>
          <w:bCs/>
          <w:i/>
          <w:iCs/>
          <w:sz w:val="22"/>
          <w:szCs w:val="22"/>
        </w:rPr>
      </w:pPr>
      <w:r>
        <w:rPr>
          <w:b/>
          <w:bCs/>
          <w:iCs/>
          <w:sz w:val="22"/>
          <w:szCs w:val="22"/>
        </w:rPr>
        <w:t>3</w:t>
      </w:r>
      <w:r w:rsidR="00FC6135" w:rsidRPr="0016039D">
        <w:rPr>
          <w:b/>
          <w:bCs/>
          <w:iCs/>
          <w:sz w:val="22"/>
          <w:szCs w:val="22"/>
        </w:rPr>
        <w:t xml:space="preserve">. </w:t>
      </w:r>
      <w:r w:rsidR="00E96BCD" w:rsidRPr="00E96BCD">
        <w:rPr>
          <w:b/>
          <w:bCs/>
          <w:iCs/>
          <w:sz w:val="22"/>
          <w:szCs w:val="22"/>
        </w:rPr>
        <w:t>Não cabe desclassificação de licitante motivada por presunção de intenção de fraude durante a execução do contrato</w:t>
      </w:r>
      <w:r w:rsidR="00E96BCD">
        <w:rPr>
          <w:b/>
          <w:bCs/>
          <w:iCs/>
          <w:sz w:val="22"/>
          <w:szCs w:val="22"/>
        </w:rPr>
        <w:t>.</w:t>
      </w:r>
      <w:r w:rsidR="00FC6135" w:rsidRPr="0016039D">
        <w:rPr>
          <w:b/>
          <w:bCs/>
          <w:iCs/>
          <w:sz w:val="22"/>
          <w:szCs w:val="22"/>
        </w:rPr>
        <w:t xml:space="preserve">  </w:t>
      </w:r>
    </w:p>
    <w:p w:rsidR="00FC6135" w:rsidRPr="0016039D" w:rsidRDefault="00B67F6E" w:rsidP="0016039D">
      <w:pPr>
        <w:pStyle w:val="enter-3pt"/>
        <w:tabs>
          <w:tab w:val="left" w:pos="2590"/>
        </w:tabs>
        <w:spacing w:line="240" w:lineRule="auto"/>
        <w:rPr>
          <w:bCs/>
          <w:iCs/>
          <w:sz w:val="22"/>
          <w:szCs w:val="22"/>
        </w:rPr>
      </w:pPr>
      <w:r>
        <w:rPr>
          <w:bCs/>
          <w:iCs/>
          <w:sz w:val="22"/>
          <w:szCs w:val="22"/>
        </w:rPr>
        <w:t>Representação interposta por sociedade empresária apontara possíveis irregularidades em pregão eletrônico promovi</w:t>
      </w:r>
      <w:r w:rsidR="00E547B6">
        <w:rPr>
          <w:bCs/>
          <w:iCs/>
          <w:sz w:val="22"/>
          <w:szCs w:val="22"/>
        </w:rPr>
        <w:t>do pela Fundação Oswaldo Cruz (</w:t>
      </w:r>
      <w:r>
        <w:rPr>
          <w:bCs/>
          <w:iCs/>
          <w:sz w:val="22"/>
          <w:szCs w:val="22"/>
        </w:rPr>
        <w:t>Fiocruz</w:t>
      </w:r>
      <w:r w:rsidR="00E547B6">
        <w:rPr>
          <w:bCs/>
          <w:iCs/>
          <w:sz w:val="22"/>
          <w:szCs w:val="22"/>
        </w:rPr>
        <w:t>)</w:t>
      </w:r>
      <w:r>
        <w:rPr>
          <w:bCs/>
          <w:iCs/>
          <w:sz w:val="22"/>
          <w:szCs w:val="22"/>
        </w:rPr>
        <w:t>, destinado à contratação</w:t>
      </w:r>
      <w:r w:rsidRPr="00B67F6E">
        <w:rPr>
          <w:bCs/>
          <w:iCs/>
          <w:sz w:val="22"/>
          <w:szCs w:val="22"/>
        </w:rPr>
        <w:t xml:space="preserve"> de serviços continuados de coleta externa, transporte externo, tratamento e disposição f</w:t>
      </w:r>
      <w:r>
        <w:rPr>
          <w:bCs/>
          <w:iCs/>
          <w:sz w:val="22"/>
          <w:szCs w:val="22"/>
        </w:rPr>
        <w:t>inal de resíduos extraordinários</w:t>
      </w:r>
      <w:r w:rsidRPr="00B67F6E">
        <w:rPr>
          <w:bCs/>
          <w:iCs/>
          <w:sz w:val="22"/>
          <w:szCs w:val="22"/>
        </w:rPr>
        <w:t xml:space="preserve"> e infectantes</w:t>
      </w:r>
      <w:r>
        <w:rPr>
          <w:bCs/>
          <w:iCs/>
          <w:sz w:val="22"/>
          <w:szCs w:val="22"/>
        </w:rPr>
        <w:t>. Dentre outros aspectos, a representante questionara ter sido inabilitada por não ter apresentado</w:t>
      </w:r>
      <w:r w:rsidRPr="00B67F6E">
        <w:rPr>
          <w:bCs/>
          <w:iCs/>
          <w:sz w:val="22"/>
          <w:szCs w:val="22"/>
        </w:rPr>
        <w:t xml:space="preserve"> relatório de processo de esterilização de todas as suas autoclaves</w:t>
      </w:r>
      <w:r w:rsidR="00373DDB">
        <w:rPr>
          <w:bCs/>
          <w:iCs/>
          <w:sz w:val="22"/>
          <w:szCs w:val="22"/>
        </w:rPr>
        <w:t xml:space="preserve"> (apresentou atestados de dois de seus três equipamentos)</w:t>
      </w:r>
      <w:r w:rsidR="00E547B6">
        <w:rPr>
          <w:bCs/>
          <w:iCs/>
          <w:sz w:val="22"/>
          <w:szCs w:val="22"/>
        </w:rPr>
        <w:t>, apesar de o edital exigir</w:t>
      </w:r>
      <w:r w:rsidRPr="00B67F6E">
        <w:rPr>
          <w:bCs/>
          <w:iCs/>
          <w:sz w:val="22"/>
          <w:szCs w:val="22"/>
        </w:rPr>
        <w:t xml:space="preserve"> a apresentação de relatório para apenas uma</w:t>
      </w:r>
      <w:r>
        <w:rPr>
          <w:bCs/>
          <w:iCs/>
          <w:sz w:val="22"/>
          <w:szCs w:val="22"/>
        </w:rPr>
        <w:t>.</w:t>
      </w:r>
      <w:r w:rsidR="00373DDB">
        <w:rPr>
          <w:bCs/>
          <w:iCs/>
          <w:sz w:val="22"/>
          <w:szCs w:val="22"/>
        </w:rPr>
        <w:t xml:space="preserve"> Em sede de oitiva, a Fiocruz alegou que não </w:t>
      </w:r>
      <w:r w:rsidR="00373DDB" w:rsidRPr="00373DDB">
        <w:rPr>
          <w:bCs/>
          <w:iCs/>
          <w:sz w:val="22"/>
          <w:szCs w:val="22"/>
        </w:rPr>
        <w:t>poderia ter certeza de que os seus resíduos estariam sendo tratados em equipamento válido</w:t>
      </w:r>
      <w:r w:rsidR="00373DDB">
        <w:rPr>
          <w:bCs/>
          <w:iCs/>
          <w:sz w:val="22"/>
          <w:szCs w:val="22"/>
        </w:rPr>
        <w:t xml:space="preserve">. Analisando o mérito, o relator aduziu, nesse aspecto, </w:t>
      </w:r>
      <w:r w:rsidR="00FC7AED">
        <w:rPr>
          <w:bCs/>
          <w:iCs/>
          <w:sz w:val="22"/>
          <w:szCs w:val="22"/>
        </w:rPr>
        <w:t xml:space="preserve">assistir razão à representante, já que </w:t>
      </w:r>
      <w:r w:rsidR="00FC7AED" w:rsidRPr="00FC7AED">
        <w:rPr>
          <w:bCs/>
          <w:i/>
          <w:iCs/>
          <w:sz w:val="22"/>
          <w:szCs w:val="22"/>
        </w:rPr>
        <w:t>“havendo necessidade de apenas uma autoclave e a licitante demonstra possuí-la, não cabe inabilitá-la em razão da existência de outros equipamentos não certificados”</w:t>
      </w:r>
      <w:r w:rsidR="00FC7AED">
        <w:rPr>
          <w:bCs/>
          <w:iCs/>
          <w:sz w:val="22"/>
          <w:szCs w:val="22"/>
        </w:rPr>
        <w:t xml:space="preserve">. Nesse sentido, prosseguiu, </w:t>
      </w:r>
      <w:r w:rsidR="00FC7AED" w:rsidRPr="00FC7AED">
        <w:rPr>
          <w:bCs/>
          <w:i/>
          <w:iCs/>
          <w:sz w:val="22"/>
          <w:szCs w:val="22"/>
        </w:rPr>
        <w:t>“o princípio da boa-fé objetiva que rege as relações c</w:t>
      </w:r>
      <w:r w:rsidR="00E547B6">
        <w:rPr>
          <w:bCs/>
          <w:i/>
          <w:iCs/>
          <w:sz w:val="22"/>
          <w:szCs w:val="22"/>
        </w:rPr>
        <w:t>ontratuais (art. 422 do Código C</w:t>
      </w:r>
      <w:r w:rsidR="00FC7AED" w:rsidRPr="00FC7AED">
        <w:rPr>
          <w:bCs/>
          <w:i/>
          <w:iCs/>
          <w:sz w:val="22"/>
          <w:szCs w:val="22"/>
        </w:rPr>
        <w:t>ivil) não permite que se presuma a intenção de fraude durante a execução contratual”</w:t>
      </w:r>
      <w:r w:rsidR="00FC7AED">
        <w:rPr>
          <w:bCs/>
          <w:iCs/>
          <w:sz w:val="22"/>
          <w:szCs w:val="22"/>
        </w:rPr>
        <w:t xml:space="preserve">. No caso analisado, a regular execução contratual deve ser verificada pelo fiscal do contrato, até porque </w:t>
      </w:r>
      <w:r w:rsidR="00FC7AED" w:rsidRPr="00FC7AED">
        <w:rPr>
          <w:bCs/>
          <w:i/>
          <w:iCs/>
          <w:sz w:val="22"/>
          <w:szCs w:val="22"/>
        </w:rPr>
        <w:t>“a mera existência de certificação de todas as autoclaves não garante a correta destinação do lixo hospitalar, como se verifica de notícia veiculada na mídia acerca de empresa que depositava os resíduos hospitalares em terreno a céu aberto”</w:t>
      </w:r>
      <w:r w:rsidR="00FC7AED">
        <w:rPr>
          <w:bCs/>
          <w:iCs/>
          <w:sz w:val="22"/>
          <w:szCs w:val="22"/>
        </w:rPr>
        <w:t>.</w:t>
      </w:r>
      <w:r w:rsidR="00D27300">
        <w:rPr>
          <w:bCs/>
          <w:iCs/>
          <w:sz w:val="22"/>
          <w:szCs w:val="22"/>
        </w:rPr>
        <w:t xml:space="preserve"> Ademais, </w:t>
      </w:r>
      <w:r w:rsidR="00B7575F">
        <w:rPr>
          <w:bCs/>
          <w:iCs/>
          <w:sz w:val="22"/>
          <w:szCs w:val="22"/>
        </w:rPr>
        <w:t>acrescentou</w:t>
      </w:r>
      <w:r w:rsidR="00D27300">
        <w:rPr>
          <w:bCs/>
          <w:iCs/>
          <w:sz w:val="22"/>
          <w:szCs w:val="22"/>
        </w:rPr>
        <w:t xml:space="preserve">, </w:t>
      </w:r>
      <w:r w:rsidR="00D27300" w:rsidRPr="00D27300">
        <w:rPr>
          <w:bCs/>
          <w:i/>
          <w:iCs/>
          <w:sz w:val="22"/>
          <w:szCs w:val="22"/>
        </w:rPr>
        <w:t>“não se deve olvidar que o tratamento irregular dos resíduos pode sujeitar a empresa e seus dirigentes a sanções de natureza administrativa, civil e penal, o que deve, em princípio desestimular a empresa a fugir de suas obrigações contratuais, principalmente, se tiver ciência da existência de uma eficiente fiscalização do ajuste por parte do contratante”</w:t>
      </w:r>
      <w:r w:rsidR="00D27300">
        <w:rPr>
          <w:bCs/>
          <w:iCs/>
          <w:sz w:val="22"/>
          <w:szCs w:val="22"/>
        </w:rPr>
        <w:t>.</w:t>
      </w:r>
      <w:r w:rsidR="009E4E51">
        <w:rPr>
          <w:bCs/>
          <w:iCs/>
          <w:sz w:val="22"/>
          <w:szCs w:val="22"/>
        </w:rPr>
        <w:t xml:space="preserve"> Em conclusão, entendeu o relator que </w:t>
      </w:r>
      <w:r w:rsidR="009E4E51" w:rsidRPr="009E4E51">
        <w:rPr>
          <w:bCs/>
          <w:i/>
          <w:iCs/>
          <w:sz w:val="22"/>
          <w:szCs w:val="22"/>
        </w:rPr>
        <w:t>“a desclassificação da representante não ficou devidamente justificada no procedimento licitatório”</w:t>
      </w:r>
      <w:r w:rsidR="009E4E51">
        <w:rPr>
          <w:bCs/>
          <w:iCs/>
          <w:sz w:val="22"/>
          <w:szCs w:val="22"/>
        </w:rPr>
        <w:t>.</w:t>
      </w:r>
      <w:r w:rsidR="00472A18">
        <w:rPr>
          <w:bCs/>
          <w:iCs/>
          <w:sz w:val="22"/>
          <w:szCs w:val="22"/>
        </w:rPr>
        <w:t xml:space="preserve"> Assim, o Plenário</w:t>
      </w:r>
      <w:r w:rsidR="00B7575F">
        <w:rPr>
          <w:bCs/>
          <w:iCs/>
          <w:sz w:val="22"/>
          <w:szCs w:val="22"/>
        </w:rPr>
        <w:t>,</w:t>
      </w:r>
      <w:r w:rsidR="00472A18">
        <w:rPr>
          <w:bCs/>
          <w:iCs/>
          <w:sz w:val="22"/>
          <w:szCs w:val="22"/>
        </w:rPr>
        <w:t xml:space="preserve"> </w:t>
      </w:r>
      <w:r w:rsidR="00B7575F">
        <w:rPr>
          <w:bCs/>
          <w:iCs/>
          <w:sz w:val="22"/>
          <w:szCs w:val="22"/>
        </w:rPr>
        <w:t>acolhendo</w:t>
      </w:r>
      <w:r w:rsidR="00472A18">
        <w:rPr>
          <w:bCs/>
          <w:iCs/>
          <w:sz w:val="22"/>
          <w:szCs w:val="22"/>
        </w:rPr>
        <w:t xml:space="preserve"> o entendimento do relator, </w:t>
      </w:r>
      <w:r w:rsidR="00B7575F">
        <w:rPr>
          <w:iCs/>
          <w:sz w:val="22"/>
          <w:szCs w:val="22"/>
        </w:rPr>
        <w:t>julgou</w:t>
      </w:r>
      <w:r w:rsidR="00E547B6">
        <w:rPr>
          <w:iCs/>
          <w:sz w:val="22"/>
          <w:szCs w:val="22"/>
        </w:rPr>
        <w:t xml:space="preserve"> parcialmente procedente a R</w:t>
      </w:r>
      <w:r w:rsidR="00472A18">
        <w:rPr>
          <w:iCs/>
          <w:sz w:val="22"/>
          <w:szCs w:val="22"/>
        </w:rPr>
        <w:t>epresentação, em face de</w:t>
      </w:r>
      <w:r w:rsidR="00E547B6">
        <w:rPr>
          <w:iCs/>
          <w:sz w:val="22"/>
          <w:szCs w:val="22"/>
        </w:rPr>
        <w:t>ss</w:t>
      </w:r>
      <w:r w:rsidR="00B7575F">
        <w:rPr>
          <w:iCs/>
          <w:sz w:val="22"/>
          <w:szCs w:val="22"/>
        </w:rPr>
        <w:t>a e de</w:t>
      </w:r>
      <w:r w:rsidR="00472A18">
        <w:rPr>
          <w:iCs/>
          <w:sz w:val="22"/>
          <w:szCs w:val="22"/>
        </w:rPr>
        <w:t xml:space="preserve"> outras irregularidades </w:t>
      </w:r>
      <w:r w:rsidR="00B7575F">
        <w:rPr>
          <w:iCs/>
          <w:sz w:val="22"/>
          <w:szCs w:val="22"/>
        </w:rPr>
        <w:t>apuradas nos autos</w:t>
      </w:r>
      <w:r w:rsidR="00472A18">
        <w:rPr>
          <w:iCs/>
          <w:sz w:val="22"/>
          <w:szCs w:val="22"/>
        </w:rPr>
        <w:t xml:space="preserve">, razão pela qual determinou à Fiocruz a adoção de providências para declarar a nulidade </w:t>
      </w:r>
      <w:r w:rsidR="00AF0DC2">
        <w:rPr>
          <w:iCs/>
          <w:sz w:val="22"/>
          <w:szCs w:val="22"/>
        </w:rPr>
        <w:t>do pregão e do contrato dele</w:t>
      </w:r>
      <w:r w:rsidR="00E547B6">
        <w:rPr>
          <w:iCs/>
          <w:sz w:val="22"/>
          <w:szCs w:val="22"/>
        </w:rPr>
        <w:t xml:space="preserve"> </w:t>
      </w:r>
      <w:r w:rsidR="00472A18">
        <w:rPr>
          <w:iCs/>
          <w:sz w:val="22"/>
          <w:szCs w:val="22"/>
        </w:rPr>
        <w:t>decorrente.</w:t>
      </w:r>
      <w:r w:rsidR="00AF0DC2">
        <w:rPr>
          <w:iCs/>
          <w:sz w:val="22"/>
          <w:szCs w:val="22"/>
        </w:rPr>
        <w:t xml:space="preserve"> </w:t>
      </w:r>
      <w:hyperlink r:id="rId11" w:history="1">
        <w:r w:rsidR="00EC084B" w:rsidRPr="006423BE">
          <w:rPr>
            <w:rStyle w:val="Hyperlink"/>
            <w:b/>
            <w:i/>
            <w:iCs/>
            <w:sz w:val="22"/>
            <w:szCs w:val="22"/>
          </w:rPr>
          <w:t>Acórdão 478/2015-Plenário</w:t>
        </w:r>
      </w:hyperlink>
      <w:r w:rsidR="00EC084B" w:rsidRPr="00CF7D22">
        <w:rPr>
          <w:b/>
          <w:i/>
          <w:iCs/>
          <w:sz w:val="22"/>
          <w:szCs w:val="22"/>
        </w:rPr>
        <w:t xml:space="preserve">, TC </w:t>
      </w:r>
      <w:r w:rsidR="00EC084B" w:rsidRPr="00EC084B">
        <w:rPr>
          <w:b/>
          <w:i/>
          <w:iCs/>
          <w:sz w:val="22"/>
          <w:szCs w:val="22"/>
        </w:rPr>
        <w:t>025.178/2014-8</w:t>
      </w:r>
      <w:r w:rsidR="00EC084B" w:rsidRPr="00CF7D22">
        <w:rPr>
          <w:b/>
          <w:i/>
          <w:iCs/>
          <w:sz w:val="22"/>
          <w:szCs w:val="22"/>
        </w:rPr>
        <w:t xml:space="preserve">, relator Ministro Benjamin Zymler, </w:t>
      </w:r>
      <w:r w:rsidR="00EC084B">
        <w:rPr>
          <w:b/>
          <w:i/>
          <w:iCs/>
          <w:sz w:val="22"/>
          <w:szCs w:val="22"/>
        </w:rPr>
        <w:t>11</w:t>
      </w:r>
      <w:r w:rsidR="00EC084B" w:rsidRPr="00CF7D22">
        <w:rPr>
          <w:b/>
          <w:i/>
          <w:iCs/>
          <w:sz w:val="22"/>
          <w:szCs w:val="22"/>
        </w:rPr>
        <w:t>.3.2015.</w:t>
      </w:r>
    </w:p>
    <w:p w:rsidR="00FC6135" w:rsidRPr="0016039D" w:rsidRDefault="00FC6135" w:rsidP="0016039D">
      <w:pPr>
        <w:pStyle w:val="enter-3pt"/>
        <w:tabs>
          <w:tab w:val="left" w:pos="2590"/>
        </w:tabs>
        <w:spacing w:line="240" w:lineRule="auto"/>
        <w:rPr>
          <w:b/>
          <w:sz w:val="22"/>
          <w:szCs w:val="22"/>
        </w:rPr>
      </w:pPr>
    </w:p>
    <w:p w:rsidR="00594C49" w:rsidRPr="0016039D" w:rsidRDefault="00F65EAC" w:rsidP="0016039D">
      <w:pPr>
        <w:pStyle w:val="enter-3pt"/>
        <w:tabs>
          <w:tab w:val="left" w:pos="2590"/>
        </w:tabs>
        <w:spacing w:line="240" w:lineRule="auto"/>
        <w:rPr>
          <w:b/>
          <w:sz w:val="22"/>
          <w:szCs w:val="22"/>
        </w:rPr>
      </w:pPr>
      <w:r>
        <w:rPr>
          <w:b/>
          <w:sz w:val="22"/>
          <w:szCs w:val="22"/>
        </w:rPr>
        <w:t>4</w:t>
      </w:r>
      <w:r w:rsidR="004A2358" w:rsidRPr="0016039D">
        <w:rPr>
          <w:b/>
          <w:sz w:val="22"/>
          <w:szCs w:val="22"/>
        </w:rPr>
        <w:t xml:space="preserve">. </w:t>
      </w:r>
      <w:r w:rsidR="009F28CE" w:rsidRPr="009F28CE">
        <w:rPr>
          <w:b/>
          <w:sz w:val="22"/>
          <w:szCs w:val="22"/>
        </w:rPr>
        <w:t>A capacidade técnico-operacional da empresa não é</w:t>
      </w:r>
      <w:r w:rsidR="00775788">
        <w:rPr>
          <w:b/>
          <w:sz w:val="22"/>
          <w:szCs w:val="22"/>
        </w:rPr>
        <w:t xml:space="preserve"> afastada em razão de mudanças n</w:t>
      </w:r>
      <w:r w:rsidR="009F28CE" w:rsidRPr="009F28CE">
        <w:rPr>
          <w:b/>
          <w:sz w:val="22"/>
          <w:szCs w:val="22"/>
        </w:rPr>
        <w:t>o seu quadro de responsáveis técnicos</w:t>
      </w:r>
      <w:r w:rsidR="007B2A2F">
        <w:rPr>
          <w:b/>
          <w:sz w:val="22"/>
          <w:szCs w:val="22"/>
        </w:rPr>
        <w:t>.</w:t>
      </w:r>
    </w:p>
    <w:p w:rsidR="00692440" w:rsidRDefault="00BC639A" w:rsidP="0016039D">
      <w:pPr>
        <w:pStyle w:val="enter-3pt"/>
        <w:tabs>
          <w:tab w:val="left" w:pos="2590"/>
        </w:tabs>
        <w:spacing w:line="240" w:lineRule="auto"/>
        <w:rPr>
          <w:b/>
          <w:i/>
          <w:iCs/>
          <w:sz w:val="22"/>
          <w:szCs w:val="22"/>
        </w:rPr>
      </w:pPr>
      <w:r>
        <w:rPr>
          <w:sz w:val="22"/>
          <w:szCs w:val="22"/>
        </w:rPr>
        <w:t xml:space="preserve">Ainda na representação </w:t>
      </w:r>
      <w:r w:rsidR="00CD0D04">
        <w:rPr>
          <w:sz w:val="22"/>
          <w:szCs w:val="22"/>
        </w:rPr>
        <w:t>que questionara</w:t>
      </w:r>
      <w:r w:rsidR="00CD0D04">
        <w:rPr>
          <w:bCs/>
          <w:iCs/>
          <w:sz w:val="22"/>
          <w:szCs w:val="22"/>
        </w:rPr>
        <w:t xml:space="preserve"> pregão eletrônico promovido pela Fiocruz para a contratação</w:t>
      </w:r>
      <w:r w:rsidR="00CD0D04" w:rsidRPr="00B67F6E">
        <w:rPr>
          <w:bCs/>
          <w:iCs/>
          <w:sz w:val="22"/>
          <w:szCs w:val="22"/>
        </w:rPr>
        <w:t xml:space="preserve"> de serviços </w:t>
      </w:r>
      <w:r w:rsidR="00CD0D04">
        <w:rPr>
          <w:bCs/>
          <w:iCs/>
          <w:sz w:val="22"/>
          <w:szCs w:val="22"/>
        </w:rPr>
        <w:t xml:space="preserve">de manejo de resíduos hospitalares, fora apontada possível habilitação irregular da empresa vencedora do certame em face do </w:t>
      </w:r>
      <w:r w:rsidR="00CD0D04" w:rsidRPr="00CD0D04">
        <w:rPr>
          <w:bCs/>
          <w:i/>
          <w:iCs/>
          <w:sz w:val="22"/>
          <w:szCs w:val="22"/>
        </w:rPr>
        <w:t>“aceite de atestados técnicos que mencionavam responsáveis não mais pertencentes aos quadros da empresa”</w:t>
      </w:r>
      <w:r w:rsidR="00CD0D04">
        <w:rPr>
          <w:bCs/>
          <w:iCs/>
          <w:sz w:val="22"/>
          <w:szCs w:val="22"/>
        </w:rPr>
        <w:t xml:space="preserve">. Analisando o ponto, o relator corroborou o ponto de vista da unidade instrutiva no sentido de que tais atestados </w:t>
      </w:r>
      <w:r w:rsidR="00CD0D04" w:rsidRPr="00CD0D04">
        <w:rPr>
          <w:bCs/>
          <w:i/>
          <w:iCs/>
          <w:sz w:val="22"/>
          <w:szCs w:val="22"/>
        </w:rPr>
        <w:t>“referem-se à capacidade técnico-operacional, razão pela qual é indiferente se o profissional responsável técnico à época [de que trata o atestado] não trabalha mais para a empresa”</w:t>
      </w:r>
      <w:r w:rsidR="00CD0D04">
        <w:rPr>
          <w:bCs/>
          <w:iCs/>
          <w:sz w:val="22"/>
          <w:szCs w:val="22"/>
        </w:rPr>
        <w:t xml:space="preserve">. Ademais, colacionou julgado do Superior Tribunal de Justiça que veicula o seguinte entendimento: </w:t>
      </w:r>
      <w:r w:rsidR="00CD0D04" w:rsidRPr="00CD0D04">
        <w:rPr>
          <w:bCs/>
          <w:i/>
          <w:iCs/>
          <w:sz w:val="22"/>
          <w:szCs w:val="22"/>
        </w:rPr>
        <w:t>“</w:t>
      </w:r>
      <w:r w:rsidR="00CD0D04">
        <w:rPr>
          <w:bCs/>
          <w:i/>
          <w:iCs/>
          <w:sz w:val="22"/>
          <w:szCs w:val="22"/>
        </w:rPr>
        <w:t>A</w:t>
      </w:r>
      <w:r w:rsidR="00CD0D04" w:rsidRPr="00CD0D04">
        <w:rPr>
          <w:bCs/>
          <w:i/>
          <w:iCs/>
          <w:sz w:val="22"/>
          <w:szCs w:val="22"/>
        </w:rPr>
        <w:t xml:space="preserve"> capacitação técnica operacional consiste na exigência de organização empresarial apta ao desempenho de um empreendimento, situação diversa da capacitação técnica pessoal”</w:t>
      </w:r>
      <w:r w:rsidR="00CD0D04" w:rsidRPr="00083761">
        <w:rPr>
          <w:bCs/>
          <w:iCs/>
          <w:sz w:val="22"/>
          <w:szCs w:val="22"/>
        </w:rPr>
        <w:t>.</w:t>
      </w:r>
      <w:r w:rsidR="00CD0D04">
        <w:rPr>
          <w:b/>
          <w:bCs/>
          <w:iCs/>
          <w:sz w:val="22"/>
          <w:szCs w:val="22"/>
        </w:rPr>
        <w:t xml:space="preserve"> </w:t>
      </w:r>
      <w:r w:rsidR="00CD0D04">
        <w:rPr>
          <w:bCs/>
          <w:iCs/>
          <w:sz w:val="22"/>
          <w:szCs w:val="22"/>
        </w:rPr>
        <w:t xml:space="preserve">Nesse sentido, concluiu o relator que </w:t>
      </w:r>
      <w:r w:rsidR="00CD0D04" w:rsidRPr="00CD0D04">
        <w:rPr>
          <w:bCs/>
          <w:i/>
          <w:iCs/>
          <w:sz w:val="22"/>
          <w:szCs w:val="22"/>
        </w:rPr>
        <w:t>“a capacidade técnico-operacional da empresa não é afastada em razão de mudanças do seu responsável técnico, de forma que a falha não está configurada”</w:t>
      </w:r>
      <w:r w:rsidR="00CD0D04">
        <w:rPr>
          <w:bCs/>
          <w:iCs/>
          <w:sz w:val="22"/>
          <w:szCs w:val="22"/>
        </w:rPr>
        <w:t xml:space="preserve">. </w:t>
      </w:r>
      <w:r w:rsidR="00CD0D04" w:rsidRPr="00CD0D04">
        <w:rPr>
          <w:bCs/>
          <w:iCs/>
          <w:sz w:val="22"/>
          <w:szCs w:val="22"/>
        </w:rPr>
        <w:t>Assim, o Plenário, acolhendo o entendimento do relator, julgou pa</w:t>
      </w:r>
      <w:r w:rsidR="006D35C7">
        <w:rPr>
          <w:bCs/>
          <w:iCs/>
          <w:sz w:val="22"/>
          <w:szCs w:val="22"/>
        </w:rPr>
        <w:t>rcialmente procedente a Representação, em face dess</w:t>
      </w:r>
      <w:r w:rsidR="00CD0D04" w:rsidRPr="00CD0D04">
        <w:rPr>
          <w:bCs/>
          <w:iCs/>
          <w:sz w:val="22"/>
          <w:szCs w:val="22"/>
        </w:rPr>
        <w:t>a e de outras irregularidades apuradas nos autos, razão pela qual determinou à Fiocruz a adoção de providências para declarar a nulidade do pregão e do contrato dele decorrente.</w:t>
      </w:r>
      <w:r w:rsidR="00CD0D04">
        <w:rPr>
          <w:bCs/>
          <w:iCs/>
          <w:sz w:val="22"/>
          <w:szCs w:val="22"/>
        </w:rPr>
        <w:t xml:space="preserve"> </w:t>
      </w:r>
      <w:hyperlink r:id="rId12" w:history="1">
        <w:r w:rsidR="006423BE" w:rsidRPr="006423BE">
          <w:rPr>
            <w:rStyle w:val="Hyperlink"/>
            <w:b/>
            <w:bCs/>
            <w:i/>
            <w:iCs/>
            <w:sz w:val="22"/>
            <w:szCs w:val="22"/>
          </w:rPr>
          <w:t>Acórdão 478/2015-Plenário</w:t>
        </w:r>
      </w:hyperlink>
      <w:r w:rsidR="00216BD9" w:rsidRPr="00CF7D22">
        <w:rPr>
          <w:b/>
          <w:i/>
          <w:iCs/>
          <w:sz w:val="22"/>
          <w:szCs w:val="22"/>
        </w:rPr>
        <w:t xml:space="preserve">, TC </w:t>
      </w:r>
      <w:r w:rsidR="00216BD9" w:rsidRPr="00EC084B">
        <w:rPr>
          <w:b/>
          <w:i/>
          <w:iCs/>
          <w:sz w:val="22"/>
          <w:szCs w:val="22"/>
        </w:rPr>
        <w:t>025.178/2014-8</w:t>
      </w:r>
      <w:r w:rsidR="00216BD9" w:rsidRPr="00CF7D22">
        <w:rPr>
          <w:b/>
          <w:i/>
          <w:iCs/>
          <w:sz w:val="22"/>
          <w:szCs w:val="22"/>
        </w:rPr>
        <w:t xml:space="preserve">, relator Ministro Benjamin Zymler, </w:t>
      </w:r>
      <w:r w:rsidR="00216BD9">
        <w:rPr>
          <w:b/>
          <w:i/>
          <w:iCs/>
          <w:sz w:val="22"/>
          <w:szCs w:val="22"/>
        </w:rPr>
        <w:t>11</w:t>
      </w:r>
      <w:r w:rsidR="00216BD9" w:rsidRPr="00CF7D22">
        <w:rPr>
          <w:b/>
          <w:i/>
          <w:iCs/>
          <w:sz w:val="22"/>
          <w:szCs w:val="22"/>
        </w:rPr>
        <w:t>.3.2015.</w:t>
      </w:r>
    </w:p>
    <w:p w:rsidR="00904979" w:rsidRDefault="00904979" w:rsidP="00904979">
      <w:pPr>
        <w:pStyle w:val="enter-3pt"/>
        <w:tabs>
          <w:tab w:val="left" w:pos="2590"/>
        </w:tabs>
        <w:spacing w:line="240" w:lineRule="auto"/>
        <w:rPr>
          <w:b/>
          <w:bCs/>
          <w:i/>
          <w:iCs/>
          <w:sz w:val="22"/>
          <w:szCs w:val="22"/>
        </w:rPr>
      </w:pPr>
    </w:p>
    <w:p w:rsidR="00904979" w:rsidRDefault="00904979" w:rsidP="0056399A">
      <w:pPr>
        <w:pStyle w:val="enter-3pt"/>
        <w:tabs>
          <w:tab w:val="left" w:pos="2590"/>
        </w:tabs>
        <w:spacing w:line="240" w:lineRule="auto"/>
        <w:rPr>
          <w:b/>
          <w:bCs/>
          <w:iCs/>
          <w:sz w:val="22"/>
          <w:szCs w:val="22"/>
        </w:rPr>
      </w:pPr>
      <w:r>
        <w:rPr>
          <w:b/>
          <w:bCs/>
          <w:iCs/>
          <w:sz w:val="22"/>
          <w:szCs w:val="22"/>
        </w:rPr>
        <w:t>5</w:t>
      </w:r>
      <w:r w:rsidRPr="00904979">
        <w:rPr>
          <w:b/>
          <w:bCs/>
          <w:iCs/>
          <w:sz w:val="22"/>
          <w:szCs w:val="22"/>
        </w:rPr>
        <w:t xml:space="preserve">. </w:t>
      </w:r>
      <w:r w:rsidR="00E820E0">
        <w:rPr>
          <w:b/>
          <w:bCs/>
          <w:iCs/>
          <w:sz w:val="22"/>
          <w:szCs w:val="22"/>
        </w:rPr>
        <w:t>Não viola o princípio da isonomia a</w:t>
      </w:r>
      <w:r w:rsidR="0056399A">
        <w:rPr>
          <w:b/>
          <w:bCs/>
          <w:iCs/>
          <w:sz w:val="22"/>
          <w:szCs w:val="22"/>
        </w:rPr>
        <w:t xml:space="preserve"> </w:t>
      </w:r>
      <w:r w:rsidR="00EB7C76">
        <w:rPr>
          <w:b/>
          <w:bCs/>
          <w:iCs/>
          <w:sz w:val="22"/>
          <w:szCs w:val="22"/>
        </w:rPr>
        <w:t xml:space="preserve">participação de </w:t>
      </w:r>
      <w:r w:rsidR="00E630A4">
        <w:rPr>
          <w:b/>
          <w:bCs/>
          <w:iCs/>
          <w:sz w:val="22"/>
          <w:szCs w:val="22"/>
        </w:rPr>
        <w:t xml:space="preserve">pessoa jurídica enquadrada no regime de desoneração </w:t>
      </w:r>
      <w:r w:rsidR="0056399A">
        <w:rPr>
          <w:b/>
          <w:bCs/>
          <w:iCs/>
          <w:sz w:val="22"/>
          <w:szCs w:val="22"/>
        </w:rPr>
        <w:t>tributária</w:t>
      </w:r>
      <w:r w:rsidR="00E630A4">
        <w:rPr>
          <w:b/>
          <w:bCs/>
          <w:iCs/>
          <w:sz w:val="22"/>
          <w:szCs w:val="22"/>
        </w:rPr>
        <w:t xml:space="preserve"> previsto na </w:t>
      </w:r>
      <w:r w:rsidR="00EB19FB">
        <w:rPr>
          <w:b/>
          <w:bCs/>
          <w:iCs/>
          <w:sz w:val="22"/>
          <w:szCs w:val="22"/>
        </w:rPr>
        <w:t>Lei 12.546/</w:t>
      </w:r>
      <w:r w:rsidR="00E630A4">
        <w:rPr>
          <w:b/>
          <w:bCs/>
          <w:iCs/>
          <w:sz w:val="22"/>
          <w:szCs w:val="22"/>
        </w:rPr>
        <w:t xml:space="preserve">11 </w:t>
      </w:r>
      <w:r w:rsidR="00EB19FB">
        <w:rPr>
          <w:b/>
          <w:bCs/>
          <w:iCs/>
          <w:sz w:val="22"/>
          <w:szCs w:val="22"/>
        </w:rPr>
        <w:t>em licitação cujo objeto caracteriza atividade econômica distinta</w:t>
      </w:r>
      <w:r w:rsidR="009F6C31">
        <w:rPr>
          <w:b/>
          <w:bCs/>
          <w:iCs/>
          <w:sz w:val="22"/>
          <w:szCs w:val="22"/>
        </w:rPr>
        <w:t xml:space="preserve"> </w:t>
      </w:r>
      <w:r w:rsidR="00EB19FB">
        <w:rPr>
          <w:b/>
          <w:bCs/>
          <w:iCs/>
          <w:sz w:val="22"/>
          <w:szCs w:val="22"/>
        </w:rPr>
        <w:t xml:space="preserve">da atividade principal que </w:t>
      </w:r>
      <w:r w:rsidR="0056399A">
        <w:rPr>
          <w:b/>
          <w:bCs/>
          <w:iCs/>
          <w:sz w:val="22"/>
          <w:szCs w:val="22"/>
        </w:rPr>
        <w:t>vincula</w:t>
      </w:r>
      <w:r w:rsidR="00EB19FB">
        <w:rPr>
          <w:b/>
          <w:bCs/>
          <w:iCs/>
          <w:sz w:val="22"/>
          <w:szCs w:val="22"/>
        </w:rPr>
        <w:t xml:space="preserve"> a empresa</w:t>
      </w:r>
      <w:r w:rsidR="0056399A">
        <w:rPr>
          <w:b/>
          <w:bCs/>
          <w:iCs/>
          <w:sz w:val="22"/>
          <w:szCs w:val="22"/>
        </w:rPr>
        <w:t xml:space="preserve"> ao referido regime</w:t>
      </w:r>
      <w:r w:rsidR="00E820E0">
        <w:rPr>
          <w:b/>
          <w:bCs/>
          <w:iCs/>
          <w:sz w:val="22"/>
          <w:szCs w:val="22"/>
        </w:rPr>
        <w:t>.</w:t>
      </w:r>
    </w:p>
    <w:p w:rsidR="00092E5F" w:rsidRDefault="0048135F" w:rsidP="00092E5F">
      <w:pPr>
        <w:pStyle w:val="enter-3pt"/>
        <w:tabs>
          <w:tab w:val="left" w:pos="2590"/>
        </w:tabs>
        <w:spacing w:line="240" w:lineRule="auto"/>
        <w:rPr>
          <w:b/>
          <w:bCs/>
          <w:i/>
          <w:iCs/>
          <w:sz w:val="22"/>
          <w:szCs w:val="22"/>
        </w:rPr>
      </w:pPr>
      <w:r w:rsidRPr="0048135F">
        <w:rPr>
          <w:sz w:val="22"/>
          <w:szCs w:val="22"/>
        </w:rPr>
        <w:t xml:space="preserve">Representação </w:t>
      </w:r>
      <w:r>
        <w:rPr>
          <w:sz w:val="22"/>
          <w:szCs w:val="22"/>
        </w:rPr>
        <w:t>formulada</w:t>
      </w:r>
      <w:r w:rsidRPr="0048135F">
        <w:rPr>
          <w:sz w:val="22"/>
          <w:szCs w:val="22"/>
        </w:rPr>
        <w:t xml:space="preserve"> por sociedade empresária apontara possíveis irregularidades em pregão eletrônico promovido pel</w:t>
      </w:r>
      <w:r>
        <w:rPr>
          <w:sz w:val="22"/>
          <w:szCs w:val="22"/>
        </w:rPr>
        <w:t xml:space="preserve">o </w:t>
      </w:r>
      <w:r w:rsidRPr="0048135F">
        <w:rPr>
          <w:sz w:val="22"/>
          <w:szCs w:val="22"/>
        </w:rPr>
        <w:t>Laboratório Nacional Agropec</w:t>
      </w:r>
      <w:r>
        <w:rPr>
          <w:sz w:val="22"/>
          <w:szCs w:val="22"/>
        </w:rPr>
        <w:t xml:space="preserve">uário em São Paulo (Lanagro/SP), </w:t>
      </w:r>
      <w:r w:rsidRPr="0048135F">
        <w:rPr>
          <w:sz w:val="22"/>
          <w:szCs w:val="22"/>
        </w:rPr>
        <w:t>destinado</w:t>
      </w:r>
      <w:r w:rsidR="00A26F3B">
        <w:rPr>
          <w:sz w:val="22"/>
          <w:szCs w:val="22"/>
        </w:rPr>
        <w:t xml:space="preserve"> </w:t>
      </w:r>
      <w:r w:rsidR="00A26F3B" w:rsidRPr="00A26F3B">
        <w:rPr>
          <w:sz w:val="22"/>
          <w:szCs w:val="22"/>
        </w:rPr>
        <w:t>à</w:t>
      </w:r>
      <w:r w:rsidR="00A26F3B" w:rsidRPr="00A26F3B">
        <w:rPr>
          <w:b/>
          <w:sz w:val="22"/>
          <w:szCs w:val="22"/>
        </w:rPr>
        <w:t xml:space="preserve"> </w:t>
      </w:r>
      <w:r w:rsidR="00A26F3B" w:rsidRPr="00A26F3B">
        <w:rPr>
          <w:sz w:val="22"/>
          <w:szCs w:val="22"/>
        </w:rPr>
        <w:t>contratação de serviços cont</w:t>
      </w:r>
      <w:r w:rsidR="00A26F3B">
        <w:rPr>
          <w:sz w:val="22"/>
          <w:szCs w:val="22"/>
        </w:rPr>
        <w:t>inuados de apoio administrativo</w:t>
      </w:r>
      <w:r w:rsidRPr="0048135F">
        <w:rPr>
          <w:sz w:val="22"/>
          <w:szCs w:val="22"/>
        </w:rPr>
        <w:t xml:space="preserve">. Dentre outros aspectos, a representante </w:t>
      </w:r>
      <w:r w:rsidR="00282A37">
        <w:rPr>
          <w:sz w:val="22"/>
          <w:szCs w:val="22"/>
        </w:rPr>
        <w:t xml:space="preserve">alegara que a vencedora do grupo 3 </w:t>
      </w:r>
      <w:r w:rsidR="00DE1FB3">
        <w:rPr>
          <w:sz w:val="22"/>
          <w:szCs w:val="22"/>
        </w:rPr>
        <w:t>enquadrou</w:t>
      </w:r>
      <w:r w:rsidR="00DE1FB3" w:rsidRPr="00DE1FB3">
        <w:rPr>
          <w:sz w:val="22"/>
          <w:szCs w:val="22"/>
        </w:rPr>
        <w:t>-se como beneficiária do regime de desoneração da folha de pagamentos na condição de empresa do ramo de TI (Tecnologia da Informação), em ate</w:t>
      </w:r>
      <w:r w:rsidR="00EB19FB">
        <w:rPr>
          <w:sz w:val="22"/>
          <w:szCs w:val="22"/>
        </w:rPr>
        <w:t>nção ao art. 14 da Lei 11.774/</w:t>
      </w:r>
      <w:r w:rsidR="00DE1FB3" w:rsidRPr="00DE1FB3">
        <w:rPr>
          <w:sz w:val="22"/>
          <w:szCs w:val="22"/>
        </w:rPr>
        <w:t xml:space="preserve">08 </w:t>
      </w:r>
      <w:r w:rsidR="00641E88">
        <w:rPr>
          <w:sz w:val="22"/>
          <w:szCs w:val="22"/>
        </w:rPr>
        <w:t>(</w:t>
      </w:r>
      <w:r w:rsidR="00DE1FB3" w:rsidRPr="00DE1FB3">
        <w:rPr>
          <w:sz w:val="22"/>
          <w:szCs w:val="22"/>
        </w:rPr>
        <w:t>mencionado no art</w:t>
      </w:r>
      <w:r w:rsidR="00EB19FB">
        <w:rPr>
          <w:sz w:val="22"/>
          <w:szCs w:val="22"/>
        </w:rPr>
        <w:t>. 7º, inciso I, da Lei 12.546/</w:t>
      </w:r>
      <w:r w:rsidR="00DE1FB3" w:rsidRPr="00DE1FB3">
        <w:rPr>
          <w:sz w:val="22"/>
          <w:szCs w:val="22"/>
        </w:rPr>
        <w:t>11</w:t>
      </w:r>
      <w:r w:rsidR="00641E88">
        <w:rPr>
          <w:sz w:val="22"/>
          <w:szCs w:val="22"/>
        </w:rPr>
        <w:t>)</w:t>
      </w:r>
      <w:r w:rsidR="00DE1FB3" w:rsidRPr="00DE1FB3">
        <w:rPr>
          <w:sz w:val="22"/>
          <w:szCs w:val="22"/>
        </w:rPr>
        <w:t xml:space="preserve">, </w:t>
      </w:r>
      <w:r w:rsidR="00DE1FB3" w:rsidRPr="00641E88">
        <w:rPr>
          <w:sz w:val="22"/>
          <w:szCs w:val="22"/>
        </w:rPr>
        <w:t>que estabelece</w:t>
      </w:r>
      <w:r w:rsidR="00641E88" w:rsidRPr="00641E88">
        <w:rPr>
          <w:sz w:val="22"/>
          <w:szCs w:val="22"/>
        </w:rPr>
        <w:t xml:space="preserve"> o </w:t>
      </w:r>
      <w:r w:rsidR="00DE1FB3" w:rsidRPr="00641E88">
        <w:rPr>
          <w:sz w:val="22"/>
          <w:szCs w:val="22"/>
        </w:rPr>
        <w:t xml:space="preserve">rol taxativo dos serviços de TI e de TIC (Tecnologia da Informação e Comunicação), </w:t>
      </w:r>
      <w:r w:rsidR="00DE1FB3" w:rsidRPr="007238EE">
        <w:rPr>
          <w:i/>
          <w:sz w:val="22"/>
          <w:szCs w:val="22"/>
        </w:rPr>
        <w:t>“e</w:t>
      </w:r>
      <w:r w:rsidR="00DE1FB3" w:rsidRPr="00DE1FB3">
        <w:rPr>
          <w:i/>
          <w:sz w:val="22"/>
          <w:szCs w:val="22"/>
        </w:rPr>
        <w:t>, portanto, não poderia se utilizar desse regime em licitação cujo objeto é incompatível com os serviços listados pela lei, por caracterizar vantagem indevida em descompasso com o princípio da isonomia”</w:t>
      </w:r>
      <w:r w:rsidR="00DE1FB3" w:rsidRPr="00DE1FB3">
        <w:rPr>
          <w:sz w:val="22"/>
          <w:szCs w:val="22"/>
        </w:rPr>
        <w:t>.</w:t>
      </w:r>
      <w:r w:rsidR="00DE1FB3">
        <w:rPr>
          <w:sz w:val="22"/>
          <w:szCs w:val="22"/>
        </w:rPr>
        <w:t xml:space="preserve"> </w:t>
      </w:r>
      <w:r w:rsidR="007238EE">
        <w:rPr>
          <w:sz w:val="22"/>
          <w:szCs w:val="22"/>
        </w:rPr>
        <w:t>Ao rebater as alegações da representante, a unidade técnica observ</w:t>
      </w:r>
      <w:r w:rsidR="00EB19FB">
        <w:rPr>
          <w:sz w:val="22"/>
          <w:szCs w:val="22"/>
        </w:rPr>
        <w:t>ou</w:t>
      </w:r>
      <w:r w:rsidR="007238EE">
        <w:rPr>
          <w:sz w:val="22"/>
          <w:szCs w:val="22"/>
        </w:rPr>
        <w:t xml:space="preserve"> que, conforme verificado no site da Receita Federal, a licitante “</w:t>
      </w:r>
      <w:r w:rsidR="007238EE" w:rsidRPr="00357456">
        <w:rPr>
          <w:i/>
          <w:sz w:val="22"/>
          <w:szCs w:val="22"/>
        </w:rPr>
        <w:t>possui outras atividades classificadas como secundárias, dentre as quais a seleção e agenciamento de mão de obra, condição que viabiliza sua participação no pregão referenciado</w:t>
      </w:r>
      <w:r w:rsidR="007238EE">
        <w:rPr>
          <w:sz w:val="22"/>
          <w:szCs w:val="22"/>
        </w:rPr>
        <w:t>”.</w:t>
      </w:r>
      <w:r w:rsidR="007238EE" w:rsidRPr="007238EE">
        <w:rPr>
          <w:sz w:val="22"/>
          <w:szCs w:val="22"/>
        </w:rPr>
        <w:t xml:space="preserve"> </w:t>
      </w:r>
      <w:r w:rsidR="00124A6A">
        <w:rPr>
          <w:sz w:val="22"/>
          <w:szCs w:val="22"/>
        </w:rPr>
        <w:t xml:space="preserve">Em juízo de mérito, o relator endossou as considerações da unidade técnica, </w:t>
      </w:r>
      <w:r w:rsidR="00B25CB1">
        <w:rPr>
          <w:sz w:val="22"/>
          <w:szCs w:val="22"/>
        </w:rPr>
        <w:t>registrando que a empresa “</w:t>
      </w:r>
      <w:r w:rsidR="00B25CB1" w:rsidRPr="00B25CB1">
        <w:rPr>
          <w:i/>
          <w:sz w:val="22"/>
          <w:szCs w:val="22"/>
        </w:rPr>
        <w:t xml:space="preserve">encontra-se apta a prestar os serviços objeto do certame uma vez cadastrada no CNAE (Código e Descrição das Atividades) secundário 78.10-8-00 (Seleção e </w:t>
      </w:r>
      <w:r w:rsidR="00EB19FB">
        <w:rPr>
          <w:i/>
          <w:sz w:val="22"/>
          <w:szCs w:val="22"/>
        </w:rPr>
        <w:t>agenciamento de mão-de-obra)</w:t>
      </w:r>
      <w:r w:rsidR="00B25CB1" w:rsidRPr="00B25CB1">
        <w:rPr>
          <w:i/>
          <w:sz w:val="22"/>
          <w:szCs w:val="22"/>
        </w:rPr>
        <w:t>”</w:t>
      </w:r>
      <w:r w:rsidR="00CB0C53">
        <w:rPr>
          <w:i/>
          <w:sz w:val="22"/>
          <w:szCs w:val="22"/>
        </w:rPr>
        <w:t xml:space="preserve"> </w:t>
      </w:r>
      <w:r w:rsidR="00B25CB1">
        <w:rPr>
          <w:sz w:val="22"/>
          <w:szCs w:val="22"/>
        </w:rPr>
        <w:t xml:space="preserve">Explicou o relator que </w:t>
      </w:r>
      <w:r w:rsidR="00DE026F">
        <w:rPr>
          <w:sz w:val="22"/>
          <w:szCs w:val="22"/>
        </w:rPr>
        <w:t>“</w:t>
      </w:r>
      <w:r w:rsidR="00B25CB1" w:rsidRPr="00DE026F">
        <w:rPr>
          <w:i/>
          <w:sz w:val="22"/>
          <w:szCs w:val="22"/>
        </w:rPr>
        <w:t>não há impeditivo legal (...) a que determinada pessoa jurídica, enquadrada no regimento desta lei de desoneração tributária, exerça outras atividades econômicas. Nesses casos, a Lei 12.546/2011</w:t>
      </w:r>
      <w:r w:rsidR="00641E88">
        <w:rPr>
          <w:i/>
          <w:sz w:val="22"/>
          <w:szCs w:val="22"/>
        </w:rPr>
        <w:t xml:space="preserve"> (...)</w:t>
      </w:r>
      <w:r w:rsidR="00B25CB1" w:rsidRPr="00DE026F">
        <w:rPr>
          <w:i/>
          <w:sz w:val="22"/>
          <w:szCs w:val="22"/>
        </w:rPr>
        <w:t xml:space="preserve"> regulou uma forma diferenciada de cálculo da CPRB</w:t>
      </w:r>
      <w:r w:rsidR="00DE026F">
        <w:rPr>
          <w:i/>
          <w:sz w:val="22"/>
          <w:szCs w:val="22"/>
        </w:rPr>
        <w:t xml:space="preserve"> </w:t>
      </w:r>
      <w:r w:rsidR="00DE026F" w:rsidRPr="00DE026F">
        <w:rPr>
          <w:sz w:val="22"/>
          <w:szCs w:val="22"/>
        </w:rPr>
        <w:t>[</w:t>
      </w:r>
      <w:r w:rsidR="00B25CB1" w:rsidRPr="00DE026F">
        <w:rPr>
          <w:sz w:val="22"/>
          <w:szCs w:val="22"/>
        </w:rPr>
        <w:t>Contribuição Previdenciária da Receita Bruta</w:t>
      </w:r>
      <w:r w:rsidR="00DE026F" w:rsidRPr="00DE026F">
        <w:rPr>
          <w:sz w:val="22"/>
          <w:szCs w:val="22"/>
        </w:rPr>
        <w:t>]</w:t>
      </w:r>
      <w:r w:rsidR="00B25CB1" w:rsidRPr="00DE026F">
        <w:rPr>
          <w:i/>
          <w:sz w:val="22"/>
          <w:szCs w:val="22"/>
        </w:rPr>
        <w:t>, incidente apenas sobre a receita proveniente da atividade principal da empresa</w:t>
      </w:r>
      <w:r w:rsidR="00EB19FB">
        <w:rPr>
          <w:i/>
          <w:sz w:val="22"/>
          <w:szCs w:val="22"/>
        </w:rPr>
        <w:t>”</w:t>
      </w:r>
      <w:r w:rsidR="00152687">
        <w:rPr>
          <w:i/>
          <w:sz w:val="22"/>
          <w:szCs w:val="22"/>
        </w:rPr>
        <w:t xml:space="preserve">. </w:t>
      </w:r>
      <w:r w:rsidR="00B91CA6">
        <w:rPr>
          <w:sz w:val="22"/>
          <w:szCs w:val="22"/>
        </w:rPr>
        <w:t xml:space="preserve">Por fim, </w:t>
      </w:r>
      <w:r w:rsidR="00092E5F">
        <w:rPr>
          <w:sz w:val="22"/>
          <w:szCs w:val="22"/>
        </w:rPr>
        <w:t xml:space="preserve">concluiu </w:t>
      </w:r>
      <w:r w:rsidR="004A3A81">
        <w:rPr>
          <w:sz w:val="22"/>
          <w:szCs w:val="22"/>
        </w:rPr>
        <w:t>o relator</w:t>
      </w:r>
      <w:r w:rsidR="00092E5F">
        <w:rPr>
          <w:sz w:val="22"/>
          <w:szCs w:val="22"/>
        </w:rPr>
        <w:t xml:space="preserve">, </w:t>
      </w:r>
      <w:r w:rsidR="004A3A81">
        <w:rPr>
          <w:sz w:val="22"/>
          <w:szCs w:val="22"/>
        </w:rPr>
        <w:t xml:space="preserve">ainda que a empresa esteja vinculada </w:t>
      </w:r>
      <w:r w:rsidR="00092E5F">
        <w:rPr>
          <w:sz w:val="22"/>
          <w:szCs w:val="22"/>
        </w:rPr>
        <w:t xml:space="preserve">ao regime de tributação previsto no art. 7°, inciso I, </w:t>
      </w:r>
      <w:r w:rsidR="00EB19FB">
        <w:rPr>
          <w:sz w:val="22"/>
          <w:szCs w:val="22"/>
        </w:rPr>
        <w:t>da Lei 12.546/</w:t>
      </w:r>
      <w:r w:rsidR="00092E5F" w:rsidRPr="00DE1FB3">
        <w:rPr>
          <w:sz w:val="22"/>
          <w:szCs w:val="22"/>
        </w:rPr>
        <w:t>11</w:t>
      </w:r>
      <w:r w:rsidR="00092E5F">
        <w:rPr>
          <w:sz w:val="22"/>
          <w:szCs w:val="22"/>
        </w:rPr>
        <w:t>, “</w:t>
      </w:r>
      <w:r w:rsidR="00092E5F" w:rsidRPr="00092E5F">
        <w:rPr>
          <w:i/>
          <w:sz w:val="22"/>
          <w:szCs w:val="22"/>
        </w:rPr>
        <w:t>não haveria prejuízo a sua participação no certame pelo fato de exercer atividade secundária compatível com o objeto licitado”.</w:t>
      </w:r>
      <w:r w:rsidR="00092E5F">
        <w:rPr>
          <w:sz w:val="22"/>
          <w:szCs w:val="22"/>
        </w:rPr>
        <w:t xml:space="preserve"> O Tribunal, pelos motivos e</w:t>
      </w:r>
      <w:r w:rsidR="00EB19FB">
        <w:rPr>
          <w:sz w:val="22"/>
          <w:szCs w:val="22"/>
        </w:rPr>
        <w:t>xpostos pelo relator, julgou a R</w:t>
      </w:r>
      <w:r w:rsidR="00092E5F">
        <w:rPr>
          <w:sz w:val="22"/>
          <w:szCs w:val="22"/>
        </w:rPr>
        <w:t>epresentação improcedente.</w:t>
      </w:r>
      <w:r w:rsidR="00092E5F" w:rsidRPr="00092E5F">
        <w:rPr>
          <w:b/>
          <w:bCs/>
          <w:i/>
          <w:iCs/>
          <w:sz w:val="22"/>
          <w:szCs w:val="22"/>
        </w:rPr>
        <w:t xml:space="preserve"> </w:t>
      </w:r>
      <w:hyperlink r:id="rId13" w:history="1">
        <w:r w:rsidR="00092E5F" w:rsidRPr="006423BE">
          <w:rPr>
            <w:rStyle w:val="Hyperlink"/>
            <w:b/>
            <w:bCs/>
            <w:i/>
            <w:iCs/>
            <w:sz w:val="22"/>
            <w:szCs w:val="22"/>
          </w:rPr>
          <w:t>Acórdão</w:t>
        </w:r>
        <w:r w:rsidR="006423BE" w:rsidRPr="006423BE">
          <w:rPr>
            <w:rStyle w:val="Hyperlink"/>
            <w:b/>
            <w:bCs/>
            <w:i/>
            <w:iCs/>
            <w:sz w:val="22"/>
            <w:szCs w:val="22"/>
          </w:rPr>
          <w:t xml:space="preserve"> </w:t>
        </w:r>
        <w:r w:rsidR="00092E5F" w:rsidRPr="006423BE">
          <w:rPr>
            <w:rStyle w:val="Hyperlink"/>
            <w:b/>
            <w:bCs/>
            <w:i/>
            <w:iCs/>
            <w:sz w:val="22"/>
            <w:szCs w:val="22"/>
          </w:rPr>
          <w:t>4</w:t>
        </w:r>
        <w:r w:rsidR="00FD5269" w:rsidRPr="006423BE">
          <w:rPr>
            <w:rStyle w:val="Hyperlink"/>
            <w:b/>
            <w:bCs/>
            <w:i/>
            <w:iCs/>
            <w:sz w:val="22"/>
            <w:szCs w:val="22"/>
          </w:rPr>
          <w:t>80</w:t>
        </w:r>
        <w:r w:rsidR="00092E5F" w:rsidRPr="006423BE">
          <w:rPr>
            <w:rStyle w:val="Hyperlink"/>
            <w:b/>
            <w:bCs/>
            <w:i/>
            <w:iCs/>
            <w:sz w:val="22"/>
            <w:szCs w:val="22"/>
          </w:rPr>
          <w:t>/2015-Plenário</w:t>
        </w:r>
      </w:hyperlink>
      <w:r w:rsidR="00092E5F" w:rsidRPr="00243768">
        <w:rPr>
          <w:b/>
          <w:bCs/>
          <w:i/>
          <w:iCs/>
          <w:sz w:val="22"/>
          <w:szCs w:val="22"/>
        </w:rPr>
        <w:t>, TC 0</w:t>
      </w:r>
      <w:r w:rsidR="00FD5269">
        <w:rPr>
          <w:b/>
          <w:bCs/>
          <w:i/>
          <w:iCs/>
          <w:sz w:val="22"/>
          <w:szCs w:val="22"/>
        </w:rPr>
        <w:t>0</w:t>
      </w:r>
      <w:r w:rsidR="00092E5F">
        <w:rPr>
          <w:b/>
          <w:bCs/>
          <w:i/>
          <w:iCs/>
          <w:sz w:val="22"/>
          <w:szCs w:val="22"/>
        </w:rPr>
        <w:t>2</w:t>
      </w:r>
      <w:r w:rsidR="00092E5F" w:rsidRPr="00243768">
        <w:rPr>
          <w:b/>
          <w:bCs/>
          <w:i/>
          <w:iCs/>
          <w:sz w:val="22"/>
          <w:szCs w:val="22"/>
        </w:rPr>
        <w:t>.</w:t>
      </w:r>
      <w:r w:rsidR="00FD5269">
        <w:rPr>
          <w:b/>
          <w:bCs/>
          <w:i/>
          <w:iCs/>
          <w:sz w:val="22"/>
          <w:szCs w:val="22"/>
        </w:rPr>
        <w:t>657</w:t>
      </w:r>
      <w:r w:rsidR="00092E5F" w:rsidRPr="00243768">
        <w:rPr>
          <w:b/>
          <w:bCs/>
          <w:i/>
          <w:iCs/>
          <w:sz w:val="22"/>
          <w:szCs w:val="22"/>
        </w:rPr>
        <w:t>/201</w:t>
      </w:r>
      <w:r w:rsidR="00FD5269">
        <w:rPr>
          <w:b/>
          <w:bCs/>
          <w:i/>
          <w:iCs/>
          <w:sz w:val="22"/>
          <w:szCs w:val="22"/>
        </w:rPr>
        <w:t>5</w:t>
      </w:r>
      <w:r w:rsidR="00092E5F" w:rsidRPr="00243768">
        <w:rPr>
          <w:b/>
          <w:bCs/>
          <w:i/>
          <w:iCs/>
          <w:sz w:val="22"/>
          <w:szCs w:val="22"/>
        </w:rPr>
        <w:t>-</w:t>
      </w:r>
      <w:r w:rsidR="00FD5269">
        <w:rPr>
          <w:b/>
          <w:bCs/>
          <w:i/>
          <w:iCs/>
          <w:sz w:val="22"/>
          <w:szCs w:val="22"/>
        </w:rPr>
        <w:t>5</w:t>
      </w:r>
      <w:r w:rsidR="00092E5F" w:rsidRPr="00243768">
        <w:rPr>
          <w:b/>
          <w:bCs/>
          <w:i/>
          <w:iCs/>
          <w:sz w:val="22"/>
          <w:szCs w:val="22"/>
        </w:rPr>
        <w:t xml:space="preserve">, relator Ministro </w:t>
      </w:r>
      <w:r w:rsidR="00FD5269">
        <w:rPr>
          <w:b/>
          <w:bCs/>
          <w:i/>
          <w:iCs/>
          <w:sz w:val="22"/>
          <w:szCs w:val="22"/>
        </w:rPr>
        <w:t>Augusto Nardes</w:t>
      </w:r>
      <w:r w:rsidR="00092E5F" w:rsidRPr="00243768">
        <w:rPr>
          <w:b/>
          <w:bCs/>
          <w:i/>
          <w:iCs/>
          <w:sz w:val="22"/>
          <w:szCs w:val="22"/>
        </w:rPr>
        <w:t>, 11.3.2015.</w:t>
      </w:r>
    </w:p>
    <w:p w:rsidR="007B52CF" w:rsidRDefault="007B52CF" w:rsidP="00092E5F">
      <w:pPr>
        <w:pStyle w:val="enter-3pt"/>
        <w:tabs>
          <w:tab w:val="left" w:pos="2590"/>
        </w:tabs>
        <w:spacing w:line="240" w:lineRule="auto"/>
        <w:rPr>
          <w:b/>
          <w:bCs/>
          <w:i/>
          <w:iCs/>
          <w:sz w:val="22"/>
          <w:szCs w:val="22"/>
        </w:rPr>
      </w:pPr>
    </w:p>
    <w:p w:rsidR="00706F0F" w:rsidRPr="00BE1876" w:rsidRDefault="00B0250B" w:rsidP="00092E5F">
      <w:pPr>
        <w:pStyle w:val="enter-3pt"/>
        <w:tabs>
          <w:tab w:val="left" w:pos="2590"/>
        </w:tabs>
        <w:spacing w:line="240" w:lineRule="auto"/>
        <w:rPr>
          <w:b/>
          <w:color w:val="000000"/>
          <w:sz w:val="22"/>
          <w:szCs w:val="22"/>
        </w:rPr>
      </w:pPr>
      <w:r w:rsidRPr="00BE1876">
        <w:rPr>
          <w:b/>
          <w:bCs/>
          <w:iCs/>
          <w:sz w:val="22"/>
          <w:szCs w:val="22"/>
        </w:rPr>
        <w:t xml:space="preserve">6. </w:t>
      </w:r>
      <w:r w:rsidR="00BE1876" w:rsidRPr="00BE1876">
        <w:rPr>
          <w:b/>
          <w:color w:val="000000"/>
          <w:sz w:val="22"/>
          <w:szCs w:val="22"/>
        </w:rPr>
        <w:t>A adesão a ata de registro de preços deve ser justificada pelo órgão não participante mediante detalhamento das necessidades que pretende suprir por meio do contrato e demonstração da sua compatibilidade com o objeto discriminado na ata, não servindo a esse propósito a mera reprodução, parcial ou integral, do plano de trabalho do órgão gerenciador. A comprovação da vantagem da adesão deve estar evidenciada pelo confronto entre os preços unitários dos bens e serviços constantes da ata de registro de preços e referenciais válidos de mercado.</w:t>
      </w:r>
    </w:p>
    <w:p w:rsidR="00D53D6D" w:rsidRDefault="00CA77F6" w:rsidP="004D53E0">
      <w:pPr>
        <w:pStyle w:val="enter-3pt"/>
        <w:tabs>
          <w:tab w:val="left" w:pos="2590"/>
        </w:tabs>
        <w:spacing w:line="240" w:lineRule="auto"/>
        <w:rPr>
          <w:b/>
          <w:bCs/>
          <w:i/>
          <w:iCs/>
          <w:sz w:val="22"/>
          <w:szCs w:val="22"/>
        </w:rPr>
      </w:pPr>
      <w:bookmarkStart w:id="1" w:name="Hit1"/>
      <w:r w:rsidRPr="00CA77F6">
        <w:rPr>
          <w:sz w:val="22"/>
          <w:szCs w:val="22"/>
        </w:rPr>
        <w:t>Denúncia</w:t>
      </w:r>
      <w:bookmarkEnd w:id="1"/>
      <w:r w:rsidR="00146C2E">
        <w:rPr>
          <w:sz w:val="22"/>
          <w:szCs w:val="22"/>
        </w:rPr>
        <w:t xml:space="preserve"> </w:t>
      </w:r>
      <w:r>
        <w:rPr>
          <w:sz w:val="22"/>
          <w:szCs w:val="22"/>
        </w:rPr>
        <w:t xml:space="preserve">apontara </w:t>
      </w:r>
      <w:r w:rsidRPr="00CA77F6">
        <w:rPr>
          <w:sz w:val="22"/>
          <w:szCs w:val="22"/>
        </w:rPr>
        <w:t xml:space="preserve">possíveis irregularidades em </w:t>
      </w:r>
      <w:r>
        <w:rPr>
          <w:sz w:val="22"/>
          <w:szCs w:val="22"/>
        </w:rPr>
        <w:t xml:space="preserve">contrato </w:t>
      </w:r>
      <w:r w:rsidR="00146C2E">
        <w:rPr>
          <w:sz w:val="22"/>
          <w:szCs w:val="22"/>
        </w:rPr>
        <w:t xml:space="preserve">decorrente </w:t>
      </w:r>
      <w:r w:rsidR="00AA533A" w:rsidRPr="00AA533A">
        <w:rPr>
          <w:sz w:val="22"/>
          <w:szCs w:val="22"/>
        </w:rPr>
        <w:t>de adesão do Ministério do Esporte</w:t>
      </w:r>
      <w:r w:rsidR="008E1453">
        <w:rPr>
          <w:sz w:val="22"/>
          <w:szCs w:val="22"/>
        </w:rPr>
        <w:t xml:space="preserve"> (ME)</w:t>
      </w:r>
      <w:r w:rsidR="005359AE">
        <w:rPr>
          <w:sz w:val="22"/>
          <w:szCs w:val="22"/>
        </w:rPr>
        <w:t xml:space="preserve"> a</w:t>
      </w:r>
      <w:r w:rsidR="00AA533A" w:rsidRPr="00AA533A">
        <w:rPr>
          <w:sz w:val="22"/>
          <w:szCs w:val="22"/>
        </w:rPr>
        <w:t xml:space="preserve"> </w:t>
      </w:r>
      <w:r w:rsidR="008E1453">
        <w:rPr>
          <w:sz w:val="22"/>
          <w:szCs w:val="22"/>
        </w:rPr>
        <w:t>a</w:t>
      </w:r>
      <w:r w:rsidR="00AA533A" w:rsidRPr="00AA533A">
        <w:rPr>
          <w:sz w:val="22"/>
          <w:szCs w:val="22"/>
        </w:rPr>
        <w:t xml:space="preserve">ta de </w:t>
      </w:r>
      <w:r w:rsidR="008E1453">
        <w:rPr>
          <w:sz w:val="22"/>
          <w:szCs w:val="22"/>
        </w:rPr>
        <w:t>r</w:t>
      </w:r>
      <w:r w:rsidR="00AA533A" w:rsidRPr="00AA533A">
        <w:rPr>
          <w:sz w:val="22"/>
          <w:szCs w:val="22"/>
        </w:rPr>
        <w:t xml:space="preserve">egistro de </w:t>
      </w:r>
      <w:r w:rsidR="008E1453">
        <w:rPr>
          <w:sz w:val="22"/>
          <w:szCs w:val="22"/>
        </w:rPr>
        <w:t>p</w:t>
      </w:r>
      <w:r w:rsidR="00AA533A" w:rsidRPr="00AA533A">
        <w:rPr>
          <w:sz w:val="22"/>
          <w:szCs w:val="22"/>
        </w:rPr>
        <w:t xml:space="preserve">reços de pregão eletrônico promovido pelo Ministério da Defesa </w:t>
      </w:r>
      <w:r w:rsidR="008E1453">
        <w:rPr>
          <w:sz w:val="22"/>
          <w:szCs w:val="22"/>
        </w:rPr>
        <w:t xml:space="preserve">(MD) </w:t>
      </w:r>
      <w:r w:rsidR="00AA533A" w:rsidRPr="00AA533A">
        <w:rPr>
          <w:sz w:val="22"/>
          <w:szCs w:val="22"/>
        </w:rPr>
        <w:t>com vistas à prestação de serviços de manutenção e desenvolvimento de sistemas</w:t>
      </w:r>
      <w:r w:rsidR="00146C2E" w:rsidRPr="00146C2E">
        <w:rPr>
          <w:sz w:val="22"/>
          <w:szCs w:val="22"/>
        </w:rPr>
        <w:t xml:space="preserve">. </w:t>
      </w:r>
      <w:r w:rsidR="00146C2E">
        <w:rPr>
          <w:sz w:val="22"/>
          <w:szCs w:val="22"/>
        </w:rPr>
        <w:t xml:space="preserve">Segundo o denunciante, </w:t>
      </w:r>
      <w:r w:rsidR="00146C2E" w:rsidRPr="00146C2E">
        <w:rPr>
          <w:sz w:val="22"/>
          <w:szCs w:val="22"/>
        </w:rPr>
        <w:t>a adesão do M</w:t>
      </w:r>
      <w:r w:rsidR="008E1453">
        <w:rPr>
          <w:sz w:val="22"/>
          <w:szCs w:val="22"/>
        </w:rPr>
        <w:t>E</w:t>
      </w:r>
      <w:r w:rsidR="00146C2E" w:rsidRPr="00146C2E">
        <w:rPr>
          <w:sz w:val="22"/>
          <w:szCs w:val="22"/>
        </w:rPr>
        <w:t xml:space="preserve"> à </w:t>
      </w:r>
      <w:r w:rsidR="00AA533A">
        <w:rPr>
          <w:sz w:val="22"/>
          <w:szCs w:val="22"/>
        </w:rPr>
        <w:t>ata d</w:t>
      </w:r>
      <w:r w:rsidR="00146C2E" w:rsidRPr="00146C2E">
        <w:rPr>
          <w:sz w:val="22"/>
          <w:szCs w:val="22"/>
        </w:rPr>
        <w:t>o M</w:t>
      </w:r>
      <w:r w:rsidR="008E1453">
        <w:rPr>
          <w:sz w:val="22"/>
          <w:szCs w:val="22"/>
        </w:rPr>
        <w:t>D</w:t>
      </w:r>
      <w:r w:rsidR="00146C2E" w:rsidRPr="00146C2E">
        <w:rPr>
          <w:sz w:val="22"/>
          <w:szCs w:val="22"/>
        </w:rPr>
        <w:t xml:space="preserve"> foi caracterizada</w:t>
      </w:r>
      <w:r w:rsidR="00AA533A">
        <w:rPr>
          <w:sz w:val="22"/>
          <w:szCs w:val="22"/>
        </w:rPr>
        <w:t xml:space="preserve"> por irregularidades, dentre as quais destaca</w:t>
      </w:r>
      <w:r w:rsidR="005359AE">
        <w:rPr>
          <w:sz w:val="22"/>
          <w:szCs w:val="22"/>
        </w:rPr>
        <w:t>m</w:t>
      </w:r>
      <w:r w:rsidR="00AA533A">
        <w:rPr>
          <w:sz w:val="22"/>
          <w:szCs w:val="22"/>
        </w:rPr>
        <w:t xml:space="preserve">-se: </w:t>
      </w:r>
      <w:r w:rsidR="00146C2E" w:rsidRPr="00146C2E">
        <w:rPr>
          <w:sz w:val="22"/>
          <w:szCs w:val="22"/>
        </w:rPr>
        <w:t>a) falta de planejamento da contratação</w:t>
      </w:r>
      <w:r w:rsidR="00AA533A">
        <w:rPr>
          <w:sz w:val="22"/>
          <w:szCs w:val="22"/>
        </w:rPr>
        <w:t>, uma vez que o contrato</w:t>
      </w:r>
      <w:r w:rsidR="00146C2E" w:rsidRPr="00146C2E">
        <w:rPr>
          <w:sz w:val="22"/>
          <w:szCs w:val="22"/>
        </w:rPr>
        <w:t xml:space="preserve"> </w:t>
      </w:r>
      <w:r w:rsidR="00AA533A">
        <w:rPr>
          <w:sz w:val="22"/>
          <w:szCs w:val="22"/>
        </w:rPr>
        <w:t>“</w:t>
      </w:r>
      <w:r w:rsidR="00146C2E" w:rsidRPr="00AA533A">
        <w:rPr>
          <w:i/>
          <w:sz w:val="22"/>
          <w:szCs w:val="22"/>
        </w:rPr>
        <w:t>não foi precedido de um levantamento efetivo de necessidades do Ministério dos Esportes</w:t>
      </w:r>
      <w:r w:rsidR="0095030E" w:rsidRPr="0095030E">
        <w:rPr>
          <w:sz w:val="22"/>
          <w:szCs w:val="22"/>
        </w:rPr>
        <w:t>”</w:t>
      </w:r>
      <w:r w:rsidR="00146C2E" w:rsidRPr="0095030E">
        <w:rPr>
          <w:sz w:val="22"/>
          <w:szCs w:val="22"/>
        </w:rPr>
        <w:t xml:space="preserve">, mas se embasou em transcrição do </w:t>
      </w:r>
      <w:r w:rsidR="0095030E">
        <w:rPr>
          <w:sz w:val="22"/>
          <w:szCs w:val="22"/>
        </w:rPr>
        <w:t>t</w:t>
      </w:r>
      <w:r w:rsidR="00146C2E" w:rsidRPr="0095030E">
        <w:rPr>
          <w:sz w:val="22"/>
          <w:szCs w:val="22"/>
        </w:rPr>
        <w:t xml:space="preserve">ermo de </w:t>
      </w:r>
      <w:r w:rsidR="0095030E">
        <w:rPr>
          <w:sz w:val="22"/>
          <w:szCs w:val="22"/>
        </w:rPr>
        <w:t>r</w:t>
      </w:r>
      <w:r w:rsidR="00146C2E" w:rsidRPr="0095030E">
        <w:rPr>
          <w:sz w:val="22"/>
          <w:szCs w:val="22"/>
        </w:rPr>
        <w:t xml:space="preserve">eferência do </w:t>
      </w:r>
      <w:r w:rsidR="0095030E">
        <w:rPr>
          <w:sz w:val="22"/>
          <w:szCs w:val="22"/>
        </w:rPr>
        <w:t>p</w:t>
      </w:r>
      <w:r w:rsidR="00146C2E" w:rsidRPr="0095030E">
        <w:rPr>
          <w:sz w:val="22"/>
          <w:szCs w:val="22"/>
        </w:rPr>
        <w:t xml:space="preserve">regão </w:t>
      </w:r>
      <w:r w:rsidR="0095030E">
        <w:rPr>
          <w:sz w:val="22"/>
          <w:szCs w:val="22"/>
        </w:rPr>
        <w:t>e</w:t>
      </w:r>
      <w:r w:rsidR="00146C2E" w:rsidRPr="0095030E">
        <w:rPr>
          <w:sz w:val="22"/>
          <w:szCs w:val="22"/>
        </w:rPr>
        <w:t>letrônico</w:t>
      </w:r>
      <w:r w:rsidR="0095030E">
        <w:rPr>
          <w:sz w:val="22"/>
          <w:szCs w:val="22"/>
        </w:rPr>
        <w:t xml:space="preserve"> realizado pelo MD</w:t>
      </w:r>
      <w:r w:rsidR="00AA533A">
        <w:rPr>
          <w:sz w:val="22"/>
          <w:szCs w:val="22"/>
        </w:rPr>
        <w:t xml:space="preserve">; b) </w:t>
      </w:r>
      <w:r w:rsidR="00AA533A" w:rsidRPr="00AA533A">
        <w:rPr>
          <w:sz w:val="22"/>
          <w:szCs w:val="22"/>
        </w:rPr>
        <w:t>ausência de descrição da metodologia empregada pelo M</w:t>
      </w:r>
      <w:r w:rsidR="008E1453">
        <w:rPr>
          <w:sz w:val="22"/>
          <w:szCs w:val="22"/>
        </w:rPr>
        <w:t>D</w:t>
      </w:r>
      <w:r w:rsidR="00AA533A" w:rsidRPr="00AA533A">
        <w:rPr>
          <w:sz w:val="22"/>
          <w:szCs w:val="22"/>
        </w:rPr>
        <w:t xml:space="preserve"> para definir a unidade de referência utilizada </w:t>
      </w:r>
      <w:r w:rsidR="00D67CAF">
        <w:rPr>
          <w:sz w:val="22"/>
          <w:szCs w:val="22"/>
        </w:rPr>
        <w:t>(</w:t>
      </w:r>
      <w:r w:rsidR="00A75C7F">
        <w:rPr>
          <w:sz w:val="22"/>
          <w:szCs w:val="22"/>
        </w:rPr>
        <w:t xml:space="preserve">Unidade de Serviço Técnico - </w:t>
      </w:r>
      <w:r w:rsidR="00D67CAF">
        <w:rPr>
          <w:sz w:val="22"/>
          <w:szCs w:val="22"/>
        </w:rPr>
        <w:t xml:space="preserve">UST) </w:t>
      </w:r>
      <w:r w:rsidR="00AA533A" w:rsidRPr="00AA533A">
        <w:rPr>
          <w:sz w:val="22"/>
          <w:szCs w:val="22"/>
        </w:rPr>
        <w:t>para</w:t>
      </w:r>
      <w:r w:rsidR="008C79E8">
        <w:rPr>
          <w:sz w:val="22"/>
          <w:szCs w:val="22"/>
        </w:rPr>
        <w:t xml:space="preserve"> fins de pagamento</w:t>
      </w:r>
      <w:r w:rsidR="00AA533A">
        <w:rPr>
          <w:sz w:val="22"/>
          <w:szCs w:val="22"/>
        </w:rPr>
        <w:t>, i</w:t>
      </w:r>
      <w:r w:rsidR="00AA533A" w:rsidRPr="00AA533A">
        <w:rPr>
          <w:sz w:val="22"/>
          <w:szCs w:val="22"/>
        </w:rPr>
        <w:t>mpossibilitando que outros órgãos aplicassem a mesma métrica;</w:t>
      </w:r>
      <w:r w:rsidR="00AA533A">
        <w:rPr>
          <w:sz w:val="22"/>
          <w:szCs w:val="22"/>
        </w:rPr>
        <w:t xml:space="preserve"> c) </w:t>
      </w:r>
      <w:r w:rsidR="00AA533A" w:rsidRPr="00AA533A">
        <w:rPr>
          <w:sz w:val="22"/>
          <w:szCs w:val="22"/>
        </w:rPr>
        <w:t>inviabilidade de aferir a vantajosidade da contratação devido à ausência de pesquisa de preços válida que demonstras</w:t>
      </w:r>
      <w:r w:rsidR="00AA533A">
        <w:rPr>
          <w:sz w:val="22"/>
          <w:szCs w:val="22"/>
        </w:rPr>
        <w:t xml:space="preserve">se a economicidade da adesão à ata do </w:t>
      </w:r>
      <w:r w:rsidR="001C37ED">
        <w:rPr>
          <w:sz w:val="22"/>
          <w:szCs w:val="22"/>
        </w:rPr>
        <w:t>M</w:t>
      </w:r>
      <w:r w:rsidR="00D53D6D">
        <w:rPr>
          <w:sz w:val="22"/>
          <w:szCs w:val="22"/>
        </w:rPr>
        <w:t>D</w:t>
      </w:r>
      <w:r w:rsidR="001C37ED">
        <w:rPr>
          <w:sz w:val="22"/>
          <w:szCs w:val="22"/>
        </w:rPr>
        <w:t xml:space="preserve">. </w:t>
      </w:r>
      <w:r w:rsidR="008E1453">
        <w:rPr>
          <w:sz w:val="22"/>
          <w:szCs w:val="22"/>
        </w:rPr>
        <w:t xml:space="preserve">Em juízo de mérito, o relator destacou a </w:t>
      </w:r>
      <w:r w:rsidR="008E1453" w:rsidRPr="008E1453">
        <w:rPr>
          <w:sz w:val="22"/>
          <w:szCs w:val="22"/>
        </w:rPr>
        <w:t>inconsistência da adesão do M</w:t>
      </w:r>
      <w:r w:rsidR="00D53D6D">
        <w:rPr>
          <w:sz w:val="22"/>
          <w:szCs w:val="22"/>
        </w:rPr>
        <w:t>E</w:t>
      </w:r>
      <w:r w:rsidR="008E1453" w:rsidRPr="008E1453">
        <w:rPr>
          <w:sz w:val="22"/>
          <w:szCs w:val="22"/>
        </w:rPr>
        <w:t xml:space="preserve"> à </w:t>
      </w:r>
      <w:r w:rsidR="008E1453">
        <w:rPr>
          <w:sz w:val="22"/>
          <w:szCs w:val="22"/>
        </w:rPr>
        <w:t>ata</w:t>
      </w:r>
      <w:r w:rsidR="008E1453" w:rsidRPr="008E1453">
        <w:rPr>
          <w:sz w:val="22"/>
          <w:szCs w:val="22"/>
        </w:rPr>
        <w:t xml:space="preserve"> promovida pelo M</w:t>
      </w:r>
      <w:r w:rsidR="00D53D6D">
        <w:rPr>
          <w:sz w:val="22"/>
          <w:szCs w:val="22"/>
        </w:rPr>
        <w:t>D, uma vez que “</w:t>
      </w:r>
      <w:r w:rsidR="00D53D6D" w:rsidRPr="00D53D6D">
        <w:rPr>
          <w:i/>
          <w:sz w:val="22"/>
          <w:szCs w:val="22"/>
        </w:rPr>
        <w:t xml:space="preserve">a medição dos serviços executados, para fins de pagamento, não estava sendo feita com base no referencial UST previsto no Contrato </w:t>
      </w:r>
      <w:r w:rsidR="00D53D6D">
        <w:rPr>
          <w:i/>
          <w:sz w:val="22"/>
          <w:szCs w:val="22"/>
        </w:rPr>
        <w:t>(...)</w:t>
      </w:r>
      <w:r w:rsidR="00D53D6D" w:rsidRPr="00D53D6D">
        <w:rPr>
          <w:i/>
          <w:sz w:val="22"/>
          <w:szCs w:val="22"/>
        </w:rPr>
        <w:t xml:space="preserve">, mas sim em termos de Pontos de Função </w:t>
      </w:r>
      <w:r w:rsidR="00D53D6D">
        <w:rPr>
          <w:i/>
          <w:sz w:val="22"/>
          <w:szCs w:val="22"/>
        </w:rPr>
        <w:t>–</w:t>
      </w:r>
      <w:r w:rsidR="00D53D6D" w:rsidRPr="00D53D6D">
        <w:rPr>
          <w:i/>
          <w:sz w:val="22"/>
          <w:szCs w:val="22"/>
        </w:rPr>
        <w:t xml:space="preserve"> PF</w:t>
      </w:r>
      <w:r w:rsidR="00D53D6D">
        <w:rPr>
          <w:i/>
          <w:sz w:val="22"/>
          <w:szCs w:val="22"/>
        </w:rPr>
        <w:t>”</w:t>
      </w:r>
      <w:r w:rsidR="00D53D6D" w:rsidRPr="00D53D6D">
        <w:rPr>
          <w:sz w:val="22"/>
          <w:szCs w:val="22"/>
        </w:rPr>
        <w:t xml:space="preserve">. </w:t>
      </w:r>
      <w:r w:rsidR="00D53D6D">
        <w:rPr>
          <w:sz w:val="22"/>
          <w:szCs w:val="22"/>
        </w:rPr>
        <w:t xml:space="preserve">Ou seja, </w:t>
      </w:r>
      <w:r w:rsidR="00D53D6D" w:rsidRPr="00D53D6D">
        <w:rPr>
          <w:sz w:val="22"/>
          <w:szCs w:val="22"/>
        </w:rPr>
        <w:t>o órgão contratou serviços especificados e</w:t>
      </w:r>
      <w:r w:rsidR="001C0D43">
        <w:rPr>
          <w:sz w:val="22"/>
          <w:szCs w:val="22"/>
        </w:rPr>
        <w:t>m uma métrica e utilizou outra</w:t>
      </w:r>
      <w:r w:rsidR="00D53D6D" w:rsidRPr="00D53D6D">
        <w:rPr>
          <w:sz w:val="22"/>
          <w:szCs w:val="22"/>
        </w:rPr>
        <w:t xml:space="preserve"> distinta para o cálculo do pagamento.</w:t>
      </w:r>
      <w:r w:rsidR="00D53D6D">
        <w:rPr>
          <w:sz w:val="22"/>
          <w:szCs w:val="22"/>
        </w:rPr>
        <w:t xml:space="preserve"> </w:t>
      </w:r>
      <w:r w:rsidR="00A75C7F">
        <w:rPr>
          <w:sz w:val="22"/>
          <w:szCs w:val="22"/>
        </w:rPr>
        <w:t>A</w:t>
      </w:r>
      <w:r w:rsidR="00D53D6D">
        <w:rPr>
          <w:sz w:val="22"/>
          <w:szCs w:val="22"/>
        </w:rPr>
        <w:t xml:space="preserve">linhado à análise </w:t>
      </w:r>
      <w:r w:rsidR="00A75C7F">
        <w:rPr>
          <w:sz w:val="22"/>
          <w:szCs w:val="22"/>
        </w:rPr>
        <w:t>da</w:t>
      </w:r>
      <w:r w:rsidR="00D53D6D">
        <w:rPr>
          <w:sz w:val="22"/>
          <w:szCs w:val="22"/>
        </w:rPr>
        <w:t xml:space="preserve"> unidade técnica, o relator </w:t>
      </w:r>
      <w:r w:rsidR="00A75C7F">
        <w:rPr>
          <w:sz w:val="22"/>
          <w:szCs w:val="22"/>
        </w:rPr>
        <w:t>aduziu</w:t>
      </w:r>
      <w:r w:rsidR="00D67CAF">
        <w:rPr>
          <w:sz w:val="22"/>
          <w:szCs w:val="22"/>
        </w:rPr>
        <w:t xml:space="preserve"> que a conduta dos responsáveis “</w:t>
      </w:r>
      <w:r w:rsidR="00D67CAF" w:rsidRPr="00D67CAF">
        <w:rPr>
          <w:i/>
          <w:sz w:val="22"/>
          <w:szCs w:val="22"/>
        </w:rPr>
        <w:t>foi inadequada por terem prescindido do levantamento de necessidades do órgão que dirigem, uma vez que transcreveram o plano de trabalho do Ministério da Defesa; por terem incorporado ao contrato a utilização de unidade de quantificação de serviços notadamente inconsistente, desacompanhada de qualquer metodologia de cálculo</w:t>
      </w:r>
      <w:r w:rsidR="002D781B">
        <w:rPr>
          <w:i/>
          <w:sz w:val="22"/>
          <w:szCs w:val="22"/>
        </w:rPr>
        <w:t xml:space="preserve"> (...)</w:t>
      </w:r>
      <w:r w:rsidR="00D67CAF" w:rsidRPr="00D67CAF">
        <w:rPr>
          <w:i/>
          <w:sz w:val="22"/>
          <w:szCs w:val="22"/>
        </w:rPr>
        <w:t>; e por não terem comprovado a economicidade da adesão à Ata de Registro de Preços do Pregão Eletrônico</w:t>
      </w:r>
      <w:r w:rsidR="00D67CAF">
        <w:rPr>
          <w:i/>
          <w:sz w:val="22"/>
          <w:szCs w:val="22"/>
        </w:rPr>
        <w:t xml:space="preserve"> (...)</w:t>
      </w:r>
      <w:r w:rsidR="00D67CAF" w:rsidRPr="00D67CAF">
        <w:rPr>
          <w:i/>
          <w:sz w:val="22"/>
          <w:szCs w:val="22"/>
        </w:rPr>
        <w:t xml:space="preserve"> do Ministério da Defesa (MD), haja vista que utilizaram parâmetros de preços inválidos</w:t>
      </w:r>
      <w:r w:rsidR="00D67CAF">
        <w:rPr>
          <w:i/>
          <w:sz w:val="22"/>
          <w:szCs w:val="22"/>
        </w:rPr>
        <w:t>”</w:t>
      </w:r>
      <w:r w:rsidR="00D67CAF" w:rsidRPr="00D67CAF">
        <w:rPr>
          <w:i/>
          <w:sz w:val="22"/>
          <w:szCs w:val="22"/>
        </w:rPr>
        <w:t>.</w:t>
      </w:r>
      <w:r w:rsidR="00D67CAF">
        <w:rPr>
          <w:sz w:val="22"/>
          <w:szCs w:val="22"/>
        </w:rPr>
        <w:t xml:space="preserve"> </w:t>
      </w:r>
      <w:r w:rsidR="00A75C7F">
        <w:rPr>
          <w:sz w:val="22"/>
          <w:szCs w:val="22"/>
        </w:rPr>
        <w:t xml:space="preserve">Por fim, concluiu o relator que houve </w:t>
      </w:r>
      <w:r w:rsidR="00D67CAF">
        <w:rPr>
          <w:sz w:val="22"/>
          <w:szCs w:val="22"/>
        </w:rPr>
        <w:t xml:space="preserve">ofensa ao </w:t>
      </w:r>
      <w:r w:rsidR="00D67CAF" w:rsidRPr="00D67CAF">
        <w:rPr>
          <w:sz w:val="22"/>
          <w:szCs w:val="22"/>
        </w:rPr>
        <w:t>art. 8º do Decreto</w:t>
      </w:r>
      <w:r w:rsidR="001C0D43">
        <w:rPr>
          <w:sz w:val="22"/>
          <w:szCs w:val="22"/>
        </w:rPr>
        <w:t xml:space="preserve"> 3.931/</w:t>
      </w:r>
      <w:r w:rsidR="00D67CAF">
        <w:rPr>
          <w:sz w:val="22"/>
          <w:szCs w:val="22"/>
        </w:rPr>
        <w:t>01</w:t>
      </w:r>
      <w:r w:rsidR="001C0D43">
        <w:rPr>
          <w:sz w:val="22"/>
          <w:szCs w:val="22"/>
        </w:rPr>
        <w:t xml:space="preserve"> (revogado</w:t>
      </w:r>
      <w:r w:rsidR="004D53E0">
        <w:rPr>
          <w:sz w:val="22"/>
          <w:szCs w:val="22"/>
        </w:rPr>
        <w:t xml:space="preserve"> pelo Decreto</w:t>
      </w:r>
      <w:r w:rsidR="005F48C0">
        <w:rPr>
          <w:sz w:val="22"/>
          <w:szCs w:val="22"/>
        </w:rPr>
        <w:t xml:space="preserve"> 7.892/13</w:t>
      </w:r>
      <w:r w:rsidR="001C0D43">
        <w:rPr>
          <w:sz w:val="22"/>
          <w:szCs w:val="22"/>
        </w:rPr>
        <w:t>)</w:t>
      </w:r>
      <w:r w:rsidR="00D67CAF">
        <w:rPr>
          <w:sz w:val="22"/>
          <w:szCs w:val="22"/>
        </w:rPr>
        <w:t xml:space="preserve">, </w:t>
      </w:r>
      <w:r w:rsidR="001C0D43">
        <w:rPr>
          <w:sz w:val="22"/>
          <w:szCs w:val="22"/>
        </w:rPr>
        <w:t>o qual dispunha</w:t>
      </w:r>
      <w:r w:rsidR="00A75C7F">
        <w:rPr>
          <w:sz w:val="22"/>
          <w:szCs w:val="22"/>
        </w:rPr>
        <w:t xml:space="preserve"> que “</w:t>
      </w:r>
      <w:r w:rsidR="00A75C7F" w:rsidRPr="00A75C7F">
        <w:rPr>
          <w:i/>
          <w:sz w:val="22"/>
          <w:szCs w:val="22"/>
        </w:rPr>
        <w:t>a</w:t>
      </w:r>
      <w:r w:rsidR="00D67CAF" w:rsidRPr="00A75C7F">
        <w:rPr>
          <w:i/>
          <w:sz w:val="22"/>
          <w:szCs w:val="22"/>
        </w:rPr>
        <w:t xml:space="preserve"> Ata de Registro de Preços, durante sua vigência, poderá ser utilizada por qualquer órgão ou entidade da Administração que não tenha participado do certame licitatório, mediante prévia consulta ao órgão gerenciador, desde que devidamente comprovada a vantagem</w:t>
      </w:r>
      <w:r w:rsidR="001C0D43">
        <w:rPr>
          <w:i/>
          <w:sz w:val="22"/>
          <w:szCs w:val="22"/>
        </w:rPr>
        <w:t>”</w:t>
      </w:r>
      <w:r w:rsidR="00D67CAF" w:rsidRPr="00D67CAF">
        <w:rPr>
          <w:sz w:val="22"/>
          <w:szCs w:val="22"/>
        </w:rPr>
        <w:t>.</w:t>
      </w:r>
      <w:r w:rsidR="00A75C7F">
        <w:rPr>
          <w:sz w:val="22"/>
          <w:szCs w:val="22"/>
        </w:rPr>
        <w:t xml:space="preserve"> O Tribunal, endossando o voto do relator, rejeitou as justificativas apresentadas pelos responsáveis, aplicando-lhes a multa prevista no ar</w:t>
      </w:r>
      <w:r w:rsidR="001C0D43">
        <w:rPr>
          <w:sz w:val="22"/>
          <w:szCs w:val="22"/>
        </w:rPr>
        <w:t>t. 58, inciso II da Lei 8.443/</w:t>
      </w:r>
      <w:r w:rsidR="00A75C7F">
        <w:rPr>
          <w:sz w:val="22"/>
          <w:szCs w:val="22"/>
        </w:rPr>
        <w:t xml:space="preserve">92. </w:t>
      </w:r>
      <w:hyperlink r:id="rId14" w:history="1">
        <w:r w:rsidR="00A75C7F" w:rsidRPr="006423BE">
          <w:rPr>
            <w:rStyle w:val="Hyperlink"/>
            <w:b/>
            <w:bCs/>
            <w:i/>
            <w:iCs/>
            <w:sz w:val="22"/>
            <w:szCs w:val="22"/>
          </w:rPr>
          <w:t>Acórdão</w:t>
        </w:r>
        <w:r w:rsidR="006423BE" w:rsidRPr="006423BE">
          <w:rPr>
            <w:rStyle w:val="Hyperlink"/>
            <w:b/>
            <w:bCs/>
            <w:i/>
            <w:iCs/>
            <w:sz w:val="22"/>
            <w:szCs w:val="22"/>
          </w:rPr>
          <w:t xml:space="preserve"> </w:t>
        </w:r>
        <w:r w:rsidR="00A75C7F" w:rsidRPr="006423BE">
          <w:rPr>
            <w:rStyle w:val="Hyperlink"/>
            <w:b/>
            <w:bCs/>
            <w:i/>
            <w:iCs/>
            <w:sz w:val="22"/>
            <w:szCs w:val="22"/>
          </w:rPr>
          <w:t>509/2015-Plenário</w:t>
        </w:r>
      </w:hyperlink>
      <w:r w:rsidR="00A75C7F" w:rsidRPr="00243768">
        <w:rPr>
          <w:b/>
          <w:bCs/>
          <w:i/>
          <w:iCs/>
          <w:sz w:val="22"/>
          <w:szCs w:val="22"/>
        </w:rPr>
        <w:t>, TC 0</w:t>
      </w:r>
      <w:r w:rsidR="00633F26">
        <w:rPr>
          <w:b/>
          <w:bCs/>
          <w:i/>
          <w:iCs/>
          <w:sz w:val="22"/>
          <w:szCs w:val="22"/>
        </w:rPr>
        <w:t>28</w:t>
      </w:r>
      <w:r w:rsidR="00A75C7F" w:rsidRPr="00243768">
        <w:rPr>
          <w:b/>
          <w:bCs/>
          <w:i/>
          <w:iCs/>
          <w:sz w:val="22"/>
          <w:szCs w:val="22"/>
        </w:rPr>
        <w:t>.</w:t>
      </w:r>
      <w:r w:rsidR="00633F26">
        <w:rPr>
          <w:b/>
          <w:bCs/>
          <w:i/>
          <w:iCs/>
          <w:sz w:val="22"/>
          <w:szCs w:val="22"/>
        </w:rPr>
        <w:t>577</w:t>
      </w:r>
      <w:r w:rsidR="00A75C7F" w:rsidRPr="00243768">
        <w:rPr>
          <w:b/>
          <w:bCs/>
          <w:i/>
          <w:iCs/>
          <w:sz w:val="22"/>
          <w:szCs w:val="22"/>
        </w:rPr>
        <w:t>/201</w:t>
      </w:r>
      <w:r w:rsidR="00633F26">
        <w:rPr>
          <w:b/>
          <w:bCs/>
          <w:i/>
          <w:iCs/>
          <w:sz w:val="22"/>
          <w:szCs w:val="22"/>
        </w:rPr>
        <w:t>1</w:t>
      </w:r>
      <w:r w:rsidR="00A75C7F" w:rsidRPr="00243768">
        <w:rPr>
          <w:b/>
          <w:bCs/>
          <w:i/>
          <w:iCs/>
          <w:sz w:val="22"/>
          <w:szCs w:val="22"/>
        </w:rPr>
        <w:t>-</w:t>
      </w:r>
      <w:r w:rsidR="00633F26">
        <w:rPr>
          <w:b/>
          <w:bCs/>
          <w:i/>
          <w:iCs/>
          <w:sz w:val="22"/>
          <w:szCs w:val="22"/>
        </w:rPr>
        <w:t>6</w:t>
      </w:r>
      <w:r w:rsidR="00A75C7F" w:rsidRPr="00243768">
        <w:rPr>
          <w:b/>
          <w:bCs/>
          <w:i/>
          <w:iCs/>
          <w:sz w:val="22"/>
          <w:szCs w:val="22"/>
        </w:rPr>
        <w:t>, relator Ministro</w:t>
      </w:r>
      <w:r w:rsidR="00F65EAC">
        <w:rPr>
          <w:b/>
          <w:bCs/>
          <w:i/>
          <w:iCs/>
          <w:sz w:val="22"/>
          <w:szCs w:val="22"/>
        </w:rPr>
        <w:t>-Substituto</w:t>
      </w:r>
      <w:r w:rsidR="00A75C7F" w:rsidRPr="00243768">
        <w:rPr>
          <w:b/>
          <w:bCs/>
          <w:i/>
          <w:iCs/>
          <w:sz w:val="22"/>
          <w:szCs w:val="22"/>
        </w:rPr>
        <w:t xml:space="preserve"> </w:t>
      </w:r>
      <w:r w:rsidR="00633F26">
        <w:rPr>
          <w:b/>
          <w:bCs/>
          <w:i/>
          <w:iCs/>
          <w:sz w:val="22"/>
          <w:szCs w:val="22"/>
        </w:rPr>
        <w:t>Marcos</w:t>
      </w:r>
      <w:r w:rsidR="00F65EAC">
        <w:rPr>
          <w:b/>
          <w:bCs/>
          <w:i/>
          <w:iCs/>
          <w:sz w:val="22"/>
          <w:szCs w:val="22"/>
        </w:rPr>
        <w:t xml:space="preserve"> </w:t>
      </w:r>
      <w:r w:rsidR="00633F26">
        <w:rPr>
          <w:b/>
          <w:bCs/>
          <w:i/>
          <w:iCs/>
          <w:sz w:val="22"/>
          <w:szCs w:val="22"/>
        </w:rPr>
        <w:t>Bemquerer</w:t>
      </w:r>
      <w:r w:rsidR="00A75C7F" w:rsidRPr="00243768">
        <w:rPr>
          <w:b/>
          <w:bCs/>
          <w:i/>
          <w:iCs/>
          <w:sz w:val="22"/>
          <w:szCs w:val="22"/>
        </w:rPr>
        <w:t>, 11.3.2015.</w:t>
      </w:r>
    </w:p>
    <w:p w:rsidR="00D70D36" w:rsidRDefault="00D70D36" w:rsidP="004D53E0">
      <w:pPr>
        <w:pStyle w:val="enter-3pt"/>
        <w:tabs>
          <w:tab w:val="left" w:pos="2590"/>
        </w:tabs>
        <w:spacing w:line="240" w:lineRule="auto"/>
        <w:rPr>
          <w:b/>
          <w:bCs/>
          <w:i/>
          <w:iCs/>
          <w:sz w:val="22"/>
          <w:szCs w:val="22"/>
        </w:rPr>
      </w:pPr>
    </w:p>
    <w:p w:rsidR="00D70D36" w:rsidRPr="004276B7" w:rsidRDefault="00D70D36" w:rsidP="00D70D36">
      <w:pPr>
        <w:pBdr>
          <w:top w:val="threeDEmboss" w:sz="24" w:space="7" w:color="auto"/>
        </w:pBdr>
        <w:tabs>
          <w:tab w:val="left" w:pos="284"/>
          <w:tab w:val="left" w:pos="4172"/>
          <w:tab w:val="center" w:pos="4818"/>
        </w:tabs>
        <w:spacing w:after="0"/>
        <w:ind w:left="0"/>
        <w:jc w:val="center"/>
        <w:rPr>
          <w:b/>
          <w:bCs/>
          <w:smallCaps/>
          <w:sz w:val="22"/>
          <w:szCs w:val="22"/>
        </w:rPr>
      </w:pPr>
      <w:r w:rsidRPr="004276B7">
        <w:rPr>
          <w:b/>
          <w:bCs/>
          <w:smallCaps/>
          <w:sz w:val="22"/>
          <w:szCs w:val="22"/>
        </w:rPr>
        <w:t>INOVAÇÃO LEGISLATIVA</w:t>
      </w:r>
    </w:p>
    <w:p w:rsidR="00D70D36" w:rsidRPr="00D615B1" w:rsidRDefault="00D70D36" w:rsidP="00D70D36">
      <w:pPr>
        <w:pStyle w:val="NormalWeb"/>
        <w:spacing w:line="240" w:lineRule="auto"/>
        <w:ind w:firstLine="0"/>
        <w:jc w:val="both"/>
        <w:rPr>
          <w:b/>
          <w:sz w:val="22"/>
          <w:szCs w:val="22"/>
        </w:rPr>
      </w:pPr>
    </w:p>
    <w:p w:rsidR="00891F76" w:rsidRPr="00891F76" w:rsidRDefault="00177229" w:rsidP="00891F76">
      <w:pPr>
        <w:ind w:left="0"/>
        <w:rPr>
          <w:rFonts w:eastAsia="Times New Roman"/>
          <w:sz w:val="22"/>
          <w:szCs w:val="22"/>
          <w:lang w:eastAsia="pt-BR"/>
        </w:rPr>
      </w:pPr>
      <w:hyperlink r:id="rId15" w:history="1">
        <w:r w:rsidR="00025103">
          <w:rPr>
            <w:rStyle w:val="Hyperlink"/>
            <w:rFonts w:eastAsia="Times New Roman"/>
            <w:b/>
            <w:sz w:val="22"/>
            <w:szCs w:val="22"/>
          </w:rPr>
          <w:t>Decreto</w:t>
        </w:r>
        <w:r w:rsidR="00891F76" w:rsidRPr="00891F76">
          <w:rPr>
            <w:rStyle w:val="Hyperlink"/>
            <w:rFonts w:eastAsia="Times New Roman"/>
            <w:b/>
            <w:sz w:val="22"/>
            <w:szCs w:val="22"/>
          </w:rPr>
          <w:t xml:space="preserve"> 8</w:t>
        </w:r>
      </w:hyperlink>
      <w:hyperlink r:id="rId16" w:history="1">
        <w:r w:rsidR="00891F76" w:rsidRPr="00891F76">
          <w:rPr>
            <w:rStyle w:val="Hyperlink"/>
            <w:rFonts w:eastAsia="Times New Roman"/>
            <w:b/>
            <w:sz w:val="22"/>
            <w:szCs w:val="22"/>
          </w:rPr>
          <w:t>.420, de 18.3.2015</w:t>
        </w:r>
      </w:hyperlink>
      <w:r w:rsidR="00891F76">
        <w:rPr>
          <w:rFonts w:eastAsia="Times New Roman"/>
          <w:sz w:val="22"/>
          <w:szCs w:val="22"/>
        </w:rPr>
        <w:t>:</w:t>
      </w:r>
      <w:r w:rsidR="00891F76" w:rsidRPr="00891F76">
        <w:rPr>
          <w:rFonts w:eastAsia="Times New Roman"/>
          <w:sz w:val="22"/>
          <w:szCs w:val="22"/>
        </w:rPr>
        <w:t xml:space="preserve"> </w:t>
      </w:r>
      <w:r w:rsidR="00891F76">
        <w:rPr>
          <w:rFonts w:eastAsia="Times New Roman"/>
          <w:color w:val="000000"/>
          <w:sz w:val="22"/>
          <w:szCs w:val="22"/>
        </w:rPr>
        <w:t>Regulamenta a Lei</w:t>
      </w:r>
      <w:r w:rsidR="00891F76" w:rsidRPr="00891F76">
        <w:rPr>
          <w:rFonts w:eastAsia="Times New Roman"/>
          <w:color w:val="000000"/>
          <w:sz w:val="22"/>
          <w:szCs w:val="22"/>
        </w:rPr>
        <w:t xml:space="preserve"> 12.846, de 1</w:t>
      </w:r>
      <w:r w:rsidR="00891F76" w:rsidRPr="00891F76">
        <w:rPr>
          <w:rFonts w:eastAsia="Times New Roman"/>
          <w:color w:val="000000"/>
          <w:sz w:val="22"/>
          <w:szCs w:val="22"/>
          <w:u w:val="single"/>
          <w:vertAlign w:val="superscript"/>
        </w:rPr>
        <w:t>o</w:t>
      </w:r>
      <w:r w:rsidR="00891F76" w:rsidRPr="00891F76">
        <w:rPr>
          <w:rFonts w:eastAsia="Times New Roman"/>
          <w:color w:val="000000"/>
          <w:sz w:val="22"/>
          <w:szCs w:val="22"/>
        </w:rPr>
        <w:t xml:space="preserve"> de agosto de 2013, que dispõe sobre a responsabilização administrativa de pessoas jurídicas pela prática de atos contra a administração pública, nacional ou estrangeira e dá outras providências.</w:t>
      </w:r>
    </w:p>
    <w:p w:rsidR="00D70D36" w:rsidRDefault="00D70D36" w:rsidP="00D70D36">
      <w:pPr>
        <w:pStyle w:val="NormalWeb"/>
        <w:spacing w:line="240" w:lineRule="auto"/>
        <w:ind w:firstLine="0"/>
        <w:jc w:val="both"/>
      </w:pPr>
    </w:p>
    <w:p w:rsidR="00D70D36" w:rsidRPr="00D70D36" w:rsidRDefault="00D70D36" w:rsidP="004D53E0">
      <w:pPr>
        <w:pStyle w:val="enter-3pt"/>
        <w:tabs>
          <w:tab w:val="left" w:pos="2590"/>
        </w:tabs>
        <w:spacing w:line="240" w:lineRule="auto"/>
        <w:rPr>
          <w:b/>
          <w:bCs/>
          <w:iCs/>
          <w:sz w:val="22"/>
          <w:szCs w:val="22"/>
        </w:rPr>
      </w:pPr>
    </w:p>
    <w:p w:rsidR="00092E5F" w:rsidRDefault="00092E5F" w:rsidP="00B25CB1">
      <w:pPr>
        <w:spacing w:after="0"/>
        <w:ind w:left="0"/>
        <w:rPr>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48135F">
        <w:trPr>
          <w:trHeight w:val="779"/>
        </w:trPr>
        <w:tc>
          <w:tcPr>
            <w:tcW w:w="0" w:type="auto"/>
            <w:vAlign w:val="center"/>
          </w:tcPr>
          <w:p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7" w:history="1">
              <w:r w:rsidRPr="00827830">
                <w:rPr>
                  <w:rStyle w:val="Hyperlink"/>
                  <w:b/>
                  <w:i/>
                  <w:color w:val="auto"/>
                  <w:sz w:val="18"/>
                  <w:szCs w:val="18"/>
                </w:rPr>
                <w:t>infojuris@tcu.gov.br</w:t>
              </w:r>
            </w:hyperlink>
          </w:p>
        </w:tc>
      </w:tr>
    </w:tbl>
    <w:p w:rsidR="004A3A81" w:rsidRDefault="004A3A81" w:rsidP="00784888">
      <w:pPr>
        <w:ind w:left="0"/>
        <w:rPr>
          <w:sz w:val="22"/>
          <w:szCs w:val="22"/>
        </w:rPr>
      </w:pPr>
    </w:p>
    <w:p w:rsidR="002B7A02" w:rsidRPr="00827830" w:rsidRDefault="0048135F" w:rsidP="00784888">
      <w:pPr>
        <w:ind w:left="0"/>
        <w:rPr>
          <w:sz w:val="22"/>
          <w:szCs w:val="22"/>
        </w:rPr>
      </w:pPr>
      <w:r>
        <w:rPr>
          <w:sz w:val="22"/>
          <w:szCs w:val="22"/>
        </w:rPr>
        <w:br w:type="textWrapping" w:clear="all"/>
      </w:r>
    </w:p>
    <w:sectPr w:rsidR="002B7A02" w:rsidRPr="00827830" w:rsidSect="00616945">
      <w:headerReference w:type="default" r:id="rId18"/>
      <w:footerReference w:type="default" r:id="rId19"/>
      <w:headerReference w:type="first" r:id="rId20"/>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4E4" w:rsidRDefault="000474E4" w:rsidP="008B0547">
      <w:pPr>
        <w:spacing w:after="0"/>
      </w:pPr>
      <w:r>
        <w:separator/>
      </w:r>
    </w:p>
  </w:endnote>
  <w:endnote w:type="continuationSeparator" w:id="0">
    <w:p w:rsidR="000474E4" w:rsidRDefault="000474E4"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177229">
      <w:rPr>
        <w:noProof/>
        <w:sz w:val="20"/>
        <w:szCs w:val="20"/>
      </w:rPr>
      <w:t>5</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4E4" w:rsidRDefault="000474E4" w:rsidP="008B0547">
      <w:pPr>
        <w:spacing w:after="0"/>
      </w:pPr>
      <w:r>
        <w:separator/>
      </w:r>
    </w:p>
  </w:footnote>
  <w:footnote w:type="continuationSeparator" w:id="0">
    <w:p w:rsidR="000474E4" w:rsidRDefault="000474E4"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20"/>
  </w:num>
  <w:num w:numId="16">
    <w:abstractNumId w:val="0"/>
  </w:num>
  <w:num w:numId="17">
    <w:abstractNumId w:val="6"/>
  </w:num>
  <w:num w:numId="18">
    <w:abstractNumId w:val="4"/>
  </w:num>
  <w:num w:numId="19">
    <w:abstractNumId w:val="13"/>
  </w:num>
  <w:num w:numId="20">
    <w:abstractNumId w:val="1"/>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F0C"/>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55CC"/>
    <w:rsid w:val="000161F7"/>
    <w:rsid w:val="0001636D"/>
    <w:rsid w:val="0001643A"/>
    <w:rsid w:val="0001657D"/>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8CF"/>
    <w:rsid w:val="00023AFD"/>
    <w:rsid w:val="00023D72"/>
    <w:rsid w:val="00024363"/>
    <w:rsid w:val="00025103"/>
    <w:rsid w:val="000253D1"/>
    <w:rsid w:val="000253EE"/>
    <w:rsid w:val="00025450"/>
    <w:rsid w:val="00025753"/>
    <w:rsid w:val="00025A32"/>
    <w:rsid w:val="00025AA0"/>
    <w:rsid w:val="00025C63"/>
    <w:rsid w:val="000262E8"/>
    <w:rsid w:val="0002659E"/>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82A"/>
    <w:rsid w:val="00032CA1"/>
    <w:rsid w:val="00032CE9"/>
    <w:rsid w:val="00032D47"/>
    <w:rsid w:val="000334D4"/>
    <w:rsid w:val="00033551"/>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408F5"/>
    <w:rsid w:val="00040938"/>
    <w:rsid w:val="00041337"/>
    <w:rsid w:val="00041450"/>
    <w:rsid w:val="000415DA"/>
    <w:rsid w:val="00041E6A"/>
    <w:rsid w:val="00042393"/>
    <w:rsid w:val="00042A13"/>
    <w:rsid w:val="000431BD"/>
    <w:rsid w:val="00043654"/>
    <w:rsid w:val="000436B0"/>
    <w:rsid w:val="000438BA"/>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E66"/>
    <w:rsid w:val="00066F26"/>
    <w:rsid w:val="0006707B"/>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7F6"/>
    <w:rsid w:val="00072916"/>
    <w:rsid w:val="00072D55"/>
    <w:rsid w:val="00072F56"/>
    <w:rsid w:val="00073231"/>
    <w:rsid w:val="00073509"/>
    <w:rsid w:val="000735D1"/>
    <w:rsid w:val="0007405B"/>
    <w:rsid w:val="00074384"/>
    <w:rsid w:val="00074AC5"/>
    <w:rsid w:val="000756E7"/>
    <w:rsid w:val="00075CE6"/>
    <w:rsid w:val="00075D3C"/>
    <w:rsid w:val="000761CD"/>
    <w:rsid w:val="0007670D"/>
    <w:rsid w:val="000768BB"/>
    <w:rsid w:val="00076909"/>
    <w:rsid w:val="00076CF7"/>
    <w:rsid w:val="00077346"/>
    <w:rsid w:val="00077A56"/>
    <w:rsid w:val="00077BA4"/>
    <w:rsid w:val="0008010D"/>
    <w:rsid w:val="00080148"/>
    <w:rsid w:val="00080237"/>
    <w:rsid w:val="00080245"/>
    <w:rsid w:val="000807D4"/>
    <w:rsid w:val="00080B82"/>
    <w:rsid w:val="00080CAA"/>
    <w:rsid w:val="00080D3E"/>
    <w:rsid w:val="0008154F"/>
    <w:rsid w:val="00081635"/>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A4"/>
    <w:rsid w:val="000A0EF8"/>
    <w:rsid w:val="000A152A"/>
    <w:rsid w:val="000A1EBD"/>
    <w:rsid w:val="000A246C"/>
    <w:rsid w:val="000A261A"/>
    <w:rsid w:val="000A2B36"/>
    <w:rsid w:val="000A2C56"/>
    <w:rsid w:val="000A2DF9"/>
    <w:rsid w:val="000A301D"/>
    <w:rsid w:val="000A37A7"/>
    <w:rsid w:val="000A3939"/>
    <w:rsid w:val="000A402F"/>
    <w:rsid w:val="000A40FD"/>
    <w:rsid w:val="000A4384"/>
    <w:rsid w:val="000A4632"/>
    <w:rsid w:val="000A47EA"/>
    <w:rsid w:val="000A4E36"/>
    <w:rsid w:val="000A504A"/>
    <w:rsid w:val="000A50D4"/>
    <w:rsid w:val="000A5457"/>
    <w:rsid w:val="000A54F5"/>
    <w:rsid w:val="000A57DA"/>
    <w:rsid w:val="000A599E"/>
    <w:rsid w:val="000A6269"/>
    <w:rsid w:val="000A62BD"/>
    <w:rsid w:val="000A6645"/>
    <w:rsid w:val="000A6CDC"/>
    <w:rsid w:val="000A6E08"/>
    <w:rsid w:val="000A75EF"/>
    <w:rsid w:val="000A77BB"/>
    <w:rsid w:val="000A78E5"/>
    <w:rsid w:val="000A79DB"/>
    <w:rsid w:val="000B00CC"/>
    <w:rsid w:val="000B0765"/>
    <w:rsid w:val="000B0ECB"/>
    <w:rsid w:val="000B0FEA"/>
    <w:rsid w:val="000B1052"/>
    <w:rsid w:val="000B1627"/>
    <w:rsid w:val="000B1A59"/>
    <w:rsid w:val="000B1B9E"/>
    <w:rsid w:val="000B2AFA"/>
    <w:rsid w:val="000B2B2C"/>
    <w:rsid w:val="000B3015"/>
    <w:rsid w:val="000B3444"/>
    <w:rsid w:val="000B359F"/>
    <w:rsid w:val="000B395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342"/>
    <w:rsid w:val="000B639F"/>
    <w:rsid w:val="000B63F3"/>
    <w:rsid w:val="000B6475"/>
    <w:rsid w:val="000B6BC1"/>
    <w:rsid w:val="000B6DA0"/>
    <w:rsid w:val="000B706C"/>
    <w:rsid w:val="000B759E"/>
    <w:rsid w:val="000B775A"/>
    <w:rsid w:val="000B77F3"/>
    <w:rsid w:val="000B79DD"/>
    <w:rsid w:val="000B7EC2"/>
    <w:rsid w:val="000C0013"/>
    <w:rsid w:val="000C02AD"/>
    <w:rsid w:val="000C049A"/>
    <w:rsid w:val="000C060B"/>
    <w:rsid w:val="000C0AA8"/>
    <w:rsid w:val="000C0D07"/>
    <w:rsid w:val="000C1585"/>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C9"/>
    <w:rsid w:val="000C4BA1"/>
    <w:rsid w:val="000C4FAE"/>
    <w:rsid w:val="000C5199"/>
    <w:rsid w:val="000C51DE"/>
    <w:rsid w:val="000C5536"/>
    <w:rsid w:val="000C556A"/>
    <w:rsid w:val="000C5799"/>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FC"/>
    <w:rsid w:val="001016F1"/>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AAD"/>
    <w:rsid w:val="00104C71"/>
    <w:rsid w:val="00104D93"/>
    <w:rsid w:val="001052CD"/>
    <w:rsid w:val="00105F75"/>
    <w:rsid w:val="00106075"/>
    <w:rsid w:val="00106101"/>
    <w:rsid w:val="001064E1"/>
    <w:rsid w:val="001071C7"/>
    <w:rsid w:val="00107244"/>
    <w:rsid w:val="001072E1"/>
    <w:rsid w:val="00107486"/>
    <w:rsid w:val="00107A34"/>
    <w:rsid w:val="00107AC8"/>
    <w:rsid w:val="001100F8"/>
    <w:rsid w:val="0011038F"/>
    <w:rsid w:val="0011039E"/>
    <w:rsid w:val="001103EC"/>
    <w:rsid w:val="001104BA"/>
    <w:rsid w:val="001108C0"/>
    <w:rsid w:val="00110C79"/>
    <w:rsid w:val="00111441"/>
    <w:rsid w:val="00111866"/>
    <w:rsid w:val="00111A2A"/>
    <w:rsid w:val="00111A71"/>
    <w:rsid w:val="00111B67"/>
    <w:rsid w:val="00111E00"/>
    <w:rsid w:val="00112265"/>
    <w:rsid w:val="001125A2"/>
    <w:rsid w:val="00112676"/>
    <w:rsid w:val="0011273C"/>
    <w:rsid w:val="00112A5F"/>
    <w:rsid w:val="0011373A"/>
    <w:rsid w:val="00113A1F"/>
    <w:rsid w:val="00113B55"/>
    <w:rsid w:val="00114137"/>
    <w:rsid w:val="0011429C"/>
    <w:rsid w:val="00114511"/>
    <w:rsid w:val="00114ABD"/>
    <w:rsid w:val="00115305"/>
    <w:rsid w:val="0011552F"/>
    <w:rsid w:val="001156BA"/>
    <w:rsid w:val="0011582E"/>
    <w:rsid w:val="00115911"/>
    <w:rsid w:val="0011615F"/>
    <w:rsid w:val="001165AC"/>
    <w:rsid w:val="00116706"/>
    <w:rsid w:val="0011691F"/>
    <w:rsid w:val="00116BAB"/>
    <w:rsid w:val="00117178"/>
    <w:rsid w:val="001173EC"/>
    <w:rsid w:val="0011748D"/>
    <w:rsid w:val="001174F7"/>
    <w:rsid w:val="00117631"/>
    <w:rsid w:val="00117A9F"/>
    <w:rsid w:val="00117E95"/>
    <w:rsid w:val="0012006A"/>
    <w:rsid w:val="001203BE"/>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6A"/>
    <w:rsid w:val="00124A77"/>
    <w:rsid w:val="00125476"/>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C1D"/>
    <w:rsid w:val="00130032"/>
    <w:rsid w:val="00130752"/>
    <w:rsid w:val="00130A0C"/>
    <w:rsid w:val="00130B06"/>
    <w:rsid w:val="00130EF3"/>
    <w:rsid w:val="00131679"/>
    <w:rsid w:val="001316FC"/>
    <w:rsid w:val="0013176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BB"/>
    <w:rsid w:val="0013714A"/>
    <w:rsid w:val="00137335"/>
    <w:rsid w:val="0013735A"/>
    <w:rsid w:val="001374E3"/>
    <w:rsid w:val="001378A3"/>
    <w:rsid w:val="00137908"/>
    <w:rsid w:val="00137A34"/>
    <w:rsid w:val="00137B22"/>
    <w:rsid w:val="00137D7E"/>
    <w:rsid w:val="00137FE3"/>
    <w:rsid w:val="00140820"/>
    <w:rsid w:val="00140984"/>
    <w:rsid w:val="00140C58"/>
    <w:rsid w:val="00140CA5"/>
    <w:rsid w:val="00140DD7"/>
    <w:rsid w:val="00140FED"/>
    <w:rsid w:val="0014137E"/>
    <w:rsid w:val="00141D7A"/>
    <w:rsid w:val="00141DE9"/>
    <w:rsid w:val="001420D1"/>
    <w:rsid w:val="001420FE"/>
    <w:rsid w:val="00142621"/>
    <w:rsid w:val="00142699"/>
    <w:rsid w:val="0014299D"/>
    <w:rsid w:val="00142A39"/>
    <w:rsid w:val="00142AB7"/>
    <w:rsid w:val="00142C16"/>
    <w:rsid w:val="00142F14"/>
    <w:rsid w:val="001430DC"/>
    <w:rsid w:val="001438E6"/>
    <w:rsid w:val="001441C9"/>
    <w:rsid w:val="001444A2"/>
    <w:rsid w:val="00144987"/>
    <w:rsid w:val="00144EBC"/>
    <w:rsid w:val="00145439"/>
    <w:rsid w:val="00145B06"/>
    <w:rsid w:val="00145B71"/>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4AE"/>
    <w:rsid w:val="0016352E"/>
    <w:rsid w:val="00163585"/>
    <w:rsid w:val="00163752"/>
    <w:rsid w:val="001638FF"/>
    <w:rsid w:val="00163A36"/>
    <w:rsid w:val="00164355"/>
    <w:rsid w:val="00164DAA"/>
    <w:rsid w:val="0016510E"/>
    <w:rsid w:val="00165590"/>
    <w:rsid w:val="0016572F"/>
    <w:rsid w:val="001658D6"/>
    <w:rsid w:val="001665B9"/>
    <w:rsid w:val="001667C0"/>
    <w:rsid w:val="00166B40"/>
    <w:rsid w:val="00166C60"/>
    <w:rsid w:val="00167274"/>
    <w:rsid w:val="001672BC"/>
    <w:rsid w:val="00167F39"/>
    <w:rsid w:val="00170A9D"/>
    <w:rsid w:val="00170F1A"/>
    <w:rsid w:val="0017110F"/>
    <w:rsid w:val="00171DD5"/>
    <w:rsid w:val="00171E89"/>
    <w:rsid w:val="0017217D"/>
    <w:rsid w:val="001729A4"/>
    <w:rsid w:val="00173132"/>
    <w:rsid w:val="00173174"/>
    <w:rsid w:val="001731D5"/>
    <w:rsid w:val="001737F7"/>
    <w:rsid w:val="00173E98"/>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7229"/>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A7D"/>
    <w:rsid w:val="00183DA4"/>
    <w:rsid w:val="00183F58"/>
    <w:rsid w:val="001841C2"/>
    <w:rsid w:val="00184202"/>
    <w:rsid w:val="00184259"/>
    <w:rsid w:val="001843DB"/>
    <w:rsid w:val="001847D6"/>
    <w:rsid w:val="0018495A"/>
    <w:rsid w:val="00184DD0"/>
    <w:rsid w:val="001855E1"/>
    <w:rsid w:val="001858EA"/>
    <w:rsid w:val="00186AF4"/>
    <w:rsid w:val="00186C7E"/>
    <w:rsid w:val="0018763E"/>
    <w:rsid w:val="0018776F"/>
    <w:rsid w:val="00187F3D"/>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4053"/>
    <w:rsid w:val="001943EB"/>
    <w:rsid w:val="00194BE9"/>
    <w:rsid w:val="00194C5E"/>
    <w:rsid w:val="00194CA4"/>
    <w:rsid w:val="00194E35"/>
    <w:rsid w:val="00194EDA"/>
    <w:rsid w:val="00195023"/>
    <w:rsid w:val="001951C9"/>
    <w:rsid w:val="001956E2"/>
    <w:rsid w:val="00195F77"/>
    <w:rsid w:val="00196098"/>
    <w:rsid w:val="00196898"/>
    <w:rsid w:val="00196ADB"/>
    <w:rsid w:val="00196E11"/>
    <w:rsid w:val="0019736D"/>
    <w:rsid w:val="001977ED"/>
    <w:rsid w:val="001979BB"/>
    <w:rsid w:val="00197C2F"/>
    <w:rsid w:val="001A03C3"/>
    <w:rsid w:val="001A052D"/>
    <w:rsid w:val="001A0725"/>
    <w:rsid w:val="001A08CA"/>
    <w:rsid w:val="001A0B42"/>
    <w:rsid w:val="001A0B5D"/>
    <w:rsid w:val="001A0CC1"/>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809"/>
    <w:rsid w:val="001B2931"/>
    <w:rsid w:val="001B2A46"/>
    <w:rsid w:val="001B3729"/>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ED"/>
    <w:rsid w:val="001C3CF9"/>
    <w:rsid w:val="001C3FE0"/>
    <w:rsid w:val="001C412B"/>
    <w:rsid w:val="001C423E"/>
    <w:rsid w:val="001C437E"/>
    <w:rsid w:val="001C4723"/>
    <w:rsid w:val="001C4F39"/>
    <w:rsid w:val="001C4FE9"/>
    <w:rsid w:val="001C51E4"/>
    <w:rsid w:val="001C536B"/>
    <w:rsid w:val="001C5777"/>
    <w:rsid w:val="001C5B26"/>
    <w:rsid w:val="001C5B47"/>
    <w:rsid w:val="001C5C51"/>
    <w:rsid w:val="001C5CDF"/>
    <w:rsid w:val="001C6395"/>
    <w:rsid w:val="001C641C"/>
    <w:rsid w:val="001C6509"/>
    <w:rsid w:val="001C6A2C"/>
    <w:rsid w:val="001C6D43"/>
    <w:rsid w:val="001C6E55"/>
    <w:rsid w:val="001C71E3"/>
    <w:rsid w:val="001C729A"/>
    <w:rsid w:val="001C72D6"/>
    <w:rsid w:val="001C7892"/>
    <w:rsid w:val="001C7BF3"/>
    <w:rsid w:val="001C7DC4"/>
    <w:rsid w:val="001C7FD4"/>
    <w:rsid w:val="001D0208"/>
    <w:rsid w:val="001D03C7"/>
    <w:rsid w:val="001D0A1D"/>
    <w:rsid w:val="001D0FAF"/>
    <w:rsid w:val="001D1478"/>
    <w:rsid w:val="001D1E52"/>
    <w:rsid w:val="001D1ECA"/>
    <w:rsid w:val="001D1FCD"/>
    <w:rsid w:val="001D263A"/>
    <w:rsid w:val="001D2746"/>
    <w:rsid w:val="001D2968"/>
    <w:rsid w:val="001D2BC5"/>
    <w:rsid w:val="001D2D43"/>
    <w:rsid w:val="001D3401"/>
    <w:rsid w:val="001D34EB"/>
    <w:rsid w:val="001D35B4"/>
    <w:rsid w:val="001D3A4D"/>
    <w:rsid w:val="001D3F21"/>
    <w:rsid w:val="001D44B8"/>
    <w:rsid w:val="001D4515"/>
    <w:rsid w:val="001D476E"/>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E28"/>
    <w:rsid w:val="001E1E6E"/>
    <w:rsid w:val="001E2620"/>
    <w:rsid w:val="001E2B28"/>
    <w:rsid w:val="001E3674"/>
    <w:rsid w:val="001E3AC2"/>
    <w:rsid w:val="001E3D51"/>
    <w:rsid w:val="001E3D84"/>
    <w:rsid w:val="001E3DCC"/>
    <w:rsid w:val="001E4147"/>
    <w:rsid w:val="001E4381"/>
    <w:rsid w:val="001E44D3"/>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B05"/>
    <w:rsid w:val="001F2B1F"/>
    <w:rsid w:val="001F348E"/>
    <w:rsid w:val="001F34F8"/>
    <w:rsid w:val="001F473A"/>
    <w:rsid w:val="001F4DA1"/>
    <w:rsid w:val="001F5268"/>
    <w:rsid w:val="001F553C"/>
    <w:rsid w:val="001F5A5A"/>
    <w:rsid w:val="001F5E50"/>
    <w:rsid w:val="001F5EB4"/>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6E7"/>
    <w:rsid w:val="00205BBD"/>
    <w:rsid w:val="00205C7B"/>
    <w:rsid w:val="0020621C"/>
    <w:rsid w:val="00206508"/>
    <w:rsid w:val="002067A7"/>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01E"/>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08D"/>
    <w:rsid w:val="00215156"/>
    <w:rsid w:val="0021517D"/>
    <w:rsid w:val="002157BF"/>
    <w:rsid w:val="00216157"/>
    <w:rsid w:val="00216BD9"/>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BB3"/>
    <w:rsid w:val="00231CBC"/>
    <w:rsid w:val="00231DA0"/>
    <w:rsid w:val="00232158"/>
    <w:rsid w:val="00232164"/>
    <w:rsid w:val="0023253B"/>
    <w:rsid w:val="0023279B"/>
    <w:rsid w:val="002328F9"/>
    <w:rsid w:val="00232B8A"/>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5A6"/>
    <w:rsid w:val="00242061"/>
    <w:rsid w:val="002421B1"/>
    <w:rsid w:val="00242E6D"/>
    <w:rsid w:val="00243011"/>
    <w:rsid w:val="00243511"/>
    <w:rsid w:val="0024353D"/>
    <w:rsid w:val="002435FC"/>
    <w:rsid w:val="00243768"/>
    <w:rsid w:val="00243797"/>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B58"/>
    <w:rsid w:val="00255CF8"/>
    <w:rsid w:val="00255E00"/>
    <w:rsid w:val="00255FC7"/>
    <w:rsid w:val="00256044"/>
    <w:rsid w:val="002565C7"/>
    <w:rsid w:val="0025663C"/>
    <w:rsid w:val="00256671"/>
    <w:rsid w:val="002568DA"/>
    <w:rsid w:val="00256A50"/>
    <w:rsid w:val="00256D8B"/>
    <w:rsid w:val="00256FE1"/>
    <w:rsid w:val="00257178"/>
    <w:rsid w:val="0025771F"/>
    <w:rsid w:val="0025781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993"/>
    <w:rsid w:val="002639CA"/>
    <w:rsid w:val="002642F2"/>
    <w:rsid w:val="0026473A"/>
    <w:rsid w:val="002648A3"/>
    <w:rsid w:val="002649A7"/>
    <w:rsid w:val="00264FC3"/>
    <w:rsid w:val="00265350"/>
    <w:rsid w:val="00265736"/>
    <w:rsid w:val="002657B3"/>
    <w:rsid w:val="00265874"/>
    <w:rsid w:val="0026589B"/>
    <w:rsid w:val="0026620A"/>
    <w:rsid w:val="002662AF"/>
    <w:rsid w:val="002663B7"/>
    <w:rsid w:val="002666C5"/>
    <w:rsid w:val="00266B83"/>
    <w:rsid w:val="00266C8A"/>
    <w:rsid w:val="002677CD"/>
    <w:rsid w:val="00267E01"/>
    <w:rsid w:val="00270185"/>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3058"/>
    <w:rsid w:val="002731B9"/>
    <w:rsid w:val="00273206"/>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379"/>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A8E"/>
    <w:rsid w:val="002930FA"/>
    <w:rsid w:val="00293198"/>
    <w:rsid w:val="002933A1"/>
    <w:rsid w:val="0029353D"/>
    <w:rsid w:val="00293A66"/>
    <w:rsid w:val="00293B8B"/>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D14"/>
    <w:rsid w:val="00297F8C"/>
    <w:rsid w:val="002A0113"/>
    <w:rsid w:val="002A03ED"/>
    <w:rsid w:val="002A040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F01"/>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C0291"/>
    <w:rsid w:val="002C0625"/>
    <w:rsid w:val="002C0678"/>
    <w:rsid w:val="002C1252"/>
    <w:rsid w:val="002C12D8"/>
    <w:rsid w:val="002C15D5"/>
    <w:rsid w:val="002C171E"/>
    <w:rsid w:val="002C182C"/>
    <w:rsid w:val="002C1896"/>
    <w:rsid w:val="002C1A06"/>
    <w:rsid w:val="002C208E"/>
    <w:rsid w:val="002C2F67"/>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F03"/>
    <w:rsid w:val="002C6588"/>
    <w:rsid w:val="002C662D"/>
    <w:rsid w:val="002C66E9"/>
    <w:rsid w:val="002C6B2F"/>
    <w:rsid w:val="002C6BFB"/>
    <w:rsid w:val="002C71CF"/>
    <w:rsid w:val="002C78D8"/>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819"/>
    <w:rsid w:val="002D1B69"/>
    <w:rsid w:val="002D1BA5"/>
    <w:rsid w:val="002D1C46"/>
    <w:rsid w:val="002D264F"/>
    <w:rsid w:val="002D26EC"/>
    <w:rsid w:val="002D2BF5"/>
    <w:rsid w:val="002D2D0E"/>
    <w:rsid w:val="002D3043"/>
    <w:rsid w:val="002D35F5"/>
    <w:rsid w:val="002D3B6D"/>
    <w:rsid w:val="002D3D5A"/>
    <w:rsid w:val="002D3E5B"/>
    <w:rsid w:val="002D4510"/>
    <w:rsid w:val="002D47FE"/>
    <w:rsid w:val="002D4A56"/>
    <w:rsid w:val="002D4B1D"/>
    <w:rsid w:val="002D5270"/>
    <w:rsid w:val="002D532D"/>
    <w:rsid w:val="002D58FC"/>
    <w:rsid w:val="002D5D7D"/>
    <w:rsid w:val="002D5F27"/>
    <w:rsid w:val="002D5FDF"/>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BC6"/>
    <w:rsid w:val="002E1EC2"/>
    <w:rsid w:val="002E1EC7"/>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FDB"/>
    <w:rsid w:val="002E700E"/>
    <w:rsid w:val="002E71B1"/>
    <w:rsid w:val="002E7794"/>
    <w:rsid w:val="002E79A6"/>
    <w:rsid w:val="002F0A46"/>
    <w:rsid w:val="002F0C37"/>
    <w:rsid w:val="002F0E1E"/>
    <w:rsid w:val="002F104B"/>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5497"/>
    <w:rsid w:val="002F556F"/>
    <w:rsid w:val="002F5678"/>
    <w:rsid w:val="002F5F3B"/>
    <w:rsid w:val="002F61A4"/>
    <w:rsid w:val="002F64E5"/>
    <w:rsid w:val="002F693C"/>
    <w:rsid w:val="002F69BB"/>
    <w:rsid w:val="002F6EC5"/>
    <w:rsid w:val="002F6FAD"/>
    <w:rsid w:val="002F7003"/>
    <w:rsid w:val="002F7707"/>
    <w:rsid w:val="002F797B"/>
    <w:rsid w:val="002F7A9E"/>
    <w:rsid w:val="002F7C6D"/>
    <w:rsid w:val="003006FA"/>
    <w:rsid w:val="0030071B"/>
    <w:rsid w:val="003010D4"/>
    <w:rsid w:val="0030120B"/>
    <w:rsid w:val="00302044"/>
    <w:rsid w:val="003020F4"/>
    <w:rsid w:val="003023A1"/>
    <w:rsid w:val="003025C7"/>
    <w:rsid w:val="0030360F"/>
    <w:rsid w:val="00303790"/>
    <w:rsid w:val="00303984"/>
    <w:rsid w:val="00304072"/>
    <w:rsid w:val="00304161"/>
    <w:rsid w:val="003043A7"/>
    <w:rsid w:val="00304618"/>
    <w:rsid w:val="00304643"/>
    <w:rsid w:val="0030477F"/>
    <w:rsid w:val="003047D2"/>
    <w:rsid w:val="0030493A"/>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702A"/>
    <w:rsid w:val="003170A7"/>
    <w:rsid w:val="003178EF"/>
    <w:rsid w:val="003179E3"/>
    <w:rsid w:val="00317B6B"/>
    <w:rsid w:val="00317CF0"/>
    <w:rsid w:val="00317E59"/>
    <w:rsid w:val="00320368"/>
    <w:rsid w:val="0032040C"/>
    <w:rsid w:val="00320465"/>
    <w:rsid w:val="00320B02"/>
    <w:rsid w:val="00320B84"/>
    <w:rsid w:val="00320D78"/>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FF5"/>
    <w:rsid w:val="0033244F"/>
    <w:rsid w:val="00332C1D"/>
    <w:rsid w:val="00332EF9"/>
    <w:rsid w:val="00332F67"/>
    <w:rsid w:val="00333005"/>
    <w:rsid w:val="00333597"/>
    <w:rsid w:val="00334500"/>
    <w:rsid w:val="0033497F"/>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6BB"/>
    <w:rsid w:val="00353B7C"/>
    <w:rsid w:val="00353BE4"/>
    <w:rsid w:val="00353D60"/>
    <w:rsid w:val="0035402B"/>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99D"/>
    <w:rsid w:val="00362905"/>
    <w:rsid w:val="003629D8"/>
    <w:rsid w:val="00362D04"/>
    <w:rsid w:val="00362D33"/>
    <w:rsid w:val="00363230"/>
    <w:rsid w:val="003644B2"/>
    <w:rsid w:val="00364B80"/>
    <w:rsid w:val="00364D53"/>
    <w:rsid w:val="00364FD8"/>
    <w:rsid w:val="0036548C"/>
    <w:rsid w:val="003654A7"/>
    <w:rsid w:val="00365669"/>
    <w:rsid w:val="00365A74"/>
    <w:rsid w:val="0036610E"/>
    <w:rsid w:val="00366735"/>
    <w:rsid w:val="0036674E"/>
    <w:rsid w:val="0036675B"/>
    <w:rsid w:val="00366917"/>
    <w:rsid w:val="00366EBB"/>
    <w:rsid w:val="00366F43"/>
    <w:rsid w:val="0036772F"/>
    <w:rsid w:val="00367BD2"/>
    <w:rsid w:val="003705BB"/>
    <w:rsid w:val="00370612"/>
    <w:rsid w:val="00370987"/>
    <w:rsid w:val="003709BD"/>
    <w:rsid w:val="00370A1C"/>
    <w:rsid w:val="00370AD3"/>
    <w:rsid w:val="00370BC7"/>
    <w:rsid w:val="00371059"/>
    <w:rsid w:val="003715D6"/>
    <w:rsid w:val="003717C6"/>
    <w:rsid w:val="00371822"/>
    <w:rsid w:val="003719DE"/>
    <w:rsid w:val="00371A15"/>
    <w:rsid w:val="00371A33"/>
    <w:rsid w:val="00371F8F"/>
    <w:rsid w:val="0037285D"/>
    <w:rsid w:val="00372E83"/>
    <w:rsid w:val="003730E2"/>
    <w:rsid w:val="0037314C"/>
    <w:rsid w:val="003731C2"/>
    <w:rsid w:val="00373747"/>
    <w:rsid w:val="00373860"/>
    <w:rsid w:val="00373DBC"/>
    <w:rsid w:val="00373DDB"/>
    <w:rsid w:val="00374226"/>
    <w:rsid w:val="00374B8C"/>
    <w:rsid w:val="00375080"/>
    <w:rsid w:val="0037523C"/>
    <w:rsid w:val="00375561"/>
    <w:rsid w:val="00375772"/>
    <w:rsid w:val="0037593A"/>
    <w:rsid w:val="00375D9E"/>
    <w:rsid w:val="003761DC"/>
    <w:rsid w:val="00376223"/>
    <w:rsid w:val="00376575"/>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75D"/>
    <w:rsid w:val="003849D7"/>
    <w:rsid w:val="00384BEF"/>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865"/>
    <w:rsid w:val="00393C76"/>
    <w:rsid w:val="00393FCC"/>
    <w:rsid w:val="003942EA"/>
    <w:rsid w:val="003943E5"/>
    <w:rsid w:val="00394793"/>
    <w:rsid w:val="003947BD"/>
    <w:rsid w:val="00394A7E"/>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F18"/>
    <w:rsid w:val="003A5479"/>
    <w:rsid w:val="003A57F9"/>
    <w:rsid w:val="003A5C1B"/>
    <w:rsid w:val="003A5F8F"/>
    <w:rsid w:val="003A60B9"/>
    <w:rsid w:val="003A6665"/>
    <w:rsid w:val="003A6CF4"/>
    <w:rsid w:val="003A6E79"/>
    <w:rsid w:val="003A7971"/>
    <w:rsid w:val="003A7C7F"/>
    <w:rsid w:val="003A7F48"/>
    <w:rsid w:val="003A7FDB"/>
    <w:rsid w:val="003B0162"/>
    <w:rsid w:val="003B023B"/>
    <w:rsid w:val="003B0304"/>
    <w:rsid w:val="003B043F"/>
    <w:rsid w:val="003B09C9"/>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4B2D"/>
    <w:rsid w:val="003C5187"/>
    <w:rsid w:val="003C526E"/>
    <w:rsid w:val="003C58C9"/>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98F"/>
    <w:rsid w:val="003D1993"/>
    <w:rsid w:val="003D201E"/>
    <w:rsid w:val="003D2665"/>
    <w:rsid w:val="003D314A"/>
    <w:rsid w:val="003D331D"/>
    <w:rsid w:val="003D3574"/>
    <w:rsid w:val="003D3857"/>
    <w:rsid w:val="003D3A0C"/>
    <w:rsid w:val="003D3A71"/>
    <w:rsid w:val="003D4149"/>
    <w:rsid w:val="003D44C8"/>
    <w:rsid w:val="003D47FD"/>
    <w:rsid w:val="003D4AA0"/>
    <w:rsid w:val="003D4B8C"/>
    <w:rsid w:val="003D5526"/>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05F"/>
    <w:rsid w:val="003F413A"/>
    <w:rsid w:val="003F47B8"/>
    <w:rsid w:val="003F4A40"/>
    <w:rsid w:val="003F4B33"/>
    <w:rsid w:val="003F5154"/>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8D3"/>
    <w:rsid w:val="003F7D98"/>
    <w:rsid w:val="004000C9"/>
    <w:rsid w:val="004002AB"/>
    <w:rsid w:val="0040048C"/>
    <w:rsid w:val="00400533"/>
    <w:rsid w:val="00400C90"/>
    <w:rsid w:val="00400F7F"/>
    <w:rsid w:val="00401930"/>
    <w:rsid w:val="00401ABD"/>
    <w:rsid w:val="00401B73"/>
    <w:rsid w:val="004023F7"/>
    <w:rsid w:val="00402B9B"/>
    <w:rsid w:val="00402C93"/>
    <w:rsid w:val="00402CED"/>
    <w:rsid w:val="0040363C"/>
    <w:rsid w:val="004036AF"/>
    <w:rsid w:val="0040371E"/>
    <w:rsid w:val="00403A08"/>
    <w:rsid w:val="00403A0F"/>
    <w:rsid w:val="00403BE7"/>
    <w:rsid w:val="00403F52"/>
    <w:rsid w:val="0040424B"/>
    <w:rsid w:val="0040434E"/>
    <w:rsid w:val="004045DC"/>
    <w:rsid w:val="0040481F"/>
    <w:rsid w:val="004048E5"/>
    <w:rsid w:val="00404D1E"/>
    <w:rsid w:val="00405316"/>
    <w:rsid w:val="004057B0"/>
    <w:rsid w:val="00405876"/>
    <w:rsid w:val="00406224"/>
    <w:rsid w:val="004065C0"/>
    <w:rsid w:val="00406623"/>
    <w:rsid w:val="0040692C"/>
    <w:rsid w:val="00406F1D"/>
    <w:rsid w:val="00407AB6"/>
    <w:rsid w:val="00407FCA"/>
    <w:rsid w:val="00410810"/>
    <w:rsid w:val="004108C3"/>
    <w:rsid w:val="004109CD"/>
    <w:rsid w:val="00410ED3"/>
    <w:rsid w:val="00411268"/>
    <w:rsid w:val="0041153E"/>
    <w:rsid w:val="004117A3"/>
    <w:rsid w:val="00411DB9"/>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D1A"/>
    <w:rsid w:val="00425431"/>
    <w:rsid w:val="004254F2"/>
    <w:rsid w:val="004257A8"/>
    <w:rsid w:val="00425BB7"/>
    <w:rsid w:val="00425D34"/>
    <w:rsid w:val="00425FF9"/>
    <w:rsid w:val="00426328"/>
    <w:rsid w:val="004266DC"/>
    <w:rsid w:val="0042677E"/>
    <w:rsid w:val="00426A0F"/>
    <w:rsid w:val="0042706F"/>
    <w:rsid w:val="004274A1"/>
    <w:rsid w:val="004275C7"/>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5"/>
    <w:rsid w:val="00442838"/>
    <w:rsid w:val="0044284D"/>
    <w:rsid w:val="00442C13"/>
    <w:rsid w:val="00442E88"/>
    <w:rsid w:val="00443050"/>
    <w:rsid w:val="00443352"/>
    <w:rsid w:val="0044336F"/>
    <w:rsid w:val="004438B7"/>
    <w:rsid w:val="004439F1"/>
    <w:rsid w:val="0044417A"/>
    <w:rsid w:val="0044434A"/>
    <w:rsid w:val="0044437F"/>
    <w:rsid w:val="00444447"/>
    <w:rsid w:val="004446ED"/>
    <w:rsid w:val="00444D9A"/>
    <w:rsid w:val="0044529F"/>
    <w:rsid w:val="004452BC"/>
    <w:rsid w:val="004453BC"/>
    <w:rsid w:val="004453D0"/>
    <w:rsid w:val="00445787"/>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D19"/>
    <w:rsid w:val="00471284"/>
    <w:rsid w:val="004712D4"/>
    <w:rsid w:val="00471E08"/>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D16"/>
    <w:rsid w:val="00482E4C"/>
    <w:rsid w:val="00482E4F"/>
    <w:rsid w:val="004831CC"/>
    <w:rsid w:val="00483553"/>
    <w:rsid w:val="004836D8"/>
    <w:rsid w:val="004837C6"/>
    <w:rsid w:val="00483998"/>
    <w:rsid w:val="00483FC1"/>
    <w:rsid w:val="0048405B"/>
    <w:rsid w:val="00484250"/>
    <w:rsid w:val="00484652"/>
    <w:rsid w:val="00484695"/>
    <w:rsid w:val="004848A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8ED"/>
    <w:rsid w:val="00487B7C"/>
    <w:rsid w:val="0049004B"/>
    <w:rsid w:val="004908E5"/>
    <w:rsid w:val="00490C52"/>
    <w:rsid w:val="00491039"/>
    <w:rsid w:val="00491438"/>
    <w:rsid w:val="00491AE6"/>
    <w:rsid w:val="00491B1C"/>
    <w:rsid w:val="00491B9F"/>
    <w:rsid w:val="004922BC"/>
    <w:rsid w:val="004923BD"/>
    <w:rsid w:val="00492862"/>
    <w:rsid w:val="00492E3F"/>
    <w:rsid w:val="004930B3"/>
    <w:rsid w:val="00493F5C"/>
    <w:rsid w:val="00494129"/>
    <w:rsid w:val="0049412A"/>
    <w:rsid w:val="00494269"/>
    <w:rsid w:val="004945E3"/>
    <w:rsid w:val="0049469C"/>
    <w:rsid w:val="00494A4D"/>
    <w:rsid w:val="00494D66"/>
    <w:rsid w:val="00494EB3"/>
    <w:rsid w:val="00494F75"/>
    <w:rsid w:val="00495135"/>
    <w:rsid w:val="004952F2"/>
    <w:rsid w:val="0049560D"/>
    <w:rsid w:val="00495DB3"/>
    <w:rsid w:val="00495F43"/>
    <w:rsid w:val="00496B7B"/>
    <w:rsid w:val="00497F5E"/>
    <w:rsid w:val="004A00B0"/>
    <w:rsid w:val="004A10F9"/>
    <w:rsid w:val="004A16BB"/>
    <w:rsid w:val="004A171B"/>
    <w:rsid w:val="004A1A36"/>
    <w:rsid w:val="004A1C9C"/>
    <w:rsid w:val="004A207E"/>
    <w:rsid w:val="004A2148"/>
    <w:rsid w:val="004A2358"/>
    <w:rsid w:val="004A2385"/>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3E6"/>
    <w:rsid w:val="004B2835"/>
    <w:rsid w:val="004B28C5"/>
    <w:rsid w:val="004B326B"/>
    <w:rsid w:val="004B329D"/>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997"/>
    <w:rsid w:val="004B7E45"/>
    <w:rsid w:val="004B7FE2"/>
    <w:rsid w:val="004C07BD"/>
    <w:rsid w:val="004C07E2"/>
    <w:rsid w:val="004C0EF4"/>
    <w:rsid w:val="004C109F"/>
    <w:rsid w:val="004C14B1"/>
    <w:rsid w:val="004C1A46"/>
    <w:rsid w:val="004C1C2F"/>
    <w:rsid w:val="004C289A"/>
    <w:rsid w:val="004C28C4"/>
    <w:rsid w:val="004C2ADF"/>
    <w:rsid w:val="004C31BF"/>
    <w:rsid w:val="004C3427"/>
    <w:rsid w:val="004C41ED"/>
    <w:rsid w:val="004C4453"/>
    <w:rsid w:val="004C4A77"/>
    <w:rsid w:val="004C4D53"/>
    <w:rsid w:val="004C5692"/>
    <w:rsid w:val="004C5A50"/>
    <w:rsid w:val="004C5D4D"/>
    <w:rsid w:val="004C60F8"/>
    <w:rsid w:val="004C6173"/>
    <w:rsid w:val="004C61A3"/>
    <w:rsid w:val="004C68C2"/>
    <w:rsid w:val="004C6E03"/>
    <w:rsid w:val="004C6F47"/>
    <w:rsid w:val="004C6F97"/>
    <w:rsid w:val="004C73E2"/>
    <w:rsid w:val="004C780C"/>
    <w:rsid w:val="004C79B9"/>
    <w:rsid w:val="004C7AA2"/>
    <w:rsid w:val="004C7D5A"/>
    <w:rsid w:val="004D03BA"/>
    <w:rsid w:val="004D0A75"/>
    <w:rsid w:val="004D0F17"/>
    <w:rsid w:val="004D0FAE"/>
    <w:rsid w:val="004D118A"/>
    <w:rsid w:val="004D1346"/>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B6C"/>
    <w:rsid w:val="004E4F6D"/>
    <w:rsid w:val="004E5000"/>
    <w:rsid w:val="004E5251"/>
    <w:rsid w:val="004E530F"/>
    <w:rsid w:val="004E5331"/>
    <w:rsid w:val="004E5599"/>
    <w:rsid w:val="004E55D4"/>
    <w:rsid w:val="004E586B"/>
    <w:rsid w:val="004E5A83"/>
    <w:rsid w:val="004E5CB8"/>
    <w:rsid w:val="004E5DA2"/>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2C12"/>
    <w:rsid w:val="004F3035"/>
    <w:rsid w:val="004F3340"/>
    <w:rsid w:val="004F368A"/>
    <w:rsid w:val="004F379F"/>
    <w:rsid w:val="004F3D4A"/>
    <w:rsid w:val="004F3E0F"/>
    <w:rsid w:val="004F401E"/>
    <w:rsid w:val="004F43AB"/>
    <w:rsid w:val="004F456D"/>
    <w:rsid w:val="004F50EE"/>
    <w:rsid w:val="004F5614"/>
    <w:rsid w:val="004F58BE"/>
    <w:rsid w:val="004F712C"/>
    <w:rsid w:val="004F7174"/>
    <w:rsid w:val="004F7AF1"/>
    <w:rsid w:val="004F7C43"/>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F6D"/>
    <w:rsid w:val="0050761D"/>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34D4"/>
    <w:rsid w:val="0052382F"/>
    <w:rsid w:val="005239DD"/>
    <w:rsid w:val="00523BB0"/>
    <w:rsid w:val="00523BD9"/>
    <w:rsid w:val="00523CA1"/>
    <w:rsid w:val="00523EB9"/>
    <w:rsid w:val="0052417B"/>
    <w:rsid w:val="00524A9C"/>
    <w:rsid w:val="00525956"/>
    <w:rsid w:val="00525B92"/>
    <w:rsid w:val="00525BED"/>
    <w:rsid w:val="00525D89"/>
    <w:rsid w:val="0052633E"/>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664"/>
    <w:rsid w:val="00534787"/>
    <w:rsid w:val="005348FA"/>
    <w:rsid w:val="00534A44"/>
    <w:rsid w:val="00534AA1"/>
    <w:rsid w:val="0053508B"/>
    <w:rsid w:val="005359AE"/>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382"/>
    <w:rsid w:val="005455FC"/>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2B3"/>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BC"/>
    <w:rsid w:val="00572B78"/>
    <w:rsid w:val="00573426"/>
    <w:rsid w:val="00573713"/>
    <w:rsid w:val="00573ADD"/>
    <w:rsid w:val="00573D3B"/>
    <w:rsid w:val="00573EE2"/>
    <w:rsid w:val="00573F6A"/>
    <w:rsid w:val="005741C8"/>
    <w:rsid w:val="005742D5"/>
    <w:rsid w:val="00574329"/>
    <w:rsid w:val="0057432C"/>
    <w:rsid w:val="00574657"/>
    <w:rsid w:val="00574676"/>
    <w:rsid w:val="00574C41"/>
    <w:rsid w:val="00574CF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7048"/>
    <w:rsid w:val="005875A3"/>
    <w:rsid w:val="00587652"/>
    <w:rsid w:val="0058773A"/>
    <w:rsid w:val="005878D7"/>
    <w:rsid w:val="00587BD5"/>
    <w:rsid w:val="00587BD9"/>
    <w:rsid w:val="00587C5F"/>
    <w:rsid w:val="00587CCA"/>
    <w:rsid w:val="00590750"/>
    <w:rsid w:val="00590907"/>
    <w:rsid w:val="00590B0F"/>
    <w:rsid w:val="0059130F"/>
    <w:rsid w:val="00592283"/>
    <w:rsid w:val="00592385"/>
    <w:rsid w:val="0059241D"/>
    <w:rsid w:val="00592491"/>
    <w:rsid w:val="0059266B"/>
    <w:rsid w:val="0059346F"/>
    <w:rsid w:val="00593875"/>
    <w:rsid w:val="00593B35"/>
    <w:rsid w:val="00593E2F"/>
    <w:rsid w:val="005943C5"/>
    <w:rsid w:val="005948C2"/>
    <w:rsid w:val="00594A7B"/>
    <w:rsid w:val="00594C49"/>
    <w:rsid w:val="00595102"/>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7F"/>
    <w:rsid w:val="005A46A3"/>
    <w:rsid w:val="005A47FE"/>
    <w:rsid w:val="005A4B91"/>
    <w:rsid w:val="005A50F6"/>
    <w:rsid w:val="005A578B"/>
    <w:rsid w:val="005A5DE6"/>
    <w:rsid w:val="005A626B"/>
    <w:rsid w:val="005A6381"/>
    <w:rsid w:val="005A6858"/>
    <w:rsid w:val="005A697D"/>
    <w:rsid w:val="005A6AFA"/>
    <w:rsid w:val="005A6BA0"/>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2E1"/>
    <w:rsid w:val="005B4350"/>
    <w:rsid w:val="005B4621"/>
    <w:rsid w:val="005B4812"/>
    <w:rsid w:val="005B4CFA"/>
    <w:rsid w:val="005B4DEF"/>
    <w:rsid w:val="005B4ED1"/>
    <w:rsid w:val="005B50E0"/>
    <w:rsid w:val="005B5458"/>
    <w:rsid w:val="005B5589"/>
    <w:rsid w:val="005B574D"/>
    <w:rsid w:val="005B5B3D"/>
    <w:rsid w:val="005B5CEE"/>
    <w:rsid w:val="005B5CFF"/>
    <w:rsid w:val="005B630A"/>
    <w:rsid w:val="005B65C7"/>
    <w:rsid w:val="005B6B1E"/>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D03"/>
    <w:rsid w:val="005D50D9"/>
    <w:rsid w:val="005D529B"/>
    <w:rsid w:val="005D5E15"/>
    <w:rsid w:val="005D6261"/>
    <w:rsid w:val="005D65AE"/>
    <w:rsid w:val="005D6A61"/>
    <w:rsid w:val="005D6B60"/>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F01CE"/>
    <w:rsid w:val="005F0261"/>
    <w:rsid w:val="005F0296"/>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709"/>
    <w:rsid w:val="005F3A57"/>
    <w:rsid w:val="005F3C7E"/>
    <w:rsid w:val="005F3EAB"/>
    <w:rsid w:val="005F4027"/>
    <w:rsid w:val="005F42BB"/>
    <w:rsid w:val="005F45DB"/>
    <w:rsid w:val="005F4603"/>
    <w:rsid w:val="005F48C0"/>
    <w:rsid w:val="005F4E54"/>
    <w:rsid w:val="005F4EAE"/>
    <w:rsid w:val="005F574A"/>
    <w:rsid w:val="005F57F7"/>
    <w:rsid w:val="005F59DC"/>
    <w:rsid w:val="005F5DC9"/>
    <w:rsid w:val="005F6186"/>
    <w:rsid w:val="005F676C"/>
    <w:rsid w:val="005F68BE"/>
    <w:rsid w:val="005F70B6"/>
    <w:rsid w:val="005F73B3"/>
    <w:rsid w:val="005F7518"/>
    <w:rsid w:val="005F772E"/>
    <w:rsid w:val="005F778D"/>
    <w:rsid w:val="005F7A87"/>
    <w:rsid w:val="005F7BA0"/>
    <w:rsid w:val="005F7C34"/>
    <w:rsid w:val="005F7F41"/>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6FF"/>
    <w:rsid w:val="0061371F"/>
    <w:rsid w:val="00613A47"/>
    <w:rsid w:val="00613AC9"/>
    <w:rsid w:val="00613DA3"/>
    <w:rsid w:val="00613EFC"/>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07B"/>
    <w:rsid w:val="006272EC"/>
    <w:rsid w:val="006275F3"/>
    <w:rsid w:val="00627733"/>
    <w:rsid w:val="00627921"/>
    <w:rsid w:val="00627FB8"/>
    <w:rsid w:val="0063016C"/>
    <w:rsid w:val="00630A86"/>
    <w:rsid w:val="00630E1F"/>
    <w:rsid w:val="006311E3"/>
    <w:rsid w:val="006314EC"/>
    <w:rsid w:val="00631786"/>
    <w:rsid w:val="00631B1E"/>
    <w:rsid w:val="00631FE7"/>
    <w:rsid w:val="006321EA"/>
    <w:rsid w:val="006324E6"/>
    <w:rsid w:val="0063272C"/>
    <w:rsid w:val="00632ACC"/>
    <w:rsid w:val="006332CD"/>
    <w:rsid w:val="00633313"/>
    <w:rsid w:val="006335C9"/>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8C4"/>
    <w:rsid w:val="00637056"/>
    <w:rsid w:val="0063793A"/>
    <w:rsid w:val="006379F0"/>
    <w:rsid w:val="00637AD5"/>
    <w:rsid w:val="00637E9B"/>
    <w:rsid w:val="00637FDD"/>
    <w:rsid w:val="00640129"/>
    <w:rsid w:val="006407E3"/>
    <w:rsid w:val="0064090D"/>
    <w:rsid w:val="00641E57"/>
    <w:rsid w:val="00641E88"/>
    <w:rsid w:val="006421E9"/>
    <w:rsid w:val="006423BE"/>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858"/>
    <w:rsid w:val="006458F4"/>
    <w:rsid w:val="00645F03"/>
    <w:rsid w:val="00646486"/>
    <w:rsid w:val="00646602"/>
    <w:rsid w:val="00646BC4"/>
    <w:rsid w:val="00646D0E"/>
    <w:rsid w:val="006471F4"/>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FD8"/>
    <w:rsid w:val="006600DB"/>
    <w:rsid w:val="00660163"/>
    <w:rsid w:val="0066077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E3E"/>
    <w:rsid w:val="00667F07"/>
    <w:rsid w:val="00670B9B"/>
    <w:rsid w:val="00670BE7"/>
    <w:rsid w:val="00670D78"/>
    <w:rsid w:val="00670FEA"/>
    <w:rsid w:val="00671162"/>
    <w:rsid w:val="0067179C"/>
    <w:rsid w:val="00671874"/>
    <w:rsid w:val="00671CD0"/>
    <w:rsid w:val="00671DC9"/>
    <w:rsid w:val="0067252D"/>
    <w:rsid w:val="006728C2"/>
    <w:rsid w:val="00672C31"/>
    <w:rsid w:val="00672D4E"/>
    <w:rsid w:val="006730AC"/>
    <w:rsid w:val="006733DB"/>
    <w:rsid w:val="006733E9"/>
    <w:rsid w:val="006734AA"/>
    <w:rsid w:val="006734B3"/>
    <w:rsid w:val="0067353C"/>
    <w:rsid w:val="00673735"/>
    <w:rsid w:val="00674093"/>
    <w:rsid w:val="00674BC6"/>
    <w:rsid w:val="00675403"/>
    <w:rsid w:val="00675498"/>
    <w:rsid w:val="00675BE6"/>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223"/>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CC8"/>
    <w:rsid w:val="006A0F9D"/>
    <w:rsid w:val="006A1D7D"/>
    <w:rsid w:val="006A1E12"/>
    <w:rsid w:val="006A2019"/>
    <w:rsid w:val="006A21CC"/>
    <w:rsid w:val="006A294D"/>
    <w:rsid w:val="006A30E6"/>
    <w:rsid w:val="006A3D41"/>
    <w:rsid w:val="006A4022"/>
    <w:rsid w:val="006A4C19"/>
    <w:rsid w:val="006A511D"/>
    <w:rsid w:val="006A53F3"/>
    <w:rsid w:val="006A570E"/>
    <w:rsid w:val="006A5833"/>
    <w:rsid w:val="006A5A7A"/>
    <w:rsid w:val="006A5B87"/>
    <w:rsid w:val="006A6143"/>
    <w:rsid w:val="006A6410"/>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CA1"/>
    <w:rsid w:val="006B2F28"/>
    <w:rsid w:val="006B3325"/>
    <w:rsid w:val="006B33F7"/>
    <w:rsid w:val="006B38B3"/>
    <w:rsid w:val="006B3AF9"/>
    <w:rsid w:val="006B3C91"/>
    <w:rsid w:val="006B403E"/>
    <w:rsid w:val="006B414C"/>
    <w:rsid w:val="006B47F4"/>
    <w:rsid w:val="006B48AB"/>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53F8"/>
    <w:rsid w:val="006C54B1"/>
    <w:rsid w:val="006C54BB"/>
    <w:rsid w:val="006C54BE"/>
    <w:rsid w:val="006C56FC"/>
    <w:rsid w:val="006C5C6C"/>
    <w:rsid w:val="006C5F8C"/>
    <w:rsid w:val="006C63EB"/>
    <w:rsid w:val="006C72C5"/>
    <w:rsid w:val="006C7304"/>
    <w:rsid w:val="006C7488"/>
    <w:rsid w:val="006C761F"/>
    <w:rsid w:val="006C7815"/>
    <w:rsid w:val="006C7DE0"/>
    <w:rsid w:val="006D00BE"/>
    <w:rsid w:val="006D024B"/>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D06"/>
    <w:rsid w:val="006D2070"/>
    <w:rsid w:val="006D209E"/>
    <w:rsid w:val="006D2162"/>
    <w:rsid w:val="006D23EE"/>
    <w:rsid w:val="006D252A"/>
    <w:rsid w:val="006D2AB0"/>
    <w:rsid w:val="006D35C7"/>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B15"/>
    <w:rsid w:val="006E1CC8"/>
    <w:rsid w:val="006E1DA5"/>
    <w:rsid w:val="006E220A"/>
    <w:rsid w:val="006E27F1"/>
    <w:rsid w:val="006E2E12"/>
    <w:rsid w:val="006E346A"/>
    <w:rsid w:val="006E3C8A"/>
    <w:rsid w:val="006E3E0D"/>
    <w:rsid w:val="006E4064"/>
    <w:rsid w:val="006E4806"/>
    <w:rsid w:val="006E4C0D"/>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83D"/>
    <w:rsid w:val="006E799D"/>
    <w:rsid w:val="006E79FB"/>
    <w:rsid w:val="006E7BA7"/>
    <w:rsid w:val="006E7E32"/>
    <w:rsid w:val="006E7FA2"/>
    <w:rsid w:val="006F0036"/>
    <w:rsid w:val="006F024E"/>
    <w:rsid w:val="006F0D97"/>
    <w:rsid w:val="006F10D4"/>
    <w:rsid w:val="006F1233"/>
    <w:rsid w:val="006F1244"/>
    <w:rsid w:val="006F172C"/>
    <w:rsid w:val="006F27E0"/>
    <w:rsid w:val="006F28D9"/>
    <w:rsid w:val="006F2F67"/>
    <w:rsid w:val="006F30EF"/>
    <w:rsid w:val="006F3625"/>
    <w:rsid w:val="006F3CA4"/>
    <w:rsid w:val="006F4148"/>
    <w:rsid w:val="006F41AA"/>
    <w:rsid w:val="006F4986"/>
    <w:rsid w:val="006F4DE0"/>
    <w:rsid w:val="006F4EF0"/>
    <w:rsid w:val="006F4FB2"/>
    <w:rsid w:val="006F515A"/>
    <w:rsid w:val="006F5BCB"/>
    <w:rsid w:val="006F5BF3"/>
    <w:rsid w:val="006F5C90"/>
    <w:rsid w:val="006F5DB5"/>
    <w:rsid w:val="006F5E2D"/>
    <w:rsid w:val="006F62C5"/>
    <w:rsid w:val="006F6483"/>
    <w:rsid w:val="006F6EEB"/>
    <w:rsid w:val="006F7316"/>
    <w:rsid w:val="006F7332"/>
    <w:rsid w:val="006F7AF3"/>
    <w:rsid w:val="006F7BB6"/>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4B"/>
    <w:rsid w:val="00703C5B"/>
    <w:rsid w:val="00703F00"/>
    <w:rsid w:val="0070407E"/>
    <w:rsid w:val="00704530"/>
    <w:rsid w:val="007046DD"/>
    <w:rsid w:val="0070494F"/>
    <w:rsid w:val="00704969"/>
    <w:rsid w:val="00704BB0"/>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8AF"/>
    <w:rsid w:val="007179F7"/>
    <w:rsid w:val="00717B0D"/>
    <w:rsid w:val="00717F41"/>
    <w:rsid w:val="00720723"/>
    <w:rsid w:val="00720910"/>
    <w:rsid w:val="00720D97"/>
    <w:rsid w:val="00720F29"/>
    <w:rsid w:val="00720FF8"/>
    <w:rsid w:val="00721038"/>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B0B"/>
    <w:rsid w:val="00736376"/>
    <w:rsid w:val="00736FD3"/>
    <w:rsid w:val="00737424"/>
    <w:rsid w:val="007378AD"/>
    <w:rsid w:val="00737FEC"/>
    <w:rsid w:val="007400E2"/>
    <w:rsid w:val="00740292"/>
    <w:rsid w:val="007403DD"/>
    <w:rsid w:val="00740D16"/>
    <w:rsid w:val="00740DA2"/>
    <w:rsid w:val="00740FB1"/>
    <w:rsid w:val="00742422"/>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51A"/>
    <w:rsid w:val="00754E06"/>
    <w:rsid w:val="0075525C"/>
    <w:rsid w:val="00755374"/>
    <w:rsid w:val="0075566D"/>
    <w:rsid w:val="007556C3"/>
    <w:rsid w:val="0075580D"/>
    <w:rsid w:val="00755956"/>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97"/>
    <w:rsid w:val="00763A41"/>
    <w:rsid w:val="00763AE0"/>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EE"/>
    <w:rsid w:val="00770C72"/>
    <w:rsid w:val="00770FBF"/>
    <w:rsid w:val="007711D8"/>
    <w:rsid w:val="007719A8"/>
    <w:rsid w:val="00771CC5"/>
    <w:rsid w:val="00771DB8"/>
    <w:rsid w:val="0077228C"/>
    <w:rsid w:val="00772BB8"/>
    <w:rsid w:val="00772F03"/>
    <w:rsid w:val="00772FA8"/>
    <w:rsid w:val="00773149"/>
    <w:rsid w:val="007737D3"/>
    <w:rsid w:val="00773A71"/>
    <w:rsid w:val="00773B74"/>
    <w:rsid w:val="00773CAE"/>
    <w:rsid w:val="007741FA"/>
    <w:rsid w:val="00774593"/>
    <w:rsid w:val="00774725"/>
    <w:rsid w:val="00774B44"/>
    <w:rsid w:val="00774B87"/>
    <w:rsid w:val="00774C88"/>
    <w:rsid w:val="00774D02"/>
    <w:rsid w:val="007750D9"/>
    <w:rsid w:val="00775265"/>
    <w:rsid w:val="007753B5"/>
    <w:rsid w:val="00775695"/>
    <w:rsid w:val="00775788"/>
    <w:rsid w:val="00775AAA"/>
    <w:rsid w:val="00776EDA"/>
    <w:rsid w:val="007773AF"/>
    <w:rsid w:val="00777599"/>
    <w:rsid w:val="007779A0"/>
    <w:rsid w:val="00777A2C"/>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85F"/>
    <w:rsid w:val="00795A23"/>
    <w:rsid w:val="00795EE0"/>
    <w:rsid w:val="00796068"/>
    <w:rsid w:val="00796163"/>
    <w:rsid w:val="00796472"/>
    <w:rsid w:val="0079679D"/>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922"/>
    <w:rsid w:val="007A5924"/>
    <w:rsid w:val="007A5969"/>
    <w:rsid w:val="007A5AAE"/>
    <w:rsid w:val="007A5EED"/>
    <w:rsid w:val="007A63D4"/>
    <w:rsid w:val="007A671A"/>
    <w:rsid w:val="007A679D"/>
    <w:rsid w:val="007A71E1"/>
    <w:rsid w:val="007A7232"/>
    <w:rsid w:val="007A7635"/>
    <w:rsid w:val="007A767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A5"/>
    <w:rsid w:val="007C08AB"/>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104"/>
    <w:rsid w:val="007D420F"/>
    <w:rsid w:val="007D4757"/>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577"/>
    <w:rsid w:val="007E79C9"/>
    <w:rsid w:val="007E79CB"/>
    <w:rsid w:val="007E7C33"/>
    <w:rsid w:val="007E7D7E"/>
    <w:rsid w:val="007E7ECC"/>
    <w:rsid w:val="007E7FF2"/>
    <w:rsid w:val="007F00D0"/>
    <w:rsid w:val="007F0546"/>
    <w:rsid w:val="007F0635"/>
    <w:rsid w:val="007F0754"/>
    <w:rsid w:val="007F09F2"/>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97E"/>
    <w:rsid w:val="007F4E05"/>
    <w:rsid w:val="007F521A"/>
    <w:rsid w:val="007F5240"/>
    <w:rsid w:val="007F532E"/>
    <w:rsid w:val="007F5688"/>
    <w:rsid w:val="007F588F"/>
    <w:rsid w:val="007F5E63"/>
    <w:rsid w:val="007F603C"/>
    <w:rsid w:val="007F617F"/>
    <w:rsid w:val="007F633E"/>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3ED"/>
    <w:rsid w:val="008069B2"/>
    <w:rsid w:val="00806ABA"/>
    <w:rsid w:val="00806BC2"/>
    <w:rsid w:val="0080733E"/>
    <w:rsid w:val="0080783D"/>
    <w:rsid w:val="00807D62"/>
    <w:rsid w:val="008100B2"/>
    <w:rsid w:val="00810A71"/>
    <w:rsid w:val="00810B66"/>
    <w:rsid w:val="00810B76"/>
    <w:rsid w:val="00810CC2"/>
    <w:rsid w:val="00811B4D"/>
    <w:rsid w:val="008124CB"/>
    <w:rsid w:val="00812C2A"/>
    <w:rsid w:val="00812FCB"/>
    <w:rsid w:val="00813052"/>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1ED"/>
    <w:rsid w:val="008202BD"/>
    <w:rsid w:val="008203CB"/>
    <w:rsid w:val="008209BC"/>
    <w:rsid w:val="00820CEA"/>
    <w:rsid w:val="0082117C"/>
    <w:rsid w:val="00821702"/>
    <w:rsid w:val="008218ED"/>
    <w:rsid w:val="00822563"/>
    <w:rsid w:val="00823472"/>
    <w:rsid w:val="008234BD"/>
    <w:rsid w:val="00823663"/>
    <w:rsid w:val="0082372E"/>
    <w:rsid w:val="00823997"/>
    <w:rsid w:val="00823A7E"/>
    <w:rsid w:val="00823D0F"/>
    <w:rsid w:val="00824A8C"/>
    <w:rsid w:val="008250A5"/>
    <w:rsid w:val="00825155"/>
    <w:rsid w:val="0082545C"/>
    <w:rsid w:val="008258FE"/>
    <w:rsid w:val="00825D4C"/>
    <w:rsid w:val="00825D9F"/>
    <w:rsid w:val="00825EB9"/>
    <w:rsid w:val="008261E9"/>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6CE5"/>
    <w:rsid w:val="008475D6"/>
    <w:rsid w:val="00847B37"/>
    <w:rsid w:val="00847CE5"/>
    <w:rsid w:val="0085012C"/>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F4"/>
    <w:rsid w:val="00861E30"/>
    <w:rsid w:val="008625ED"/>
    <w:rsid w:val="00862725"/>
    <w:rsid w:val="00862AAE"/>
    <w:rsid w:val="00862DB7"/>
    <w:rsid w:val="00862F06"/>
    <w:rsid w:val="008634A8"/>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D54"/>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40D"/>
    <w:rsid w:val="00892702"/>
    <w:rsid w:val="00892841"/>
    <w:rsid w:val="008928A8"/>
    <w:rsid w:val="008928EB"/>
    <w:rsid w:val="00892ABE"/>
    <w:rsid w:val="00892BB8"/>
    <w:rsid w:val="00892EBB"/>
    <w:rsid w:val="00893014"/>
    <w:rsid w:val="008939C2"/>
    <w:rsid w:val="00893BAF"/>
    <w:rsid w:val="00893C33"/>
    <w:rsid w:val="00894600"/>
    <w:rsid w:val="0089513A"/>
    <w:rsid w:val="008953B7"/>
    <w:rsid w:val="008954E8"/>
    <w:rsid w:val="00895D68"/>
    <w:rsid w:val="00895DFF"/>
    <w:rsid w:val="00895F77"/>
    <w:rsid w:val="00896078"/>
    <w:rsid w:val="008961D5"/>
    <w:rsid w:val="008965FF"/>
    <w:rsid w:val="00896755"/>
    <w:rsid w:val="00896F38"/>
    <w:rsid w:val="00897A55"/>
    <w:rsid w:val="008A0172"/>
    <w:rsid w:val="008A019D"/>
    <w:rsid w:val="008A0395"/>
    <w:rsid w:val="008A0423"/>
    <w:rsid w:val="008A058F"/>
    <w:rsid w:val="008A0843"/>
    <w:rsid w:val="008A086B"/>
    <w:rsid w:val="008A0993"/>
    <w:rsid w:val="008A0F0E"/>
    <w:rsid w:val="008A1294"/>
    <w:rsid w:val="008A12E6"/>
    <w:rsid w:val="008A140B"/>
    <w:rsid w:val="008A1565"/>
    <w:rsid w:val="008A195C"/>
    <w:rsid w:val="008A1C9E"/>
    <w:rsid w:val="008A2417"/>
    <w:rsid w:val="008A273A"/>
    <w:rsid w:val="008A2B57"/>
    <w:rsid w:val="008A2C79"/>
    <w:rsid w:val="008A344D"/>
    <w:rsid w:val="008A34CE"/>
    <w:rsid w:val="008A3976"/>
    <w:rsid w:val="008A3AB8"/>
    <w:rsid w:val="008A4647"/>
    <w:rsid w:val="008A47EC"/>
    <w:rsid w:val="008A4A7A"/>
    <w:rsid w:val="008A4D6C"/>
    <w:rsid w:val="008A4FD4"/>
    <w:rsid w:val="008A5034"/>
    <w:rsid w:val="008A553E"/>
    <w:rsid w:val="008A55C0"/>
    <w:rsid w:val="008A5937"/>
    <w:rsid w:val="008A5D49"/>
    <w:rsid w:val="008A5D4A"/>
    <w:rsid w:val="008A60C7"/>
    <w:rsid w:val="008A63CF"/>
    <w:rsid w:val="008A6414"/>
    <w:rsid w:val="008A6952"/>
    <w:rsid w:val="008A69D6"/>
    <w:rsid w:val="008A6BDC"/>
    <w:rsid w:val="008A7333"/>
    <w:rsid w:val="008A7429"/>
    <w:rsid w:val="008A751E"/>
    <w:rsid w:val="008A756C"/>
    <w:rsid w:val="008A7679"/>
    <w:rsid w:val="008A7A77"/>
    <w:rsid w:val="008B0547"/>
    <w:rsid w:val="008B05EB"/>
    <w:rsid w:val="008B0D83"/>
    <w:rsid w:val="008B113C"/>
    <w:rsid w:val="008B11A3"/>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688"/>
    <w:rsid w:val="008B56B8"/>
    <w:rsid w:val="008B58F9"/>
    <w:rsid w:val="008B5DA7"/>
    <w:rsid w:val="008B607E"/>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D50"/>
    <w:rsid w:val="008C437D"/>
    <w:rsid w:val="008C4823"/>
    <w:rsid w:val="008C4EF9"/>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7A9"/>
    <w:rsid w:val="008D09E8"/>
    <w:rsid w:val="008D0E23"/>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5667"/>
    <w:rsid w:val="008D57ED"/>
    <w:rsid w:val="008D597F"/>
    <w:rsid w:val="008D603D"/>
    <w:rsid w:val="008D61B7"/>
    <w:rsid w:val="008D61F8"/>
    <w:rsid w:val="008D62A6"/>
    <w:rsid w:val="008D675C"/>
    <w:rsid w:val="008D6B2F"/>
    <w:rsid w:val="008D6D9A"/>
    <w:rsid w:val="008D6F5D"/>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C0"/>
    <w:rsid w:val="008E3C0B"/>
    <w:rsid w:val="008E3F76"/>
    <w:rsid w:val="008E4027"/>
    <w:rsid w:val="008E40B8"/>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97"/>
    <w:rsid w:val="008F03C0"/>
    <w:rsid w:val="008F03CB"/>
    <w:rsid w:val="008F045B"/>
    <w:rsid w:val="008F05FB"/>
    <w:rsid w:val="008F0A4B"/>
    <w:rsid w:val="008F0B17"/>
    <w:rsid w:val="008F0C2D"/>
    <w:rsid w:val="008F0F1C"/>
    <w:rsid w:val="008F136C"/>
    <w:rsid w:val="008F1E31"/>
    <w:rsid w:val="008F1FA2"/>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95F"/>
    <w:rsid w:val="008F6E12"/>
    <w:rsid w:val="008F6F9E"/>
    <w:rsid w:val="008F7290"/>
    <w:rsid w:val="00900057"/>
    <w:rsid w:val="0090019D"/>
    <w:rsid w:val="00900516"/>
    <w:rsid w:val="009005CE"/>
    <w:rsid w:val="009006A0"/>
    <w:rsid w:val="00900822"/>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104A9"/>
    <w:rsid w:val="00910550"/>
    <w:rsid w:val="00910A48"/>
    <w:rsid w:val="00910A6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A34"/>
    <w:rsid w:val="00917AFB"/>
    <w:rsid w:val="00917B6F"/>
    <w:rsid w:val="00917D2C"/>
    <w:rsid w:val="00917E08"/>
    <w:rsid w:val="00917E84"/>
    <w:rsid w:val="00920D31"/>
    <w:rsid w:val="009211CF"/>
    <w:rsid w:val="009211F2"/>
    <w:rsid w:val="00921A3E"/>
    <w:rsid w:val="00921A4F"/>
    <w:rsid w:val="00921B79"/>
    <w:rsid w:val="00922061"/>
    <w:rsid w:val="00922295"/>
    <w:rsid w:val="009226F4"/>
    <w:rsid w:val="0092299C"/>
    <w:rsid w:val="00922CD3"/>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576"/>
    <w:rsid w:val="009405C8"/>
    <w:rsid w:val="00940DD8"/>
    <w:rsid w:val="0094104B"/>
    <w:rsid w:val="0094141F"/>
    <w:rsid w:val="00941C5B"/>
    <w:rsid w:val="00941FF5"/>
    <w:rsid w:val="00942022"/>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C6B"/>
    <w:rsid w:val="009465EE"/>
    <w:rsid w:val="00946A49"/>
    <w:rsid w:val="00946D3C"/>
    <w:rsid w:val="009476BA"/>
    <w:rsid w:val="00947AEE"/>
    <w:rsid w:val="00947F64"/>
    <w:rsid w:val="0095030E"/>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978"/>
    <w:rsid w:val="00954C38"/>
    <w:rsid w:val="00955620"/>
    <w:rsid w:val="00955C62"/>
    <w:rsid w:val="00955E2A"/>
    <w:rsid w:val="00955F59"/>
    <w:rsid w:val="00956330"/>
    <w:rsid w:val="00956348"/>
    <w:rsid w:val="00956BA7"/>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FE"/>
    <w:rsid w:val="00962C94"/>
    <w:rsid w:val="00962F11"/>
    <w:rsid w:val="00963363"/>
    <w:rsid w:val="009635FB"/>
    <w:rsid w:val="00964075"/>
    <w:rsid w:val="009642CA"/>
    <w:rsid w:val="00964559"/>
    <w:rsid w:val="00964798"/>
    <w:rsid w:val="00964B4C"/>
    <w:rsid w:val="00964BE5"/>
    <w:rsid w:val="00964ED5"/>
    <w:rsid w:val="00964F2B"/>
    <w:rsid w:val="009652B6"/>
    <w:rsid w:val="00965A36"/>
    <w:rsid w:val="00965B60"/>
    <w:rsid w:val="00965CBD"/>
    <w:rsid w:val="00965D55"/>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B6E"/>
    <w:rsid w:val="00973E1D"/>
    <w:rsid w:val="00973F4A"/>
    <w:rsid w:val="0097401F"/>
    <w:rsid w:val="00974595"/>
    <w:rsid w:val="0097465C"/>
    <w:rsid w:val="00974DB6"/>
    <w:rsid w:val="00974E53"/>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54E"/>
    <w:rsid w:val="0099456D"/>
    <w:rsid w:val="00994618"/>
    <w:rsid w:val="00994948"/>
    <w:rsid w:val="00994F60"/>
    <w:rsid w:val="00995151"/>
    <w:rsid w:val="0099545F"/>
    <w:rsid w:val="00995BF1"/>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45A"/>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1ED2"/>
    <w:rsid w:val="009C22E6"/>
    <w:rsid w:val="009C2E9D"/>
    <w:rsid w:val="009C33CA"/>
    <w:rsid w:val="009C39AF"/>
    <w:rsid w:val="009C3EB1"/>
    <w:rsid w:val="009C4359"/>
    <w:rsid w:val="009C4B6D"/>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15F8"/>
    <w:rsid w:val="009D1941"/>
    <w:rsid w:val="009D1B99"/>
    <w:rsid w:val="009D1DD8"/>
    <w:rsid w:val="009D2609"/>
    <w:rsid w:val="009D2884"/>
    <w:rsid w:val="009D2A4F"/>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6026"/>
    <w:rsid w:val="009D65B9"/>
    <w:rsid w:val="009D6C11"/>
    <w:rsid w:val="009D6C99"/>
    <w:rsid w:val="009D70EE"/>
    <w:rsid w:val="009D7194"/>
    <w:rsid w:val="009D733B"/>
    <w:rsid w:val="009D7949"/>
    <w:rsid w:val="009D7A7F"/>
    <w:rsid w:val="009E0488"/>
    <w:rsid w:val="009E04DC"/>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733E"/>
    <w:rsid w:val="009E74C5"/>
    <w:rsid w:val="009F015D"/>
    <w:rsid w:val="009F01DB"/>
    <w:rsid w:val="009F1041"/>
    <w:rsid w:val="009F1253"/>
    <w:rsid w:val="009F16B2"/>
    <w:rsid w:val="009F18E8"/>
    <w:rsid w:val="009F202B"/>
    <w:rsid w:val="009F20C6"/>
    <w:rsid w:val="009F28CE"/>
    <w:rsid w:val="009F2E7E"/>
    <w:rsid w:val="009F37BF"/>
    <w:rsid w:val="009F3DA5"/>
    <w:rsid w:val="009F4326"/>
    <w:rsid w:val="009F43AF"/>
    <w:rsid w:val="009F4702"/>
    <w:rsid w:val="009F484C"/>
    <w:rsid w:val="009F4D5E"/>
    <w:rsid w:val="009F519F"/>
    <w:rsid w:val="009F560A"/>
    <w:rsid w:val="009F5834"/>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B3E"/>
    <w:rsid w:val="00A023BE"/>
    <w:rsid w:val="00A0244C"/>
    <w:rsid w:val="00A02A53"/>
    <w:rsid w:val="00A02C2C"/>
    <w:rsid w:val="00A02EFA"/>
    <w:rsid w:val="00A02FC7"/>
    <w:rsid w:val="00A033FF"/>
    <w:rsid w:val="00A038D7"/>
    <w:rsid w:val="00A038E2"/>
    <w:rsid w:val="00A03D62"/>
    <w:rsid w:val="00A03FA4"/>
    <w:rsid w:val="00A0409E"/>
    <w:rsid w:val="00A041B4"/>
    <w:rsid w:val="00A046C7"/>
    <w:rsid w:val="00A04BDD"/>
    <w:rsid w:val="00A04E2C"/>
    <w:rsid w:val="00A04EDA"/>
    <w:rsid w:val="00A05202"/>
    <w:rsid w:val="00A05450"/>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29C"/>
    <w:rsid w:val="00A138CF"/>
    <w:rsid w:val="00A13A8C"/>
    <w:rsid w:val="00A13DEE"/>
    <w:rsid w:val="00A13E26"/>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A49"/>
    <w:rsid w:val="00A20D96"/>
    <w:rsid w:val="00A210E7"/>
    <w:rsid w:val="00A21D7A"/>
    <w:rsid w:val="00A21E19"/>
    <w:rsid w:val="00A21EE2"/>
    <w:rsid w:val="00A22796"/>
    <w:rsid w:val="00A22B7C"/>
    <w:rsid w:val="00A22C2E"/>
    <w:rsid w:val="00A22E9D"/>
    <w:rsid w:val="00A2308C"/>
    <w:rsid w:val="00A233F6"/>
    <w:rsid w:val="00A2348F"/>
    <w:rsid w:val="00A236A1"/>
    <w:rsid w:val="00A239A8"/>
    <w:rsid w:val="00A23BA5"/>
    <w:rsid w:val="00A242EC"/>
    <w:rsid w:val="00A24599"/>
    <w:rsid w:val="00A24E78"/>
    <w:rsid w:val="00A24FBC"/>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4307"/>
    <w:rsid w:val="00A3439B"/>
    <w:rsid w:val="00A347EE"/>
    <w:rsid w:val="00A35495"/>
    <w:rsid w:val="00A35595"/>
    <w:rsid w:val="00A35A7A"/>
    <w:rsid w:val="00A35AA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79A"/>
    <w:rsid w:val="00A46E28"/>
    <w:rsid w:val="00A473D7"/>
    <w:rsid w:val="00A477C6"/>
    <w:rsid w:val="00A478FA"/>
    <w:rsid w:val="00A47A9A"/>
    <w:rsid w:val="00A47D31"/>
    <w:rsid w:val="00A501F6"/>
    <w:rsid w:val="00A50BCE"/>
    <w:rsid w:val="00A51066"/>
    <w:rsid w:val="00A51516"/>
    <w:rsid w:val="00A51653"/>
    <w:rsid w:val="00A51BDE"/>
    <w:rsid w:val="00A51CBF"/>
    <w:rsid w:val="00A51DA8"/>
    <w:rsid w:val="00A51DF8"/>
    <w:rsid w:val="00A5205B"/>
    <w:rsid w:val="00A5219C"/>
    <w:rsid w:val="00A5256F"/>
    <w:rsid w:val="00A52D8E"/>
    <w:rsid w:val="00A52DA1"/>
    <w:rsid w:val="00A5328B"/>
    <w:rsid w:val="00A53AA9"/>
    <w:rsid w:val="00A53BBB"/>
    <w:rsid w:val="00A54367"/>
    <w:rsid w:val="00A544CD"/>
    <w:rsid w:val="00A5485E"/>
    <w:rsid w:val="00A548B1"/>
    <w:rsid w:val="00A5499C"/>
    <w:rsid w:val="00A54CCB"/>
    <w:rsid w:val="00A54E77"/>
    <w:rsid w:val="00A55424"/>
    <w:rsid w:val="00A55682"/>
    <w:rsid w:val="00A55C52"/>
    <w:rsid w:val="00A5605D"/>
    <w:rsid w:val="00A560BA"/>
    <w:rsid w:val="00A560D5"/>
    <w:rsid w:val="00A569F9"/>
    <w:rsid w:val="00A56A2B"/>
    <w:rsid w:val="00A56E63"/>
    <w:rsid w:val="00A57301"/>
    <w:rsid w:val="00A574C8"/>
    <w:rsid w:val="00A574DE"/>
    <w:rsid w:val="00A5757E"/>
    <w:rsid w:val="00A57A93"/>
    <w:rsid w:val="00A60766"/>
    <w:rsid w:val="00A60A6E"/>
    <w:rsid w:val="00A60F52"/>
    <w:rsid w:val="00A615D1"/>
    <w:rsid w:val="00A61DFE"/>
    <w:rsid w:val="00A61F91"/>
    <w:rsid w:val="00A624C9"/>
    <w:rsid w:val="00A62AA8"/>
    <w:rsid w:val="00A62D15"/>
    <w:rsid w:val="00A63062"/>
    <w:rsid w:val="00A630D8"/>
    <w:rsid w:val="00A637A4"/>
    <w:rsid w:val="00A63B4C"/>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676"/>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225"/>
    <w:rsid w:val="00A70517"/>
    <w:rsid w:val="00A708DF"/>
    <w:rsid w:val="00A70904"/>
    <w:rsid w:val="00A709BB"/>
    <w:rsid w:val="00A70BC3"/>
    <w:rsid w:val="00A717CF"/>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64E0"/>
    <w:rsid w:val="00A7653B"/>
    <w:rsid w:val="00A767B2"/>
    <w:rsid w:val="00A76BDD"/>
    <w:rsid w:val="00A7717C"/>
    <w:rsid w:val="00A774B2"/>
    <w:rsid w:val="00A776A9"/>
    <w:rsid w:val="00A77C30"/>
    <w:rsid w:val="00A77C6C"/>
    <w:rsid w:val="00A77CCE"/>
    <w:rsid w:val="00A80549"/>
    <w:rsid w:val="00A809BE"/>
    <w:rsid w:val="00A80B0C"/>
    <w:rsid w:val="00A81234"/>
    <w:rsid w:val="00A81367"/>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95"/>
    <w:rsid w:val="00A83BC5"/>
    <w:rsid w:val="00A83EB5"/>
    <w:rsid w:val="00A84186"/>
    <w:rsid w:val="00A84424"/>
    <w:rsid w:val="00A846F1"/>
    <w:rsid w:val="00A84937"/>
    <w:rsid w:val="00A85468"/>
    <w:rsid w:val="00A85469"/>
    <w:rsid w:val="00A857B4"/>
    <w:rsid w:val="00A85B14"/>
    <w:rsid w:val="00A85B90"/>
    <w:rsid w:val="00A8674E"/>
    <w:rsid w:val="00A86F91"/>
    <w:rsid w:val="00A875C0"/>
    <w:rsid w:val="00A87C15"/>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34B8"/>
    <w:rsid w:val="00AA3757"/>
    <w:rsid w:val="00AA37B2"/>
    <w:rsid w:val="00AA3A4A"/>
    <w:rsid w:val="00AA3DB9"/>
    <w:rsid w:val="00AA421C"/>
    <w:rsid w:val="00AA4590"/>
    <w:rsid w:val="00AA46CC"/>
    <w:rsid w:val="00AA46CE"/>
    <w:rsid w:val="00AA49AF"/>
    <w:rsid w:val="00AA4F2F"/>
    <w:rsid w:val="00AA533A"/>
    <w:rsid w:val="00AA57CE"/>
    <w:rsid w:val="00AA584E"/>
    <w:rsid w:val="00AA5AD2"/>
    <w:rsid w:val="00AA5ADC"/>
    <w:rsid w:val="00AA5D14"/>
    <w:rsid w:val="00AA5D22"/>
    <w:rsid w:val="00AA5DF4"/>
    <w:rsid w:val="00AA5E45"/>
    <w:rsid w:val="00AA6517"/>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2262"/>
    <w:rsid w:val="00AD22C5"/>
    <w:rsid w:val="00AD2519"/>
    <w:rsid w:val="00AD283D"/>
    <w:rsid w:val="00AD294A"/>
    <w:rsid w:val="00AD2E6B"/>
    <w:rsid w:val="00AD3115"/>
    <w:rsid w:val="00AD3920"/>
    <w:rsid w:val="00AD3D9F"/>
    <w:rsid w:val="00AD465C"/>
    <w:rsid w:val="00AD4D66"/>
    <w:rsid w:val="00AD516C"/>
    <w:rsid w:val="00AD5922"/>
    <w:rsid w:val="00AD5CB8"/>
    <w:rsid w:val="00AD5E96"/>
    <w:rsid w:val="00AD5F80"/>
    <w:rsid w:val="00AD61E3"/>
    <w:rsid w:val="00AD6555"/>
    <w:rsid w:val="00AD6A0F"/>
    <w:rsid w:val="00AD6F4A"/>
    <w:rsid w:val="00AD72AF"/>
    <w:rsid w:val="00AD77E5"/>
    <w:rsid w:val="00AD791A"/>
    <w:rsid w:val="00AD79DB"/>
    <w:rsid w:val="00AD7D8F"/>
    <w:rsid w:val="00AD7FA3"/>
    <w:rsid w:val="00AE0162"/>
    <w:rsid w:val="00AE05EA"/>
    <w:rsid w:val="00AE0781"/>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EEF"/>
    <w:rsid w:val="00AF735A"/>
    <w:rsid w:val="00AF75FC"/>
    <w:rsid w:val="00AF7766"/>
    <w:rsid w:val="00AF78A5"/>
    <w:rsid w:val="00B0025D"/>
    <w:rsid w:val="00B006D8"/>
    <w:rsid w:val="00B0073B"/>
    <w:rsid w:val="00B00A61"/>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1792"/>
    <w:rsid w:val="00B118D8"/>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98"/>
    <w:rsid w:val="00B22BFA"/>
    <w:rsid w:val="00B22D6E"/>
    <w:rsid w:val="00B230E1"/>
    <w:rsid w:val="00B23135"/>
    <w:rsid w:val="00B231DE"/>
    <w:rsid w:val="00B232FE"/>
    <w:rsid w:val="00B23522"/>
    <w:rsid w:val="00B23564"/>
    <w:rsid w:val="00B23698"/>
    <w:rsid w:val="00B2376E"/>
    <w:rsid w:val="00B2388A"/>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7359"/>
    <w:rsid w:val="00B27739"/>
    <w:rsid w:val="00B27C42"/>
    <w:rsid w:val="00B30884"/>
    <w:rsid w:val="00B308E6"/>
    <w:rsid w:val="00B30B4B"/>
    <w:rsid w:val="00B30BA2"/>
    <w:rsid w:val="00B30D09"/>
    <w:rsid w:val="00B30E29"/>
    <w:rsid w:val="00B30F71"/>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D9D"/>
    <w:rsid w:val="00B4220C"/>
    <w:rsid w:val="00B4237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C8"/>
    <w:rsid w:val="00B512D2"/>
    <w:rsid w:val="00B513D2"/>
    <w:rsid w:val="00B516F6"/>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67F6E"/>
    <w:rsid w:val="00B702CD"/>
    <w:rsid w:val="00B7041C"/>
    <w:rsid w:val="00B7070A"/>
    <w:rsid w:val="00B70D22"/>
    <w:rsid w:val="00B71898"/>
    <w:rsid w:val="00B71A1D"/>
    <w:rsid w:val="00B71BBB"/>
    <w:rsid w:val="00B71D73"/>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E5B"/>
    <w:rsid w:val="00B74FE2"/>
    <w:rsid w:val="00B75317"/>
    <w:rsid w:val="00B7575F"/>
    <w:rsid w:val="00B763BE"/>
    <w:rsid w:val="00B76FB2"/>
    <w:rsid w:val="00B76FCB"/>
    <w:rsid w:val="00B77236"/>
    <w:rsid w:val="00B7749A"/>
    <w:rsid w:val="00B77582"/>
    <w:rsid w:val="00B779BB"/>
    <w:rsid w:val="00B77A5A"/>
    <w:rsid w:val="00B77B07"/>
    <w:rsid w:val="00B77BB8"/>
    <w:rsid w:val="00B77E78"/>
    <w:rsid w:val="00B77FDF"/>
    <w:rsid w:val="00B800EC"/>
    <w:rsid w:val="00B80561"/>
    <w:rsid w:val="00B8103D"/>
    <w:rsid w:val="00B81718"/>
    <w:rsid w:val="00B8179E"/>
    <w:rsid w:val="00B81A37"/>
    <w:rsid w:val="00B8252D"/>
    <w:rsid w:val="00B82652"/>
    <w:rsid w:val="00B8314D"/>
    <w:rsid w:val="00B8325B"/>
    <w:rsid w:val="00B83972"/>
    <w:rsid w:val="00B84245"/>
    <w:rsid w:val="00B8468D"/>
    <w:rsid w:val="00B849C2"/>
    <w:rsid w:val="00B8518B"/>
    <w:rsid w:val="00B8556E"/>
    <w:rsid w:val="00B85845"/>
    <w:rsid w:val="00B8586E"/>
    <w:rsid w:val="00B858B1"/>
    <w:rsid w:val="00B85A97"/>
    <w:rsid w:val="00B85C3D"/>
    <w:rsid w:val="00B8600B"/>
    <w:rsid w:val="00B86278"/>
    <w:rsid w:val="00B86AF6"/>
    <w:rsid w:val="00B86E2A"/>
    <w:rsid w:val="00B86EF3"/>
    <w:rsid w:val="00B86F73"/>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66"/>
    <w:rsid w:val="00BB0DE7"/>
    <w:rsid w:val="00BB0E0C"/>
    <w:rsid w:val="00BB112C"/>
    <w:rsid w:val="00BB135F"/>
    <w:rsid w:val="00BB209C"/>
    <w:rsid w:val="00BB218D"/>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AC3"/>
    <w:rsid w:val="00BB6C49"/>
    <w:rsid w:val="00BB6E9D"/>
    <w:rsid w:val="00BB7373"/>
    <w:rsid w:val="00BB76DF"/>
    <w:rsid w:val="00BB779D"/>
    <w:rsid w:val="00BB7C9F"/>
    <w:rsid w:val="00BB7CB3"/>
    <w:rsid w:val="00BC050A"/>
    <w:rsid w:val="00BC066A"/>
    <w:rsid w:val="00BC072F"/>
    <w:rsid w:val="00BC11FD"/>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737"/>
    <w:rsid w:val="00BC5EB0"/>
    <w:rsid w:val="00BC605D"/>
    <w:rsid w:val="00BC6274"/>
    <w:rsid w:val="00BC639A"/>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386A"/>
    <w:rsid w:val="00BD3A51"/>
    <w:rsid w:val="00BD3C1A"/>
    <w:rsid w:val="00BD3C68"/>
    <w:rsid w:val="00BD3F92"/>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876"/>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723"/>
    <w:rsid w:val="00C00953"/>
    <w:rsid w:val="00C00C95"/>
    <w:rsid w:val="00C00EBB"/>
    <w:rsid w:val="00C00F38"/>
    <w:rsid w:val="00C01B1D"/>
    <w:rsid w:val="00C021B2"/>
    <w:rsid w:val="00C02307"/>
    <w:rsid w:val="00C02493"/>
    <w:rsid w:val="00C0250F"/>
    <w:rsid w:val="00C02802"/>
    <w:rsid w:val="00C0314D"/>
    <w:rsid w:val="00C0327E"/>
    <w:rsid w:val="00C03312"/>
    <w:rsid w:val="00C03532"/>
    <w:rsid w:val="00C03605"/>
    <w:rsid w:val="00C0394C"/>
    <w:rsid w:val="00C039A5"/>
    <w:rsid w:val="00C03A04"/>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E58"/>
    <w:rsid w:val="00C13567"/>
    <w:rsid w:val="00C13BA5"/>
    <w:rsid w:val="00C13C61"/>
    <w:rsid w:val="00C1421F"/>
    <w:rsid w:val="00C145C0"/>
    <w:rsid w:val="00C1477D"/>
    <w:rsid w:val="00C14D9F"/>
    <w:rsid w:val="00C156A5"/>
    <w:rsid w:val="00C156D7"/>
    <w:rsid w:val="00C15740"/>
    <w:rsid w:val="00C15A27"/>
    <w:rsid w:val="00C15D0C"/>
    <w:rsid w:val="00C15FEF"/>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92"/>
    <w:rsid w:val="00C22275"/>
    <w:rsid w:val="00C22519"/>
    <w:rsid w:val="00C22725"/>
    <w:rsid w:val="00C22950"/>
    <w:rsid w:val="00C229D9"/>
    <w:rsid w:val="00C22C7B"/>
    <w:rsid w:val="00C22F12"/>
    <w:rsid w:val="00C2305C"/>
    <w:rsid w:val="00C233D0"/>
    <w:rsid w:val="00C234A2"/>
    <w:rsid w:val="00C2380D"/>
    <w:rsid w:val="00C23A7F"/>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92"/>
    <w:rsid w:val="00C432EC"/>
    <w:rsid w:val="00C43801"/>
    <w:rsid w:val="00C4383F"/>
    <w:rsid w:val="00C438BB"/>
    <w:rsid w:val="00C43A90"/>
    <w:rsid w:val="00C43AD9"/>
    <w:rsid w:val="00C440B0"/>
    <w:rsid w:val="00C44372"/>
    <w:rsid w:val="00C4467E"/>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F6D"/>
    <w:rsid w:val="00C574AE"/>
    <w:rsid w:val="00C57B3F"/>
    <w:rsid w:val="00C60320"/>
    <w:rsid w:val="00C607FA"/>
    <w:rsid w:val="00C60A63"/>
    <w:rsid w:val="00C60A94"/>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830"/>
    <w:rsid w:val="00C75031"/>
    <w:rsid w:val="00C752ED"/>
    <w:rsid w:val="00C754A0"/>
    <w:rsid w:val="00C754FF"/>
    <w:rsid w:val="00C7593A"/>
    <w:rsid w:val="00C75D4B"/>
    <w:rsid w:val="00C76330"/>
    <w:rsid w:val="00C76932"/>
    <w:rsid w:val="00C76976"/>
    <w:rsid w:val="00C76D32"/>
    <w:rsid w:val="00C76E8A"/>
    <w:rsid w:val="00C77134"/>
    <w:rsid w:val="00C772D2"/>
    <w:rsid w:val="00C778A2"/>
    <w:rsid w:val="00C77E68"/>
    <w:rsid w:val="00C8034B"/>
    <w:rsid w:val="00C8056E"/>
    <w:rsid w:val="00C80C77"/>
    <w:rsid w:val="00C80D90"/>
    <w:rsid w:val="00C8104E"/>
    <w:rsid w:val="00C8117A"/>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840"/>
    <w:rsid w:val="00C9309C"/>
    <w:rsid w:val="00C932AA"/>
    <w:rsid w:val="00C93301"/>
    <w:rsid w:val="00C934E0"/>
    <w:rsid w:val="00C93680"/>
    <w:rsid w:val="00C939EE"/>
    <w:rsid w:val="00C94A2F"/>
    <w:rsid w:val="00C94B76"/>
    <w:rsid w:val="00C94BDC"/>
    <w:rsid w:val="00C94BF9"/>
    <w:rsid w:val="00C94CF0"/>
    <w:rsid w:val="00C95005"/>
    <w:rsid w:val="00C9557C"/>
    <w:rsid w:val="00C9579D"/>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5F3"/>
    <w:rsid w:val="00CA2056"/>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F6"/>
    <w:rsid w:val="00CA7FB2"/>
    <w:rsid w:val="00CB00F3"/>
    <w:rsid w:val="00CB031D"/>
    <w:rsid w:val="00CB036A"/>
    <w:rsid w:val="00CB040C"/>
    <w:rsid w:val="00CB072B"/>
    <w:rsid w:val="00CB07A9"/>
    <w:rsid w:val="00CB0979"/>
    <w:rsid w:val="00CB0C53"/>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72D"/>
    <w:rsid w:val="00CC18C0"/>
    <w:rsid w:val="00CC1939"/>
    <w:rsid w:val="00CC1F80"/>
    <w:rsid w:val="00CC1FD7"/>
    <w:rsid w:val="00CC23EB"/>
    <w:rsid w:val="00CC2A2C"/>
    <w:rsid w:val="00CC42D4"/>
    <w:rsid w:val="00CC4364"/>
    <w:rsid w:val="00CC472C"/>
    <w:rsid w:val="00CC4A40"/>
    <w:rsid w:val="00CC4E16"/>
    <w:rsid w:val="00CC4FC4"/>
    <w:rsid w:val="00CC5628"/>
    <w:rsid w:val="00CC5ABF"/>
    <w:rsid w:val="00CC64E3"/>
    <w:rsid w:val="00CC6D93"/>
    <w:rsid w:val="00CC727E"/>
    <w:rsid w:val="00CC7712"/>
    <w:rsid w:val="00CC774A"/>
    <w:rsid w:val="00CC7DDA"/>
    <w:rsid w:val="00CD03D3"/>
    <w:rsid w:val="00CD054D"/>
    <w:rsid w:val="00CD06A0"/>
    <w:rsid w:val="00CD0D04"/>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D003F8"/>
    <w:rsid w:val="00D0052C"/>
    <w:rsid w:val="00D00B02"/>
    <w:rsid w:val="00D00E04"/>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481"/>
    <w:rsid w:val="00D12514"/>
    <w:rsid w:val="00D12E60"/>
    <w:rsid w:val="00D137EC"/>
    <w:rsid w:val="00D137F5"/>
    <w:rsid w:val="00D13AC5"/>
    <w:rsid w:val="00D13BDC"/>
    <w:rsid w:val="00D13C39"/>
    <w:rsid w:val="00D13D2F"/>
    <w:rsid w:val="00D13E32"/>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3EC"/>
    <w:rsid w:val="00D23801"/>
    <w:rsid w:val="00D23A28"/>
    <w:rsid w:val="00D24035"/>
    <w:rsid w:val="00D2440E"/>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E05"/>
    <w:rsid w:val="00D51F18"/>
    <w:rsid w:val="00D520B5"/>
    <w:rsid w:val="00D526F3"/>
    <w:rsid w:val="00D52DA3"/>
    <w:rsid w:val="00D52E44"/>
    <w:rsid w:val="00D52E5A"/>
    <w:rsid w:val="00D53537"/>
    <w:rsid w:val="00D5360E"/>
    <w:rsid w:val="00D53B2D"/>
    <w:rsid w:val="00D53D6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E16"/>
    <w:rsid w:val="00D57FAE"/>
    <w:rsid w:val="00D6014E"/>
    <w:rsid w:val="00D60210"/>
    <w:rsid w:val="00D602E2"/>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513"/>
    <w:rsid w:val="00D7678D"/>
    <w:rsid w:val="00D768A4"/>
    <w:rsid w:val="00D76AB6"/>
    <w:rsid w:val="00D76BE7"/>
    <w:rsid w:val="00D76C33"/>
    <w:rsid w:val="00D771E9"/>
    <w:rsid w:val="00D7771F"/>
    <w:rsid w:val="00D77726"/>
    <w:rsid w:val="00D77800"/>
    <w:rsid w:val="00D77DB1"/>
    <w:rsid w:val="00D807EA"/>
    <w:rsid w:val="00D8081F"/>
    <w:rsid w:val="00D80898"/>
    <w:rsid w:val="00D80B6A"/>
    <w:rsid w:val="00D80DF6"/>
    <w:rsid w:val="00D8114A"/>
    <w:rsid w:val="00D817F1"/>
    <w:rsid w:val="00D81833"/>
    <w:rsid w:val="00D818F2"/>
    <w:rsid w:val="00D825BC"/>
    <w:rsid w:val="00D82676"/>
    <w:rsid w:val="00D82706"/>
    <w:rsid w:val="00D8312E"/>
    <w:rsid w:val="00D8371D"/>
    <w:rsid w:val="00D83A9F"/>
    <w:rsid w:val="00D83B48"/>
    <w:rsid w:val="00D8414C"/>
    <w:rsid w:val="00D841A5"/>
    <w:rsid w:val="00D844B1"/>
    <w:rsid w:val="00D8469F"/>
    <w:rsid w:val="00D84D91"/>
    <w:rsid w:val="00D84DE3"/>
    <w:rsid w:val="00D84E4D"/>
    <w:rsid w:val="00D85375"/>
    <w:rsid w:val="00D8603D"/>
    <w:rsid w:val="00D865D1"/>
    <w:rsid w:val="00D86C20"/>
    <w:rsid w:val="00D86DD4"/>
    <w:rsid w:val="00D87CFA"/>
    <w:rsid w:val="00D87F1F"/>
    <w:rsid w:val="00D90046"/>
    <w:rsid w:val="00D9038D"/>
    <w:rsid w:val="00D90898"/>
    <w:rsid w:val="00D90998"/>
    <w:rsid w:val="00D909BB"/>
    <w:rsid w:val="00D90CE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BD0"/>
    <w:rsid w:val="00D9558B"/>
    <w:rsid w:val="00D95F5F"/>
    <w:rsid w:val="00D95FDA"/>
    <w:rsid w:val="00D9617C"/>
    <w:rsid w:val="00D96398"/>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9E7"/>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509C"/>
    <w:rsid w:val="00DC56F0"/>
    <w:rsid w:val="00DC570A"/>
    <w:rsid w:val="00DC5C5A"/>
    <w:rsid w:val="00DC5C68"/>
    <w:rsid w:val="00DC5D8F"/>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802"/>
    <w:rsid w:val="00DD1B11"/>
    <w:rsid w:val="00DD1B33"/>
    <w:rsid w:val="00DD1B59"/>
    <w:rsid w:val="00DD1CE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CAF"/>
    <w:rsid w:val="00DE5039"/>
    <w:rsid w:val="00DE5414"/>
    <w:rsid w:val="00DE563D"/>
    <w:rsid w:val="00DE5B1E"/>
    <w:rsid w:val="00DE5BAE"/>
    <w:rsid w:val="00DE7267"/>
    <w:rsid w:val="00DE74A8"/>
    <w:rsid w:val="00DE74F5"/>
    <w:rsid w:val="00DE7566"/>
    <w:rsid w:val="00DE7A7E"/>
    <w:rsid w:val="00DE7BA3"/>
    <w:rsid w:val="00DE7D4D"/>
    <w:rsid w:val="00DE7E46"/>
    <w:rsid w:val="00DF0577"/>
    <w:rsid w:val="00DF066D"/>
    <w:rsid w:val="00DF0737"/>
    <w:rsid w:val="00DF07B4"/>
    <w:rsid w:val="00DF0C37"/>
    <w:rsid w:val="00DF0C88"/>
    <w:rsid w:val="00DF10A6"/>
    <w:rsid w:val="00DF135C"/>
    <w:rsid w:val="00DF18FC"/>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E1"/>
    <w:rsid w:val="00DF7D56"/>
    <w:rsid w:val="00DF7DBE"/>
    <w:rsid w:val="00E002D6"/>
    <w:rsid w:val="00E00A7C"/>
    <w:rsid w:val="00E00E9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02"/>
    <w:rsid w:val="00E05DA6"/>
    <w:rsid w:val="00E05F35"/>
    <w:rsid w:val="00E06065"/>
    <w:rsid w:val="00E0668C"/>
    <w:rsid w:val="00E066F2"/>
    <w:rsid w:val="00E06A81"/>
    <w:rsid w:val="00E06B51"/>
    <w:rsid w:val="00E07772"/>
    <w:rsid w:val="00E07901"/>
    <w:rsid w:val="00E079C6"/>
    <w:rsid w:val="00E100A0"/>
    <w:rsid w:val="00E10AE7"/>
    <w:rsid w:val="00E10B9A"/>
    <w:rsid w:val="00E10BFA"/>
    <w:rsid w:val="00E1133A"/>
    <w:rsid w:val="00E11428"/>
    <w:rsid w:val="00E116C6"/>
    <w:rsid w:val="00E116D4"/>
    <w:rsid w:val="00E12030"/>
    <w:rsid w:val="00E1239C"/>
    <w:rsid w:val="00E1262D"/>
    <w:rsid w:val="00E1273C"/>
    <w:rsid w:val="00E128A2"/>
    <w:rsid w:val="00E12AD1"/>
    <w:rsid w:val="00E13137"/>
    <w:rsid w:val="00E13207"/>
    <w:rsid w:val="00E134FE"/>
    <w:rsid w:val="00E13958"/>
    <w:rsid w:val="00E1434A"/>
    <w:rsid w:val="00E14600"/>
    <w:rsid w:val="00E146CF"/>
    <w:rsid w:val="00E1488A"/>
    <w:rsid w:val="00E14BED"/>
    <w:rsid w:val="00E14E30"/>
    <w:rsid w:val="00E15048"/>
    <w:rsid w:val="00E15606"/>
    <w:rsid w:val="00E15893"/>
    <w:rsid w:val="00E15ACE"/>
    <w:rsid w:val="00E15BA6"/>
    <w:rsid w:val="00E15C2B"/>
    <w:rsid w:val="00E15D59"/>
    <w:rsid w:val="00E15F9F"/>
    <w:rsid w:val="00E15FFB"/>
    <w:rsid w:val="00E1633F"/>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B7C"/>
    <w:rsid w:val="00E25DDB"/>
    <w:rsid w:val="00E261ED"/>
    <w:rsid w:val="00E262C5"/>
    <w:rsid w:val="00E26325"/>
    <w:rsid w:val="00E267BF"/>
    <w:rsid w:val="00E26F14"/>
    <w:rsid w:val="00E26FAD"/>
    <w:rsid w:val="00E271DE"/>
    <w:rsid w:val="00E275E3"/>
    <w:rsid w:val="00E27664"/>
    <w:rsid w:val="00E27927"/>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DF0"/>
    <w:rsid w:val="00E46EF3"/>
    <w:rsid w:val="00E471D6"/>
    <w:rsid w:val="00E473F4"/>
    <w:rsid w:val="00E47502"/>
    <w:rsid w:val="00E500D9"/>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1E2"/>
    <w:rsid w:val="00E53948"/>
    <w:rsid w:val="00E53C11"/>
    <w:rsid w:val="00E53C31"/>
    <w:rsid w:val="00E53DED"/>
    <w:rsid w:val="00E5411A"/>
    <w:rsid w:val="00E54129"/>
    <w:rsid w:val="00E543D7"/>
    <w:rsid w:val="00E546E0"/>
    <w:rsid w:val="00E547B6"/>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0A4"/>
    <w:rsid w:val="00E632A2"/>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6DD"/>
    <w:rsid w:val="00E71765"/>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8"/>
    <w:rsid w:val="00E8470D"/>
    <w:rsid w:val="00E8475C"/>
    <w:rsid w:val="00E847C9"/>
    <w:rsid w:val="00E84908"/>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F5"/>
    <w:rsid w:val="00E905D8"/>
    <w:rsid w:val="00E906F6"/>
    <w:rsid w:val="00E90724"/>
    <w:rsid w:val="00E90988"/>
    <w:rsid w:val="00E90A23"/>
    <w:rsid w:val="00E910F0"/>
    <w:rsid w:val="00E91B1C"/>
    <w:rsid w:val="00E91BC3"/>
    <w:rsid w:val="00E91BF5"/>
    <w:rsid w:val="00E91EDB"/>
    <w:rsid w:val="00E92527"/>
    <w:rsid w:val="00E927A6"/>
    <w:rsid w:val="00E92A93"/>
    <w:rsid w:val="00E93620"/>
    <w:rsid w:val="00E93ACF"/>
    <w:rsid w:val="00E93E4F"/>
    <w:rsid w:val="00E941E0"/>
    <w:rsid w:val="00E944F8"/>
    <w:rsid w:val="00E94B95"/>
    <w:rsid w:val="00E951D5"/>
    <w:rsid w:val="00E9567F"/>
    <w:rsid w:val="00E95761"/>
    <w:rsid w:val="00E959A0"/>
    <w:rsid w:val="00E95A69"/>
    <w:rsid w:val="00E95A73"/>
    <w:rsid w:val="00E95E8F"/>
    <w:rsid w:val="00E95EC4"/>
    <w:rsid w:val="00E965C3"/>
    <w:rsid w:val="00E96897"/>
    <w:rsid w:val="00E96918"/>
    <w:rsid w:val="00E969FC"/>
    <w:rsid w:val="00E96BCD"/>
    <w:rsid w:val="00E96DE6"/>
    <w:rsid w:val="00E96FD8"/>
    <w:rsid w:val="00E97045"/>
    <w:rsid w:val="00E973CF"/>
    <w:rsid w:val="00E976A8"/>
    <w:rsid w:val="00E97851"/>
    <w:rsid w:val="00E97B8E"/>
    <w:rsid w:val="00E97DA3"/>
    <w:rsid w:val="00E97E70"/>
    <w:rsid w:val="00EA0038"/>
    <w:rsid w:val="00EA088B"/>
    <w:rsid w:val="00EA0AE7"/>
    <w:rsid w:val="00EA0CE1"/>
    <w:rsid w:val="00EA1086"/>
    <w:rsid w:val="00EA10B1"/>
    <w:rsid w:val="00EA1BA6"/>
    <w:rsid w:val="00EA20D4"/>
    <w:rsid w:val="00EA270C"/>
    <w:rsid w:val="00EA281B"/>
    <w:rsid w:val="00EA2AE4"/>
    <w:rsid w:val="00EA2BBE"/>
    <w:rsid w:val="00EA2E2F"/>
    <w:rsid w:val="00EA2ECB"/>
    <w:rsid w:val="00EA2ED7"/>
    <w:rsid w:val="00EA3185"/>
    <w:rsid w:val="00EA36EA"/>
    <w:rsid w:val="00EA413E"/>
    <w:rsid w:val="00EA443F"/>
    <w:rsid w:val="00EA4645"/>
    <w:rsid w:val="00EA466B"/>
    <w:rsid w:val="00EA4A82"/>
    <w:rsid w:val="00EA4F3E"/>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9B9"/>
    <w:rsid w:val="00EB0C2C"/>
    <w:rsid w:val="00EB0C7C"/>
    <w:rsid w:val="00EB0E75"/>
    <w:rsid w:val="00EB0F35"/>
    <w:rsid w:val="00EB1714"/>
    <w:rsid w:val="00EB19FB"/>
    <w:rsid w:val="00EB2310"/>
    <w:rsid w:val="00EB2721"/>
    <w:rsid w:val="00EB2B78"/>
    <w:rsid w:val="00EB2F62"/>
    <w:rsid w:val="00EB30BE"/>
    <w:rsid w:val="00EB30E8"/>
    <w:rsid w:val="00EB3404"/>
    <w:rsid w:val="00EB3599"/>
    <w:rsid w:val="00EB3934"/>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1B9"/>
    <w:rsid w:val="00EC04E1"/>
    <w:rsid w:val="00EC0569"/>
    <w:rsid w:val="00EC0614"/>
    <w:rsid w:val="00EC0715"/>
    <w:rsid w:val="00EC084B"/>
    <w:rsid w:val="00EC084D"/>
    <w:rsid w:val="00EC0C7B"/>
    <w:rsid w:val="00EC0D1F"/>
    <w:rsid w:val="00EC1658"/>
    <w:rsid w:val="00EC1877"/>
    <w:rsid w:val="00EC195F"/>
    <w:rsid w:val="00EC1C35"/>
    <w:rsid w:val="00EC1DA5"/>
    <w:rsid w:val="00EC1F63"/>
    <w:rsid w:val="00EC22A5"/>
    <w:rsid w:val="00EC358F"/>
    <w:rsid w:val="00EC3CFC"/>
    <w:rsid w:val="00EC3F0C"/>
    <w:rsid w:val="00EC4347"/>
    <w:rsid w:val="00EC498D"/>
    <w:rsid w:val="00EC52C3"/>
    <w:rsid w:val="00EC57EB"/>
    <w:rsid w:val="00EC5B2A"/>
    <w:rsid w:val="00EC5C49"/>
    <w:rsid w:val="00EC5E45"/>
    <w:rsid w:val="00EC5ED6"/>
    <w:rsid w:val="00EC608C"/>
    <w:rsid w:val="00EC61C2"/>
    <w:rsid w:val="00EC61FC"/>
    <w:rsid w:val="00EC62D2"/>
    <w:rsid w:val="00EC66E8"/>
    <w:rsid w:val="00EC69B8"/>
    <w:rsid w:val="00EC6A5C"/>
    <w:rsid w:val="00EC6DE5"/>
    <w:rsid w:val="00EC7E97"/>
    <w:rsid w:val="00ED0557"/>
    <w:rsid w:val="00ED0CF0"/>
    <w:rsid w:val="00ED0D6E"/>
    <w:rsid w:val="00ED0DA8"/>
    <w:rsid w:val="00ED10FA"/>
    <w:rsid w:val="00ED1407"/>
    <w:rsid w:val="00ED17CE"/>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E6C"/>
    <w:rsid w:val="00ED6315"/>
    <w:rsid w:val="00ED6342"/>
    <w:rsid w:val="00ED6A10"/>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B7B"/>
    <w:rsid w:val="00EE1C02"/>
    <w:rsid w:val="00EE2358"/>
    <w:rsid w:val="00EE2793"/>
    <w:rsid w:val="00EE27F6"/>
    <w:rsid w:val="00EE296D"/>
    <w:rsid w:val="00EE2A6C"/>
    <w:rsid w:val="00EE2A79"/>
    <w:rsid w:val="00EE30EE"/>
    <w:rsid w:val="00EE3121"/>
    <w:rsid w:val="00EE349C"/>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241"/>
    <w:rsid w:val="00F07571"/>
    <w:rsid w:val="00F076C5"/>
    <w:rsid w:val="00F07C50"/>
    <w:rsid w:val="00F07E96"/>
    <w:rsid w:val="00F10546"/>
    <w:rsid w:val="00F10B0A"/>
    <w:rsid w:val="00F11537"/>
    <w:rsid w:val="00F120D9"/>
    <w:rsid w:val="00F124BE"/>
    <w:rsid w:val="00F125DE"/>
    <w:rsid w:val="00F12638"/>
    <w:rsid w:val="00F12A36"/>
    <w:rsid w:val="00F12A9F"/>
    <w:rsid w:val="00F13137"/>
    <w:rsid w:val="00F1339B"/>
    <w:rsid w:val="00F13A2F"/>
    <w:rsid w:val="00F14C13"/>
    <w:rsid w:val="00F14CE8"/>
    <w:rsid w:val="00F15471"/>
    <w:rsid w:val="00F15FBF"/>
    <w:rsid w:val="00F17174"/>
    <w:rsid w:val="00F172D0"/>
    <w:rsid w:val="00F17939"/>
    <w:rsid w:val="00F17DD6"/>
    <w:rsid w:val="00F20740"/>
    <w:rsid w:val="00F211B8"/>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8A7"/>
    <w:rsid w:val="00F31900"/>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6C"/>
    <w:rsid w:val="00F40508"/>
    <w:rsid w:val="00F406D5"/>
    <w:rsid w:val="00F409C2"/>
    <w:rsid w:val="00F40CAB"/>
    <w:rsid w:val="00F40D09"/>
    <w:rsid w:val="00F40D6A"/>
    <w:rsid w:val="00F41968"/>
    <w:rsid w:val="00F4272C"/>
    <w:rsid w:val="00F42739"/>
    <w:rsid w:val="00F429E5"/>
    <w:rsid w:val="00F432C6"/>
    <w:rsid w:val="00F4352E"/>
    <w:rsid w:val="00F438A7"/>
    <w:rsid w:val="00F43960"/>
    <w:rsid w:val="00F43C3C"/>
    <w:rsid w:val="00F446D1"/>
    <w:rsid w:val="00F4470C"/>
    <w:rsid w:val="00F44B59"/>
    <w:rsid w:val="00F44BB8"/>
    <w:rsid w:val="00F4537F"/>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D20"/>
    <w:rsid w:val="00F52BF1"/>
    <w:rsid w:val="00F52DAC"/>
    <w:rsid w:val="00F530D0"/>
    <w:rsid w:val="00F53166"/>
    <w:rsid w:val="00F5335D"/>
    <w:rsid w:val="00F53808"/>
    <w:rsid w:val="00F53A12"/>
    <w:rsid w:val="00F53C60"/>
    <w:rsid w:val="00F53F51"/>
    <w:rsid w:val="00F54856"/>
    <w:rsid w:val="00F54FE1"/>
    <w:rsid w:val="00F5525D"/>
    <w:rsid w:val="00F55337"/>
    <w:rsid w:val="00F5539B"/>
    <w:rsid w:val="00F554AA"/>
    <w:rsid w:val="00F5565E"/>
    <w:rsid w:val="00F557CB"/>
    <w:rsid w:val="00F55B61"/>
    <w:rsid w:val="00F55D35"/>
    <w:rsid w:val="00F55E0D"/>
    <w:rsid w:val="00F5608A"/>
    <w:rsid w:val="00F563C2"/>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E2"/>
    <w:rsid w:val="00F65EAC"/>
    <w:rsid w:val="00F6607F"/>
    <w:rsid w:val="00F66122"/>
    <w:rsid w:val="00F665D5"/>
    <w:rsid w:val="00F666FD"/>
    <w:rsid w:val="00F667C5"/>
    <w:rsid w:val="00F66EC1"/>
    <w:rsid w:val="00F67099"/>
    <w:rsid w:val="00F672F1"/>
    <w:rsid w:val="00F67302"/>
    <w:rsid w:val="00F67600"/>
    <w:rsid w:val="00F677AF"/>
    <w:rsid w:val="00F67A00"/>
    <w:rsid w:val="00F67A35"/>
    <w:rsid w:val="00F67B5F"/>
    <w:rsid w:val="00F67B7D"/>
    <w:rsid w:val="00F67FC4"/>
    <w:rsid w:val="00F70895"/>
    <w:rsid w:val="00F71419"/>
    <w:rsid w:val="00F721D8"/>
    <w:rsid w:val="00F72357"/>
    <w:rsid w:val="00F723D2"/>
    <w:rsid w:val="00F72620"/>
    <w:rsid w:val="00F72E0A"/>
    <w:rsid w:val="00F733CC"/>
    <w:rsid w:val="00F73930"/>
    <w:rsid w:val="00F73B70"/>
    <w:rsid w:val="00F74088"/>
    <w:rsid w:val="00F74118"/>
    <w:rsid w:val="00F74217"/>
    <w:rsid w:val="00F746A3"/>
    <w:rsid w:val="00F749B5"/>
    <w:rsid w:val="00F74BBB"/>
    <w:rsid w:val="00F759AD"/>
    <w:rsid w:val="00F75BDF"/>
    <w:rsid w:val="00F763C6"/>
    <w:rsid w:val="00F7642A"/>
    <w:rsid w:val="00F765E8"/>
    <w:rsid w:val="00F76851"/>
    <w:rsid w:val="00F769C0"/>
    <w:rsid w:val="00F76EE1"/>
    <w:rsid w:val="00F77084"/>
    <w:rsid w:val="00F772AD"/>
    <w:rsid w:val="00F7768D"/>
    <w:rsid w:val="00F77B00"/>
    <w:rsid w:val="00F77E2A"/>
    <w:rsid w:val="00F77F57"/>
    <w:rsid w:val="00F80A71"/>
    <w:rsid w:val="00F80E81"/>
    <w:rsid w:val="00F80F3C"/>
    <w:rsid w:val="00F8124E"/>
    <w:rsid w:val="00F81421"/>
    <w:rsid w:val="00F81526"/>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54A"/>
    <w:rsid w:val="00F977CB"/>
    <w:rsid w:val="00F97854"/>
    <w:rsid w:val="00F97C49"/>
    <w:rsid w:val="00FA01B1"/>
    <w:rsid w:val="00FA0942"/>
    <w:rsid w:val="00FA0AC9"/>
    <w:rsid w:val="00FA12CC"/>
    <w:rsid w:val="00FA188C"/>
    <w:rsid w:val="00FA1FF2"/>
    <w:rsid w:val="00FA2910"/>
    <w:rsid w:val="00FA2948"/>
    <w:rsid w:val="00FA29F4"/>
    <w:rsid w:val="00FA2B04"/>
    <w:rsid w:val="00FA3206"/>
    <w:rsid w:val="00FA3291"/>
    <w:rsid w:val="00FA362D"/>
    <w:rsid w:val="00FA3D25"/>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DF7"/>
    <w:rsid w:val="00FB01CC"/>
    <w:rsid w:val="00FB02FB"/>
    <w:rsid w:val="00FB08F9"/>
    <w:rsid w:val="00FB1350"/>
    <w:rsid w:val="00FB16CA"/>
    <w:rsid w:val="00FB2203"/>
    <w:rsid w:val="00FB2578"/>
    <w:rsid w:val="00FB26BD"/>
    <w:rsid w:val="00FB2C23"/>
    <w:rsid w:val="00FB2DE1"/>
    <w:rsid w:val="00FB3325"/>
    <w:rsid w:val="00FB33FA"/>
    <w:rsid w:val="00FB35CC"/>
    <w:rsid w:val="00FB3866"/>
    <w:rsid w:val="00FB386A"/>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5043"/>
    <w:rsid w:val="00FD510B"/>
    <w:rsid w:val="00FD5269"/>
    <w:rsid w:val="00FD52F8"/>
    <w:rsid w:val="00FD5328"/>
    <w:rsid w:val="00FD5360"/>
    <w:rsid w:val="00FD54CC"/>
    <w:rsid w:val="00FD5914"/>
    <w:rsid w:val="00FD5D1D"/>
    <w:rsid w:val="00FD5F6C"/>
    <w:rsid w:val="00FD65AD"/>
    <w:rsid w:val="00FD6B34"/>
    <w:rsid w:val="00FD6C6D"/>
    <w:rsid w:val="00FD6C8C"/>
    <w:rsid w:val="00FD6DBB"/>
    <w:rsid w:val="00FD7529"/>
    <w:rsid w:val="00FD795C"/>
    <w:rsid w:val="00FD7A8D"/>
    <w:rsid w:val="00FE06A2"/>
    <w:rsid w:val="00FE0CE6"/>
    <w:rsid w:val="00FE0D6F"/>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880"/>
    <w:rsid w:val="00FF394B"/>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D1CCC6-C84E-4226-9C42-F8AE64F4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79"/>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480&amp;colegiado=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s.tcu.gov.br/juris/SvlProxyHighlight?base=ACORDAO&amp;ano=2015&amp;numero=478&amp;colegiado=P" TargetMode="External"/><Relationship Id="rId17" Type="http://schemas.openxmlformats.org/officeDocument/2006/relationships/hyperlink" Target="mailto:infojuris@tcu.gov.br" TargetMode="External"/><Relationship Id="rId2" Type="http://schemas.openxmlformats.org/officeDocument/2006/relationships/numbering" Target="numbering.xml"/><Relationship Id="rId16" Type="http://schemas.openxmlformats.org/officeDocument/2006/relationships/hyperlink" Target="http://www.planalto.gov.br/ccivil_03/_Ato2015-2018/2015/Decreto/D8420.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478&amp;colegiado=P" TargetMode="External"/><Relationship Id="rId5" Type="http://schemas.openxmlformats.org/officeDocument/2006/relationships/webSettings" Target="webSettings.xml"/><Relationship Id="rId15" Type="http://schemas.openxmlformats.org/officeDocument/2006/relationships/hyperlink" Target="http://www.planalto.gov.br/ccivil_03/_Ato2015-2018/2015/Decreto/D8420.htm" TargetMode="External"/><Relationship Id="rId10" Type="http://schemas.openxmlformats.org/officeDocument/2006/relationships/hyperlink" Target="https://contas.tcu.gov.br/juris/SvlProxyHighlight?base=ACORDAO&amp;ano=2015&amp;numero=477&amp;colegiado=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467&amp;colegiado=P" TargetMode="External"/><Relationship Id="rId14" Type="http://schemas.openxmlformats.org/officeDocument/2006/relationships/hyperlink" Target="https://contas.tcu.gov.br/juris/SvlProxyHighlight?base=ACORDAO&amp;ano=2015&amp;numero=509&amp;colegiado=P"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5AA16-A1C8-4752-B056-5574848A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3423</Words>
  <Characters>18490</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21870</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2014-11-17T17:22:00Z</cp:lastPrinted>
  <dcterms:created xsi:type="dcterms:W3CDTF">2015-05-07T13:28:00Z</dcterms:created>
  <dcterms:modified xsi:type="dcterms:W3CDTF">2015-05-07T13:28:00Z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