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2F3875"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23</w:t>
      </w:r>
      <w:r>
        <w:rPr>
          <w:rFonts w:ascii="Times New Roman" w:hAnsi="Times New Roman"/>
          <w:b/>
          <w:i w:val="0"/>
          <w:sz w:val="22"/>
          <w:szCs w:val="22"/>
          <w:lang w:val="pt-BR"/>
        </w:rPr>
        <w:t>1</w:t>
      </w:r>
    </w:p>
    <w:p w:rsidR="00C61626" w:rsidRPr="003A0B0D" w:rsidRDefault="0008246E"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Sess</w:t>
      </w:r>
      <w:r w:rsidR="00377047" w:rsidRPr="003A0B0D">
        <w:rPr>
          <w:rFonts w:ascii="Times New Roman" w:hAnsi="Times New Roman"/>
          <w:b/>
          <w:i w:val="0"/>
          <w:sz w:val="22"/>
          <w:szCs w:val="22"/>
          <w:lang w:val="pt-BR"/>
        </w:rPr>
        <w:t>ões</w:t>
      </w:r>
      <w:r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2F3875">
        <w:rPr>
          <w:rFonts w:ascii="Times New Roman" w:hAnsi="Times New Roman"/>
          <w:b/>
          <w:i w:val="0"/>
          <w:sz w:val="22"/>
          <w:szCs w:val="22"/>
          <w:lang w:val="pt-BR"/>
        </w:rPr>
        <w:t>24 e 25</w:t>
      </w:r>
      <w:r w:rsidR="00005A0B" w:rsidRPr="003A0B0D">
        <w:rPr>
          <w:rFonts w:ascii="Times New Roman" w:hAnsi="Times New Roman"/>
          <w:b/>
          <w:i w:val="0"/>
          <w:sz w:val="22"/>
          <w:szCs w:val="22"/>
          <w:lang w:val="pt-BR"/>
        </w:rPr>
        <w:t xml:space="preserve"> de </w:t>
      </w:r>
      <w:r w:rsidR="00893C33">
        <w:rPr>
          <w:rFonts w:ascii="Times New Roman" w:hAnsi="Times New Roman"/>
          <w:b/>
          <w:i w:val="0"/>
          <w:sz w:val="22"/>
          <w:szCs w:val="22"/>
          <w:lang w:val="pt-BR"/>
        </w:rPr>
        <w:t>fevereiro</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A0B0D"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175500" w:rsidRPr="003A0B0D" w:rsidRDefault="0008246E" w:rsidP="00A47A9A">
      <w:pPr>
        <w:autoSpaceDE w:val="0"/>
        <w:autoSpaceDN w:val="0"/>
        <w:adjustRightInd w:val="0"/>
        <w:spacing w:after="60"/>
        <w:ind w:left="0"/>
        <w:rPr>
          <w:b/>
          <w:sz w:val="22"/>
          <w:szCs w:val="22"/>
          <w:lang w:eastAsia="pt-BR"/>
        </w:rPr>
      </w:pPr>
      <w:r w:rsidRPr="003A0B0D">
        <w:rPr>
          <w:b/>
          <w:sz w:val="22"/>
          <w:szCs w:val="22"/>
          <w:lang w:eastAsia="pt-BR"/>
        </w:rPr>
        <w:t>Plenário</w:t>
      </w:r>
    </w:p>
    <w:p w:rsidR="00A73884" w:rsidRDefault="00E17C22" w:rsidP="00A47A9A">
      <w:pPr>
        <w:pStyle w:val="enter-3pt"/>
        <w:tabs>
          <w:tab w:val="left" w:pos="2590"/>
        </w:tabs>
        <w:spacing w:after="60" w:line="240" w:lineRule="auto"/>
        <w:rPr>
          <w:sz w:val="22"/>
          <w:szCs w:val="22"/>
        </w:rPr>
      </w:pPr>
      <w:r w:rsidRPr="0079585F">
        <w:rPr>
          <w:sz w:val="22"/>
          <w:szCs w:val="22"/>
        </w:rPr>
        <w:t>1</w:t>
      </w:r>
      <w:r w:rsidR="003A0B0D" w:rsidRPr="0079585F">
        <w:rPr>
          <w:sz w:val="22"/>
          <w:szCs w:val="22"/>
        </w:rPr>
        <w:t xml:space="preserve">. </w:t>
      </w:r>
      <w:r w:rsidR="0079585F" w:rsidRPr="0079585F">
        <w:rPr>
          <w:sz w:val="22"/>
          <w:szCs w:val="22"/>
        </w:rPr>
        <w:t>Nas licitações para contratação de projetos</w:t>
      </w:r>
      <w:r w:rsidR="00C322D7">
        <w:rPr>
          <w:sz w:val="22"/>
          <w:szCs w:val="22"/>
        </w:rPr>
        <w:t xml:space="preserve"> no âmbito do RDC</w:t>
      </w:r>
      <w:r w:rsidR="0079585F" w:rsidRPr="0079585F">
        <w:rPr>
          <w:sz w:val="22"/>
          <w:szCs w:val="22"/>
        </w:rPr>
        <w:t>, deve ser evitada a estimativa do custo do projeto como percentual do custo estimado da obra, sendo necessária a el</w:t>
      </w:r>
      <w:r w:rsidR="00C322D7">
        <w:rPr>
          <w:sz w:val="22"/>
          <w:szCs w:val="22"/>
        </w:rPr>
        <w:t xml:space="preserve">aboração de orçamento detalhado </w:t>
      </w:r>
      <w:r w:rsidR="0079585F" w:rsidRPr="0079585F">
        <w:rPr>
          <w:sz w:val="22"/>
          <w:szCs w:val="22"/>
        </w:rPr>
        <w:t>com a especificação da quantidade de horas e o custo dos profissionais</w:t>
      </w:r>
      <w:r w:rsidR="00C322D7">
        <w:rPr>
          <w:sz w:val="22"/>
          <w:szCs w:val="22"/>
        </w:rPr>
        <w:t xml:space="preserve"> (art. 6º da Lei 12.462/11)</w:t>
      </w:r>
      <w:r w:rsidR="0079585F" w:rsidRPr="0079585F">
        <w:rPr>
          <w:sz w:val="22"/>
          <w:szCs w:val="22"/>
        </w:rPr>
        <w:t>, exceção feita ao valor estimado da contrataç</w:t>
      </w:r>
      <w:r w:rsidR="00C322D7">
        <w:rPr>
          <w:sz w:val="22"/>
          <w:szCs w:val="22"/>
        </w:rPr>
        <w:t xml:space="preserve">ão integrada, ante o que dispõe o </w:t>
      </w:r>
      <w:r w:rsidR="0079585F" w:rsidRPr="0079585F">
        <w:rPr>
          <w:sz w:val="22"/>
          <w:szCs w:val="22"/>
        </w:rPr>
        <w:t>art. 9º, §</w:t>
      </w:r>
      <w:r w:rsidR="00C322D7">
        <w:rPr>
          <w:sz w:val="22"/>
          <w:szCs w:val="22"/>
        </w:rPr>
        <w:t xml:space="preserve"> 2º, inciso II, da mesma lei</w:t>
      </w:r>
      <w:r w:rsidR="0079585F" w:rsidRPr="0079585F">
        <w:rPr>
          <w:sz w:val="22"/>
          <w:szCs w:val="22"/>
        </w:rPr>
        <w:t>.</w:t>
      </w:r>
    </w:p>
    <w:p w:rsidR="00A47A9A" w:rsidRDefault="00A73884" w:rsidP="00A47A9A">
      <w:pPr>
        <w:pStyle w:val="enter-3pt"/>
        <w:tabs>
          <w:tab w:val="left" w:pos="2590"/>
        </w:tabs>
        <w:spacing w:after="60" w:line="240" w:lineRule="auto"/>
        <w:rPr>
          <w:sz w:val="22"/>
          <w:szCs w:val="22"/>
        </w:rPr>
      </w:pPr>
      <w:r w:rsidRPr="00A47A9A">
        <w:rPr>
          <w:sz w:val="22"/>
          <w:szCs w:val="22"/>
        </w:rPr>
        <w:t xml:space="preserve">2. </w:t>
      </w:r>
      <w:r w:rsidR="00A47A9A" w:rsidRPr="00A47A9A">
        <w:rPr>
          <w:sz w:val="22"/>
          <w:szCs w:val="22"/>
        </w:rPr>
        <w:t xml:space="preserve">No RDC, a definição dos critérios de avaliação e ponderação da qualidade técnica das propostas está no âmbito da discricionariedade da Administração, devendo ser adotados, de forma justificada, os requisitos que melhor se amoldem às características peculiares do objeto licitado (art. 20, </w:t>
      </w:r>
      <w:r w:rsidR="00A47A9A" w:rsidRPr="00A47A9A">
        <w:rPr>
          <w:i/>
          <w:sz w:val="22"/>
          <w:szCs w:val="22"/>
        </w:rPr>
        <w:t>caput</w:t>
      </w:r>
      <w:r w:rsidR="00A47A9A" w:rsidRPr="00A47A9A">
        <w:rPr>
          <w:sz w:val="22"/>
          <w:szCs w:val="22"/>
        </w:rPr>
        <w:t>, da Lei 12.462/11).</w:t>
      </w:r>
    </w:p>
    <w:p w:rsidR="000C556A" w:rsidRDefault="00A73884" w:rsidP="00A47A9A">
      <w:pPr>
        <w:pStyle w:val="enter-3pt"/>
        <w:tabs>
          <w:tab w:val="left" w:pos="2590"/>
        </w:tabs>
        <w:spacing w:after="60" w:line="240" w:lineRule="auto"/>
        <w:rPr>
          <w:sz w:val="22"/>
          <w:szCs w:val="22"/>
        </w:rPr>
      </w:pPr>
      <w:r>
        <w:rPr>
          <w:sz w:val="22"/>
          <w:szCs w:val="22"/>
        </w:rPr>
        <w:t xml:space="preserve">3. </w:t>
      </w:r>
      <w:r w:rsidR="00F83237" w:rsidRPr="00F83237">
        <w:rPr>
          <w:sz w:val="22"/>
          <w:szCs w:val="22"/>
        </w:rPr>
        <w:t>Esclarecimentos prestados administrativamente para responde</w:t>
      </w:r>
      <w:r w:rsidR="00A47A9A">
        <w:rPr>
          <w:sz w:val="22"/>
          <w:szCs w:val="22"/>
        </w:rPr>
        <w:t>r a questionamento de licitante</w:t>
      </w:r>
      <w:r w:rsidR="00F83237" w:rsidRPr="00F83237">
        <w:rPr>
          <w:sz w:val="22"/>
          <w:szCs w:val="22"/>
        </w:rPr>
        <w:t xml:space="preserve"> possuem natureza vinculante para todos os participante</w:t>
      </w:r>
      <w:r w:rsidR="000C6F6F">
        <w:rPr>
          <w:sz w:val="22"/>
          <w:szCs w:val="22"/>
        </w:rPr>
        <w:t>s</w:t>
      </w:r>
      <w:r w:rsidR="00F83237" w:rsidRPr="00F83237">
        <w:rPr>
          <w:sz w:val="22"/>
          <w:szCs w:val="22"/>
        </w:rPr>
        <w:t xml:space="preserve"> do certame, não se podendo admitir, quando da análise das propostas, interpretação distinta, sob pena de violação ao instrumento convocatório</w:t>
      </w:r>
      <w:r w:rsidR="001B6CF2" w:rsidRPr="001B6CF2">
        <w:rPr>
          <w:sz w:val="22"/>
          <w:szCs w:val="22"/>
        </w:rPr>
        <w:t>.</w:t>
      </w:r>
    </w:p>
    <w:p w:rsidR="00C8056E" w:rsidRPr="00C8056E" w:rsidRDefault="00F83237" w:rsidP="00A47A9A">
      <w:pPr>
        <w:autoSpaceDE w:val="0"/>
        <w:autoSpaceDN w:val="0"/>
        <w:adjustRightInd w:val="0"/>
        <w:spacing w:after="60"/>
        <w:ind w:left="0"/>
        <w:rPr>
          <w:b/>
          <w:sz w:val="22"/>
          <w:szCs w:val="22"/>
          <w:lang w:eastAsia="pt-BR"/>
        </w:rPr>
      </w:pPr>
      <w:r>
        <w:rPr>
          <w:b/>
          <w:sz w:val="22"/>
          <w:szCs w:val="22"/>
          <w:lang w:eastAsia="pt-BR"/>
        </w:rPr>
        <w:t>Primeira</w:t>
      </w:r>
      <w:r w:rsidR="00C8056E" w:rsidRPr="00C8056E">
        <w:rPr>
          <w:b/>
          <w:sz w:val="22"/>
          <w:szCs w:val="22"/>
          <w:lang w:eastAsia="pt-BR"/>
        </w:rPr>
        <w:t xml:space="preserve"> Câmara</w:t>
      </w:r>
    </w:p>
    <w:p w:rsidR="00C8056E" w:rsidRDefault="00A73884" w:rsidP="00A47A9A">
      <w:pPr>
        <w:pStyle w:val="Default"/>
        <w:spacing w:after="60"/>
        <w:jc w:val="both"/>
        <w:rPr>
          <w:rFonts w:eastAsia="Times New Roman"/>
          <w:sz w:val="22"/>
          <w:szCs w:val="22"/>
        </w:rPr>
      </w:pPr>
      <w:r>
        <w:rPr>
          <w:sz w:val="22"/>
          <w:szCs w:val="22"/>
        </w:rPr>
        <w:t>4</w:t>
      </w:r>
      <w:r w:rsidR="00C8056E" w:rsidRPr="00B40D4E">
        <w:rPr>
          <w:sz w:val="22"/>
          <w:szCs w:val="22"/>
        </w:rPr>
        <w:t xml:space="preserve">. </w:t>
      </w:r>
      <w:r w:rsidR="00F83237" w:rsidRPr="00F83237">
        <w:rPr>
          <w:rFonts w:eastAsia="Times New Roman"/>
          <w:sz w:val="22"/>
          <w:szCs w:val="22"/>
        </w:rPr>
        <w:t>Na celebração de aditivos contratuais, deve ser mantido o desconto proporcional oferecido pela contratada em relação ao valor total estimado pela Administração, de modo a</w:t>
      </w:r>
      <w:r w:rsidR="00340BCF">
        <w:rPr>
          <w:rFonts w:eastAsia="Times New Roman"/>
          <w:sz w:val="22"/>
          <w:szCs w:val="22"/>
        </w:rPr>
        <w:t xml:space="preserve"> se evitar o “</w:t>
      </w:r>
      <w:r w:rsidR="00F83237" w:rsidRPr="00F83237">
        <w:rPr>
          <w:rFonts w:eastAsia="Times New Roman"/>
          <w:sz w:val="22"/>
          <w:szCs w:val="22"/>
        </w:rPr>
        <w:t>jogo de planilhas</w:t>
      </w:r>
      <w:r w:rsidR="00340BCF">
        <w:rPr>
          <w:rFonts w:eastAsia="Times New Roman"/>
          <w:sz w:val="22"/>
          <w:szCs w:val="22"/>
        </w:rPr>
        <w:t>”</w:t>
      </w:r>
      <w:r w:rsidR="00F83237" w:rsidRPr="00F83237">
        <w:rPr>
          <w:rFonts w:eastAsia="Times New Roman"/>
          <w:sz w:val="22"/>
          <w:szCs w:val="22"/>
        </w:rPr>
        <w:t>, tanto</w:t>
      </w:r>
      <w:r w:rsidR="00340BCF" w:rsidRPr="00340BCF">
        <w:rPr>
          <w:rFonts w:eastAsia="Times New Roman"/>
          <w:sz w:val="22"/>
          <w:szCs w:val="22"/>
        </w:rPr>
        <w:t xml:space="preserve"> </w:t>
      </w:r>
      <w:r w:rsidR="00340BCF" w:rsidRPr="00F83237">
        <w:rPr>
          <w:rFonts w:eastAsia="Times New Roman"/>
          <w:sz w:val="22"/>
          <w:szCs w:val="22"/>
        </w:rPr>
        <w:t>para modificação de quantidades de itens existentes</w:t>
      </w:r>
      <w:r w:rsidR="00340BCF">
        <w:rPr>
          <w:rFonts w:eastAsia="Times New Roman"/>
          <w:sz w:val="22"/>
          <w:szCs w:val="22"/>
        </w:rPr>
        <w:t xml:space="preserve"> quanto</w:t>
      </w:r>
      <w:r w:rsidR="00F83237" w:rsidRPr="00F83237">
        <w:rPr>
          <w:rFonts w:eastAsia="Times New Roman"/>
          <w:sz w:val="22"/>
          <w:szCs w:val="22"/>
        </w:rPr>
        <w:t xml:space="preserve"> para i</w:t>
      </w:r>
      <w:r w:rsidR="00340BCF">
        <w:rPr>
          <w:rFonts w:eastAsia="Times New Roman"/>
          <w:sz w:val="22"/>
          <w:szCs w:val="22"/>
        </w:rPr>
        <w:t>nclusão de novos serviços.</w:t>
      </w:r>
      <w:r w:rsidR="00F83237" w:rsidRPr="00F83237">
        <w:rPr>
          <w:rFonts w:eastAsia="Times New Roman"/>
          <w:sz w:val="22"/>
          <w:szCs w:val="22"/>
        </w:rPr>
        <w:t xml:space="preserve"> </w:t>
      </w:r>
    </w:p>
    <w:p w:rsidR="00E546E0" w:rsidRPr="00E546E0" w:rsidRDefault="00E546E0" w:rsidP="00A47A9A">
      <w:pPr>
        <w:pStyle w:val="Default"/>
        <w:spacing w:after="60"/>
        <w:jc w:val="both"/>
        <w:rPr>
          <w:rFonts w:eastAsia="Times New Roman"/>
          <w:b/>
          <w:sz w:val="22"/>
          <w:szCs w:val="22"/>
        </w:rPr>
      </w:pPr>
      <w:r>
        <w:rPr>
          <w:rFonts w:eastAsia="Times New Roman"/>
          <w:b/>
          <w:sz w:val="22"/>
          <w:szCs w:val="22"/>
        </w:rPr>
        <w:t>Segunda</w:t>
      </w:r>
      <w:r w:rsidRPr="00E546E0">
        <w:rPr>
          <w:rFonts w:eastAsia="Times New Roman"/>
          <w:b/>
          <w:sz w:val="22"/>
          <w:szCs w:val="22"/>
        </w:rPr>
        <w:t xml:space="preserve"> Câmara</w:t>
      </w:r>
    </w:p>
    <w:p w:rsidR="002D023F" w:rsidRPr="002D023F" w:rsidRDefault="002D023F" w:rsidP="00A47A9A">
      <w:pPr>
        <w:pStyle w:val="Default"/>
        <w:spacing w:after="60"/>
        <w:jc w:val="both"/>
        <w:rPr>
          <w:rFonts w:eastAsia="Times New Roman"/>
          <w:sz w:val="22"/>
          <w:szCs w:val="22"/>
        </w:rPr>
      </w:pPr>
      <w:r w:rsidRPr="002D023F">
        <w:rPr>
          <w:rFonts w:eastAsia="Times New Roman"/>
          <w:sz w:val="22"/>
          <w:szCs w:val="22"/>
        </w:rPr>
        <w:t>5. Nas licitações de serviços de manutenção e reparo de veículos, o emprego de critério de distância máxima entre a localização do órgão licitante e a da empresa licitante pode ser utilizado, desde que represente solução que garanta a economicidade almejada e não imponha restrições desnecessárias ao caráter competitivo do certame.</w:t>
      </w:r>
    </w:p>
    <w:p w:rsidR="00DB52C9" w:rsidRPr="00B40D4E" w:rsidRDefault="00DB52C9" w:rsidP="00DB52C9">
      <w:pPr>
        <w:pStyle w:val="Default"/>
        <w:spacing w:after="60"/>
        <w:jc w:val="both"/>
        <w:rPr>
          <w:sz w:val="22"/>
          <w:szCs w:val="22"/>
        </w:rPr>
      </w:pPr>
    </w:p>
    <w:p w:rsidR="006B62B4" w:rsidRPr="003A0B0D"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3A0B0D" w:rsidRPr="003A0B0D" w:rsidRDefault="003A0B0D" w:rsidP="00CC4A40">
      <w:pPr>
        <w:pBdr>
          <w:top w:val="threeDEmboss" w:sz="24" w:space="5" w:color="auto"/>
        </w:pBdr>
        <w:tabs>
          <w:tab w:val="left" w:pos="284"/>
          <w:tab w:val="left" w:pos="4172"/>
          <w:tab w:val="center" w:pos="4818"/>
        </w:tabs>
        <w:spacing w:after="0"/>
        <w:ind w:left="0"/>
        <w:jc w:val="center"/>
        <w:rPr>
          <w:b/>
          <w:bCs/>
          <w:smallCaps/>
          <w:sz w:val="22"/>
          <w:szCs w:val="22"/>
        </w:rPr>
      </w:pPr>
    </w:p>
    <w:p w:rsidR="00C322D7" w:rsidRPr="000D7CE9" w:rsidRDefault="004A2358" w:rsidP="00C322D7">
      <w:pPr>
        <w:pStyle w:val="enter-3pt"/>
        <w:tabs>
          <w:tab w:val="left" w:pos="2590"/>
        </w:tabs>
        <w:spacing w:line="240" w:lineRule="auto"/>
        <w:rPr>
          <w:b/>
          <w:sz w:val="22"/>
          <w:szCs w:val="22"/>
        </w:rPr>
      </w:pPr>
      <w:r w:rsidRPr="000D7CE9">
        <w:rPr>
          <w:b/>
          <w:sz w:val="22"/>
          <w:szCs w:val="22"/>
        </w:rPr>
        <w:t xml:space="preserve">1. </w:t>
      </w:r>
      <w:r w:rsidR="00C322D7" w:rsidRPr="000D7CE9">
        <w:rPr>
          <w:b/>
          <w:sz w:val="22"/>
          <w:szCs w:val="22"/>
        </w:rPr>
        <w:t>Nas licitações para contratação de projetos no âmbito do RDC, deve ser evitada a estimativa do custo do projeto como percentual do custo estimado da obra, sendo necessária a elaboração de orçamento detalhado com a especificação da quantidade de horas e o custo dos profissionais (art. 6º da Lei 12.462/11), exceção feita ao valor estimado da contratação integrada, ante o que dispõe o art. 9º, § 2º, inciso II, da mesma lei.</w:t>
      </w:r>
    </w:p>
    <w:p w:rsidR="00692440" w:rsidRPr="000D7CE9" w:rsidRDefault="00C73314" w:rsidP="00A47A9A">
      <w:pPr>
        <w:pStyle w:val="enter-3pt"/>
        <w:tabs>
          <w:tab w:val="left" w:pos="2590"/>
        </w:tabs>
        <w:spacing w:line="240" w:lineRule="auto"/>
        <w:rPr>
          <w:b/>
          <w:bCs/>
          <w:i/>
          <w:iCs/>
          <w:sz w:val="22"/>
          <w:szCs w:val="22"/>
        </w:rPr>
      </w:pPr>
      <w:r w:rsidRPr="000D7CE9">
        <w:rPr>
          <w:sz w:val="22"/>
          <w:szCs w:val="22"/>
        </w:rPr>
        <w:t xml:space="preserve">Em </w:t>
      </w:r>
      <w:r w:rsidR="006D1798" w:rsidRPr="000D7CE9">
        <w:rPr>
          <w:sz w:val="22"/>
          <w:szCs w:val="22"/>
        </w:rPr>
        <w:t xml:space="preserve">Representação </w:t>
      </w:r>
      <w:r w:rsidR="00323BA3" w:rsidRPr="000D7CE9">
        <w:rPr>
          <w:sz w:val="22"/>
          <w:szCs w:val="22"/>
        </w:rPr>
        <w:t>de</w:t>
      </w:r>
      <w:r w:rsidR="006D1798" w:rsidRPr="000D7CE9">
        <w:rPr>
          <w:sz w:val="22"/>
          <w:szCs w:val="22"/>
        </w:rPr>
        <w:t xml:space="preserve"> sociedade empresária </w:t>
      </w:r>
      <w:r w:rsidRPr="000D7CE9">
        <w:rPr>
          <w:sz w:val="22"/>
          <w:szCs w:val="22"/>
        </w:rPr>
        <w:t xml:space="preserve">acerca de </w:t>
      </w:r>
      <w:r w:rsidR="001103EC" w:rsidRPr="000D7CE9">
        <w:rPr>
          <w:sz w:val="22"/>
          <w:szCs w:val="22"/>
        </w:rPr>
        <w:t>licitação sob Regime Diferenciado de Contrataç</w:t>
      </w:r>
      <w:r w:rsidR="00A03D62" w:rsidRPr="000D7CE9">
        <w:rPr>
          <w:sz w:val="22"/>
          <w:szCs w:val="22"/>
        </w:rPr>
        <w:t>ões Públicas</w:t>
      </w:r>
      <w:r w:rsidR="00323BA3" w:rsidRPr="000D7CE9">
        <w:rPr>
          <w:sz w:val="22"/>
          <w:szCs w:val="22"/>
        </w:rPr>
        <w:t xml:space="preserve"> </w:t>
      </w:r>
      <w:r w:rsidR="001103EC" w:rsidRPr="000D7CE9">
        <w:rPr>
          <w:sz w:val="22"/>
          <w:szCs w:val="22"/>
        </w:rPr>
        <w:t>(</w:t>
      </w:r>
      <w:r w:rsidR="00323BA3" w:rsidRPr="000D7CE9">
        <w:rPr>
          <w:sz w:val="22"/>
          <w:szCs w:val="22"/>
        </w:rPr>
        <w:t>RDC</w:t>
      </w:r>
      <w:r w:rsidR="001103EC" w:rsidRPr="000D7CE9">
        <w:rPr>
          <w:sz w:val="22"/>
          <w:szCs w:val="22"/>
        </w:rPr>
        <w:t>)</w:t>
      </w:r>
      <w:r w:rsidR="00323BA3" w:rsidRPr="000D7CE9">
        <w:rPr>
          <w:sz w:val="22"/>
          <w:szCs w:val="22"/>
        </w:rPr>
        <w:t xml:space="preserve"> conduzida pela Fundação Uni</w:t>
      </w:r>
      <w:r w:rsidR="00E1633F" w:rsidRPr="000D7CE9">
        <w:rPr>
          <w:sz w:val="22"/>
          <w:szCs w:val="22"/>
        </w:rPr>
        <w:t>versidade Federal do ABC</w:t>
      </w:r>
      <w:r w:rsidR="001103EC" w:rsidRPr="000D7CE9">
        <w:rPr>
          <w:sz w:val="22"/>
          <w:szCs w:val="22"/>
        </w:rPr>
        <w:t>,</w:t>
      </w:r>
      <w:r w:rsidR="00667F07" w:rsidRPr="000D7CE9">
        <w:rPr>
          <w:sz w:val="22"/>
          <w:szCs w:val="22"/>
        </w:rPr>
        <w:t xml:space="preserve"> para</w:t>
      </w:r>
      <w:r w:rsidR="001103EC" w:rsidRPr="000D7CE9">
        <w:rPr>
          <w:sz w:val="22"/>
          <w:szCs w:val="22"/>
        </w:rPr>
        <w:t xml:space="preserve"> contratação</w:t>
      </w:r>
      <w:r w:rsidR="00323BA3" w:rsidRPr="000D7CE9">
        <w:rPr>
          <w:sz w:val="22"/>
          <w:szCs w:val="22"/>
        </w:rPr>
        <w:t xml:space="preserve"> de serviços de elaboração dos estudos preliminares</w:t>
      </w:r>
      <w:r w:rsidR="002F5497" w:rsidRPr="000D7CE9">
        <w:rPr>
          <w:sz w:val="22"/>
          <w:szCs w:val="22"/>
        </w:rPr>
        <w:t xml:space="preserve">, projetos básicos e executivos necessários à implantação do conjunto de Blocos Lambda no </w:t>
      </w:r>
      <w:r w:rsidR="002F5497" w:rsidRPr="000D7CE9">
        <w:rPr>
          <w:i/>
          <w:sz w:val="22"/>
          <w:szCs w:val="22"/>
        </w:rPr>
        <w:t>Campus</w:t>
      </w:r>
      <w:r w:rsidR="002F5497" w:rsidRPr="000D7CE9">
        <w:rPr>
          <w:sz w:val="22"/>
          <w:szCs w:val="22"/>
        </w:rPr>
        <w:t xml:space="preserve"> São Bernardo do Campo, </w:t>
      </w:r>
      <w:r w:rsidR="002067A7" w:rsidRPr="000D7CE9">
        <w:rPr>
          <w:sz w:val="22"/>
          <w:szCs w:val="22"/>
        </w:rPr>
        <w:t>a unidade técnica apontara</w:t>
      </w:r>
      <w:r w:rsidR="00B177F1" w:rsidRPr="000D7CE9">
        <w:rPr>
          <w:sz w:val="22"/>
          <w:szCs w:val="22"/>
        </w:rPr>
        <w:t xml:space="preserve"> irregularidade</w:t>
      </w:r>
      <w:r w:rsidR="001103EC" w:rsidRPr="000D7CE9">
        <w:rPr>
          <w:sz w:val="22"/>
          <w:szCs w:val="22"/>
        </w:rPr>
        <w:t xml:space="preserve"> no orçamento estimativo do certame</w:t>
      </w:r>
      <w:r w:rsidR="009A445A" w:rsidRPr="000D7CE9">
        <w:rPr>
          <w:sz w:val="22"/>
          <w:szCs w:val="22"/>
        </w:rPr>
        <w:t xml:space="preserve">. </w:t>
      </w:r>
      <w:r w:rsidR="0048538C" w:rsidRPr="000D7CE9">
        <w:rPr>
          <w:iCs/>
          <w:sz w:val="22"/>
          <w:szCs w:val="22"/>
        </w:rPr>
        <w:t xml:space="preserve">Realizadas as oitivas processuais, após a suspensão cautelar da execução do contrato, o relator </w:t>
      </w:r>
      <w:r w:rsidR="009A445A" w:rsidRPr="000D7CE9">
        <w:rPr>
          <w:iCs/>
          <w:sz w:val="22"/>
          <w:szCs w:val="22"/>
        </w:rPr>
        <w:t>observou que a entidade havia elaborado o orçamento-base do certame “</w:t>
      </w:r>
      <w:r w:rsidR="009A445A" w:rsidRPr="000D7CE9">
        <w:rPr>
          <w:i/>
          <w:iCs/>
          <w:sz w:val="22"/>
          <w:szCs w:val="22"/>
        </w:rPr>
        <w:t xml:space="preserve">a partir de percentuais incidentes sobre o montante estimado da construção da obra, no caso do projeto arquitetônico, e sobre esse </w:t>
      </w:r>
      <w:r w:rsidR="009A445A" w:rsidRPr="000D7CE9">
        <w:rPr>
          <w:i/>
          <w:iCs/>
          <w:sz w:val="22"/>
          <w:szCs w:val="22"/>
        </w:rPr>
        <w:lastRenderedPageBreak/>
        <w:t xml:space="preserve">último valor, no caso dos projetos complementares (fundações e estrutura, instalações elétricas, instalações de tecnologia de </w:t>
      </w:r>
      <w:r w:rsidR="001103EC" w:rsidRPr="000D7CE9">
        <w:rPr>
          <w:i/>
          <w:iCs/>
          <w:sz w:val="22"/>
          <w:szCs w:val="22"/>
        </w:rPr>
        <w:t>informação e comunicações</w:t>
      </w:r>
      <w:r w:rsidR="009A445A" w:rsidRPr="000D7CE9">
        <w:rPr>
          <w:i/>
          <w:iCs/>
          <w:sz w:val="22"/>
          <w:szCs w:val="22"/>
        </w:rPr>
        <w:t>)</w:t>
      </w:r>
      <w:r w:rsidR="009A445A" w:rsidRPr="000D7CE9">
        <w:rPr>
          <w:iCs/>
          <w:sz w:val="22"/>
          <w:szCs w:val="22"/>
        </w:rPr>
        <w:t xml:space="preserve">. </w:t>
      </w:r>
      <w:r w:rsidR="006E56BC" w:rsidRPr="000D7CE9">
        <w:rPr>
          <w:iCs/>
          <w:sz w:val="22"/>
          <w:szCs w:val="22"/>
        </w:rPr>
        <w:t xml:space="preserve">Sobre o assunto, </w:t>
      </w:r>
      <w:r w:rsidR="00B177F1" w:rsidRPr="000D7CE9">
        <w:rPr>
          <w:iCs/>
          <w:sz w:val="22"/>
          <w:szCs w:val="22"/>
        </w:rPr>
        <w:t xml:space="preserve">destacou </w:t>
      </w:r>
      <w:r w:rsidR="006E56BC" w:rsidRPr="000D7CE9">
        <w:rPr>
          <w:iCs/>
          <w:sz w:val="22"/>
          <w:szCs w:val="22"/>
        </w:rPr>
        <w:t xml:space="preserve">o relator </w:t>
      </w:r>
      <w:r w:rsidR="00B177F1" w:rsidRPr="000D7CE9">
        <w:rPr>
          <w:iCs/>
          <w:sz w:val="22"/>
          <w:szCs w:val="22"/>
        </w:rPr>
        <w:t>que “</w:t>
      </w:r>
      <w:r w:rsidR="00B177F1" w:rsidRPr="000D7CE9">
        <w:rPr>
          <w:i/>
          <w:iCs/>
          <w:sz w:val="22"/>
          <w:szCs w:val="22"/>
        </w:rPr>
        <w:t>embora a definição do custo de projeto como percentual do custo estimado da obra seja prática utilizada por alguns orçamentistas</w:t>
      </w:r>
      <w:r w:rsidR="006E56BC" w:rsidRPr="000D7CE9">
        <w:rPr>
          <w:i/>
          <w:iCs/>
          <w:sz w:val="22"/>
          <w:szCs w:val="22"/>
        </w:rPr>
        <w:t xml:space="preserve"> </w:t>
      </w:r>
      <w:r w:rsidR="001103EC" w:rsidRPr="000D7CE9">
        <w:rPr>
          <w:i/>
          <w:iCs/>
          <w:sz w:val="22"/>
          <w:szCs w:val="22"/>
        </w:rPr>
        <w:t>(</w:t>
      </w:r>
      <w:r w:rsidR="006E56BC" w:rsidRPr="000D7CE9">
        <w:rPr>
          <w:i/>
          <w:iCs/>
          <w:sz w:val="22"/>
          <w:szCs w:val="22"/>
        </w:rPr>
        <w:t>...</w:t>
      </w:r>
      <w:r w:rsidR="001103EC" w:rsidRPr="000D7CE9">
        <w:rPr>
          <w:i/>
          <w:iCs/>
          <w:sz w:val="22"/>
          <w:szCs w:val="22"/>
        </w:rPr>
        <w:t>)</w:t>
      </w:r>
      <w:r w:rsidR="00B177F1" w:rsidRPr="000D7CE9">
        <w:rPr>
          <w:i/>
          <w:iCs/>
          <w:sz w:val="22"/>
          <w:szCs w:val="22"/>
        </w:rPr>
        <w:t xml:space="preserve"> tal critério de ser evitado para a definição do valor de referência em licitações públicas, haja vista a sua grande imprecisão intrínseca</w:t>
      </w:r>
      <w:r w:rsidR="00B177F1" w:rsidRPr="000D7CE9">
        <w:rPr>
          <w:iCs/>
          <w:sz w:val="22"/>
          <w:szCs w:val="22"/>
        </w:rPr>
        <w:t>”.  Acrescentou que “</w:t>
      </w:r>
      <w:r w:rsidR="00B177F1" w:rsidRPr="000D7CE9">
        <w:rPr>
          <w:i/>
          <w:iCs/>
          <w:sz w:val="22"/>
          <w:szCs w:val="22"/>
        </w:rPr>
        <w:t>o método de especificar a quantidade de horas e o custo dos profissionais encontra-se de acordo com o art. 6º da Lei 12.462/2011, que estabelece, com relação ao orçamento previamente estimado para a contratação de serviços, que a Administração deverá divulgar ‘o detalhamento dos quantitativos e das demais informações necessárias para a elaboração das propostas’</w:t>
      </w:r>
      <w:r w:rsidR="00ED7895" w:rsidRPr="000D7CE9">
        <w:rPr>
          <w:i/>
          <w:iCs/>
          <w:sz w:val="22"/>
          <w:szCs w:val="22"/>
        </w:rPr>
        <w:t>”</w:t>
      </w:r>
      <w:r w:rsidR="00B177F1" w:rsidRPr="000D7CE9">
        <w:rPr>
          <w:i/>
          <w:iCs/>
          <w:sz w:val="22"/>
          <w:szCs w:val="22"/>
        </w:rPr>
        <w:t>.</w:t>
      </w:r>
      <w:r w:rsidR="00ED7895" w:rsidRPr="000D7CE9">
        <w:rPr>
          <w:iCs/>
          <w:sz w:val="22"/>
          <w:szCs w:val="22"/>
        </w:rPr>
        <w:t xml:space="preserve"> Ressalvou, contudo, que a obrigação de elaborar orçamento detalhado “</w:t>
      </w:r>
      <w:r w:rsidR="00ED7895" w:rsidRPr="000D7CE9">
        <w:rPr>
          <w:i/>
          <w:iCs/>
          <w:sz w:val="22"/>
          <w:szCs w:val="22"/>
        </w:rPr>
        <w:t>somente não se impõe à determinação do valor estimado da contratação integrada, que, conforme o art. 9º, § 2º, inciso II, da Lei do RDC, parte final, pode</w:t>
      </w:r>
      <w:r w:rsidR="00DA2241" w:rsidRPr="000D7CE9">
        <w:rPr>
          <w:i/>
          <w:iCs/>
          <w:sz w:val="22"/>
          <w:szCs w:val="22"/>
        </w:rPr>
        <w:t>rá ser calculado a partir da “</w:t>
      </w:r>
      <w:r w:rsidR="00ED7895" w:rsidRPr="000D7CE9">
        <w:rPr>
          <w:i/>
          <w:iCs/>
          <w:sz w:val="22"/>
          <w:szCs w:val="22"/>
        </w:rPr>
        <w:t>avaliação do custo global da obra, aferida mediante orçamento sintético ou metodologia expedita ou paramétrica”</w:t>
      </w:r>
      <w:r w:rsidR="00ED7895" w:rsidRPr="000D7CE9">
        <w:rPr>
          <w:iCs/>
          <w:sz w:val="22"/>
          <w:szCs w:val="22"/>
        </w:rPr>
        <w:t xml:space="preserve">. </w:t>
      </w:r>
      <w:r w:rsidR="0002659E" w:rsidRPr="000D7CE9">
        <w:rPr>
          <w:iCs/>
          <w:sz w:val="22"/>
          <w:szCs w:val="22"/>
        </w:rPr>
        <w:t>Apesar da falha no orçamento estimativo da licitação, ponderou o relator que “</w:t>
      </w:r>
      <w:r w:rsidR="0002659E" w:rsidRPr="000D7CE9">
        <w:rPr>
          <w:i/>
          <w:iCs/>
          <w:sz w:val="22"/>
          <w:szCs w:val="22"/>
        </w:rPr>
        <w:t>o valor global estimado do projeto seguiu valores paramétricos usados no setor de engenharia consultiva</w:t>
      </w:r>
      <w:r w:rsidR="0002659E" w:rsidRPr="000D7CE9">
        <w:rPr>
          <w:iCs/>
          <w:sz w:val="22"/>
          <w:szCs w:val="22"/>
        </w:rPr>
        <w:t>”. Nesse sentido, o Tribunal, alinhado ao voto do relator,</w:t>
      </w:r>
      <w:r w:rsidR="0026620A" w:rsidRPr="000D7CE9">
        <w:rPr>
          <w:iCs/>
          <w:sz w:val="22"/>
          <w:szCs w:val="22"/>
        </w:rPr>
        <w:t xml:space="preserve"> </w:t>
      </w:r>
      <w:r w:rsidR="00DA2241" w:rsidRPr="000D7CE9">
        <w:rPr>
          <w:iCs/>
          <w:sz w:val="22"/>
          <w:szCs w:val="22"/>
        </w:rPr>
        <w:t>julgou a R</w:t>
      </w:r>
      <w:r w:rsidR="002E79A6" w:rsidRPr="000D7CE9">
        <w:rPr>
          <w:iCs/>
          <w:sz w:val="22"/>
          <w:szCs w:val="22"/>
        </w:rPr>
        <w:t xml:space="preserve">epresentação parcialmente procedente, </w:t>
      </w:r>
      <w:r w:rsidR="0026620A" w:rsidRPr="000D7CE9">
        <w:rPr>
          <w:iCs/>
          <w:sz w:val="22"/>
          <w:szCs w:val="22"/>
        </w:rPr>
        <w:t>rejeit</w:t>
      </w:r>
      <w:r w:rsidR="002E79A6" w:rsidRPr="000D7CE9">
        <w:rPr>
          <w:iCs/>
          <w:sz w:val="22"/>
          <w:szCs w:val="22"/>
        </w:rPr>
        <w:t>ando em parte</w:t>
      </w:r>
      <w:r w:rsidR="0026620A" w:rsidRPr="000D7CE9">
        <w:rPr>
          <w:iCs/>
          <w:sz w:val="22"/>
          <w:szCs w:val="22"/>
        </w:rPr>
        <w:t xml:space="preserve"> as justificativas trazidas pela entidade sobre a questão.</w:t>
      </w:r>
      <w:r w:rsidR="00692440" w:rsidRPr="000D7CE9">
        <w:rPr>
          <w:iCs/>
          <w:sz w:val="22"/>
          <w:szCs w:val="22"/>
        </w:rPr>
        <w:t xml:space="preserve"> </w:t>
      </w:r>
      <w:hyperlink r:id="rId9" w:history="1">
        <w:r w:rsidR="00692440" w:rsidRPr="000D7CE9">
          <w:rPr>
            <w:rStyle w:val="Hyperlink"/>
            <w:b/>
            <w:bCs/>
            <w:i/>
            <w:iCs/>
            <w:sz w:val="22"/>
            <w:szCs w:val="22"/>
          </w:rPr>
          <w:t>Acórdão 288/2015-Plenário</w:t>
        </w:r>
      </w:hyperlink>
      <w:r w:rsidR="00692440" w:rsidRPr="000D7CE9">
        <w:rPr>
          <w:b/>
          <w:bCs/>
          <w:i/>
          <w:iCs/>
          <w:sz w:val="22"/>
          <w:szCs w:val="22"/>
        </w:rPr>
        <w:t>, TC 017.817/2014-5, relator Ministro Benjamin Zymler, 25.2.2015.</w:t>
      </w:r>
    </w:p>
    <w:p w:rsidR="00692440" w:rsidRPr="000D7CE9" w:rsidRDefault="00692440" w:rsidP="00A47A9A">
      <w:pPr>
        <w:pStyle w:val="enter-3pt"/>
        <w:tabs>
          <w:tab w:val="left" w:pos="2590"/>
        </w:tabs>
        <w:spacing w:line="240" w:lineRule="auto"/>
        <w:rPr>
          <w:iCs/>
          <w:sz w:val="22"/>
          <w:szCs w:val="22"/>
        </w:rPr>
      </w:pPr>
    </w:p>
    <w:p w:rsidR="00A47A9A" w:rsidRPr="000D7CE9" w:rsidRDefault="00BC4B19" w:rsidP="00A47A9A">
      <w:pPr>
        <w:pStyle w:val="enter-3pt"/>
        <w:tabs>
          <w:tab w:val="left" w:pos="2590"/>
        </w:tabs>
        <w:spacing w:line="240" w:lineRule="auto"/>
        <w:rPr>
          <w:b/>
          <w:sz w:val="22"/>
          <w:szCs w:val="22"/>
        </w:rPr>
      </w:pPr>
      <w:r w:rsidRPr="000D7CE9">
        <w:rPr>
          <w:b/>
          <w:sz w:val="22"/>
          <w:szCs w:val="22"/>
        </w:rPr>
        <w:t xml:space="preserve">2. </w:t>
      </w:r>
      <w:r w:rsidR="00A47A9A" w:rsidRPr="000D7CE9">
        <w:rPr>
          <w:b/>
          <w:sz w:val="22"/>
          <w:szCs w:val="22"/>
        </w:rPr>
        <w:t xml:space="preserve">No RDC, a definição dos critérios de avaliação e ponderação da qualidade técnica das propostas está no âmbito da discricionariedade da Administração, devendo ser adotados, de forma justificada, os requisitos que melhor se amoldem às características peculiares do objeto licitado (art. 20, </w:t>
      </w:r>
      <w:r w:rsidR="00A47A9A" w:rsidRPr="000D7CE9">
        <w:rPr>
          <w:b/>
          <w:i/>
          <w:sz w:val="22"/>
          <w:szCs w:val="22"/>
        </w:rPr>
        <w:t>caput</w:t>
      </w:r>
      <w:r w:rsidR="00A47A9A" w:rsidRPr="000D7CE9">
        <w:rPr>
          <w:b/>
          <w:sz w:val="22"/>
          <w:szCs w:val="22"/>
        </w:rPr>
        <w:t>, da Lei 12.462/11).</w:t>
      </w:r>
    </w:p>
    <w:p w:rsidR="00EE5754" w:rsidRPr="000D7CE9" w:rsidRDefault="009232B9" w:rsidP="00A47A9A">
      <w:pPr>
        <w:pStyle w:val="enter-3pt"/>
        <w:tabs>
          <w:tab w:val="left" w:pos="2590"/>
        </w:tabs>
        <w:spacing w:line="240" w:lineRule="auto"/>
        <w:rPr>
          <w:rFonts w:ascii="Segoe UI WPC" w:hAnsi="Segoe UI WPC"/>
          <w:color w:val="282828"/>
          <w:sz w:val="22"/>
          <w:szCs w:val="22"/>
        </w:rPr>
      </w:pPr>
      <w:r w:rsidRPr="000D7CE9">
        <w:rPr>
          <w:iCs/>
          <w:sz w:val="22"/>
          <w:szCs w:val="22"/>
        </w:rPr>
        <w:t>Ainda na Representação acerca de licitação sob regime RDC conduzida pela Fundação Universidade Federal do ABC (UFABC) para a contratação de serviços de elaboração dos estudos preliminares, projetos básicos e executivos</w:t>
      </w:r>
      <w:r w:rsidR="00065C38" w:rsidRPr="000D7CE9">
        <w:rPr>
          <w:iCs/>
          <w:sz w:val="22"/>
          <w:szCs w:val="22"/>
        </w:rPr>
        <w:t xml:space="preserve">, </w:t>
      </w:r>
      <w:r w:rsidR="00E42A4F" w:rsidRPr="000D7CE9">
        <w:rPr>
          <w:iCs/>
          <w:sz w:val="22"/>
          <w:szCs w:val="22"/>
        </w:rPr>
        <w:t>a representante apontara a utilização de licitação do tipo técnica e preço, com a utilização de experiência anterior compondo a maior parte da nota técnica.</w:t>
      </w:r>
      <w:r w:rsidR="005146E4" w:rsidRPr="000D7CE9">
        <w:rPr>
          <w:iCs/>
          <w:sz w:val="22"/>
          <w:szCs w:val="22"/>
        </w:rPr>
        <w:t xml:space="preserve"> Ao analisar a questão, o relator </w:t>
      </w:r>
      <w:r w:rsidR="00835151" w:rsidRPr="000D7CE9">
        <w:rPr>
          <w:iCs/>
          <w:sz w:val="22"/>
          <w:szCs w:val="22"/>
        </w:rPr>
        <w:t xml:space="preserve">concluiu que </w:t>
      </w:r>
      <w:r w:rsidR="005146E4" w:rsidRPr="000D7CE9">
        <w:rPr>
          <w:iCs/>
          <w:sz w:val="22"/>
          <w:szCs w:val="22"/>
        </w:rPr>
        <w:t xml:space="preserve">o critério usado pela UFABC </w:t>
      </w:r>
      <w:r w:rsidR="00835151" w:rsidRPr="000D7CE9">
        <w:rPr>
          <w:iCs/>
          <w:sz w:val="22"/>
          <w:szCs w:val="22"/>
        </w:rPr>
        <w:t xml:space="preserve">não </w:t>
      </w:r>
      <w:r w:rsidR="005146E4" w:rsidRPr="000D7CE9">
        <w:rPr>
          <w:iCs/>
          <w:sz w:val="22"/>
          <w:szCs w:val="22"/>
        </w:rPr>
        <w:t xml:space="preserve">violou a lei e a jurisprudência. </w:t>
      </w:r>
      <w:r w:rsidR="00EE5754" w:rsidRPr="000D7CE9">
        <w:rPr>
          <w:iCs/>
          <w:sz w:val="22"/>
          <w:szCs w:val="22"/>
        </w:rPr>
        <w:t>E</w:t>
      </w:r>
      <w:r w:rsidR="00835151" w:rsidRPr="000D7CE9">
        <w:rPr>
          <w:iCs/>
          <w:sz w:val="22"/>
          <w:szCs w:val="22"/>
        </w:rPr>
        <w:t xml:space="preserve">xplicou o relator, </w:t>
      </w:r>
      <w:r w:rsidR="00EE5754" w:rsidRPr="000D7CE9">
        <w:rPr>
          <w:iCs/>
          <w:sz w:val="22"/>
          <w:szCs w:val="22"/>
        </w:rPr>
        <w:t>reproduz</w:t>
      </w:r>
      <w:r w:rsidR="00290379" w:rsidRPr="000D7CE9">
        <w:rPr>
          <w:iCs/>
          <w:sz w:val="22"/>
          <w:szCs w:val="22"/>
        </w:rPr>
        <w:t>indo</w:t>
      </w:r>
      <w:r w:rsidR="00EE5754" w:rsidRPr="000D7CE9">
        <w:rPr>
          <w:iCs/>
          <w:sz w:val="22"/>
          <w:szCs w:val="22"/>
        </w:rPr>
        <w:t xml:space="preserve"> </w:t>
      </w:r>
      <w:r w:rsidR="00FD5D1D" w:rsidRPr="000D7CE9">
        <w:rPr>
          <w:iCs/>
          <w:sz w:val="22"/>
          <w:szCs w:val="22"/>
        </w:rPr>
        <w:t>despacho anterior proferido nos autos</w:t>
      </w:r>
      <w:r w:rsidR="00290379" w:rsidRPr="000D7CE9">
        <w:rPr>
          <w:iCs/>
          <w:sz w:val="22"/>
          <w:szCs w:val="22"/>
        </w:rPr>
        <w:t>,</w:t>
      </w:r>
      <w:r w:rsidR="00835151" w:rsidRPr="000D7CE9">
        <w:rPr>
          <w:iCs/>
          <w:sz w:val="22"/>
          <w:szCs w:val="22"/>
        </w:rPr>
        <w:t xml:space="preserve"> </w:t>
      </w:r>
      <w:r w:rsidR="007E2815" w:rsidRPr="000D7CE9">
        <w:rPr>
          <w:iCs/>
          <w:sz w:val="22"/>
          <w:szCs w:val="22"/>
        </w:rPr>
        <w:t>que</w:t>
      </w:r>
      <w:r w:rsidR="00EE5754" w:rsidRPr="000D7CE9">
        <w:rPr>
          <w:iCs/>
          <w:sz w:val="22"/>
          <w:szCs w:val="22"/>
        </w:rPr>
        <w:t xml:space="preserve"> “</w:t>
      </w:r>
      <w:r w:rsidR="00EE5754" w:rsidRPr="000D7CE9">
        <w:rPr>
          <w:i/>
          <w:iCs/>
          <w:sz w:val="22"/>
          <w:szCs w:val="22"/>
        </w:rPr>
        <w:t xml:space="preserve">a Lei 12.462/2011 não especificou os critérios de avaliação e ponderação da qualidade técnica das propostas, o que leva à conclusão de que o legislador remeteu à discricionariedade da Administração a definição de tais requisitos. Nesse sentido, transcrevo o art. 20, </w:t>
      </w:r>
      <w:r w:rsidR="00EE5754" w:rsidRPr="000D7CE9">
        <w:rPr>
          <w:bCs/>
          <w:i/>
          <w:iCs/>
          <w:sz w:val="22"/>
          <w:szCs w:val="22"/>
        </w:rPr>
        <w:t>caput</w:t>
      </w:r>
      <w:r w:rsidR="00EE5754" w:rsidRPr="000D7CE9">
        <w:rPr>
          <w:i/>
          <w:iCs/>
          <w:sz w:val="22"/>
          <w:szCs w:val="22"/>
        </w:rPr>
        <w:t>, da Lei do RDC:</w:t>
      </w:r>
      <w:r w:rsidR="007E2815" w:rsidRPr="000D7CE9">
        <w:rPr>
          <w:i/>
          <w:iCs/>
          <w:sz w:val="22"/>
          <w:szCs w:val="22"/>
        </w:rPr>
        <w:t xml:space="preserve"> ‘</w:t>
      </w:r>
      <w:r w:rsidR="00EE5754" w:rsidRPr="000D7CE9">
        <w:rPr>
          <w:i/>
          <w:iCs/>
          <w:sz w:val="22"/>
          <w:szCs w:val="22"/>
        </w:rPr>
        <w:t xml:space="preserve">No julgamento pela melhor combinação de técnica e preço, deverão ser avaliadas e ponderadas as propostas técnicas e de preço </w:t>
      </w:r>
      <w:r w:rsidR="007502E4" w:rsidRPr="000D7CE9">
        <w:rPr>
          <w:i/>
          <w:iCs/>
          <w:sz w:val="22"/>
          <w:szCs w:val="22"/>
        </w:rPr>
        <w:t>(</w:t>
      </w:r>
      <w:r w:rsidR="007E2815" w:rsidRPr="000D7CE9">
        <w:rPr>
          <w:i/>
          <w:iCs/>
          <w:sz w:val="22"/>
          <w:szCs w:val="22"/>
        </w:rPr>
        <w:t>...</w:t>
      </w:r>
      <w:r w:rsidR="007502E4" w:rsidRPr="000D7CE9">
        <w:rPr>
          <w:i/>
          <w:iCs/>
          <w:sz w:val="22"/>
          <w:szCs w:val="22"/>
        </w:rPr>
        <w:t>)</w:t>
      </w:r>
      <w:r w:rsidR="00EE5754" w:rsidRPr="000D7CE9">
        <w:rPr>
          <w:i/>
          <w:iCs/>
          <w:sz w:val="22"/>
          <w:szCs w:val="22"/>
        </w:rPr>
        <w:t xml:space="preserve"> mediante a utilização de parâmetros objetivos obrigatoriamente inseridos</w:t>
      </w:r>
      <w:r w:rsidR="007E2815" w:rsidRPr="000D7CE9">
        <w:rPr>
          <w:i/>
          <w:iCs/>
          <w:sz w:val="22"/>
          <w:szCs w:val="22"/>
        </w:rPr>
        <w:t xml:space="preserve"> no instrumento convocatório</w:t>
      </w:r>
      <w:r w:rsidR="00982630" w:rsidRPr="000D7CE9">
        <w:rPr>
          <w:i/>
          <w:iCs/>
          <w:sz w:val="22"/>
          <w:szCs w:val="22"/>
        </w:rPr>
        <w:t>’</w:t>
      </w:r>
      <w:r w:rsidR="007E2815" w:rsidRPr="000D7CE9">
        <w:rPr>
          <w:i/>
          <w:iCs/>
          <w:sz w:val="22"/>
          <w:szCs w:val="22"/>
        </w:rPr>
        <w:t xml:space="preserve">. </w:t>
      </w:r>
      <w:r w:rsidR="00EE5754" w:rsidRPr="000D7CE9">
        <w:rPr>
          <w:i/>
          <w:iCs/>
          <w:sz w:val="22"/>
          <w:szCs w:val="22"/>
        </w:rPr>
        <w:t xml:space="preserve">Levando em conta a literalidade da norma, a disciplina do assunto diverge da estabelecida no art. 46, § 1º, inciso I, e § 2º, da Lei 8.666/1993, que definiu como critérios de avaliação da proposta técnica </w:t>
      </w:r>
      <w:r w:rsidR="00982630" w:rsidRPr="000D7CE9">
        <w:rPr>
          <w:i/>
          <w:iCs/>
          <w:sz w:val="22"/>
          <w:szCs w:val="22"/>
        </w:rPr>
        <w:t>‘</w:t>
      </w:r>
      <w:r w:rsidR="00EE5754" w:rsidRPr="000D7CE9">
        <w:rPr>
          <w:i/>
          <w:iCs/>
          <w:sz w:val="22"/>
          <w:szCs w:val="22"/>
        </w:rPr>
        <w:t>(...) a capacitação e a experiência do proponente, a qualidade técnica da proposta</w:t>
      </w:r>
      <w:r w:rsidR="007E2815" w:rsidRPr="000D7CE9">
        <w:rPr>
          <w:i/>
          <w:iCs/>
          <w:sz w:val="22"/>
          <w:szCs w:val="22"/>
        </w:rPr>
        <w:t xml:space="preserve"> </w:t>
      </w:r>
      <w:r w:rsidR="007502E4" w:rsidRPr="000D7CE9">
        <w:rPr>
          <w:i/>
          <w:iCs/>
          <w:sz w:val="22"/>
          <w:szCs w:val="22"/>
        </w:rPr>
        <w:t>(</w:t>
      </w:r>
      <w:r w:rsidR="007E2815" w:rsidRPr="000D7CE9">
        <w:rPr>
          <w:i/>
          <w:iCs/>
          <w:sz w:val="22"/>
          <w:szCs w:val="22"/>
        </w:rPr>
        <w:t>...</w:t>
      </w:r>
      <w:r w:rsidR="007502E4" w:rsidRPr="000D7CE9">
        <w:rPr>
          <w:i/>
          <w:iCs/>
          <w:sz w:val="22"/>
          <w:szCs w:val="22"/>
        </w:rPr>
        <w:t>)</w:t>
      </w:r>
      <w:r w:rsidR="00EE5754" w:rsidRPr="000D7CE9">
        <w:rPr>
          <w:i/>
          <w:iCs/>
          <w:sz w:val="22"/>
          <w:szCs w:val="22"/>
        </w:rPr>
        <w:t xml:space="preserve"> e a qualificação das equipes técnicas a serem mobilizadas para a sua execução</w:t>
      </w:r>
      <w:r w:rsidR="00982630" w:rsidRPr="000D7CE9">
        <w:rPr>
          <w:i/>
          <w:iCs/>
          <w:sz w:val="22"/>
          <w:szCs w:val="22"/>
        </w:rPr>
        <w:t>’.</w:t>
      </w:r>
      <w:r w:rsidR="00EE5754" w:rsidRPr="000D7CE9">
        <w:rPr>
          <w:i/>
          <w:iCs/>
          <w:sz w:val="22"/>
          <w:szCs w:val="22"/>
        </w:rPr>
        <w:t xml:space="preserve"> Considerando a maior discricionariedade da escolha dos critérios, no regime do RDC, com muito mais razão se aplica o decidido nos</w:t>
      </w:r>
      <w:r w:rsidR="00D9184F" w:rsidRPr="000D7CE9">
        <w:rPr>
          <w:i/>
          <w:iCs/>
          <w:sz w:val="22"/>
          <w:szCs w:val="22"/>
        </w:rPr>
        <w:t xml:space="preserve"> </w:t>
      </w:r>
      <w:hyperlink r:id="rId10" w:history="1">
        <w:r w:rsidR="00D9184F" w:rsidRPr="000D7CE9">
          <w:rPr>
            <w:rStyle w:val="Hyperlink"/>
            <w:i/>
            <w:sz w:val="22"/>
            <w:szCs w:val="22"/>
            <w:shd w:val="clear" w:color="auto" w:fill="FFFFFF"/>
          </w:rPr>
          <w:t>Acórdãos 2171/2005-Plenário</w:t>
        </w:r>
      </w:hyperlink>
      <w:r w:rsidR="00D9184F" w:rsidRPr="000D7CE9">
        <w:rPr>
          <w:i/>
          <w:color w:val="1F497D"/>
          <w:sz w:val="22"/>
          <w:szCs w:val="22"/>
          <w:shd w:val="clear" w:color="auto" w:fill="FFFFFF"/>
        </w:rPr>
        <w:t xml:space="preserve"> e </w:t>
      </w:r>
      <w:hyperlink r:id="rId11" w:history="1">
        <w:r w:rsidR="00D9184F" w:rsidRPr="000D7CE9">
          <w:rPr>
            <w:rStyle w:val="Hyperlink"/>
            <w:i/>
            <w:sz w:val="22"/>
            <w:szCs w:val="22"/>
            <w:shd w:val="clear" w:color="auto" w:fill="FFFFFF"/>
          </w:rPr>
          <w:t>2172/2005-Plenário</w:t>
        </w:r>
      </w:hyperlink>
      <w:r w:rsidR="00EE5754" w:rsidRPr="000D7CE9">
        <w:rPr>
          <w:i/>
          <w:iCs/>
          <w:sz w:val="22"/>
          <w:szCs w:val="22"/>
        </w:rPr>
        <w:t>, segundo os quais a Administração pode, de maneira justificada, adotar aquele(s) requisitos que melhor se amolde(m) às características peculiares do objeto licitado</w:t>
      </w:r>
      <w:r w:rsidR="007E2815" w:rsidRPr="000D7CE9">
        <w:rPr>
          <w:i/>
          <w:iCs/>
          <w:sz w:val="22"/>
          <w:szCs w:val="22"/>
        </w:rPr>
        <w:t>”</w:t>
      </w:r>
      <w:r w:rsidR="00EE5754" w:rsidRPr="000D7CE9">
        <w:rPr>
          <w:i/>
          <w:iCs/>
          <w:sz w:val="22"/>
          <w:szCs w:val="22"/>
        </w:rPr>
        <w:t>.</w:t>
      </w:r>
      <w:r w:rsidR="007E2815" w:rsidRPr="000D7CE9">
        <w:rPr>
          <w:i/>
          <w:iCs/>
          <w:sz w:val="22"/>
          <w:szCs w:val="22"/>
        </w:rPr>
        <w:t xml:space="preserve"> </w:t>
      </w:r>
      <w:r w:rsidR="00835151" w:rsidRPr="000D7CE9">
        <w:rPr>
          <w:iCs/>
          <w:sz w:val="22"/>
          <w:szCs w:val="22"/>
        </w:rPr>
        <w:t>Nesse sentido, o relator considerou aceitável o critério estabelecido pela UFABC</w:t>
      </w:r>
      <w:r w:rsidR="005B2107" w:rsidRPr="000D7CE9">
        <w:rPr>
          <w:iCs/>
          <w:sz w:val="22"/>
          <w:szCs w:val="22"/>
        </w:rPr>
        <w:t xml:space="preserve"> para a avaliação das propostas técnicas (experiência pretérita na realização de projetos similares e apresentação da metodologia de trabalho, com pesos de 90% e 10%), uma vez que “</w:t>
      </w:r>
      <w:r w:rsidR="005B2107" w:rsidRPr="000D7CE9">
        <w:rPr>
          <w:i/>
          <w:iCs/>
          <w:sz w:val="22"/>
          <w:szCs w:val="22"/>
        </w:rPr>
        <w:t>no caso de elaboração de projetos, é esperado que a experiência pretérita da equipe seja fator preponderante para a obtenção de um projeto de melhor qualidade.”</w:t>
      </w:r>
      <w:r w:rsidR="005B2107" w:rsidRPr="000D7CE9">
        <w:rPr>
          <w:iCs/>
          <w:sz w:val="22"/>
          <w:szCs w:val="22"/>
        </w:rPr>
        <w:t xml:space="preserve"> </w:t>
      </w:r>
      <w:r w:rsidR="002E79A6" w:rsidRPr="000D7CE9">
        <w:rPr>
          <w:iCs/>
          <w:sz w:val="22"/>
          <w:szCs w:val="22"/>
        </w:rPr>
        <w:t>Assim, o</w:t>
      </w:r>
      <w:r w:rsidR="005B2107" w:rsidRPr="000D7CE9">
        <w:rPr>
          <w:iCs/>
          <w:sz w:val="22"/>
          <w:szCs w:val="22"/>
        </w:rPr>
        <w:t xml:space="preserve"> Tribunal, alinhado ao voto do relator, </w:t>
      </w:r>
      <w:r w:rsidR="002E79A6" w:rsidRPr="000D7CE9">
        <w:rPr>
          <w:iCs/>
          <w:sz w:val="22"/>
          <w:szCs w:val="22"/>
        </w:rPr>
        <w:t>acolheu as justificativas apresentadas pela UFABC</w:t>
      </w:r>
      <w:r w:rsidR="007502E4" w:rsidRPr="000D7CE9">
        <w:rPr>
          <w:iCs/>
          <w:sz w:val="22"/>
          <w:szCs w:val="22"/>
        </w:rPr>
        <w:t xml:space="preserve"> quanto ao ponto</w:t>
      </w:r>
      <w:r w:rsidR="002E79A6" w:rsidRPr="000D7CE9">
        <w:rPr>
          <w:iCs/>
          <w:sz w:val="22"/>
          <w:szCs w:val="22"/>
        </w:rPr>
        <w:t>.</w:t>
      </w:r>
      <w:r w:rsidR="002E79A6" w:rsidRPr="000D7CE9">
        <w:rPr>
          <w:b/>
          <w:bCs/>
          <w:i/>
          <w:iCs/>
          <w:sz w:val="22"/>
          <w:szCs w:val="22"/>
        </w:rPr>
        <w:t xml:space="preserve"> </w:t>
      </w:r>
      <w:hyperlink r:id="rId12" w:history="1">
        <w:r w:rsidR="00D51E05" w:rsidRPr="000D7CE9">
          <w:rPr>
            <w:rStyle w:val="Hyperlink"/>
            <w:b/>
            <w:bCs/>
            <w:i/>
            <w:iCs/>
            <w:sz w:val="22"/>
            <w:szCs w:val="22"/>
          </w:rPr>
          <w:t>Acórdão 288/2015-Plenário</w:t>
        </w:r>
      </w:hyperlink>
      <w:r w:rsidR="002E79A6" w:rsidRPr="000D7CE9">
        <w:rPr>
          <w:b/>
          <w:bCs/>
          <w:i/>
          <w:iCs/>
          <w:sz w:val="22"/>
          <w:szCs w:val="22"/>
        </w:rPr>
        <w:t>, TC 017.817/2014-5, relator Ministro Benjamin Zymler, 25.2.2015</w:t>
      </w:r>
    </w:p>
    <w:p w:rsidR="008E2E14" w:rsidRPr="000D7CE9" w:rsidRDefault="008E2E14" w:rsidP="00A47A9A">
      <w:pPr>
        <w:pStyle w:val="enter-3pt"/>
        <w:tabs>
          <w:tab w:val="left" w:pos="2590"/>
        </w:tabs>
        <w:spacing w:line="240" w:lineRule="auto"/>
        <w:rPr>
          <w:b/>
          <w:sz w:val="22"/>
          <w:szCs w:val="22"/>
        </w:rPr>
      </w:pPr>
    </w:p>
    <w:p w:rsidR="001B6CF2" w:rsidRPr="000D7CE9" w:rsidRDefault="002E79A6" w:rsidP="00A47A9A">
      <w:pPr>
        <w:pStyle w:val="enter-3pt"/>
        <w:tabs>
          <w:tab w:val="left" w:pos="2590"/>
        </w:tabs>
        <w:spacing w:line="240" w:lineRule="auto"/>
        <w:rPr>
          <w:b/>
          <w:sz w:val="22"/>
          <w:szCs w:val="22"/>
        </w:rPr>
      </w:pPr>
      <w:r w:rsidRPr="000D7CE9">
        <w:rPr>
          <w:b/>
          <w:sz w:val="22"/>
          <w:szCs w:val="22"/>
        </w:rPr>
        <w:t>3</w:t>
      </w:r>
      <w:r w:rsidR="008E2E14" w:rsidRPr="000D7CE9">
        <w:rPr>
          <w:b/>
          <w:sz w:val="22"/>
          <w:szCs w:val="22"/>
        </w:rPr>
        <w:t>.</w:t>
      </w:r>
      <w:r w:rsidRPr="000D7CE9">
        <w:rPr>
          <w:b/>
          <w:sz w:val="22"/>
          <w:szCs w:val="22"/>
        </w:rPr>
        <w:t xml:space="preserve"> </w:t>
      </w:r>
      <w:r w:rsidR="000C6F6F" w:rsidRPr="000D7CE9">
        <w:rPr>
          <w:b/>
          <w:sz w:val="22"/>
          <w:szCs w:val="22"/>
        </w:rPr>
        <w:t>Esclarecimentos prestados administrativamente para responde</w:t>
      </w:r>
      <w:r w:rsidR="00A47A9A" w:rsidRPr="000D7CE9">
        <w:rPr>
          <w:b/>
          <w:sz w:val="22"/>
          <w:szCs w:val="22"/>
        </w:rPr>
        <w:t>r a questionamento de licitante</w:t>
      </w:r>
      <w:r w:rsidR="000C6F6F" w:rsidRPr="000D7CE9">
        <w:rPr>
          <w:b/>
          <w:sz w:val="22"/>
          <w:szCs w:val="22"/>
        </w:rPr>
        <w:t xml:space="preserve"> possuem natureza vinculante para todos os participantes do certame, não se podendo admitir, quando da análise das propostas, interpretação distinta, sob pena de violação ao instrumento convocatório.</w:t>
      </w:r>
    </w:p>
    <w:p w:rsidR="008D449E" w:rsidRPr="000D7CE9" w:rsidRDefault="008D3BD7" w:rsidP="00A47A9A">
      <w:pPr>
        <w:spacing w:after="0"/>
        <w:ind w:left="0"/>
        <w:rPr>
          <w:rFonts w:eastAsia="Times New Roman"/>
          <w:b/>
          <w:bCs/>
          <w:i/>
          <w:sz w:val="22"/>
          <w:szCs w:val="22"/>
          <w:lang w:eastAsia="pt-BR"/>
        </w:rPr>
      </w:pPr>
      <w:r w:rsidRPr="000D7CE9">
        <w:rPr>
          <w:rFonts w:eastAsia="Times New Roman"/>
          <w:sz w:val="22"/>
          <w:szCs w:val="22"/>
          <w:lang w:eastAsia="pt-BR"/>
        </w:rPr>
        <w:t>Pedido de R</w:t>
      </w:r>
      <w:r w:rsidR="00E508B7" w:rsidRPr="000D7CE9">
        <w:rPr>
          <w:rFonts w:eastAsia="Times New Roman"/>
          <w:sz w:val="22"/>
          <w:szCs w:val="22"/>
          <w:lang w:eastAsia="pt-BR"/>
        </w:rPr>
        <w:t xml:space="preserve">eexame </w:t>
      </w:r>
      <w:r w:rsidR="00C85E93" w:rsidRPr="000D7CE9">
        <w:rPr>
          <w:rFonts w:eastAsia="Times New Roman"/>
          <w:sz w:val="22"/>
          <w:szCs w:val="22"/>
          <w:lang w:eastAsia="pt-BR"/>
        </w:rPr>
        <w:t>interposto</w:t>
      </w:r>
      <w:r w:rsidR="00E508B7" w:rsidRPr="000D7CE9">
        <w:rPr>
          <w:rFonts w:eastAsia="Times New Roman"/>
          <w:sz w:val="22"/>
          <w:szCs w:val="22"/>
          <w:lang w:eastAsia="pt-BR"/>
        </w:rPr>
        <w:t xml:space="preserve"> por sociedade empresária</w:t>
      </w:r>
      <w:r w:rsidRPr="000D7CE9">
        <w:rPr>
          <w:rFonts w:eastAsia="Times New Roman"/>
          <w:sz w:val="22"/>
          <w:szCs w:val="22"/>
          <w:lang w:eastAsia="pt-BR"/>
        </w:rPr>
        <w:t xml:space="preserve"> contraditou</w:t>
      </w:r>
      <w:r w:rsidR="00C85E93" w:rsidRPr="000D7CE9">
        <w:rPr>
          <w:rFonts w:eastAsia="Times New Roman"/>
          <w:sz w:val="22"/>
          <w:szCs w:val="22"/>
          <w:lang w:eastAsia="pt-BR"/>
        </w:rPr>
        <w:t xml:space="preserve"> deliberação do TCU que</w:t>
      </w:r>
      <w:r w:rsidR="00755D46" w:rsidRPr="000D7CE9">
        <w:rPr>
          <w:rFonts w:eastAsia="Times New Roman"/>
          <w:sz w:val="22"/>
          <w:szCs w:val="22"/>
          <w:lang w:eastAsia="pt-BR"/>
        </w:rPr>
        <w:t xml:space="preserve">, </w:t>
      </w:r>
      <w:r w:rsidR="00D84D91" w:rsidRPr="000D7CE9">
        <w:rPr>
          <w:rFonts w:eastAsia="Times New Roman"/>
          <w:sz w:val="22"/>
          <w:szCs w:val="22"/>
          <w:lang w:eastAsia="pt-BR"/>
        </w:rPr>
        <w:t>ao analisar representação formulada por licitante</w:t>
      </w:r>
      <w:r w:rsidR="00755D46" w:rsidRPr="000D7CE9">
        <w:rPr>
          <w:rFonts w:eastAsia="Times New Roman"/>
          <w:sz w:val="22"/>
          <w:szCs w:val="22"/>
          <w:lang w:eastAsia="pt-BR"/>
        </w:rPr>
        <w:t>,</w:t>
      </w:r>
      <w:r w:rsidRPr="000D7CE9">
        <w:rPr>
          <w:rFonts w:eastAsia="Times New Roman"/>
          <w:sz w:val="22"/>
          <w:szCs w:val="22"/>
          <w:lang w:eastAsia="pt-BR"/>
        </w:rPr>
        <w:t xml:space="preserve"> determinara</w:t>
      </w:r>
      <w:r w:rsidR="00C85E93" w:rsidRPr="000D7CE9">
        <w:rPr>
          <w:rFonts w:eastAsia="Times New Roman"/>
          <w:sz w:val="22"/>
          <w:szCs w:val="22"/>
          <w:lang w:eastAsia="pt-BR"/>
        </w:rPr>
        <w:t xml:space="preserve"> à Universidade </w:t>
      </w:r>
      <w:r w:rsidRPr="000D7CE9">
        <w:rPr>
          <w:rFonts w:eastAsia="Times New Roman"/>
          <w:sz w:val="22"/>
          <w:szCs w:val="22"/>
          <w:lang w:eastAsia="pt-BR"/>
        </w:rPr>
        <w:t>Tecnológica Federal do Paraná</w:t>
      </w:r>
      <w:r w:rsidR="00C85E93" w:rsidRPr="000D7CE9">
        <w:rPr>
          <w:rFonts w:eastAsia="Times New Roman"/>
          <w:sz w:val="22"/>
          <w:szCs w:val="22"/>
          <w:lang w:eastAsia="pt-BR"/>
        </w:rPr>
        <w:t xml:space="preserve"> a anulação do ato de classificação da recorrente como vencedora de lote de pregão eletrônico – destinado ao registro de preços de equipamentos de informática – e dos demais atos dele decorrentes, bem como a retomada da licitação exclusivamente para esse item (notebook tipo 1) à fase de classificação das propostas.</w:t>
      </w:r>
      <w:r w:rsidR="00755D46" w:rsidRPr="000D7CE9">
        <w:rPr>
          <w:rFonts w:eastAsia="Times New Roman"/>
          <w:sz w:val="22"/>
          <w:szCs w:val="22"/>
          <w:lang w:eastAsia="pt-BR"/>
        </w:rPr>
        <w:t xml:space="preserve"> </w:t>
      </w:r>
      <w:r w:rsidR="00D84D91" w:rsidRPr="000D7CE9">
        <w:rPr>
          <w:rFonts w:eastAsia="Times New Roman"/>
          <w:sz w:val="22"/>
          <w:szCs w:val="22"/>
          <w:lang w:eastAsia="pt-BR"/>
        </w:rPr>
        <w:t>A decisão decorrera da constatação de que a empresa vencedora no lote teria apresentado proposta em desacordo com as especificações do edital.</w:t>
      </w:r>
      <w:r w:rsidR="00895F77" w:rsidRPr="000D7CE9">
        <w:rPr>
          <w:rFonts w:eastAsia="Times New Roman"/>
          <w:sz w:val="22"/>
          <w:szCs w:val="22"/>
          <w:lang w:eastAsia="pt-BR"/>
        </w:rPr>
        <w:t xml:space="preserve"> Analisando o mérito recursal, o relator anuiu às conclusões do titular da unidade instrutiva, no sentido de negar provimento ao recurso, </w:t>
      </w:r>
      <w:r w:rsidR="00895F77" w:rsidRPr="000D7CE9">
        <w:rPr>
          <w:rFonts w:eastAsia="Times New Roman"/>
          <w:i/>
          <w:sz w:val="22"/>
          <w:szCs w:val="22"/>
          <w:lang w:eastAsia="pt-BR"/>
        </w:rPr>
        <w:t>“haja vista que a dúvida acerca da apresentação da interface HDMI, se integrada ou por meio de adaptador, foi dirimida após esclarecimento prestado pela administração”</w:t>
      </w:r>
      <w:r w:rsidR="00895F77" w:rsidRPr="000D7CE9">
        <w:rPr>
          <w:rFonts w:eastAsia="Times New Roman"/>
          <w:sz w:val="22"/>
          <w:szCs w:val="22"/>
          <w:lang w:eastAsia="pt-BR"/>
        </w:rPr>
        <w:t xml:space="preserve">. Ademais, prosseguiu o relator, </w:t>
      </w:r>
      <w:r w:rsidR="00895F77" w:rsidRPr="000D7CE9">
        <w:rPr>
          <w:rFonts w:eastAsia="Times New Roman"/>
          <w:i/>
          <w:sz w:val="22"/>
          <w:szCs w:val="22"/>
          <w:lang w:eastAsia="pt-BR"/>
        </w:rPr>
        <w:t>“considerando que os esclarecimentos prestados administrativamente, emitidos justamente para responder a questionamento da ora recorrente, possuem natureza vinculante para todos os licitantes, não se poderia admitir, quando da análise das propostas, interpretação distinta, sob pena de violação ao instrumento convocatório”</w:t>
      </w:r>
      <w:r w:rsidR="00895F77" w:rsidRPr="000D7CE9">
        <w:rPr>
          <w:rFonts w:eastAsia="Times New Roman"/>
          <w:sz w:val="22"/>
          <w:szCs w:val="22"/>
          <w:lang w:eastAsia="pt-BR"/>
        </w:rPr>
        <w:t xml:space="preserve">. Nesse sentido, acolheu o Plenário a proposta do </w:t>
      </w:r>
      <w:r w:rsidR="003E343C" w:rsidRPr="000D7CE9">
        <w:rPr>
          <w:rFonts w:eastAsia="Times New Roman"/>
          <w:sz w:val="22"/>
          <w:szCs w:val="22"/>
          <w:lang w:eastAsia="pt-BR"/>
        </w:rPr>
        <w:t>relator, negando provimento ao Pedido de R</w:t>
      </w:r>
      <w:r w:rsidR="00895F77" w:rsidRPr="000D7CE9">
        <w:rPr>
          <w:rFonts w:eastAsia="Times New Roman"/>
          <w:sz w:val="22"/>
          <w:szCs w:val="22"/>
          <w:lang w:eastAsia="pt-BR"/>
        </w:rPr>
        <w:t xml:space="preserve">eexame. </w:t>
      </w:r>
      <w:hyperlink r:id="rId13" w:history="1">
        <w:r w:rsidR="006B403E" w:rsidRPr="000D7CE9">
          <w:rPr>
            <w:rStyle w:val="Hyperlink"/>
            <w:rFonts w:eastAsia="Times New Roman"/>
            <w:b/>
            <w:bCs/>
            <w:i/>
            <w:sz w:val="22"/>
            <w:szCs w:val="22"/>
            <w:lang w:eastAsia="pt-BR"/>
          </w:rPr>
          <w:t>Acórdão 299/2015-Plenário</w:t>
        </w:r>
      </w:hyperlink>
      <w:r w:rsidR="006B403E" w:rsidRPr="000D7CE9">
        <w:rPr>
          <w:rFonts w:eastAsia="Times New Roman"/>
          <w:b/>
          <w:bCs/>
          <w:i/>
          <w:sz w:val="22"/>
          <w:szCs w:val="22"/>
          <w:lang w:eastAsia="pt-BR"/>
        </w:rPr>
        <w:t xml:space="preserve">, TC </w:t>
      </w:r>
      <w:r w:rsidR="006B403E" w:rsidRPr="000D7CE9">
        <w:rPr>
          <w:rFonts w:eastAsia="Times New Roman"/>
          <w:b/>
          <w:bCs/>
          <w:i/>
          <w:iCs/>
          <w:sz w:val="22"/>
          <w:szCs w:val="22"/>
          <w:lang w:eastAsia="pt-BR"/>
        </w:rPr>
        <w:t>010.641/2013-0</w:t>
      </w:r>
      <w:r w:rsidR="006B403E" w:rsidRPr="000D7CE9">
        <w:rPr>
          <w:rFonts w:eastAsia="Times New Roman"/>
          <w:b/>
          <w:bCs/>
          <w:i/>
          <w:sz w:val="22"/>
          <w:szCs w:val="22"/>
          <w:lang w:eastAsia="pt-BR"/>
        </w:rPr>
        <w:t>, relator Ministro Vital do Rêgo, 25.2.2015.</w:t>
      </w:r>
    </w:p>
    <w:p w:rsidR="00C8056E" w:rsidRDefault="00C8056E" w:rsidP="000603A9">
      <w:pPr>
        <w:spacing w:after="0"/>
        <w:ind w:left="0"/>
        <w:rPr>
          <w:rFonts w:eastAsia="Times New Roman"/>
          <w:b/>
          <w:i/>
          <w:sz w:val="22"/>
          <w:szCs w:val="22"/>
          <w:lang w:eastAsia="pt-BR"/>
        </w:rPr>
      </w:pPr>
    </w:p>
    <w:p w:rsidR="000727F6" w:rsidRPr="0025383B" w:rsidRDefault="00F83237" w:rsidP="000727F6">
      <w:pPr>
        <w:pBdr>
          <w:top w:val="threeDEmboss" w:sz="24" w:space="5" w:color="auto"/>
        </w:pBdr>
        <w:tabs>
          <w:tab w:val="left" w:pos="284"/>
          <w:tab w:val="left" w:pos="4172"/>
          <w:tab w:val="center" w:pos="4818"/>
        </w:tabs>
        <w:spacing w:after="0"/>
        <w:ind w:left="0"/>
        <w:jc w:val="center"/>
        <w:rPr>
          <w:b/>
          <w:bCs/>
          <w:smallCaps/>
          <w:sz w:val="28"/>
          <w:szCs w:val="28"/>
        </w:rPr>
      </w:pPr>
      <w:r>
        <w:rPr>
          <w:b/>
          <w:bCs/>
          <w:smallCaps/>
          <w:sz w:val="28"/>
          <w:szCs w:val="28"/>
        </w:rPr>
        <w:t>primeira</w:t>
      </w:r>
      <w:r w:rsidR="000727F6" w:rsidRPr="0025383B">
        <w:rPr>
          <w:b/>
          <w:bCs/>
          <w:smallCaps/>
          <w:sz w:val="28"/>
          <w:szCs w:val="28"/>
        </w:rPr>
        <w:t xml:space="preserve"> câmara</w:t>
      </w:r>
    </w:p>
    <w:p w:rsidR="000727F6" w:rsidRDefault="000727F6" w:rsidP="000727F6">
      <w:pPr>
        <w:spacing w:after="0"/>
        <w:ind w:left="0"/>
        <w:rPr>
          <w:b/>
          <w:sz w:val="22"/>
          <w:szCs w:val="22"/>
        </w:rPr>
      </w:pPr>
    </w:p>
    <w:p w:rsidR="00521F14" w:rsidRPr="000D7CE9" w:rsidRDefault="002E79A6" w:rsidP="00F10546">
      <w:pPr>
        <w:spacing w:after="0"/>
        <w:ind w:left="0"/>
        <w:rPr>
          <w:rFonts w:eastAsia="Times New Roman"/>
          <w:b/>
          <w:sz w:val="22"/>
          <w:szCs w:val="22"/>
          <w:lang w:eastAsia="pt-BR"/>
        </w:rPr>
      </w:pPr>
      <w:r w:rsidRPr="000D7CE9">
        <w:rPr>
          <w:rFonts w:eastAsia="Times New Roman"/>
          <w:b/>
          <w:sz w:val="22"/>
          <w:szCs w:val="22"/>
          <w:lang w:eastAsia="pt-BR"/>
        </w:rPr>
        <w:t>4</w:t>
      </w:r>
      <w:r w:rsidR="00736FD3" w:rsidRPr="000D7CE9">
        <w:rPr>
          <w:rFonts w:eastAsia="Times New Roman"/>
          <w:b/>
          <w:sz w:val="22"/>
          <w:szCs w:val="22"/>
          <w:lang w:eastAsia="pt-BR"/>
        </w:rPr>
        <w:t xml:space="preserve">. </w:t>
      </w:r>
      <w:r w:rsidR="00F83237" w:rsidRPr="000D7CE9">
        <w:rPr>
          <w:rFonts w:eastAsia="Times New Roman"/>
          <w:b/>
          <w:sz w:val="22"/>
          <w:szCs w:val="22"/>
          <w:lang w:eastAsia="pt-BR"/>
        </w:rPr>
        <w:t>Na celebração de aditivos contratuais, deve ser mantido o desconto proporcional oferecido pela contratada em relação ao valor total estimado pela Ad</w:t>
      </w:r>
      <w:r w:rsidR="00FF2A04" w:rsidRPr="000D7CE9">
        <w:rPr>
          <w:rFonts w:eastAsia="Times New Roman"/>
          <w:b/>
          <w:sz w:val="22"/>
          <w:szCs w:val="22"/>
          <w:lang w:eastAsia="pt-BR"/>
        </w:rPr>
        <w:t>ministração, de modo a se evitar o “</w:t>
      </w:r>
      <w:r w:rsidR="00F83237" w:rsidRPr="000D7CE9">
        <w:rPr>
          <w:rFonts w:eastAsia="Times New Roman"/>
          <w:b/>
          <w:sz w:val="22"/>
          <w:szCs w:val="22"/>
          <w:lang w:eastAsia="pt-BR"/>
        </w:rPr>
        <w:t>jogo de planilhas</w:t>
      </w:r>
      <w:r w:rsidR="00FF2A04" w:rsidRPr="000D7CE9">
        <w:rPr>
          <w:rFonts w:eastAsia="Times New Roman"/>
          <w:b/>
          <w:sz w:val="22"/>
          <w:szCs w:val="22"/>
          <w:lang w:eastAsia="pt-BR"/>
        </w:rPr>
        <w:t>”</w:t>
      </w:r>
      <w:r w:rsidR="00F83237" w:rsidRPr="000D7CE9">
        <w:rPr>
          <w:rFonts w:eastAsia="Times New Roman"/>
          <w:b/>
          <w:sz w:val="22"/>
          <w:szCs w:val="22"/>
          <w:lang w:eastAsia="pt-BR"/>
        </w:rPr>
        <w:t>, tanto</w:t>
      </w:r>
      <w:r w:rsidR="00BD3F92" w:rsidRPr="000D7CE9">
        <w:rPr>
          <w:rFonts w:eastAsia="Times New Roman"/>
          <w:b/>
          <w:sz w:val="22"/>
          <w:szCs w:val="22"/>
          <w:lang w:eastAsia="pt-BR"/>
        </w:rPr>
        <w:t xml:space="preserve"> para</w:t>
      </w:r>
      <w:r w:rsidR="00F83237" w:rsidRPr="000D7CE9">
        <w:rPr>
          <w:rFonts w:eastAsia="Times New Roman"/>
          <w:b/>
          <w:sz w:val="22"/>
          <w:szCs w:val="22"/>
          <w:lang w:eastAsia="pt-BR"/>
        </w:rPr>
        <w:t xml:space="preserve"> </w:t>
      </w:r>
      <w:r w:rsidR="00BD3F92" w:rsidRPr="000D7CE9">
        <w:rPr>
          <w:rFonts w:eastAsia="Times New Roman"/>
          <w:b/>
          <w:sz w:val="22"/>
          <w:szCs w:val="22"/>
          <w:lang w:eastAsia="pt-BR"/>
        </w:rPr>
        <w:t xml:space="preserve">modificação de quantidades de itens existentes quanto </w:t>
      </w:r>
      <w:r w:rsidR="00F83237" w:rsidRPr="000D7CE9">
        <w:rPr>
          <w:rFonts w:eastAsia="Times New Roman"/>
          <w:b/>
          <w:sz w:val="22"/>
          <w:szCs w:val="22"/>
          <w:lang w:eastAsia="pt-BR"/>
        </w:rPr>
        <w:t>para inclus</w:t>
      </w:r>
      <w:r w:rsidR="00BD3F92" w:rsidRPr="000D7CE9">
        <w:rPr>
          <w:rFonts w:eastAsia="Times New Roman"/>
          <w:b/>
          <w:sz w:val="22"/>
          <w:szCs w:val="22"/>
          <w:lang w:eastAsia="pt-BR"/>
        </w:rPr>
        <w:t>ão de novos serviços</w:t>
      </w:r>
      <w:r w:rsidR="00B40D4E" w:rsidRPr="000D7CE9">
        <w:rPr>
          <w:rFonts w:eastAsia="Times New Roman"/>
          <w:b/>
          <w:sz w:val="22"/>
          <w:szCs w:val="22"/>
          <w:lang w:eastAsia="pt-BR"/>
        </w:rPr>
        <w:t xml:space="preserve">. </w:t>
      </w:r>
    </w:p>
    <w:p w:rsidR="00A3439B" w:rsidRPr="000D7CE9" w:rsidRDefault="00FF2A04" w:rsidP="00E87D8F">
      <w:pPr>
        <w:pStyle w:val="PargrafodaLista"/>
        <w:tabs>
          <w:tab w:val="left" w:pos="1134"/>
        </w:tabs>
        <w:spacing w:after="0"/>
        <w:ind w:left="0"/>
        <w:rPr>
          <w:b/>
          <w:i/>
          <w:color w:val="1F497D"/>
          <w:sz w:val="22"/>
          <w:szCs w:val="22"/>
          <w:shd w:val="clear" w:color="auto" w:fill="FFFFFF"/>
        </w:rPr>
      </w:pPr>
      <w:r w:rsidRPr="000D7CE9">
        <w:rPr>
          <w:sz w:val="22"/>
          <w:szCs w:val="22"/>
        </w:rPr>
        <w:t>Recursos de R</w:t>
      </w:r>
      <w:r w:rsidR="001F0141" w:rsidRPr="000D7CE9">
        <w:rPr>
          <w:sz w:val="22"/>
          <w:szCs w:val="22"/>
        </w:rPr>
        <w:t>econsideração interpostos por ex-prefeito e ex-procurador-geral do Município de Boa Esperança/MG, bem como por sociedade empresária, questionara</w:t>
      </w:r>
      <w:r w:rsidRPr="000D7CE9">
        <w:rPr>
          <w:sz w:val="22"/>
          <w:szCs w:val="22"/>
        </w:rPr>
        <w:t>m</w:t>
      </w:r>
      <w:r w:rsidR="001F0141" w:rsidRPr="000D7CE9">
        <w:rPr>
          <w:sz w:val="22"/>
          <w:szCs w:val="22"/>
        </w:rPr>
        <w:t xml:space="preserve"> decisão do TCU mediante a qual suas contas foram julgadas irregulares, com a imputação de débito solidário com a mencionada empresa</w:t>
      </w:r>
      <w:r w:rsidR="00C23A7F" w:rsidRPr="000D7CE9">
        <w:rPr>
          <w:sz w:val="22"/>
          <w:szCs w:val="22"/>
        </w:rPr>
        <w:t xml:space="preserve">, face a irregularidades verificadas nas obras de </w:t>
      </w:r>
      <w:r w:rsidR="0025202D" w:rsidRPr="000D7CE9">
        <w:rPr>
          <w:sz w:val="22"/>
          <w:szCs w:val="22"/>
        </w:rPr>
        <w:t>construção de</w:t>
      </w:r>
      <w:r w:rsidR="00C23A7F" w:rsidRPr="000D7CE9">
        <w:rPr>
          <w:sz w:val="22"/>
          <w:szCs w:val="22"/>
        </w:rPr>
        <w:t xml:space="preserve"> sistema de esgotamento sanitário, </w:t>
      </w:r>
      <w:r w:rsidR="007A7675" w:rsidRPr="000D7CE9">
        <w:rPr>
          <w:sz w:val="22"/>
          <w:szCs w:val="22"/>
        </w:rPr>
        <w:t xml:space="preserve">viabilizadas </w:t>
      </w:r>
      <w:r w:rsidR="00C23A7F" w:rsidRPr="000D7CE9">
        <w:rPr>
          <w:sz w:val="22"/>
          <w:szCs w:val="22"/>
        </w:rPr>
        <w:t>com recursos da Fundação Nacional de Saúde</w:t>
      </w:r>
      <w:r w:rsidR="001F0141" w:rsidRPr="000D7CE9">
        <w:rPr>
          <w:sz w:val="22"/>
          <w:szCs w:val="22"/>
        </w:rPr>
        <w:t>. A condenação decorrera da assinatura de aditivo contratual “</w:t>
      </w:r>
      <w:r w:rsidR="001F0141" w:rsidRPr="000D7CE9">
        <w:rPr>
          <w:i/>
          <w:sz w:val="22"/>
          <w:szCs w:val="22"/>
        </w:rPr>
        <w:t>sem que fosse mantida a proporcionalidade da diferença entre o valor global estimado pela Administração e o valor global contratado, em afronta ao estabelecido no art. 65, § 6º, da Lei nº 8.666/1993, c/c art. 127, § 6º, inciso IV, da Lei nº 12.309/2010 (LDO 2011)</w:t>
      </w:r>
      <w:r w:rsidR="001F0141" w:rsidRPr="000D7CE9">
        <w:rPr>
          <w:sz w:val="22"/>
          <w:szCs w:val="22"/>
        </w:rPr>
        <w:t xml:space="preserve">”. </w:t>
      </w:r>
      <w:r w:rsidR="004A5829" w:rsidRPr="000D7CE9">
        <w:rPr>
          <w:sz w:val="22"/>
          <w:szCs w:val="22"/>
        </w:rPr>
        <w:t xml:space="preserve">Analisando o mérito, </w:t>
      </w:r>
      <w:r w:rsidR="00DE490A" w:rsidRPr="000D7CE9">
        <w:rPr>
          <w:sz w:val="22"/>
          <w:szCs w:val="22"/>
        </w:rPr>
        <w:t xml:space="preserve">o </w:t>
      </w:r>
      <w:r w:rsidR="004A5829" w:rsidRPr="000D7CE9">
        <w:rPr>
          <w:sz w:val="22"/>
          <w:szCs w:val="22"/>
        </w:rPr>
        <w:t xml:space="preserve">relator destacou que </w:t>
      </w:r>
      <w:r w:rsidR="004A5829" w:rsidRPr="000D7CE9">
        <w:rPr>
          <w:i/>
          <w:sz w:val="22"/>
          <w:szCs w:val="22"/>
        </w:rPr>
        <w:t xml:space="preserve">“o aludido art. 127, § 6º, inciso IV, da LDO 2011, vigente à época dos fatos, previa o seguinte: ‘a formação do preço dos aditivos contratuais contará com orçamento específico detalhado em planilhas elaboradas pelo órgão ou entidade responsável pela licitação, </w:t>
      </w:r>
      <w:r w:rsidR="004A5829" w:rsidRPr="000D7CE9">
        <w:rPr>
          <w:i/>
          <w:sz w:val="22"/>
          <w:szCs w:val="22"/>
          <w:u w:val="single"/>
        </w:rPr>
        <w:t>mantendo-se, em qualquer aditivo contratual, a proporcionalidade da diferença entre o valor global estimado pela Administração nos termos deste artigo e o valor global contratado</w:t>
      </w:r>
      <w:r w:rsidR="004A5829" w:rsidRPr="000D7CE9">
        <w:rPr>
          <w:i/>
          <w:sz w:val="22"/>
          <w:szCs w:val="22"/>
        </w:rPr>
        <w:t>, mantidos os limites do art. 65, § 1º, da Lei nº 8.666, de 1993’ (grifei)”.</w:t>
      </w:r>
      <w:r w:rsidR="00C322D7" w:rsidRPr="000D7CE9">
        <w:rPr>
          <w:sz w:val="22"/>
          <w:szCs w:val="22"/>
        </w:rPr>
        <w:t xml:space="preserve"> Nesse sentido, assinalou que </w:t>
      </w:r>
      <w:r w:rsidR="004A5829" w:rsidRPr="000D7CE9">
        <w:rPr>
          <w:i/>
          <w:sz w:val="22"/>
          <w:szCs w:val="22"/>
        </w:rPr>
        <w:t>“o exame dos recursos deve ter como premissa básica o fato de que a condenação resultou de descumprimento desse texto legal, que estabelece, de forma clara e expressa, que, em aditivos contratuais, deve ser mantido o desconto proporcional oferecido pela contratada em relação ao valor total estimado pela Administração”</w:t>
      </w:r>
      <w:r w:rsidR="004A5829" w:rsidRPr="000D7CE9">
        <w:rPr>
          <w:sz w:val="22"/>
          <w:szCs w:val="22"/>
        </w:rPr>
        <w:t xml:space="preserve">. Além disso, conforme explicitado pela Secretaria de Recursos, </w:t>
      </w:r>
      <w:r w:rsidR="004A5829" w:rsidRPr="000D7CE9">
        <w:rPr>
          <w:i/>
          <w:sz w:val="22"/>
          <w:szCs w:val="22"/>
        </w:rPr>
        <w:t>“trata-se de ‘jogo de planilhas’, questão há tempos discutida neste Tribunal, que considera essa prática afronta grave à manutenção do equilíbrio financeiro do contrato, previsto no art. 65, § 1º, da Lei 8.666/1993”</w:t>
      </w:r>
      <w:r w:rsidR="004A5829" w:rsidRPr="000D7CE9">
        <w:rPr>
          <w:sz w:val="22"/>
          <w:szCs w:val="22"/>
        </w:rPr>
        <w:t xml:space="preserve">. Esse artifício, aduziu o relator, via de regra </w:t>
      </w:r>
      <w:r w:rsidR="004A5829" w:rsidRPr="000D7CE9">
        <w:rPr>
          <w:i/>
          <w:sz w:val="22"/>
          <w:szCs w:val="22"/>
        </w:rPr>
        <w:t>“ocorre com a celebração de aditivos contratuais, fundamentados na necessidade técnica de corrigir falhas no projeto inicial, em que se operam modificações das seguintes naturezas: aumento da quantidade de itens com preços superestimados; supressão de quantitativos de insumos que estavam depreciados; e criação de novos serviços sem que sejam aplicados os descontos da proposta da licitante contratada”</w:t>
      </w:r>
      <w:r w:rsidR="004A5829" w:rsidRPr="000D7CE9">
        <w:rPr>
          <w:sz w:val="22"/>
          <w:szCs w:val="22"/>
        </w:rPr>
        <w:t>.</w:t>
      </w:r>
      <w:r w:rsidR="001638FF" w:rsidRPr="000D7CE9">
        <w:rPr>
          <w:sz w:val="22"/>
          <w:szCs w:val="22"/>
        </w:rPr>
        <w:t xml:space="preserve"> No caso concreto, </w:t>
      </w:r>
      <w:r w:rsidR="001638FF" w:rsidRPr="000D7CE9">
        <w:rPr>
          <w:i/>
          <w:sz w:val="22"/>
          <w:szCs w:val="22"/>
        </w:rPr>
        <w:t>“o ajuste havia sido formalizado com desconto de mais de 30% em relação ao valor de referência da licitação, sem que esse abatimento fosse aplicado quando da celebração de aditivo”</w:t>
      </w:r>
      <w:r w:rsidR="001638FF" w:rsidRPr="000D7CE9">
        <w:rPr>
          <w:sz w:val="22"/>
          <w:szCs w:val="22"/>
        </w:rPr>
        <w:t>.</w:t>
      </w:r>
      <w:r w:rsidR="00DE490A" w:rsidRPr="000D7CE9">
        <w:rPr>
          <w:sz w:val="22"/>
          <w:szCs w:val="22"/>
        </w:rPr>
        <w:t xml:space="preserve"> </w:t>
      </w:r>
      <w:r w:rsidR="00B40460" w:rsidRPr="000D7CE9">
        <w:rPr>
          <w:sz w:val="22"/>
          <w:szCs w:val="22"/>
        </w:rPr>
        <w:t>Além do mais, “</w:t>
      </w:r>
      <w:r w:rsidR="00B40460" w:rsidRPr="000D7CE9">
        <w:rPr>
          <w:i/>
          <w:sz w:val="22"/>
          <w:szCs w:val="22"/>
        </w:rPr>
        <w:t xml:space="preserve">parte considerável do acréscimo consistiu em itens novos referentes à construção de interceptor final, obra cuja necessidade de realização os recorrentes já tinham conhecimento prévio”. </w:t>
      </w:r>
      <w:r w:rsidR="00DE490A" w:rsidRPr="000D7CE9">
        <w:rPr>
          <w:sz w:val="22"/>
          <w:szCs w:val="22"/>
        </w:rPr>
        <w:t>Nesse contexto</w:t>
      </w:r>
      <w:r w:rsidR="009438EA" w:rsidRPr="000D7CE9">
        <w:rPr>
          <w:sz w:val="22"/>
          <w:szCs w:val="22"/>
        </w:rPr>
        <w:t xml:space="preserve">, concluiu, </w:t>
      </w:r>
      <w:r w:rsidR="009438EA" w:rsidRPr="000D7CE9">
        <w:rPr>
          <w:i/>
          <w:sz w:val="22"/>
          <w:szCs w:val="22"/>
        </w:rPr>
        <w:t>“ainda que os preços unitários respeitem os valores de referência oficiais (Sinapi), é ilegal e danosa ao erário a alteração contratual quando não é aplicado o mesmo desconto da avença original. Esse foi o mecanismo escolhido pelo legislador para evitar o menc</w:t>
      </w:r>
      <w:r w:rsidR="00B22898" w:rsidRPr="000D7CE9">
        <w:rPr>
          <w:i/>
          <w:sz w:val="22"/>
          <w:szCs w:val="22"/>
        </w:rPr>
        <w:t>ionado subterfúgio orçamentário</w:t>
      </w:r>
      <w:r w:rsidR="009438EA" w:rsidRPr="000D7CE9">
        <w:rPr>
          <w:i/>
          <w:sz w:val="22"/>
          <w:szCs w:val="22"/>
        </w:rPr>
        <w:t>”</w:t>
      </w:r>
      <w:r w:rsidR="009438EA" w:rsidRPr="000D7CE9">
        <w:rPr>
          <w:sz w:val="22"/>
          <w:szCs w:val="22"/>
        </w:rPr>
        <w:t>.</w:t>
      </w:r>
      <w:r w:rsidR="00B22898" w:rsidRPr="000D7CE9">
        <w:rPr>
          <w:sz w:val="22"/>
          <w:szCs w:val="22"/>
        </w:rPr>
        <w:t xml:space="preserve"> </w:t>
      </w:r>
      <w:r w:rsidR="00EE14BD" w:rsidRPr="000D7CE9">
        <w:rPr>
          <w:sz w:val="22"/>
          <w:szCs w:val="22"/>
        </w:rPr>
        <w:t>Assim</w:t>
      </w:r>
      <w:r w:rsidR="00B22898" w:rsidRPr="000D7CE9">
        <w:rPr>
          <w:sz w:val="22"/>
          <w:szCs w:val="22"/>
        </w:rPr>
        <w:t xml:space="preserve">, acolheu o Plenário a proposta do relator, negando provimento aos </w:t>
      </w:r>
      <w:r w:rsidRPr="000D7CE9">
        <w:rPr>
          <w:sz w:val="22"/>
          <w:szCs w:val="22"/>
        </w:rPr>
        <w:t>R</w:t>
      </w:r>
      <w:r w:rsidR="00B22898" w:rsidRPr="000D7CE9">
        <w:rPr>
          <w:sz w:val="22"/>
          <w:szCs w:val="22"/>
        </w:rPr>
        <w:t>ecursos</w:t>
      </w:r>
      <w:r w:rsidRPr="000D7CE9">
        <w:rPr>
          <w:sz w:val="22"/>
          <w:szCs w:val="22"/>
        </w:rPr>
        <w:t xml:space="preserve"> de R</w:t>
      </w:r>
      <w:r w:rsidR="00EE14BD" w:rsidRPr="000D7CE9">
        <w:rPr>
          <w:sz w:val="22"/>
          <w:szCs w:val="22"/>
        </w:rPr>
        <w:t>econsideração</w:t>
      </w:r>
      <w:r w:rsidR="00B22898" w:rsidRPr="000D7CE9">
        <w:rPr>
          <w:sz w:val="22"/>
          <w:szCs w:val="22"/>
        </w:rPr>
        <w:t xml:space="preserve">. </w:t>
      </w:r>
      <w:hyperlink r:id="rId14" w:history="1">
        <w:r w:rsidR="0071435C" w:rsidRPr="000D7CE9">
          <w:rPr>
            <w:rStyle w:val="Hyperlink"/>
            <w:b/>
            <w:i/>
            <w:sz w:val="22"/>
            <w:szCs w:val="22"/>
          </w:rPr>
          <w:t>Acórdão 1153/2015-Primeira Câmara</w:t>
        </w:r>
      </w:hyperlink>
      <w:r w:rsidR="0071435C" w:rsidRPr="000D7CE9">
        <w:rPr>
          <w:b/>
          <w:i/>
          <w:sz w:val="22"/>
          <w:szCs w:val="22"/>
        </w:rPr>
        <w:t>, TC 044.045/2012-3, relator Ministro José Múcio Monteiro, 24.2.2015.</w:t>
      </w:r>
    </w:p>
    <w:p w:rsidR="00DC0E3D" w:rsidRPr="00A3439B" w:rsidRDefault="00DC0E3D" w:rsidP="00DC0E3D">
      <w:pPr>
        <w:pStyle w:val="PargrafodaLista"/>
        <w:tabs>
          <w:tab w:val="left" w:pos="1134"/>
        </w:tabs>
        <w:spacing w:after="0"/>
        <w:ind w:left="0"/>
        <w:rPr>
          <w:sz w:val="22"/>
          <w:szCs w:val="22"/>
        </w:rPr>
      </w:pPr>
    </w:p>
    <w:p w:rsidR="00CB0979" w:rsidRPr="00CB0979" w:rsidRDefault="00667F07" w:rsidP="00CB0979">
      <w:pPr>
        <w:pBdr>
          <w:top w:val="threeDEmboss" w:sz="24" w:space="5" w:color="auto"/>
        </w:pBdr>
        <w:tabs>
          <w:tab w:val="left" w:pos="284"/>
          <w:tab w:val="left" w:pos="4172"/>
          <w:tab w:val="center" w:pos="4818"/>
        </w:tabs>
        <w:spacing w:after="0"/>
        <w:ind w:left="0"/>
        <w:jc w:val="center"/>
        <w:rPr>
          <w:b/>
          <w:bCs/>
          <w:smallCaps/>
          <w:sz w:val="28"/>
          <w:szCs w:val="28"/>
        </w:rPr>
      </w:pPr>
      <w:r>
        <w:rPr>
          <w:b/>
          <w:bCs/>
          <w:smallCaps/>
          <w:sz w:val="28"/>
          <w:szCs w:val="28"/>
        </w:rPr>
        <w:t>segunda</w:t>
      </w:r>
      <w:r w:rsidRPr="0025383B">
        <w:rPr>
          <w:b/>
          <w:bCs/>
          <w:smallCaps/>
          <w:sz w:val="28"/>
          <w:szCs w:val="28"/>
        </w:rPr>
        <w:t xml:space="preserve"> câmara</w:t>
      </w:r>
    </w:p>
    <w:p w:rsidR="00CB0979" w:rsidRDefault="00CB0979" w:rsidP="00F10546">
      <w:pPr>
        <w:spacing w:after="0"/>
        <w:ind w:left="0"/>
        <w:rPr>
          <w:rFonts w:eastAsia="Times New Roman"/>
          <w:b/>
          <w:sz w:val="22"/>
          <w:szCs w:val="22"/>
          <w:lang w:eastAsia="pt-BR"/>
        </w:rPr>
      </w:pPr>
    </w:p>
    <w:p w:rsidR="006C4579" w:rsidRPr="000D7CE9" w:rsidRDefault="002E79A6" w:rsidP="00F10546">
      <w:pPr>
        <w:spacing w:after="0"/>
        <w:ind w:left="0"/>
        <w:rPr>
          <w:rFonts w:eastAsia="Times New Roman"/>
          <w:b/>
          <w:sz w:val="22"/>
          <w:szCs w:val="22"/>
          <w:lang w:eastAsia="pt-BR"/>
        </w:rPr>
      </w:pPr>
      <w:r w:rsidRPr="000D7CE9">
        <w:rPr>
          <w:rFonts w:eastAsia="Times New Roman"/>
          <w:b/>
          <w:sz w:val="22"/>
          <w:szCs w:val="22"/>
          <w:lang w:eastAsia="pt-BR"/>
        </w:rPr>
        <w:t xml:space="preserve">5. </w:t>
      </w:r>
      <w:r w:rsidR="00F211B8" w:rsidRPr="000D7CE9">
        <w:rPr>
          <w:rFonts w:eastAsia="Times New Roman"/>
          <w:b/>
          <w:sz w:val="22"/>
          <w:szCs w:val="22"/>
          <w:lang w:eastAsia="pt-BR"/>
        </w:rPr>
        <w:t>Nas licitações de serviços de manutenção e reparo de veículos, o emprego de critério</w:t>
      </w:r>
      <w:r w:rsidR="00320368" w:rsidRPr="000D7CE9">
        <w:rPr>
          <w:rFonts w:eastAsia="Times New Roman"/>
          <w:b/>
          <w:sz w:val="22"/>
          <w:szCs w:val="22"/>
          <w:lang w:eastAsia="pt-BR"/>
        </w:rPr>
        <w:t xml:space="preserve"> de distância máxima</w:t>
      </w:r>
      <w:r w:rsidR="00F211B8" w:rsidRPr="000D7CE9">
        <w:rPr>
          <w:rFonts w:eastAsia="Times New Roman"/>
          <w:b/>
          <w:sz w:val="22"/>
          <w:szCs w:val="22"/>
          <w:lang w:eastAsia="pt-BR"/>
        </w:rPr>
        <w:t xml:space="preserve"> entre a localização do órgão licitante e a d</w:t>
      </w:r>
      <w:r w:rsidR="005E7100" w:rsidRPr="000D7CE9">
        <w:rPr>
          <w:rFonts w:eastAsia="Times New Roman"/>
          <w:b/>
          <w:sz w:val="22"/>
          <w:szCs w:val="22"/>
          <w:lang w:eastAsia="pt-BR"/>
        </w:rPr>
        <w:t>a empresa licitante</w:t>
      </w:r>
      <w:r w:rsidR="00F211B8" w:rsidRPr="000D7CE9">
        <w:rPr>
          <w:rFonts w:eastAsia="Times New Roman"/>
          <w:b/>
          <w:sz w:val="22"/>
          <w:szCs w:val="22"/>
          <w:lang w:eastAsia="pt-BR"/>
        </w:rPr>
        <w:t xml:space="preserve"> </w:t>
      </w:r>
      <w:r w:rsidR="00CB0979" w:rsidRPr="000D7CE9">
        <w:rPr>
          <w:rFonts w:eastAsia="Times New Roman"/>
          <w:b/>
          <w:sz w:val="22"/>
          <w:szCs w:val="22"/>
          <w:lang w:eastAsia="pt-BR"/>
        </w:rPr>
        <w:t>pode ser util</w:t>
      </w:r>
      <w:r w:rsidR="00F211B8" w:rsidRPr="000D7CE9">
        <w:rPr>
          <w:rFonts w:eastAsia="Times New Roman"/>
          <w:b/>
          <w:sz w:val="22"/>
          <w:szCs w:val="22"/>
          <w:lang w:eastAsia="pt-BR"/>
        </w:rPr>
        <w:t>izado, desde que</w:t>
      </w:r>
      <w:r w:rsidR="005E7100" w:rsidRPr="000D7CE9">
        <w:rPr>
          <w:rFonts w:eastAsia="Times New Roman"/>
          <w:b/>
          <w:sz w:val="22"/>
          <w:szCs w:val="22"/>
          <w:lang w:eastAsia="pt-BR"/>
        </w:rPr>
        <w:t xml:space="preserve"> represente solução que garanta a economicidade almejada e não imponha</w:t>
      </w:r>
      <w:r w:rsidR="00320368" w:rsidRPr="000D7CE9">
        <w:rPr>
          <w:rFonts w:eastAsia="Times New Roman"/>
          <w:b/>
          <w:sz w:val="22"/>
          <w:szCs w:val="22"/>
          <w:lang w:eastAsia="pt-BR"/>
        </w:rPr>
        <w:t xml:space="preserve"> restrições desnecessárias ao caráter competitivo do certame.</w:t>
      </w:r>
    </w:p>
    <w:p w:rsidR="00043654" w:rsidRPr="000D7CE9" w:rsidRDefault="0099769B" w:rsidP="00AA6517">
      <w:pPr>
        <w:spacing w:after="0"/>
        <w:ind w:left="0"/>
        <w:rPr>
          <w:sz w:val="22"/>
          <w:szCs w:val="22"/>
        </w:rPr>
      </w:pPr>
      <w:bookmarkStart w:id="1" w:name="Hit1"/>
      <w:r w:rsidRPr="000D7CE9">
        <w:rPr>
          <w:sz w:val="22"/>
          <w:szCs w:val="22"/>
        </w:rPr>
        <w:t>Representação</w:t>
      </w:r>
      <w:bookmarkEnd w:id="1"/>
      <w:r w:rsidRPr="000D7CE9">
        <w:rPr>
          <w:sz w:val="22"/>
          <w:szCs w:val="22"/>
        </w:rPr>
        <w:t xml:space="preserve"> formulada por sociedade empresária apontara possíveis irregularidades em pregão eletrônico conduzido pelo Tribunal Regional do Trabalho da 2ª Região em São Paulo (TRT-2), destinado à contratação de empresa especializada na prestação de serviços de manutenção preventiva, corretiva e assistência técnica para os veículos oficiais. A representante, em síntese, </w:t>
      </w:r>
      <w:r w:rsidR="00AA6517" w:rsidRPr="000D7CE9">
        <w:rPr>
          <w:sz w:val="22"/>
          <w:szCs w:val="22"/>
        </w:rPr>
        <w:t>alegara</w:t>
      </w:r>
      <w:r w:rsidRPr="000D7CE9">
        <w:rPr>
          <w:sz w:val="22"/>
          <w:szCs w:val="22"/>
        </w:rPr>
        <w:t xml:space="preserve"> restrição à competitividade do certame em face d</w:t>
      </w:r>
      <w:r w:rsidR="00AA6517" w:rsidRPr="000D7CE9">
        <w:rPr>
          <w:sz w:val="22"/>
          <w:szCs w:val="22"/>
        </w:rPr>
        <w:t>a</w:t>
      </w:r>
      <w:r w:rsidRPr="000D7CE9">
        <w:rPr>
          <w:sz w:val="22"/>
          <w:szCs w:val="22"/>
        </w:rPr>
        <w:t xml:space="preserve"> exigência </w:t>
      </w:r>
      <w:r w:rsidR="00AA6517" w:rsidRPr="000D7CE9">
        <w:rPr>
          <w:sz w:val="22"/>
          <w:szCs w:val="22"/>
        </w:rPr>
        <w:t xml:space="preserve">de que as empresas participantes do certame </w:t>
      </w:r>
      <w:r w:rsidR="001D44B8" w:rsidRPr="000D7CE9">
        <w:rPr>
          <w:sz w:val="22"/>
          <w:szCs w:val="22"/>
        </w:rPr>
        <w:t>estivessem “</w:t>
      </w:r>
      <w:r w:rsidR="00AA6517" w:rsidRPr="000D7CE9">
        <w:rPr>
          <w:i/>
          <w:sz w:val="22"/>
          <w:szCs w:val="22"/>
        </w:rPr>
        <w:t>sediadas a uma distância máxima de 12 km da sede do TRT-2</w:t>
      </w:r>
      <w:r w:rsidR="001D44B8" w:rsidRPr="000D7CE9">
        <w:rPr>
          <w:sz w:val="22"/>
          <w:szCs w:val="22"/>
        </w:rPr>
        <w:t xml:space="preserve">”. </w:t>
      </w:r>
      <w:r w:rsidR="00AA6517" w:rsidRPr="000D7CE9">
        <w:rPr>
          <w:sz w:val="22"/>
          <w:szCs w:val="22"/>
        </w:rPr>
        <w:t xml:space="preserve"> </w:t>
      </w:r>
      <w:r w:rsidR="00492862" w:rsidRPr="000D7CE9">
        <w:rPr>
          <w:sz w:val="22"/>
          <w:szCs w:val="22"/>
        </w:rPr>
        <w:t xml:space="preserve">A despeito da anulação do certame pelo próprio órgão, </w:t>
      </w:r>
      <w:r w:rsidR="00985B79" w:rsidRPr="000D7CE9">
        <w:rPr>
          <w:sz w:val="22"/>
          <w:szCs w:val="22"/>
        </w:rPr>
        <w:t>o relator teceu con</w:t>
      </w:r>
      <w:r w:rsidR="00492862" w:rsidRPr="000D7CE9">
        <w:rPr>
          <w:sz w:val="22"/>
          <w:szCs w:val="22"/>
        </w:rPr>
        <w:t xml:space="preserve">siderações sobre a </w:t>
      </w:r>
      <w:r w:rsidR="00985B79" w:rsidRPr="000D7CE9">
        <w:rPr>
          <w:sz w:val="22"/>
          <w:szCs w:val="22"/>
        </w:rPr>
        <w:t>limitação geográfica imposta: “</w:t>
      </w:r>
      <w:r w:rsidR="00985B79" w:rsidRPr="000D7CE9">
        <w:rPr>
          <w:i/>
          <w:sz w:val="22"/>
          <w:szCs w:val="22"/>
        </w:rPr>
        <w:t>o emprego de critérios de distância máxima de fato pode restringir a participação de empresas. Todavia, trata-se de medida por vezes necessária, porquanto a remessa de veículos a oficinas mecânicas demanda gastos com combustível e mão de obra de motoristas. Assim, ao delinear a contratação, deve o gestor público sopesar tais fatores, de modo a atingir solução que garanta a economicidade almejada sem impelir restrições desnecessárias ao caráter competitivo do certame</w:t>
      </w:r>
      <w:r w:rsidR="00985B79" w:rsidRPr="000D7CE9">
        <w:rPr>
          <w:sz w:val="22"/>
          <w:szCs w:val="22"/>
        </w:rPr>
        <w:t xml:space="preserve">”. Sobre o caso concreto, </w:t>
      </w:r>
      <w:r w:rsidR="000A50D4" w:rsidRPr="000D7CE9">
        <w:rPr>
          <w:sz w:val="22"/>
          <w:szCs w:val="22"/>
        </w:rPr>
        <w:t>inferiu o</w:t>
      </w:r>
      <w:r w:rsidR="00985B79" w:rsidRPr="000D7CE9">
        <w:rPr>
          <w:sz w:val="22"/>
          <w:szCs w:val="22"/>
        </w:rPr>
        <w:t xml:space="preserve"> relator que a exigência não teria sido determinante para a frustração da licitação</w:t>
      </w:r>
      <w:r w:rsidR="000A50D4" w:rsidRPr="000D7CE9">
        <w:rPr>
          <w:sz w:val="22"/>
          <w:szCs w:val="22"/>
        </w:rPr>
        <w:t>, uma vez que “</w:t>
      </w:r>
      <w:r w:rsidR="000A50D4" w:rsidRPr="000D7CE9">
        <w:rPr>
          <w:i/>
          <w:sz w:val="22"/>
          <w:szCs w:val="22"/>
        </w:rPr>
        <w:t>no raio de doze quilômetros da sede do TRT-2, mais de cem empresas estariam habilitadas a participar do certame licitatório</w:t>
      </w:r>
      <w:r w:rsidR="000A50D4" w:rsidRPr="000D7CE9">
        <w:rPr>
          <w:sz w:val="22"/>
          <w:szCs w:val="22"/>
        </w:rPr>
        <w:t xml:space="preserve">”. </w:t>
      </w:r>
      <w:r w:rsidR="00D9127E" w:rsidRPr="000D7CE9">
        <w:rPr>
          <w:sz w:val="22"/>
          <w:szCs w:val="22"/>
        </w:rPr>
        <w:t xml:space="preserve">Contudo, considerando que apenas uma licitante ofertou proposta, com preços superiores ao estimado, propôs o relator recomendar </w:t>
      </w:r>
      <w:r w:rsidR="00043654" w:rsidRPr="000D7CE9">
        <w:rPr>
          <w:sz w:val="22"/>
          <w:szCs w:val="22"/>
        </w:rPr>
        <w:t>ao órgão que, em futura contratação de mesmo objeto, “</w:t>
      </w:r>
      <w:r w:rsidR="00043654" w:rsidRPr="000D7CE9">
        <w:rPr>
          <w:i/>
          <w:sz w:val="22"/>
          <w:szCs w:val="22"/>
        </w:rPr>
        <w:t>avalie a possibilidade de agrupar os lotes do certame segundo a marca dos veículos, bem como avaliar se a disposição geográfica das oficinas mecânicas na cidade de São Paulo/SP é não uniforme, com vistas a ampliar a competitividade da disputa e atingir maior número de empresas participantes</w:t>
      </w:r>
      <w:r w:rsidR="00043654" w:rsidRPr="000D7CE9">
        <w:rPr>
          <w:sz w:val="22"/>
          <w:szCs w:val="22"/>
        </w:rPr>
        <w:t>”. O</w:t>
      </w:r>
      <w:r w:rsidR="00386719" w:rsidRPr="000D7CE9">
        <w:rPr>
          <w:sz w:val="22"/>
          <w:szCs w:val="22"/>
        </w:rPr>
        <w:t xml:space="preserve"> Tribunal acolhendo a proposta do relator, emitiu a recomendação ao TRT-2 nos termos propostos no voto.</w:t>
      </w:r>
      <w:r w:rsidR="00C21711" w:rsidRPr="000D7CE9">
        <w:rPr>
          <w:sz w:val="22"/>
          <w:szCs w:val="22"/>
        </w:rPr>
        <w:t xml:space="preserve"> </w:t>
      </w:r>
      <w:hyperlink r:id="rId15" w:history="1">
        <w:r w:rsidR="00C21711" w:rsidRPr="000D7CE9">
          <w:rPr>
            <w:rStyle w:val="Hyperlink"/>
            <w:b/>
            <w:i/>
            <w:sz w:val="22"/>
            <w:szCs w:val="22"/>
          </w:rPr>
          <w:t xml:space="preserve">Acórdão </w:t>
        </w:r>
        <w:r w:rsidR="00C607FA" w:rsidRPr="000D7CE9">
          <w:rPr>
            <w:rStyle w:val="Hyperlink"/>
            <w:b/>
            <w:i/>
            <w:sz w:val="22"/>
            <w:szCs w:val="22"/>
          </w:rPr>
          <w:t>520</w:t>
        </w:r>
        <w:r w:rsidR="00C21711" w:rsidRPr="000D7CE9">
          <w:rPr>
            <w:rStyle w:val="Hyperlink"/>
            <w:b/>
            <w:i/>
            <w:sz w:val="22"/>
            <w:szCs w:val="22"/>
          </w:rPr>
          <w:t>/2015-</w:t>
        </w:r>
        <w:r w:rsidR="00C607FA" w:rsidRPr="000D7CE9">
          <w:rPr>
            <w:rStyle w:val="Hyperlink"/>
            <w:b/>
            <w:i/>
            <w:sz w:val="22"/>
            <w:szCs w:val="22"/>
          </w:rPr>
          <w:t>Segunda</w:t>
        </w:r>
        <w:r w:rsidR="00C21711" w:rsidRPr="000D7CE9">
          <w:rPr>
            <w:rStyle w:val="Hyperlink"/>
            <w:b/>
            <w:i/>
            <w:sz w:val="22"/>
            <w:szCs w:val="22"/>
          </w:rPr>
          <w:t xml:space="preserve"> Câmara</w:t>
        </w:r>
      </w:hyperlink>
      <w:r w:rsidR="00C21711" w:rsidRPr="000D7CE9">
        <w:rPr>
          <w:b/>
          <w:i/>
          <w:sz w:val="22"/>
          <w:szCs w:val="22"/>
        </w:rPr>
        <w:t>, TC 0</w:t>
      </w:r>
      <w:r w:rsidR="00C607FA" w:rsidRPr="000D7CE9">
        <w:rPr>
          <w:b/>
          <w:i/>
          <w:sz w:val="22"/>
          <w:szCs w:val="22"/>
        </w:rPr>
        <w:t>00</w:t>
      </w:r>
      <w:r w:rsidR="00C21711" w:rsidRPr="000D7CE9">
        <w:rPr>
          <w:b/>
          <w:i/>
          <w:sz w:val="22"/>
          <w:szCs w:val="22"/>
        </w:rPr>
        <w:t>.</w:t>
      </w:r>
      <w:r w:rsidR="00C607FA" w:rsidRPr="000D7CE9">
        <w:rPr>
          <w:b/>
          <w:i/>
          <w:sz w:val="22"/>
          <w:szCs w:val="22"/>
        </w:rPr>
        <w:t>548</w:t>
      </w:r>
      <w:r w:rsidR="00C21711" w:rsidRPr="000D7CE9">
        <w:rPr>
          <w:b/>
          <w:i/>
          <w:sz w:val="22"/>
          <w:szCs w:val="22"/>
        </w:rPr>
        <w:t>/201</w:t>
      </w:r>
      <w:r w:rsidR="00C607FA" w:rsidRPr="000D7CE9">
        <w:rPr>
          <w:b/>
          <w:i/>
          <w:sz w:val="22"/>
          <w:szCs w:val="22"/>
        </w:rPr>
        <w:t>5</w:t>
      </w:r>
      <w:r w:rsidR="00C21711" w:rsidRPr="000D7CE9">
        <w:rPr>
          <w:b/>
          <w:i/>
          <w:sz w:val="22"/>
          <w:szCs w:val="22"/>
        </w:rPr>
        <w:t>-</w:t>
      </w:r>
      <w:r w:rsidR="00C607FA" w:rsidRPr="000D7CE9">
        <w:rPr>
          <w:b/>
          <w:i/>
          <w:sz w:val="22"/>
          <w:szCs w:val="22"/>
        </w:rPr>
        <w:t>4</w:t>
      </w:r>
      <w:r w:rsidR="00C21711" w:rsidRPr="000D7CE9">
        <w:rPr>
          <w:b/>
          <w:i/>
          <w:sz w:val="22"/>
          <w:szCs w:val="22"/>
        </w:rPr>
        <w:t xml:space="preserve">, relator Ministro </w:t>
      </w:r>
      <w:r w:rsidR="00C607FA" w:rsidRPr="000D7CE9">
        <w:rPr>
          <w:b/>
          <w:i/>
          <w:sz w:val="22"/>
          <w:szCs w:val="22"/>
        </w:rPr>
        <w:t>Vital do Rêgo</w:t>
      </w:r>
      <w:r w:rsidR="00C21711" w:rsidRPr="000D7CE9">
        <w:rPr>
          <w:b/>
          <w:i/>
          <w:sz w:val="22"/>
          <w:szCs w:val="22"/>
        </w:rPr>
        <w:t>, 24.2.2015.</w:t>
      </w:r>
    </w:p>
    <w:p w:rsidR="00043654" w:rsidRDefault="00043654" w:rsidP="00AA6517">
      <w:pPr>
        <w:spacing w:after="0"/>
        <w:ind w:left="0"/>
        <w:rPr>
          <w:sz w:val="22"/>
          <w:szCs w:val="22"/>
        </w:rPr>
      </w:pPr>
    </w:p>
    <w:p w:rsidR="0099769B" w:rsidRDefault="0099769B" w:rsidP="00F10546">
      <w:pPr>
        <w:spacing w:after="0"/>
        <w:ind w:left="0"/>
        <w:rPr>
          <w:rFonts w:ascii="Trebuchet MS" w:hAnsi="Trebuchet MS"/>
          <w:sz w:val="20"/>
          <w:szCs w:val="20"/>
        </w:rPr>
      </w:pPr>
    </w:p>
    <w:p w:rsidR="0099769B" w:rsidRDefault="0099769B" w:rsidP="00F10546">
      <w:pPr>
        <w:spacing w:after="0"/>
        <w:ind w:left="0"/>
        <w:rPr>
          <w:rFonts w:ascii="Trebuchet MS" w:hAnsi="Trebuchet MS"/>
          <w:sz w:val="20"/>
          <w:szCs w:val="20"/>
        </w:rPr>
      </w:pPr>
    </w:p>
    <w:p w:rsidR="0099769B" w:rsidRDefault="0099769B" w:rsidP="00F10546">
      <w:pPr>
        <w:spacing w:after="0"/>
        <w:ind w:left="0"/>
        <w:rPr>
          <w:rFonts w:ascii="Trebuchet MS" w:hAnsi="Trebuchet MS"/>
          <w:sz w:val="20"/>
          <w:szCs w:val="20"/>
        </w:rPr>
      </w:pPr>
    </w:p>
    <w:p w:rsidR="0099769B" w:rsidRDefault="0099769B" w:rsidP="00F10546">
      <w:pPr>
        <w:spacing w:after="0"/>
        <w:ind w:left="0"/>
        <w:rPr>
          <w:rFonts w:eastAsia="Times New Roman"/>
          <w:b/>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6" w:history="1">
              <w:r w:rsidRPr="00827830">
                <w:rPr>
                  <w:rStyle w:val="Hyperlink"/>
                  <w:b/>
                  <w:i/>
                  <w:color w:val="auto"/>
                  <w:sz w:val="18"/>
                  <w:szCs w:val="18"/>
                </w:rPr>
                <w:t>infojuris@tcu.gov.br</w:t>
              </w:r>
            </w:hyperlink>
          </w:p>
        </w:tc>
      </w:tr>
    </w:tbl>
    <w:p w:rsidR="002B7A02" w:rsidRPr="00827830" w:rsidRDefault="002B7A02" w:rsidP="00784888">
      <w:pPr>
        <w:ind w:left="0"/>
        <w:rPr>
          <w:sz w:val="22"/>
          <w:szCs w:val="22"/>
        </w:rPr>
      </w:pPr>
    </w:p>
    <w:sectPr w:rsidR="002B7A02" w:rsidRPr="00827830" w:rsidSect="00616945">
      <w:headerReference w:type="default" r:id="rId17"/>
      <w:footerReference w:type="default" r:id="rId18"/>
      <w:headerReference w:type="first" r:id="rId19"/>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39" w:rsidRDefault="00B90939" w:rsidP="008B0547">
      <w:pPr>
        <w:spacing w:after="0"/>
      </w:pPr>
      <w:r>
        <w:separator/>
      </w:r>
    </w:p>
  </w:endnote>
  <w:endnote w:type="continuationSeparator" w:id="0">
    <w:p w:rsidR="00B90939" w:rsidRDefault="00B90939"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Segoe UI WPC">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884A31">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39" w:rsidRDefault="00B90939" w:rsidP="008B0547">
      <w:pPr>
        <w:spacing w:after="0"/>
      </w:pPr>
      <w:r>
        <w:separator/>
      </w:r>
    </w:p>
  </w:footnote>
  <w:footnote w:type="continuationSeparator" w:id="0">
    <w:p w:rsidR="00B90939" w:rsidRDefault="00B90939"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20"/>
  </w:num>
  <w:num w:numId="16">
    <w:abstractNumId w:val="0"/>
  </w:num>
  <w:num w:numId="17">
    <w:abstractNumId w:val="6"/>
  </w:num>
  <w:num w:numId="18">
    <w:abstractNumId w:val="4"/>
  </w:num>
  <w:num w:numId="19">
    <w:abstractNumId w:val="13"/>
  </w:num>
  <w:num w:numId="20">
    <w:abstractNumId w:val="1"/>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50"/>
    <w:rsid w:val="00025753"/>
    <w:rsid w:val="00025A32"/>
    <w:rsid w:val="00025AA0"/>
    <w:rsid w:val="00025C63"/>
    <w:rsid w:val="000262E8"/>
    <w:rsid w:val="0002659E"/>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408F5"/>
    <w:rsid w:val="00040938"/>
    <w:rsid w:val="00041337"/>
    <w:rsid w:val="00041450"/>
    <w:rsid w:val="000415DA"/>
    <w:rsid w:val="00042393"/>
    <w:rsid w:val="00042A13"/>
    <w:rsid w:val="000431BD"/>
    <w:rsid w:val="00043654"/>
    <w:rsid w:val="000436B0"/>
    <w:rsid w:val="000438BA"/>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7F6"/>
    <w:rsid w:val="00072916"/>
    <w:rsid w:val="00072D55"/>
    <w:rsid w:val="00072F56"/>
    <w:rsid w:val="00073231"/>
    <w:rsid w:val="00073509"/>
    <w:rsid w:val="000735D1"/>
    <w:rsid w:val="0007405B"/>
    <w:rsid w:val="00074384"/>
    <w:rsid w:val="00074AC5"/>
    <w:rsid w:val="000756E7"/>
    <w:rsid w:val="00075CE6"/>
    <w:rsid w:val="00075D3C"/>
    <w:rsid w:val="000761CD"/>
    <w:rsid w:val="0007670D"/>
    <w:rsid w:val="000768BB"/>
    <w:rsid w:val="00076909"/>
    <w:rsid w:val="00076CF7"/>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B36"/>
    <w:rsid w:val="000A2C56"/>
    <w:rsid w:val="000A2DF9"/>
    <w:rsid w:val="000A301D"/>
    <w:rsid w:val="000A37A7"/>
    <w:rsid w:val="000A3939"/>
    <w:rsid w:val="000A402F"/>
    <w:rsid w:val="000A40FD"/>
    <w:rsid w:val="000A4384"/>
    <w:rsid w:val="000A4632"/>
    <w:rsid w:val="000A47EA"/>
    <w:rsid w:val="000A4E36"/>
    <w:rsid w:val="000A504A"/>
    <w:rsid w:val="000A50D4"/>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342"/>
    <w:rsid w:val="000B639F"/>
    <w:rsid w:val="000B63F3"/>
    <w:rsid w:val="000B6475"/>
    <w:rsid w:val="000B6BC1"/>
    <w:rsid w:val="000B6DA0"/>
    <w:rsid w:val="000B706C"/>
    <w:rsid w:val="000B759E"/>
    <w:rsid w:val="000B775A"/>
    <w:rsid w:val="000B79DD"/>
    <w:rsid w:val="000B7EC2"/>
    <w:rsid w:val="000C0013"/>
    <w:rsid w:val="000C02AD"/>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56A"/>
    <w:rsid w:val="000C5799"/>
    <w:rsid w:val="000C5FDE"/>
    <w:rsid w:val="000C61FA"/>
    <w:rsid w:val="000C69B3"/>
    <w:rsid w:val="000C6F6F"/>
    <w:rsid w:val="000C7281"/>
    <w:rsid w:val="000C7D11"/>
    <w:rsid w:val="000D073F"/>
    <w:rsid w:val="000D0AE8"/>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30B"/>
    <w:rsid w:val="000E7703"/>
    <w:rsid w:val="000E78A6"/>
    <w:rsid w:val="000E7FD4"/>
    <w:rsid w:val="000F05AC"/>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3EC"/>
    <w:rsid w:val="001104BA"/>
    <w:rsid w:val="001108C0"/>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52F"/>
    <w:rsid w:val="001156BA"/>
    <w:rsid w:val="0011582E"/>
    <w:rsid w:val="00115911"/>
    <w:rsid w:val="0011615F"/>
    <w:rsid w:val="001165AC"/>
    <w:rsid w:val="00116706"/>
    <w:rsid w:val="0011691F"/>
    <w:rsid w:val="00116BAB"/>
    <w:rsid w:val="00117178"/>
    <w:rsid w:val="001173EC"/>
    <w:rsid w:val="0011748D"/>
    <w:rsid w:val="001174F7"/>
    <w:rsid w:val="00117631"/>
    <w:rsid w:val="00117A9F"/>
    <w:rsid w:val="00117E95"/>
    <w:rsid w:val="0012006A"/>
    <w:rsid w:val="001203BE"/>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6BE0"/>
    <w:rsid w:val="001278E8"/>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66BB"/>
    <w:rsid w:val="0013714A"/>
    <w:rsid w:val="00137335"/>
    <w:rsid w:val="0013735A"/>
    <w:rsid w:val="001374E3"/>
    <w:rsid w:val="001378A3"/>
    <w:rsid w:val="00137908"/>
    <w:rsid w:val="00137A34"/>
    <w:rsid w:val="00137B22"/>
    <w:rsid w:val="00137D7E"/>
    <w:rsid w:val="00137FE3"/>
    <w:rsid w:val="00140820"/>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5B"/>
    <w:rsid w:val="001477A4"/>
    <w:rsid w:val="00147AE1"/>
    <w:rsid w:val="00147C8B"/>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27B2"/>
    <w:rsid w:val="00162C40"/>
    <w:rsid w:val="001634AE"/>
    <w:rsid w:val="0016352E"/>
    <w:rsid w:val="00163585"/>
    <w:rsid w:val="00163752"/>
    <w:rsid w:val="001638FF"/>
    <w:rsid w:val="00163A36"/>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6C7E"/>
    <w:rsid w:val="0018763E"/>
    <w:rsid w:val="0018776F"/>
    <w:rsid w:val="00187F3D"/>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3C3"/>
    <w:rsid w:val="001A052D"/>
    <w:rsid w:val="001A0725"/>
    <w:rsid w:val="001A08CA"/>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723"/>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968"/>
    <w:rsid w:val="001D2BC5"/>
    <w:rsid w:val="001D2D43"/>
    <w:rsid w:val="001D34EB"/>
    <w:rsid w:val="001D35B4"/>
    <w:rsid w:val="001D3A4D"/>
    <w:rsid w:val="001D3F21"/>
    <w:rsid w:val="001D44B8"/>
    <w:rsid w:val="001D4515"/>
    <w:rsid w:val="001D476E"/>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B05"/>
    <w:rsid w:val="001F348E"/>
    <w:rsid w:val="001F34F8"/>
    <w:rsid w:val="001F473A"/>
    <w:rsid w:val="001F4DA1"/>
    <w:rsid w:val="001F5268"/>
    <w:rsid w:val="001F553C"/>
    <w:rsid w:val="001F5E50"/>
    <w:rsid w:val="001F5EB4"/>
    <w:rsid w:val="001F642E"/>
    <w:rsid w:val="001F6448"/>
    <w:rsid w:val="001F64D1"/>
    <w:rsid w:val="001F6932"/>
    <w:rsid w:val="001F6A27"/>
    <w:rsid w:val="001F6A48"/>
    <w:rsid w:val="001F6AA6"/>
    <w:rsid w:val="001F6BB0"/>
    <w:rsid w:val="001F6D5B"/>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7A7"/>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BB3"/>
    <w:rsid w:val="00231CBC"/>
    <w:rsid w:val="00231DA0"/>
    <w:rsid w:val="00232158"/>
    <w:rsid w:val="00232164"/>
    <w:rsid w:val="0023253B"/>
    <w:rsid w:val="0023279B"/>
    <w:rsid w:val="002328F9"/>
    <w:rsid w:val="00232B8A"/>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7C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777"/>
    <w:rsid w:val="00250C0E"/>
    <w:rsid w:val="002510D5"/>
    <w:rsid w:val="00251572"/>
    <w:rsid w:val="0025173D"/>
    <w:rsid w:val="0025202D"/>
    <w:rsid w:val="002523CF"/>
    <w:rsid w:val="0025280C"/>
    <w:rsid w:val="002528AB"/>
    <w:rsid w:val="00252907"/>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71F"/>
    <w:rsid w:val="0025781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20A"/>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C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379"/>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53D"/>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F01"/>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0B3"/>
    <w:rsid w:val="002B5562"/>
    <w:rsid w:val="002B56C3"/>
    <w:rsid w:val="002B595B"/>
    <w:rsid w:val="002B5AD5"/>
    <w:rsid w:val="002B5C5A"/>
    <w:rsid w:val="002B6038"/>
    <w:rsid w:val="002B61FF"/>
    <w:rsid w:val="002B6422"/>
    <w:rsid w:val="002B68D1"/>
    <w:rsid w:val="002B6ABA"/>
    <w:rsid w:val="002B71BA"/>
    <w:rsid w:val="002B742B"/>
    <w:rsid w:val="002B782F"/>
    <w:rsid w:val="002B7843"/>
    <w:rsid w:val="002B7A02"/>
    <w:rsid w:val="002B7AE1"/>
    <w:rsid w:val="002B7B4D"/>
    <w:rsid w:val="002C0291"/>
    <w:rsid w:val="002C0625"/>
    <w:rsid w:val="002C0678"/>
    <w:rsid w:val="002C1252"/>
    <w:rsid w:val="002C15D5"/>
    <w:rsid w:val="002C171E"/>
    <w:rsid w:val="002C182C"/>
    <w:rsid w:val="002C1896"/>
    <w:rsid w:val="002C1A06"/>
    <w:rsid w:val="002C208E"/>
    <w:rsid w:val="002C2F67"/>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F03"/>
    <w:rsid w:val="002C6588"/>
    <w:rsid w:val="002C662D"/>
    <w:rsid w:val="002C66E9"/>
    <w:rsid w:val="002C6B2F"/>
    <w:rsid w:val="002C6BFB"/>
    <w:rsid w:val="002C78D8"/>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A56"/>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E79A6"/>
    <w:rsid w:val="002F0A46"/>
    <w:rsid w:val="002F0C37"/>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5497"/>
    <w:rsid w:val="002F556F"/>
    <w:rsid w:val="002F5678"/>
    <w:rsid w:val="002F5F3B"/>
    <w:rsid w:val="002F61A4"/>
    <w:rsid w:val="002F64E5"/>
    <w:rsid w:val="002F693C"/>
    <w:rsid w:val="002F69BB"/>
    <w:rsid w:val="002F6EC5"/>
    <w:rsid w:val="002F6FAD"/>
    <w:rsid w:val="002F7003"/>
    <w:rsid w:val="002F7707"/>
    <w:rsid w:val="002F797B"/>
    <w:rsid w:val="002F7A9E"/>
    <w:rsid w:val="002F7C6D"/>
    <w:rsid w:val="003006FA"/>
    <w:rsid w:val="0030071B"/>
    <w:rsid w:val="003010D4"/>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93A"/>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20368"/>
    <w:rsid w:val="0032040C"/>
    <w:rsid w:val="00320465"/>
    <w:rsid w:val="00320B02"/>
    <w:rsid w:val="00320B84"/>
    <w:rsid w:val="00320D78"/>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6BB"/>
    <w:rsid w:val="00353B7C"/>
    <w:rsid w:val="00353BE4"/>
    <w:rsid w:val="00353D60"/>
    <w:rsid w:val="0035402B"/>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653"/>
    <w:rsid w:val="003576DA"/>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612"/>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4226"/>
    <w:rsid w:val="00374B8C"/>
    <w:rsid w:val="00375080"/>
    <w:rsid w:val="0037523C"/>
    <w:rsid w:val="00375561"/>
    <w:rsid w:val="00375772"/>
    <w:rsid w:val="0037593A"/>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7F9"/>
    <w:rsid w:val="003A5C1B"/>
    <w:rsid w:val="003A5F8F"/>
    <w:rsid w:val="003A60B9"/>
    <w:rsid w:val="003A6665"/>
    <w:rsid w:val="003A6CF4"/>
    <w:rsid w:val="003A6E79"/>
    <w:rsid w:val="003A7971"/>
    <w:rsid w:val="003A7C7F"/>
    <w:rsid w:val="003A7F48"/>
    <w:rsid w:val="003A7FDB"/>
    <w:rsid w:val="003B0162"/>
    <w:rsid w:val="003B023B"/>
    <w:rsid w:val="003B0304"/>
    <w:rsid w:val="003B043F"/>
    <w:rsid w:val="003B09C9"/>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4B2D"/>
    <w:rsid w:val="003C5187"/>
    <w:rsid w:val="003C526E"/>
    <w:rsid w:val="003C58C9"/>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3A71"/>
    <w:rsid w:val="003D4149"/>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2AB"/>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692C"/>
    <w:rsid w:val="00407AB6"/>
    <w:rsid w:val="00407FCA"/>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4A0"/>
    <w:rsid w:val="00417956"/>
    <w:rsid w:val="004179AE"/>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4D1A"/>
    <w:rsid w:val="00425431"/>
    <w:rsid w:val="004254F2"/>
    <w:rsid w:val="004257A8"/>
    <w:rsid w:val="00425BB7"/>
    <w:rsid w:val="00425D34"/>
    <w:rsid w:val="00425FF9"/>
    <w:rsid w:val="00426328"/>
    <w:rsid w:val="004266DC"/>
    <w:rsid w:val="0042677E"/>
    <w:rsid w:val="00426A0F"/>
    <w:rsid w:val="0042706F"/>
    <w:rsid w:val="004274A1"/>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5"/>
    <w:rsid w:val="00442838"/>
    <w:rsid w:val="0044284D"/>
    <w:rsid w:val="00442C13"/>
    <w:rsid w:val="00442E88"/>
    <w:rsid w:val="00443050"/>
    <w:rsid w:val="0044336F"/>
    <w:rsid w:val="004438B7"/>
    <w:rsid w:val="004439F1"/>
    <w:rsid w:val="0044417A"/>
    <w:rsid w:val="0044434A"/>
    <w:rsid w:val="0044437F"/>
    <w:rsid w:val="00444447"/>
    <w:rsid w:val="004446ED"/>
    <w:rsid w:val="0044529F"/>
    <w:rsid w:val="004452BC"/>
    <w:rsid w:val="004453BC"/>
    <w:rsid w:val="004453D0"/>
    <w:rsid w:val="00445787"/>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6230"/>
    <w:rsid w:val="0045665B"/>
    <w:rsid w:val="00456C61"/>
    <w:rsid w:val="00457013"/>
    <w:rsid w:val="004571D3"/>
    <w:rsid w:val="004573A3"/>
    <w:rsid w:val="004573D3"/>
    <w:rsid w:val="004576DF"/>
    <w:rsid w:val="004578EA"/>
    <w:rsid w:val="00457AAC"/>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695"/>
    <w:rsid w:val="004848A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862"/>
    <w:rsid w:val="00492E3F"/>
    <w:rsid w:val="004930B3"/>
    <w:rsid w:val="00493F5C"/>
    <w:rsid w:val="00494129"/>
    <w:rsid w:val="0049412A"/>
    <w:rsid w:val="00494269"/>
    <w:rsid w:val="004945E3"/>
    <w:rsid w:val="0049469C"/>
    <w:rsid w:val="00494A4D"/>
    <w:rsid w:val="00494D66"/>
    <w:rsid w:val="00494EB3"/>
    <w:rsid w:val="00495135"/>
    <w:rsid w:val="004952F2"/>
    <w:rsid w:val="0049560D"/>
    <w:rsid w:val="00495DB3"/>
    <w:rsid w:val="00495F43"/>
    <w:rsid w:val="00496B7B"/>
    <w:rsid w:val="00497F5E"/>
    <w:rsid w:val="004A00B0"/>
    <w:rsid w:val="004A10F9"/>
    <w:rsid w:val="004A16BB"/>
    <w:rsid w:val="004A171B"/>
    <w:rsid w:val="004A1A36"/>
    <w:rsid w:val="004A1C9C"/>
    <w:rsid w:val="004A207E"/>
    <w:rsid w:val="004A2148"/>
    <w:rsid w:val="004A2358"/>
    <w:rsid w:val="004A2385"/>
    <w:rsid w:val="004A28A0"/>
    <w:rsid w:val="004A2C49"/>
    <w:rsid w:val="004A2D91"/>
    <w:rsid w:val="004A2E08"/>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9D"/>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41ED"/>
    <w:rsid w:val="004C4453"/>
    <w:rsid w:val="004C4A77"/>
    <w:rsid w:val="004C4D53"/>
    <w:rsid w:val="004C5692"/>
    <w:rsid w:val="004C5A50"/>
    <w:rsid w:val="004C5D4D"/>
    <w:rsid w:val="004C60F8"/>
    <w:rsid w:val="004C6173"/>
    <w:rsid w:val="004C61A3"/>
    <w:rsid w:val="004C68C2"/>
    <w:rsid w:val="004C6E03"/>
    <w:rsid w:val="004C6F47"/>
    <w:rsid w:val="004C6F97"/>
    <w:rsid w:val="004C73E2"/>
    <w:rsid w:val="004C780C"/>
    <w:rsid w:val="004C79B9"/>
    <w:rsid w:val="004C7AA2"/>
    <w:rsid w:val="004C7D5A"/>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F6D"/>
    <w:rsid w:val="004E5000"/>
    <w:rsid w:val="004E5251"/>
    <w:rsid w:val="004E530F"/>
    <w:rsid w:val="004E5331"/>
    <w:rsid w:val="004E5599"/>
    <w:rsid w:val="004E55D4"/>
    <w:rsid w:val="004E586B"/>
    <w:rsid w:val="004E5A83"/>
    <w:rsid w:val="004E5CB8"/>
    <w:rsid w:val="004E5DA2"/>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1F14"/>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08B"/>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382"/>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2B3"/>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75D"/>
    <w:rsid w:val="005629CA"/>
    <w:rsid w:val="00562B18"/>
    <w:rsid w:val="00562E8F"/>
    <w:rsid w:val="0056301A"/>
    <w:rsid w:val="005630D2"/>
    <w:rsid w:val="005635AD"/>
    <w:rsid w:val="005636B0"/>
    <w:rsid w:val="005637ED"/>
    <w:rsid w:val="00563CAB"/>
    <w:rsid w:val="00564070"/>
    <w:rsid w:val="005640E1"/>
    <w:rsid w:val="00564496"/>
    <w:rsid w:val="005647B6"/>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BC"/>
    <w:rsid w:val="00572B78"/>
    <w:rsid w:val="00573426"/>
    <w:rsid w:val="00573713"/>
    <w:rsid w:val="00573ADD"/>
    <w:rsid w:val="00573D3B"/>
    <w:rsid w:val="00573EE2"/>
    <w:rsid w:val="00573F6A"/>
    <w:rsid w:val="005741C8"/>
    <w:rsid w:val="005742D5"/>
    <w:rsid w:val="0057432C"/>
    <w:rsid w:val="00574657"/>
    <w:rsid w:val="00574676"/>
    <w:rsid w:val="00574C41"/>
    <w:rsid w:val="00574CF9"/>
    <w:rsid w:val="0057531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0B0F"/>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7F"/>
    <w:rsid w:val="005A46A3"/>
    <w:rsid w:val="005A47FE"/>
    <w:rsid w:val="005A4B91"/>
    <w:rsid w:val="005A50F6"/>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E15"/>
    <w:rsid w:val="005D6261"/>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F01CE"/>
    <w:rsid w:val="005F0296"/>
    <w:rsid w:val="005F0906"/>
    <w:rsid w:val="005F0E46"/>
    <w:rsid w:val="005F135B"/>
    <w:rsid w:val="005F1535"/>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9DC"/>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07B"/>
    <w:rsid w:val="006272EC"/>
    <w:rsid w:val="006275F3"/>
    <w:rsid w:val="00627733"/>
    <w:rsid w:val="00627921"/>
    <w:rsid w:val="0063016C"/>
    <w:rsid w:val="00630A86"/>
    <w:rsid w:val="00630E1F"/>
    <w:rsid w:val="006311E3"/>
    <w:rsid w:val="006314EC"/>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67F07"/>
    <w:rsid w:val="00670B9B"/>
    <w:rsid w:val="00670BE7"/>
    <w:rsid w:val="00670D78"/>
    <w:rsid w:val="00670FEA"/>
    <w:rsid w:val="00671162"/>
    <w:rsid w:val="0067179C"/>
    <w:rsid w:val="00671874"/>
    <w:rsid w:val="00671CD0"/>
    <w:rsid w:val="00671DC9"/>
    <w:rsid w:val="0067252D"/>
    <w:rsid w:val="006728C2"/>
    <w:rsid w:val="00672C31"/>
    <w:rsid w:val="00672D4E"/>
    <w:rsid w:val="006730AC"/>
    <w:rsid w:val="006733DB"/>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223"/>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CC8"/>
    <w:rsid w:val="006A0F9D"/>
    <w:rsid w:val="006A1D7D"/>
    <w:rsid w:val="006A1E12"/>
    <w:rsid w:val="006A2019"/>
    <w:rsid w:val="006A21CC"/>
    <w:rsid w:val="006A294D"/>
    <w:rsid w:val="006A30E6"/>
    <w:rsid w:val="006A3D41"/>
    <w:rsid w:val="006A4022"/>
    <w:rsid w:val="006A4C19"/>
    <w:rsid w:val="006A511D"/>
    <w:rsid w:val="006A53F3"/>
    <w:rsid w:val="006A570E"/>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03E"/>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4579"/>
    <w:rsid w:val="006C53F8"/>
    <w:rsid w:val="006C54B1"/>
    <w:rsid w:val="006C54BB"/>
    <w:rsid w:val="006C54BE"/>
    <w:rsid w:val="006C56FC"/>
    <w:rsid w:val="006C5C6C"/>
    <w:rsid w:val="006C5F8C"/>
    <w:rsid w:val="006C63EB"/>
    <w:rsid w:val="006C72C5"/>
    <w:rsid w:val="006C7304"/>
    <w:rsid w:val="006C7488"/>
    <w:rsid w:val="006C761F"/>
    <w:rsid w:val="006C7815"/>
    <w:rsid w:val="006C7DE0"/>
    <w:rsid w:val="006D00BE"/>
    <w:rsid w:val="006D024B"/>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10AE5"/>
    <w:rsid w:val="007111CC"/>
    <w:rsid w:val="00711246"/>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607D"/>
    <w:rsid w:val="0071623B"/>
    <w:rsid w:val="00716CAD"/>
    <w:rsid w:val="007174DA"/>
    <w:rsid w:val="007174DB"/>
    <w:rsid w:val="007178AF"/>
    <w:rsid w:val="007179F7"/>
    <w:rsid w:val="00717B0D"/>
    <w:rsid w:val="00717F41"/>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27F"/>
    <w:rsid w:val="007233E9"/>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B0B"/>
    <w:rsid w:val="00736376"/>
    <w:rsid w:val="00736FD3"/>
    <w:rsid w:val="00737424"/>
    <w:rsid w:val="007378AD"/>
    <w:rsid w:val="00737FEC"/>
    <w:rsid w:val="007400E2"/>
    <w:rsid w:val="00740292"/>
    <w:rsid w:val="007403DD"/>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CC5"/>
    <w:rsid w:val="00771DB8"/>
    <w:rsid w:val="0077228C"/>
    <w:rsid w:val="00772BB8"/>
    <w:rsid w:val="00772F03"/>
    <w:rsid w:val="00772FA8"/>
    <w:rsid w:val="00773149"/>
    <w:rsid w:val="007737D3"/>
    <w:rsid w:val="00773A71"/>
    <w:rsid w:val="00773B74"/>
    <w:rsid w:val="00773CAE"/>
    <w:rsid w:val="007741FA"/>
    <w:rsid w:val="00774593"/>
    <w:rsid w:val="00774725"/>
    <w:rsid w:val="00774B44"/>
    <w:rsid w:val="00774B87"/>
    <w:rsid w:val="00774C88"/>
    <w:rsid w:val="00774D02"/>
    <w:rsid w:val="007750D9"/>
    <w:rsid w:val="00775265"/>
    <w:rsid w:val="007753B5"/>
    <w:rsid w:val="00775695"/>
    <w:rsid w:val="00775AAA"/>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85F"/>
    <w:rsid w:val="00795A23"/>
    <w:rsid w:val="00795EE0"/>
    <w:rsid w:val="00796068"/>
    <w:rsid w:val="00796163"/>
    <w:rsid w:val="00796472"/>
    <w:rsid w:val="0079679D"/>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9D"/>
    <w:rsid w:val="007A71E1"/>
    <w:rsid w:val="007A7635"/>
    <w:rsid w:val="007A767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20F"/>
    <w:rsid w:val="007D4757"/>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577"/>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97E"/>
    <w:rsid w:val="007F4E05"/>
    <w:rsid w:val="007F521A"/>
    <w:rsid w:val="007F5240"/>
    <w:rsid w:val="007F532E"/>
    <w:rsid w:val="007F5688"/>
    <w:rsid w:val="007F588F"/>
    <w:rsid w:val="007F5E63"/>
    <w:rsid w:val="007F603C"/>
    <w:rsid w:val="007F617F"/>
    <w:rsid w:val="007F633E"/>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72E"/>
    <w:rsid w:val="00823997"/>
    <w:rsid w:val="00823A7E"/>
    <w:rsid w:val="00823D0F"/>
    <w:rsid w:val="00824A8C"/>
    <w:rsid w:val="008250A5"/>
    <w:rsid w:val="00825155"/>
    <w:rsid w:val="0082545C"/>
    <w:rsid w:val="008258FE"/>
    <w:rsid w:val="00825D4C"/>
    <w:rsid w:val="00825D9F"/>
    <w:rsid w:val="00825EB9"/>
    <w:rsid w:val="008261E9"/>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6CE5"/>
    <w:rsid w:val="008475D6"/>
    <w:rsid w:val="00847B37"/>
    <w:rsid w:val="00847CE5"/>
    <w:rsid w:val="0085012C"/>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F4"/>
    <w:rsid w:val="00861E30"/>
    <w:rsid w:val="008625ED"/>
    <w:rsid w:val="00862725"/>
    <w:rsid w:val="00862AAE"/>
    <w:rsid w:val="00862DB7"/>
    <w:rsid w:val="00862F06"/>
    <w:rsid w:val="008634A8"/>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A31"/>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CC"/>
    <w:rsid w:val="008922EB"/>
    <w:rsid w:val="008922F4"/>
    <w:rsid w:val="0089240D"/>
    <w:rsid w:val="00892702"/>
    <w:rsid w:val="00892841"/>
    <w:rsid w:val="008928A8"/>
    <w:rsid w:val="008928EB"/>
    <w:rsid w:val="00892ABE"/>
    <w:rsid w:val="00892BB8"/>
    <w:rsid w:val="00892EBB"/>
    <w:rsid w:val="00893014"/>
    <w:rsid w:val="008939C2"/>
    <w:rsid w:val="00893BAF"/>
    <w:rsid w:val="00893C33"/>
    <w:rsid w:val="00894600"/>
    <w:rsid w:val="0089513A"/>
    <w:rsid w:val="008953B7"/>
    <w:rsid w:val="008954E8"/>
    <w:rsid w:val="00895D68"/>
    <w:rsid w:val="00895DFF"/>
    <w:rsid w:val="00895F77"/>
    <w:rsid w:val="00896078"/>
    <w:rsid w:val="008961D5"/>
    <w:rsid w:val="008965FF"/>
    <w:rsid w:val="00896755"/>
    <w:rsid w:val="00896F38"/>
    <w:rsid w:val="00897A55"/>
    <w:rsid w:val="008A0172"/>
    <w:rsid w:val="008A019D"/>
    <w:rsid w:val="008A0395"/>
    <w:rsid w:val="008A0423"/>
    <w:rsid w:val="008A058F"/>
    <w:rsid w:val="008A0843"/>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688"/>
    <w:rsid w:val="008B56B8"/>
    <w:rsid w:val="008B58F9"/>
    <w:rsid w:val="008B5DA7"/>
    <w:rsid w:val="008B607E"/>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CC1"/>
    <w:rsid w:val="008C5E3C"/>
    <w:rsid w:val="008C5FFD"/>
    <w:rsid w:val="008C6B27"/>
    <w:rsid w:val="008C6BCE"/>
    <w:rsid w:val="008C6D01"/>
    <w:rsid w:val="008C7008"/>
    <w:rsid w:val="008C7039"/>
    <w:rsid w:val="008C7559"/>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B2F"/>
    <w:rsid w:val="008D6D9A"/>
    <w:rsid w:val="008D6F5D"/>
    <w:rsid w:val="008D7A0A"/>
    <w:rsid w:val="008D7AD8"/>
    <w:rsid w:val="008D7CB3"/>
    <w:rsid w:val="008D7CB8"/>
    <w:rsid w:val="008D7F41"/>
    <w:rsid w:val="008D7F62"/>
    <w:rsid w:val="008E003A"/>
    <w:rsid w:val="008E08A4"/>
    <w:rsid w:val="008E109B"/>
    <w:rsid w:val="008E15E3"/>
    <w:rsid w:val="008E197E"/>
    <w:rsid w:val="008E2045"/>
    <w:rsid w:val="008E20BE"/>
    <w:rsid w:val="008E287E"/>
    <w:rsid w:val="008E28AE"/>
    <w:rsid w:val="008E2C38"/>
    <w:rsid w:val="008E2E14"/>
    <w:rsid w:val="008E3380"/>
    <w:rsid w:val="008E3AC0"/>
    <w:rsid w:val="008E3C0B"/>
    <w:rsid w:val="008E3F76"/>
    <w:rsid w:val="008E4027"/>
    <w:rsid w:val="008E40B8"/>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6A0"/>
    <w:rsid w:val="00900822"/>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30"/>
    <w:rsid w:val="00907498"/>
    <w:rsid w:val="00907968"/>
    <w:rsid w:val="009104A9"/>
    <w:rsid w:val="00910550"/>
    <w:rsid w:val="00910A48"/>
    <w:rsid w:val="00910A6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C5B"/>
    <w:rsid w:val="00941FF5"/>
    <w:rsid w:val="00942022"/>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A49"/>
    <w:rsid w:val="00946D3C"/>
    <w:rsid w:val="009476BA"/>
    <w:rsid w:val="00947AEE"/>
    <w:rsid w:val="00947F64"/>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54E"/>
    <w:rsid w:val="0099456D"/>
    <w:rsid w:val="00994618"/>
    <w:rsid w:val="00994948"/>
    <w:rsid w:val="00994F60"/>
    <w:rsid w:val="00995151"/>
    <w:rsid w:val="0099545F"/>
    <w:rsid w:val="00995BF1"/>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45A"/>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33CA"/>
    <w:rsid w:val="009C39AF"/>
    <w:rsid w:val="009C3EB1"/>
    <w:rsid w:val="009C4359"/>
    <w:rsid w:val="009C4B6D"/>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609"/>
    <w:rsid w:val="009D2884"/>
    <w:rsid w:val="009D2A4F"/>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C2C"/>
    <w:rsid w:val="00A02EFA"/>
    <w:rsid w:val="00A02FC7"/>
    <w:rsid w:val="00A033FF"/>
    <w:rsid w:val="00A038D7"/>
    <w:rsid w:val="00A038E2"/>
    <w:rsid w:val="00A03D62"/>
    <w:rsid w:val="00A03FA4"/>
    <w:rsid w:val="00A0409E"/>
    <w:rsid w:val="00A041B4"/>
    <w:rsid w:val="00A046C7"/>
    <w:rsid w:val="00A04BDD"/>
    <w:rsid w:val="00A04E2C"/>
    <w:rsid w:val="00A04EDA"/>
    <w:rsid w:val="00A05202"/>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2EC"/>
    <w:rsid w:val="00A24599"/>
    <w:rsid w:val="00A24E78"/>
    <w:rsid w:val="00A24FBC"/>
    <w:rsid w:val="00A253E6"/>
    <w:rsid w:val="00A25B79"/>
    <w:rsid w:val="00A25D7B"/>
    <w:rsid w:val="00A260A0"/>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439B"/>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A9A"/>
    <w:rsid w:val="00A47D31"/>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3BBB"/>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64E0"/>
    <w:rsid w:val="00A7653B"/>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424"/>
    <w:rsid w:val="00A846F1"/>
    <w:rsid w:val="00A84937"/>
    <w:rsid w:val="00A85468"/>
    <w:rsid w:val="00A85469"/>
    <w:rsid w:val="00A857B4"/>
    <w:rsid w:val="00A85B14"/>
    <w:rsid w:val="00A85B90"/>
    <w:rsid w:val="00A8674E"/>
    <w:rsid w:val="00A86F91"/>
    <w:rsid w:val="00A875C0"/>
    <w:rsid w:val="00A87C15"/>
    <w:rsid w:val="00A90925"/>
    <w:rsid w:val="00A90DDB"/>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517"/>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65C"/>
    <w:rsid w:val="00AD4D66"/>
    <w:rsid w:val="00AD516C"/>
    <w:rsid w:val="00AD5922"/>
    <w:rsid w:val="00AD5CB8"/>
    <w:rsid w:val="00AD5E96"/>
    <w:rsid w:val="00AD5F80"/>
    <w:rsid w:val="00AD61E3"/>
    <w:rsid w:val="00AD6555"/>
    <w:rsid w:val="00AD6A0F"/>
    <w:rsid w:val="00AD6F4A"/>
    <w:rsid w:val="00AD72AF"/>
    <w:rsid w:val="00AD77E5"/>
    <w:rsid w:val="00AD791A"/>
    <w:rsid w:val="00AD79DB"/>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4D"/>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0A61"/>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98"/>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C8"/>
    <w:rsid w:val="00B512D2"/>
    <w:rsid w:val="00B513D2"/>
    <w:rsid w:val="00B516F6"/>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7874"/>
    <w:rsid w:val="00B57A9F"/>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702CD"/>
    <w:rsid w:val="00B7041C"/>
    <w:rsid w:val="00B7070A"/>
    <w:rsid w:val="00B70D22"/>
    <w:rsid w:val="00B71898"/>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65D"/>
    <w:rsid w:val="00B73B28"/>
    <w:rsid w:val="00B73E58"/>
    <w:rsid w:val="00B73EC5"/>
    <w:rsid w:val="00B74251"/>
    <w:rsid w:val="00B74308"/>
    <w:rsid w:val="00B74E5B"/>
    <w:rsid w:val="00B74FE2"/>
    <w:rsid w:val="00B75317"/>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737"/>
    <w:rsid w:val="00BC5EB0"/>
    <w:rsid w:val="00BC605D"/>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3F92"/>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62B9"/>
    <w:rsid w:val="00C06374"/>
    <w:rsid w:val="00C063ED"/>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92"/>
    <w:rsid w:val="00C22275"/>
    <w:rsid w:val="00C22519"/>
    <w:rsid w:val="00C22725"/>
    <w:rsid w:val="00C22950"/>
    <w:rsid w:val="00C229D9"/>
    <w:rsid w:val="00C22C7B"/>
    <w:rsid w:val="00C22F12"/>
    <w:rsid w:val="00C2305C"/>
    <w:rsid w:val="00C233D0"/>
    <w:rsid w:val="00C234A2"/>
    <w:rsid w:val="00C2380D"/>
    <w:rsid w:val="00C23A7F"/>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92"/>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C58"/>
    <w:rsid w:val="00C56CCC"/>
    <w:rsid w:val="00C56F6D"/>
    <w:rsid w:val="00C574AE"/>
    <w:rsid w:val="00C57B3F"/>
    <w:rsid w:val="00C60320"/>
    <w:rsid w:val="00C607FA"/>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830"/>
    <w:rsid w:val="00C75031"/>
    <w:rsid w:val="00C752ED"/>
    <w:rsid w:val="00C754A0"/>
    <w:rsid w:val="00C754FF"/>
    <w:rsid w:val="00C7593A"/>
    <w:rsid w:val="00C75D4B"/>
    <w:rsid w:val="00C76330"/>
    <w:rsid w:val="00C76932"/>
    <w:rsid w:val="00C76976"/>
    <w:rsid w:val="00C76D32"/>
    <w:rsid w:val="00C76E8A"/>
    <w:rsid w:val="00C77134"/>
    <w:rsid w:val="00C772D2"/>
    <w:rsid w:val="00C778A2"/>
    <w:rsid w:val="00C77E68"/>
    <w:rsid w:val="00C8034B"/>
    <w:rsid w:val="00C8056E"/>
    <w:rsid w:val="00C80C77"/>
    <w:rsid w:val="00C80D90"/>
    <w:rsid w:val="00C8104E"/>
    <w:rsid w:val="00C8117A"/>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76"/>
    <w:rsid w:val="00C94BDC"/>
    <w:rsid w:val="00C94BF9"/>
    <w:rsid w:val="00C94CF0"/>
    <w:rsid w:val="00C95005"/>
    <w:rsid w:val="00C9557C"/>
    <w:rsid w:val="00C9579D"/>
    <w:rsid w:val="00C95A9A"/>
    <w:rsid w:val="00C961CA"/>
    <w:rsid w:val="00C96242"/>
    <w:rsid w:val="00C9644D"/>
    <w:rsid w:val="00C96454"/>
    <w:rsid w:val="00C96501"/>
    <w:rsid w:val="00C96747"/>
    <w:rsid w:val="00C96897"/>
    <w:rsid w:val="00C97075"/>
    <w:rsid w:val="00C97276"/>
    <w:rsid w:val="00C97C47"/>
    <w:rsid w:val="00CA0704"/>
    <w:rsid w:val="00CA08DA"/>
    <w:rsid w:val="00CA08FF"/>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0F3"/>
    <w:rsid w:val="00CB031D"/>
    <w:rsid w:val="00CB036A"/>
    <w:rsid w:val="00CB040C"/>
    <w:rsid w:val="00CB072B"/>
    <w:rsid w:val="00CB07A9"/>
    <w:rsid w:val="00CB0979"/>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D003F8"/>
    <w:rsid w:val="00D0052C"/>
    <w:rsid w:val="00D00B02"/>
    <w:rsid w:val="00D00E04"/>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E05"/>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D58"/>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7EA"/>
    <w:rsid w:val="00D8081F"/>
    <w:rsid w:val="00D80898"/>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D91"/>
    <w:rsid w:val="00D84E4D"/>
    <w:rsid w:val="00D85375"/>
    <w:rsid w:val="00D8603D"/>
    <w:rsid w:val="00D865D1"/>
    <w:rsid w:val="00D86C20"/>
    <w:rsid w:val="00D86DD4"/>
    <w:rsid w:val="00D87CFA"/>
    <w:rsid w:val="00D87F1F"/>
    <w:rsid w:val="00D90046"/>
    <w:rsid w:val="00D9038D"/>
    <w:rsid w:val="00D90898"/>
    <w:rsid w:val="00D90998"/>
    <w:rsid w:val="00D909BB"/>
    <w:rsid w:val="00D90CE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802"/>
    <w:rsid w:val="00DD1B11"/>
    <w:rsid w:val="00DD1B33"/>
    <w:rsid w:val="00DD1B59"/>
    <w:rsid w:val="00DD1CE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16D4"/>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4E30"/>
    <w:rsid w:val="00E15048"/>
    <w:rsid w:val="00E15606"/>
    <w:rsid w:val="00E15893"/>
    <w:rsid w:val="00E15ACE"/>
    <w:rsid w:val="00E15BA6"/>
    <w:rsid w:val="00E15C2B"/>
    <w:rsid w:val="00E15D59"/>
    <w:rsid w:val="00E15F9F"/>
    <w:rsid w:val="00E15FFB"/>
    <w:rsid w:val="00E1633F"/>
    <w:rsid w:val="00E16406"/>
    <w:rsid w:val="00E1687E"/>
    <w:rsid w:val="00E16BAF"/>
    <w:rsid w:val="00E1734B"/>
    <w:rsid w:val="00E17599"/>
    <w:rsid w:val="00E17711"/>
    <w:rsid w:val="00E17C22"/>
    <w:rsid w:val="00E17CD3"/>
    <w:rsid w:val="00E17D0F"/>
    <w:rsid w:val="00E20112"/>
    <w:rsid w:val="00E20504"/>
    <w:rsid w:val="00E20528"/>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8B7"/>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43D7"/>
    <w:rsid w:val="00E546E0"/>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6DD"/>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9F0"/>
    <w:rsid w:val="00E81B70"/>
    <w:rsid w:val="00E82322"/>
    <w:rsid w:val="00E82484"/>
    <w:rsid w:val="00E82556"/>
    <w:rsid w:val="00E82D19"/>
    <w:rsid w:val="00E830E2"/>
    <w:rsid w:val="00E832D1"/>
    <w:rsid w:val="00E836CF"/>
    <w:rsid w:val="00E83809"/>
    <w:rsid w:val="00E83A40"/>
    <w:rsid w:val="00E844D6"/>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F5"/>
    <w:rsid w:val="00E905D8"/>
    <w:rsid w:val="00E906F6"/>
    <w:rsid w:val="00E90724"/>
    <w:rsid w:val="00E90988"/>
    <w:rsid w:val="00E90A23"/>
    <w:rsid w:val="00E910F0"/>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6FD8"/>
    <w:rsid w:val="00E97045"/>
    <w:rsid w:val="00E973CF"/>
    <w:rsid w:val="00E976A8"/>
    <w:rsid w:val="00E97851"/>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2310"/>
    <w:rsid w:val="00EB2721"/>
    <w:rsid w:val="00EB2B78"/>
    <w:rsid w:val="00EB30BE"/>
    <w:rsid w:val="00EB30E8"/>
    <w:rsid w:val="00EB3404"/>
    <w:rsid w:val="00EB3599"/>
    <w:rsid w:val="00EB3934"/>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B2A"/>
    <w:rsid w:val="00EC5C49"/>
    <w:rsid w:val="00EC5E45"/>
    <w:rsid w:val="00EC5ED6"/>
    <w:rsid w:val="00EC608C"/>
    <w:rsid w:val="00EC61C2"/>
    <w:rsid w:val="00EC61FC"/>
    <w:rsid w:val="00EC62D2"/>
    <w:rsid w:val="00EC66E8"/>
    <w:rsid w:val="00EC69B8"/>
    <w:rsid w:val="00EC6A5C"/>
    <w:rsid w:val="00EC6DE5"/>
    <w:rsid w:val="00EC7E97"/>
    <w:rsid w:val="00ED0557"/>
    <w:rsid w:val="00ED0CF0"/>
    <w:rsid w:val="00ED0D6E"/>
    <w:rsid w:val="00ED0DA8"/>
    <w:rsid w:val="00ED10FA"/>
    <w:rsid w:val="00ED1407"/>
    <w:rsid w:val="00ED17CE"/>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E6C"/>
    <w:rsid w:val="00ED6315"/>
    <w:rsid w:val="00ED6342"/>
    <w:rsid w:val="00ED6A10"/>
    <w:rsid w:val="00ED747F"/>
    <w:rsid w:val="00ED74FB"/>
    <w:rsid w:val="00ED766C"/>
    <w:rsid w:val="00ED76FB"/>
    <w:rsid w:val="00ED7895"/>
    <w:rsid w:val="00ED78A3"/>
    <w:rsid w:val="00ED7C00"/>
    <w:rsid w:val="00EE05C2"/>
    <w:rsid w:val="00EE06A6"/>
    <w:rsid w:val="00EE0D01"/>
    <w:rsid w:val="00EE0EA6"/>
    <w:rsid w:val="00EE11DC"/>
    <w:rsid w:val="00EE124D"/>
    <w:rsid w:val="00EE14BD"/>
    <w:rsid w:val="00EE1B7B"/>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6B"/>
    <w:rsid w:val="00EE6DE6"/>
    <w:rsid w:val="00EE7904"/>
    <w:rsid w:val="00EE790F"/>
    <w:rsid w:val="00EE7BA5"/>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241"/>
    <w:rsid w:val="00F07571"/>
    <w:rsid w:val="00F076C5"/>
    <w:rsid w:val="00F07C50"/>
    <w:rsid w:val="00F07E96"/>
    <w:rsid w:val="00F10546"/>
    <w:rsid w:val="00F10B0A"/>
    <w:rsid w:val="00F11537"/>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B8"/>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900"/>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9B5"/>
    <w:rsid w:val="00F74BBB"/>
    <w:rsid w:val="00F759AD"/>
    <w:rsid w:val="00F75BDF"/>
    <w:rsid w:val="00F763C6"/>
    <w:rsid w:val="00F7642A"/>
    <w:rsid w:val="00F765E8"/>
    <w:rsid w:val="00F76851"/>
    <w:rsid w:val="00F769C0"/>
    <w:rsid w:val="00F76EE1"/>
    <w:rsid w:val="00F77084"/>
    <w:rsid w:val="00F772AD"/>
    <w:rsid w:val="00F7768D"/>
    <w:rsid w:val="00F77B00"/>
    <w:rsid w:val="00F77E2A"/>
    <w:rsid w:val="00F77F57"/>
    <w:rsid w:val="00F80A71"/>
    <w:rsid w:val="00F80E81"/>
    <w:rsid w:val="00F80F3C"/>
    <w:rsid w:val="00F8124E"/>
    <w:rsid w:val="00F81421"/>
    <w:rsid w:val="00F81526"/>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25"/>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DF7"/>
    <w:rsid w:val="00FB01CC"/>
    <w:rsid w:val="00FB02FB"/>
    <w:rsid w:val="00FB08F9"/>
    <w:rsid w:val="00FB1350"/>
    <w:rsid w:val="00FB16CA"/>
    <w:rsid w:val="00FB2203"/>
    <w:rsid w:val="00FB2578"/>
    <w:rsid w:val="00FB26BD"/>
    <w:rsid w:val="00FB2C23"/>
    <w:rsid w:val="00FB2DE1"/>
    <w:rsid w:val="00FB3325"/>
    <w:rsid w:val="00FB33FA"/>
    <w:rsid w:val="00FB35CC"/>
    <w:rsid w:val="00FB3866"/>
    <w:rsid w:val="00FB386A"/>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44D7"/>
    <w:rsid w:val="00FC47D6"/>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C7BE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D1D"/>
    <w:rsid w:val="00FD5F6C"/>
    <w:rsid w:val="00FD65AD"/>
    <w:rsid w:val="00FD6B34"/>
    <w:rsid w:val="00FD6C6D"/>
    <w:rsid w:val="00FD6C8C"/>
    <w:rsid w:val="00FD6DBB"/>
    <w:rsid w:val="00FD7529"/>
    <w:rsid w:val="00FD795C"/>
    <w:rsid w:val="00FD7A8D"/>
    <w:rsid w:val="00FE06A2"/>
    <w:rsid w:val="00FE0CE6"/>
    <w:rsid w:val="00FE0D6F"/>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07"/>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299&amp;colegiado=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288&amp;colegiado=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juris@tcu.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05&amp;numero=2172&amp;colegiado=P" TargetMode="External"/><Relationship Id="rId5" Type="http://schemas.openxmlformats.org/officeDocument/2006/relationships/webSettings" Target="webSettings.xml"/><Relationship Id="rId15" Type="http://schemas.openxmlformats.org/officeDocument/2006/relationships/hyperlink" Target="https://contas.tcu.gov.br/juris/SvlProxyHighlight?base=ACORDAO&amp;ano=2015&amp;numero=520&amp;colegiado=2" TargetMode="External"/><Relationship Id="rId10" Type="http://schemas.openxmlformats.org/officeDocument/2006/relationships/hyperlink" Target="https://contas.tcu.gov.br/juris/SvlProxyHighlight?base=ACORDAO&amp;ano=2005&amp;numero=2171&amp;colegiado=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288&amp;colegiado=P" TargetMode="External"/><Relationship Id="rId14" Type="http://schemas.openxmlformats.org/officeDocument/2006/relationships/hyperlink" Target="https://contas.tcu.gov.br/juris/SvlProxyHighlight?base=ACORDAO&amp;ano=2015&amp;numero=1153&amp;colegiado=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622BE-9ED5-49AD-B223-6610F8C9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2661</Words>
  <Characters>14370</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16998</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2014-11-17T17:22:00Z</cp:lastPrinted>
  <dcterms:created xsi:type="dcterms:W3CDTF">2015-05-07T13:28:00Z</dcterms:created>
  <dcterms:modified xsi:type="dcterms:W3CDTF">2015-05-07T13:28:00Z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