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3A0B0D" w:rsidRDefault="0066077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A0B0D">
        <w:rPr>
          <w:rFonts w:ascii="Times New Roman" w:hAnsi="Times New Roman"/>
          <w:b/>
          <w:i w:val="0"/>
          <w:sz w:val="22"/>
          <w:szCs w:val="22"/>
        </w:rPr>
        <w:t>Número 22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</w:p>
    <w:p w:rsidR="00C61626" w:rsidRPr="003A0B0D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A0B0D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21, 27 e 28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janeir</w:t>
      </w:r>
      <w:r w:rsidR="00445EF9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3A0B0D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175500" w:rsidRPr="003A0B0D" w:rsidRDefault="0008246E" w:rsidP="00DD1802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A0B0D">
        <w:rPr>
          <w:b/>
          <w:sz w:val="22"/>
          <w:szCs w:val="22"/>
          <w:lang w:eastAsia="pt-BR"/>
        </w:rPr>
        <w:t>Plenário</w:t>
      </w:r>
    </w:p>
    <w:p w:rsidR="003A0B0D" w:rsidRDefault="003A0B0D" w:rsidP="005D1B7F">
      <w:pPr>
        <w:pStyle w:val="Default"/>
        <w:spacing w:after="60"/>
        <w:jc w:val="both"/>
        <w:rPr>
          <w:sz w:val="22"/>
          <w:szCs w:val="22"/>
        </w:rPr>
      </w:pPr>
      <w:r w:rsidRPr="003A0B0D">
        <w:rPr>
          <w:sz w:val="22"/>
          <w:szCs w:val="22"/>
        </w:rPr>
        <w:t xml:space="preserve">1. </w:t>
      </w:r>
      <w:r w:rsidR="00545382" w:rsidRPr="00545382">
        <w:rPr>
          <w:sz w:val="22"/>
          <w:szCs w:val="22"/>
        </w:rPr>
        <w:t>As exigências da fase de habilitação técnica devem assegurar proporcionalidade entre o objeto do certame e a experiência exigida dos licitantes, sendo desarrazoado exigir comprovação de capacidade em quantitativos superiores aos do objeto da licitação.</w:t>
      </w:r>
    </w:p>
    <w:p w:rsidR="00E15D59" w:rsidRDefault="005D1B7F" w:rsidP="00DD1802">
      <w:pPr>
        <w:pStyle w:val="Default"/>
        <w:spacing w:after="60"/>
        <w:jc w:val="both"/>
        <w:rPr>
          <w:rFonts w:eastAsia="Times New Roman"/>
          <w:color w:val="auto"/>
          <w:sz w:val="22"/>
          <w:szCs w:val="22"/>
        </w:rPr>
      </w:pPr>
      <w:r w:rsidRPr="00E15D59">
        <w:rPr>
          <w:sz w:val="22"/>
          <w:szCs w:val="22"/>
        </w:rPr>
        <w:t>2.</w:t>
      </w:r>
      <w:r w:rsidRPr="00E15D59">
        <w:t xml:space="preserve"> </w:t>
      </w:r>
      <w:r w:rsidR="00E15D59" w:rsidRPr="00E15D59">
        <w:rPr>
          <w:rFonts w:eastAsia="Times New Roman"/>
          <w:color w:val="auto"/>
          <w:sz w:val="22"/>
          <w:szCs w:val="22"/>
        </w:rPr>
        <w:t>O fiscal do contrato tem o dever de conhecer os limites e as regras para alterações contratuais definidos na Lei de Licitações, e, por conseguinte, a obrigação de notificar seus superiores sobre a necessidade de realizar o devido aditivo contratual, evitando a atestação da execução de itens não previstos no ajuste, sob pena de ser-lhe aplicada a multa do art.</w:t>
      </w:r>
      <w:r w:rsidR="00E15D59" w:rsidRPr="00E15D59">
        <w:rPr>
          <w:sz w:val="22"/>
          <w:szCs w:val="22"/>
        </w:rPr>
        <w:t xml:space="preserve"> </w:t>
      </w:r>
      <w:r w:rsidR="00E15D59" w:rsidRPr="00E15D59">
        <w:rPr>
          <w:rFonts w:eastAsia="Times New Roman"/>
          <w:color w:val="auto"/>
          <w:sz w:val="22"/>
          <w:szCs w:val="22"/>
        </w:rPr>
        <w:t>58, inciso</w:t>
      </w:r>
      <w:r w:rsidR="00E15D59" w:rsidRPr="00E15D59">
        <w:rPr>
          <w:sz w:val="22"/>
          <w:szCs w:val="22"/>
        </w:rPr>
        <w:t xml:space="preserve"> </w:t>
      </w:r>
      <w:r w:rsidR="00E15D59" w:rsidRPr="00E15D59">
        <w:rPr>
          <w:rFonts w:eastAsia="Times New Roman"/>
          <w:color w:val="auto"/>
          <w:sz w:val="22"/>
          <w:szCs w:val="22"/>
        </w:rPr>
        <w:t>II, da Lei 8.443/92.</w:t>
      </w:r>
    </w:p>
    <w:p w:rsidR="00E15D59" w:rsidRPr="00E15D59" w:rsidRDefault="00E15D59" w:rsidP="00DD1802">
      <w:pPr>
        <w:pStyle w:val="Default"/>
        <w:spacing w:after="60"/>
        <w:jc w:val="both"/>
      </w:pPr>
    </w:p>
    <w:p w:rsidR="006B62B4" w:rsidRPr="003A0B0D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:rsidR="003A0B0D" w:rsidRPr="003A0B0D" w:rsidRDefault="003A0B0D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A0B0D" w:rsidRPr="000A2B36" w:rsidRDefault="003A0B0D" w:rsidP="00E15D59">
      <w:pPr>
        <w:autoSpaceDE w:val="0"/>
        <w:autoSpaceDN w:val="0"/>
        <w:spacing w:after="0"/>
        <w:ind w:left="0"/>
        <w:rPr>
          <w:b/>
          <w:sz w:val="22"/>
          <w:szCs w:val="22"/>
          <w:lang w:eastAsia="pt-BR"/>
        </w:rPr>
      </w:pPr>
      <w:r w:rsidRPr="000A2B36">
        <w:rPr>
          <w:b/>
          <w:sz w:val="22"/>
          <w:szCs w:val="22"/>
        </w:rPr>
        <w:t xml:space="preserve">1. </w:t>
      </w:r>
      <w:r w:rsidR="002B68D1" w:rsidRPr="000A2B36">
        <w:rPr>
          <w:b/>
          <w:sz w:val="22"/>
          <w:szCs w:val="22"/>
          <w:lang w:eastAsia="pt-BR"/>
        </w:rPr>
        <w:t xml:space="preserve">As exigências da fase de habilitação técnica devem assegurar proporcionalidade entre o objeto do certame e a experiência exigida dos licitantes, sendo desarrazoado </w:t>
      </w:r>
      <w:r w:rsidR="00545382" w:rsidRPr="000A2B36">
        <w:rPr>
          <w:b/>
          <w:sz w:val="22"/>
          <w:szCs w:val="22"/>
          <w:lang w:eastAsia="pt-BR"/>
        </w:rPr>
        <w:t>exigir</w:t>
      </w:r>
      <w:r w:rsidR="002B68D1" w:rsidRPr="000A2B36">
        <w:rPr>
          <w:b/>
          <w:sz w:val="22"/>
          <w:szCs w:val="22"/>
          <w:lang w:eastAsia="pt-BR"/>
        </w:rPr>
        <w:t xml:space="preserve"> comprovação de capacidade em quantitativos superiores aos do objeto da licitação</w:t>
      </w:r>
      <w:r w:rsidRPr="000A2B36">
        <w:rPr>
          <w:b/>
          <w:sz w:val="22"/>
          <w:szCs w:val="22"/>
          <w:lang w:eastAsia="pt-BR"/>
        </w:rPr>
        <w:t>.</w:t>
      </w:r>
    </w:p>
    <w:p w:rsidR="003A0B0D" w:rsidRPr="000A2B36" w:rsidRDefault="00E71765" w:rsidP="00E15D59">
      <w:pPr>
        <w:spacing w:after="0"/>
        <w:ind w:left="0"/>
        <w:rPr>
          <w:b/>
          <w:i/>
          <w:sz w:val="22"/>
          <w:szCs w:val="22"/>
        </w:rPr>
      </w:pPr>
      <w:r w:rsidRPr="000A2B36">
        <w:rPr>
          <w:rFonts w:eastAsia="Times New Roman"/>
          <w:sz w:val="22"/>
          <w:szCs w:val="22"/>
          <w:lang w:eastAsia="pt-BR"/>
        </w:rPr>
        <w:t xml:space="preserve">Representação formulada por sociedade empresária apontara possíveis irregularidades em pregão eletrônico </w:t>
      </w:r>
      <w:r w:rsidR="00545382" w:rsidRPr="000A2B36">
        <w:rPr>
          <w:rFonts w:eastAsia="Times New Roman"/>
          <w:sz w:val="22"/>
          <w:szCs w:val="22"/>
          <w:lang w:eastAsia="pt-BR"/>
        </w:rPr>
        <w:t xml:space="preserve">promovido </w:t>
      </w:r>
      <w:r w:rsidR="00545382" w:rsidRPr="000A2B36">
        <w:rPr>
          <w:rFonts w:eastAsia="Times New Roman"/>
          <w:bCs/>
          <w:sz w:val="22"/>
          <w:szCs w:val="22"/>
          <w:lang w:eastAsia="pt-BR"/>
        </w:rPr>
        <w:t>pela</w:t>
      </w:r>
      <w:r w:rsidRPr="000A2B36">
        <w:rPr>
          <w:rFonts w:eastAsia="Times New Roman"/>
          <w:bCs/>
          <w:sz w:val="22"/>
          <w:szCs w:val="22"/>
          <w:lang w:eastAsia="pt-BR"/>
        </w:rPr>
        <w:t xml:space="preserve"> Gerência Executiva do INSS em Duque de Caxias/RJ, destinado à contratação de serviços de manutenção predial, em especial</w:t>
      </w:r>
      <w:r w:rsidR="00D2440E" w:rsidRPr="000A2B36">
        <w:rPr>
          <w:rFonts w:eastAsia="Times New Roman"/>
          <w:bCs/>
          <w:sz w:val="22"/>
          <w:szCs w:val="22"/>
          <w:lang w:eastAsia="pt-BR"/>
        </w:rPr>
        <w:t xml:space="preserve"> quanto</w:t>
      </w:r>
      <w:r w:rsidRPr="000A2B36">
        <w:rPr>
          <w:rFonts w:eastAsia="Times New Roman"/>
          <w:bCs/>
          <w:sz w:val="22"/>
          <w:szCs w:val="22"/>
          <w:lang w:eastAsia="pt-BR"/>
        </w:rPr>
        <w:t xml:space="preserve"> </w:t>
      </w:r>
      <w:r w:rsidR="00D2440E" w:rsidRPr="000A2B36">
        <w:rPr>
          <w:rFonts w:eastAsia="Times New Roman"/>
          <w:bCs/>
          <w:sz w:val="22"/>
          <w:szCs w:val="22"/>
          <w:lang w:eastAsia="pt-BR"/>
        </w:rPr>
        <w:t>à</w:t>
      </w:r>
      <w:r w:rsidRPr="000A2B36">
        <w:rPr>
          <w:rFonts w:eastAsia="Times New Roman"/>
          <w:bCs/>
          <w:sz w:val="22"/>
          <w:szCs w:val="22"/>
          <w:lang w:eastAsia="pt-BR"/>
        </w:rPr>
        <w:t xml:space="preserve"> exigência</w:t>
      </w:r>
      <w:r w:rsidR="005C28B1" w:rsidRPr="000A2B36">
        <w:rPr>
          <w:rFonts w:eastAsia="Times New Roman"/>
          <w:bCs/>
          <w:sz w:val="22"/>
          <w:szCs w:val="22"/>
          <w:lang w:eastAsia="pt-BR"/>
        </w:rPr>
        <w:t xml:space="preserve"> de que </w:t>
      </w:r>
      <w:r w:rsidR="005C28B1" w:rsidRPr="000A2B36">
        <w:rPr>
          <w:color w:val="000000"/>
          <w:sz w:val="22"/>
          <w:szCs w:val="22"/>
        </w:rPr>
        <w:t>o licitante comprovasse, a título de habilitação técnica, ter executado contrato com no mínimo vinte postos de serviço, quando o objeto do contrato não ultrapassa dez postos.</w:t>
      </w:r>
      <w:r w:rsidR="006314EC" w:rsidRPr="000A2B36">
        <w:rPr>
          <w:color w:val="000000"/>
          <w:sz w:val="22"/>
          <w:szCs w:val="22"/>
        </w:rPr>
        <w:t xml:space="preserve"> Ao analisar a questão, a unidade técnica instrutiva</w:t>
      </w:r>
      <w:r w:rsidR="00940363" w:rsidRPr="000A2B36">
        <w:rPr>
          <w:color w:val="000000"/>
          <w:sz w:val="22"/>
          <w:szCs w:val="22"/>
        </w:rPr>
        <w:t xml:space="preserve"> transcreveu</w:t>
      </w:r>
      <w:r w:rsidR="006314EC" w:rsidRPr="000A2B36">
        <w:rPr>
          <w:color w:val="000000"/>
          <w:sz w:val="22"/>
          <w:szCs w:val="22"/>
        </w:rPr>
        <w:t xml:space="preserve"> a jurisprudência do TCU sobre o assunto:</w:t>
      </w:r>
      <w:r w:rsidR="00147C8B" w:rsidRPr="000A2B36">
        <w:rPr>
          <w:color w:val="000000"/>
          <w:sz w:val="22"/>
          <w:szCs w:val="22"/>
        </w:rPr>
        <w:t xml:space="preserve"> </w:t>
      </w:r>
      <w:r w:rsidR="00940363" w:rsidRPr="000A2B36">
        <w:rPr>
          <w:i/>
          <w:color w:val="000000"/>
          <w:sz w:val="22"/>
          <w:szCs w:val="22"/>
        </w:rPr>
        <w:t>“</w:t>
      </w:r>
      <w:r w:rsidR="006314EC" w:rsidRPr="000A2B36">
        <w:rPr>
          <w:i/>
          <w:sz w:val="22"/>
          <w:szCs w:val="22"/>
        </w:rPr>
        <w:t>É entendimento pacífico desta Corte de Contas que as exigências da fase de habilitação técnica devem guardar proporcionalidade com o objeto licitado, não podendo exceder os limites necessários à comprovação da capacidade do licitante a prestar ou fornecer, de forma efetiva,</w:t>
      </w:r>
      <w:r w:rsidR="00940363" w:rsidRPr="000A2B36">
        <w:rPr>
          <w:i/>
          <w:sz w:val="22"/>
          <w:szCs w:val="22"/>
        </w:rPr>
        <w:t xml:space="preserve"> o serviço ou bem desejado (...) </w:t>
      </w:r>
      <w:r w:rsidR="006314EC" w:rsidRPr="000A2B36">
        <w:rPr>
          <w:i/>
          <w:sz w:val="22"/>
          <w:szCs w:val="22"/>
        </w:rPr>
        <w:t>A matéria envolve o cotejo de dois preceitos inerentes às licitações públicas, ambos com sede constitucional: a comprovação da habilitação para contratar com a Administração e o princípio da competitividade. A Administração tem o dever de se proteger de interessados não capacitados a prestar o serviço ou realizar a obra objeto da licitação. Por isso, a Lei de Licitações e Contratos prevê a fase de habilitação, na qual os interessados devem comprovar os requisitos exigidos no edital. Nela, a Administração deve impedir a participação daqueles sem con</w:t>
      </w:r>
      <w:r w:rsidR="00940363" w:rsidRPr="000A2B36">
        <w:rPr>
          <w:i/>
          <w:sz w:val="22"/>
          <w:szCs w:val="22"/>
        </w:rPr>
        <w:t xml:space="preserve">dições de cumprir o objeto. </w:t>
      </w:r>
      <w:r w:rsidR="006314EC" w:rsidRPr="000A2B36">
        <w:rPr>
          <w:i/>
          <w:sz w:val="22"/>
          <w:szCs w:val="22"/>
        </w:rPr>
        <w:t xml:space="preserve">Por outro lado, a igualdade de condições nas licitações é princípio de estatura constitucional (art. 37, XXI, CF). Deste princípio geral decorre o da competitividade, previsto no mesmo dispositivo constitucional (somente serão permitidas 'as exigências de qualificação técnica e econômica indispensáveis à garantia do cumprimento das obrigações') e no § 1º, inc. I, art. 3º da Lei nº 8.666/93. Por isso, a competição não poderá ser restringida, sob pena de nulidade de todo o procedimento licitatório. Portanto, as exigências previstas na fase de habilitação não podem ser tais a ponto de impedir a participação daqueles que teoricamente estariam aptos a prestar o </w:t>
      </w:r>
      <w:r w:rsidR="00940363" w:rsidRPr="000A2B36">
        <w:rPr>
          <w:i/>
          <w:sz w:val="22"/>
          <w:szCs w:val="22"/>
        </w:rPr>
        <w:t>serviço ou executar a obra. (...)</w:t>
      </w:r>
      <w:r w:rsidR="006314EC" w:rsidRPr="000A2B36">
        <w:rPr>
          <w:i/>
          <w:sz w:val="22"/>
          <w:szCs w:val="22"/>
        </w:rPr>
        <w:t>"</w:t>
      </w:r>
      <w:r w:rsidR="006314EC" w:rsidRPr="000A2B36">
        <w:rPr>
          <w:sz w:val="22"/>
          <w:szCs w:val="22"/>
        </w:rPr>
        <w:t>. Concordando com a instrução,</w:t>
      </w:r>
      <w:r w:rsidR="00940363" w:rsidRPr="000A2B36">
        <w:rPr>
          <w:sz w:val="22"/>
          <w:szCs w:val="22"/>
        </w:rPr>
        <w:t xml:space="preserve"> </w:t>
      </w:r>
      <w:r w:rsidR="00147C8B" w:rsidRPr="000A2B36">
        <w:rPr>
          <w:color w:val="000000"/>
          <w:sz w:val="22"/>
          <w:szCs w:val="22"/>
        </w:rPr>
        <w:t xml:space="preserve">considerou o relator </w:t>
      </w:r>
      <w:r w:rsidR="00147C8B" w:rsidRPr="000A2B36">
        <w:rPr>
          <w:i/>
          <w:color w:val="000000"/>
          <w:sz w:val="22"/>
          <w:szCs w:val="22"/>
        </w:rPr>
        <w:t xml:space="preserve">“procedente a alegação da representante, pois não houve proporcionalidade entre o objeto do certame e a quantidade de experiência </w:t>
      </w:r>
      <w:r w:rsidR="00147C8B" w:rsidRPr="000A2B36">
        <w:rPr>
          <w:i/>
          <w:color w:val="000000"/>
          <w:sz w:val="22"/>
          <w:szCs w:val="22"/>
        </w:rPr>
        <w:lastRenderedPageBreak/>
        <w:t>exigida aos licitantes”</w:t>
      </w:r>
      <w:r w:rsidR="00147C8B" w:rsidRPr="000A2B36">
        <w:rPr>
          <w:color w:val="000000"/>
          <w:sz w:val="22"/>
          <w:szCs w:val="22"/>
        </w:rPr>
        <w:t xml:space="preserve">. </w:t>
      </w:r>
      <w:r w:rsidR="006314EC" w:rsidRPr="000A2B36">
        <w:rPr>
          <w:color w:val="000000"/>
          <w:sz w:val="22"/>
          <w:szCs w:val="22"/>
        </w:rPr>
        <w:t xml:space="preserve">Contudo, uma vez que a irregularidade não acarretara prejuízo a competitividade do certame e considerando o baixo risco inerente a esse elemento, preferiu o relator apenas cientificar a unidade sobre o ocorrido. </w:t>
      </w:r>
      <w:r w:rsidR="00147C8B" w:rsidRPr="000A2B36">
        <w:rPr>
          <w:color w:val="000000"/>
          <w:sz w:val="22"/>
          <w:szCs w:val="22"/>
        </w:rPr>
        <w:t>Nesse sentido, acolheu o Plenário a proposta do relator, julgando parcialm</w:t>
      </w:r>
      <w:r w:rsidR="00D2440E" w:rsidRPr="000A2B36">
        <w:rPr>
          <w:color w:val="000000"/>
          <w:sz w:val="22"/>
          <w:szCs w:val="22"/>
        </w:rPr>
        <w:t>e</w:t>
      </w:r>
      <w:r w:rsidR="00140DD7" w:rsidRPr="000A2B36">
        <w:rPr>
          <w:color w:val="000000"/>
          <w:sz w:val="22"/>
          <w:szCs w:val="22"/>
        </w:rPr>
        <w:t>nte procedente a R</w:t>
      </w:r>
      <w:r w:rsidR="00D2440E" w:rsidRPr="000A2B36">
        <w:rPr>
          <w:color w:val="000000"/>
          <w:sz w:val="22"/>
          <w:szCs w:val="22"/>
        </w:rPr>
        <w:t>epresentação, mas</w:t>
      </w:r>
      <w:r w:rsidR="00147C8B" w:rsidRPr="000A2B36">
        <w:rPr>
          <w:color w:val="000000"/>
          <w:sz w:val="22"/>
          <w:szCs w:val="22"/>
        </w:rPr>
        <w:t xml:space="preserve"> indeferindo o requerimento de suspensão cautelar</w:t>
      </w:r>
      <w:r w:rsidR="00D2440E" w:rsidRPr="000A2B36">
        <w:rPr>
          <w:color w:val="000000"/>
          <w:sz w:val="22"/>
          <w:szCs w:val="22"/>
        </w:rPr>
        <w:t>.</w:t>
      </w:r>
      <w:r w:rsidR="00147C8B" w:rsidRPr="000A2B36">
        <w:rPr>
          <w:color w:val="000000"/>
          <w:sz w:val="22"/>
          <w:szCs w:val="22"/>
        </w:rPr>
        <w:t xml:space="preserve"> </w:t>
      </w:r>
      <w:hyperlink r:id="rId9" w:history="1">
        <w:r w:rsidR="00D2440E" w:rsidRPr="000A2B36">
          <w:rPr>
            <w:b/>
            <w:i/>
            <w:color w:val="0000FF"/>
            <w:sz w:val="22"/>
            <w:szCs w:val="22"/>
            <w:shd w:val="clear" w:color="auto" w:fill="FFFFFF"/>
          </w:rPr>
          <w:t>Acórdão 93/2015-Plenário</w:t>
        </w:r>
      </w:hyperlink>
      <w:r w:rsidR="00156C77" w:rsidRPr="000A2B36">
        <w:rPr>
          <w:rFonts w:eastAsia="Times New Roman"/>
          <w:b/>
          <w:bCs/>
          <w:i/>
          <w:sz w:val="22"/>
          <w:szCs w:val="22"/>
          <w:lang w:eastAsia="pt-BR"/>
        </w:rPr>
        <w:t>, TC 032.357/2014-1, relator Ministro Augusto Nardes, 28.1.2015.</w:t>
      </w:r>
    </w:p>
    <w:p w:rsidR="003A0B0D" w:rsidRPr="000A2B36" w:rsidRDefault="003A0B0D" w:rsidP="00E15D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E15D59" w:rsidRPr="000A2B36" w:rsidRDefault="00C60A63" w:rsidP="00E15D59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  <w:r w:rsidRPr="000A2B36">
        <w:rPr>
          <w:b/>
          <w:sz w:val="22"/>
          <w:szCs w:val="22"/>
        </w:rPr>
        <w:t>2.</w:t>
      </w:r>
      <w:r w:rsidR="00C75D4B" w:rsidRPr="000A2B36">
        <w:rPr>
          <w:b/>
          <w:sz w:val="22"/>
          <w:szCs w:val="22"/>
        </w:rPr>
        <w:t xml:space="preserve"> </w:t>
      </w:r>
      <w:r w:rsidR="00E15D59" w:rsidRPr="000A2B36">
        <w:rPr>
          <w:b/>
          <w:sz w:val="22"/>
          <w:szCs w:val="22"/>
        </w:rPr>
        <w:t>O fiscal do contrato tem o dever de conhecer os limites e as regras para alterações contratuais definidos na Lei de Licitações, e, por conseguinte, a obrigação de notificar seus superiores sobre a necessidade de realizar o devido aditivo contratual, evitando a atestação da execução de itens não previstos no ajuste, sob pena de ser-lhe aplicada a multa do art. 58, inciso II, da Lei 8.443/92.</w:t>
      </w:r>
    </w:p>
    <w:p w:rsidR="00506F6D" w:rsidRPr="000A2B36" w:rsidRDefault="00C60A63" w:rsidP="00E15D59">
      <w:pPr>
        <w:pStyle w:val="enter-3pt"/>
        <w:tabs>
          <w:tab w:val="left" w:pos="2590"/>
        </w:tabs>
        <w:spacing w:line="240" w:lineRule="auto"/>
        <w:rPr>
          <w:sz w:val="22"/>
          <w:szCs w:val="22"/>
        </w:rPr>
      </w:pPr>
      <w:r w:rsidRPr="000A2B36">
        <w:rPr>
          <w:sz w:val="22"/>
          <w:szCs w:val="22"/>
        </w:rPr>
        <w:t xml:space="preserve">Em </w:t>
      </w:r>
      <w:bookmarkStart w:id="1" w:name="Hit1"/>
      <w:r w:rsidRPr="000A2B36">
        <w:rPr>
          <w:sz w:val="22"/>
          <w:szCs w:val="22"/>
        </w:rPr>
        <w:t>Auditoria</w:t>
      </w:r>
      <w:bookmarkEnd w:id="1"/>
      <w:r w:rsidRPr="000A2B36">
        <w:rPr>
          <w:sz w:val="22"/>
          <w:szCs w:val="22"/>
        </w:rPr>
        <w:t xml:space="preserve"> realizada nas obras de construção da Residência para Idosos e reforma da Casa de Transição</w:t>
      </w:r>
      <w:r w:rsidR="001627B2" w:rsidRPr="000A2B36">
        <w:rPr>
          <w:sz w:val="22"/>
          <w:szCs w:val="22"/>
        </w:rPr>
        <w:t>, em</w:t>
      </w:r>
      <w:r w:rsidRPr="000A2B36">
        <w:rPr>
          <w:sz w:val="22"/>
          <w:szCs w:val="22"/>
        </w:rPr>
        <w:t xml:space="preserve"> Niterói</w:t>
      </w:r>
      <w:r w:rsidR="001627B2" w:rsidRPr="000A2B36">
        <w:rPr>
          <w:sz w:val="22"/>
          <w:szCs w:val="22"/>
        </w:rPr>
        <w:t xml:space="preserve"> (</w:t>
      </w:r>
      <w:r w:rsidRPr="000A2B36">
        <w:rPr>
          <w:sz w:val="22"/>
          <w:szCs w:val="22"/>
        </w:rPr>
        <w:t>RJ</w:t>
      </w:r>
      <w:r w:rsidR="001627B2" w:rsidRPr="000A2B36">
        <w:rPr>
          <w:sz w:val="22"/>
          <w:szCs w:val="22"/>
        </w:rPr>
        <w:t>)</w:t>
      </w:r>
      <w:r w:rsidRPr="000A2B36">
        <w:rPr>
          <w:sz w:val="22"/>
          <w:szCs w:val="22"/>
        </w:rPr>
        <w:t>, custeadas</w:t>
      </w:r>
      <w:r w:rsidR="007750D9" w:rsidRPr="000A2B36">
        <w:rPr>
          <w:sz w:val="22"/>
          <w:szCs w:val="22"/>
        </w:rPr>
        <w:t xml:space="preserve"> mediante contrato de repasse</w:t>
      </w:r>
      <w:r w:rsidRPr="000A2B36">
        <w:rPr>
          <w:sz w:val="22"/>
          <w:szCs w:val="22"/>
        </w:rPr>
        <w:t xml:space="preserve"> com recursos do Departamento Penitenciário Nacional </w:t>
      </w:r>
      <w:r w:rsidR="004A4692" w:rsidRPr="000A2B36">
        <w:rPr>
          <w:sz w:val="22"/>
          <w:szCs w:val="22"/>
        </w:rPr>
        <w:t>(</w:t>
      </w:r>
      <w:r w:rsidRPr="000A2B36">
        <w:rPr>
          <w:sz w:val="22"/>
          <w:szCs w:val="22"/>
        </w:rPr>
        <w:t>Depen</w:t>
      </w:r>
      <w:r w:rsidR="004A4692" w:rsidRPr="000A2B36">
        <w:rPr>
          <w:sz w:val="22"/>
          <w:szCs w:val="22"/>
        </w:rPr>
        <w:t>)</w:t>
      </w:r>
      <w:r w:rsidR="007750D9" w:rsidRPr="000A2B36">
        <w:rPr>
          <w:sz w:val="22"/>
          <w:szCs w:val="22"/>
        </w:rPr>
        <w:t>,</w:t>
      </w:r>
      <w:r w:rsidR="001627B2" w:rsidRPr="000A2B36">
        <w:rPr>
          <w:sz w:val="22"/>
          <w:szCs w:val="22"/>
        </w:rPr>
        <w:t xml:space="preserve"> </w:t>
      </w:r>
      <w:r w:rsidR="007750D9" w:rsidRPr="000A2B36">
        <w:rPr>
          <w:sz w:val="22"/>
          <w:szCs w:val="22"/>
        </w:rPr>
        <w:t>fo</w:t>
      </w:r>
      <w:r w:rsidR="001627B2" w:rsidRPr="000A2B36">
        <w:rPr>
          <w:sz w:val="22"/>
          <w:szCs w:val="22"/>
        </w:rPr>
        <w:t>r</w:t>
      </w:r>
      <w:r w:rsidRPr="000A2B36">
        <w:rPr>
          <w:sz w:val="22"/>
          <w:szCs w:val="22"/>
        </w:rPr>
        <w:t>a</w:t>
      </w:r>
      <w:r w:rsidR="0039500E" w:rsidRPr="000A2B36">
        <w:rPr>
          <w:sz w:val="22"/>
          <w:szCs w:val="22"/>
        </w:rPr>
        <w:t>m</w:t>
      </w:r>
      <w:r w:rsidRPr="000A2B36">
        <w:rPr>
          <w:sz w:val="22"/>
          <w:szCs w:val="22"/>
        </w:rPr>
        <w:t xml:space="preserve"> apontado</w:t>
      </w:r>
      <w:r w:rsidR="0039500E" w:rsidRPr="000A2B36">
        <w:rPr>
          <w:sz w:val="22"/>
          <w:szCs w:val="22"/>
        </w:rPr>
        <w:t xml:space="preserve">s indícios de irregularidades na conduta do fiscal do contrato </w:t>
      </w:r>
      <w:r w:rsidR="00856E10" w:rsidRPr="000A2B36">
        <w:rPr>
          <w:sz w:val="22"/>
          <w:szCs w:val="22"/>
        </w:rPr>
        <w:t>destinado à execução das obras. Realizada a audiência do responsável, o relator considerou não elidida a irregularidade relativa ao “</w:t>
      </w:r>
      <w:r w:rsidR="00856E10" w:rsidRPr="000A2B36">
        <w:rPr>
          <w:i/>
          <w:sz w:val="22"/>
          <w:szCs w:val="22"/>
        </w:rPr>
        <w:t xml:space="preserve">pagamento por serviços não previstos no Contrato </w:t>
      </w:r>
      <w:r w:rsidR="004A4692" w:rsidRPr="000A2B36">
        <w:rPr>
          <w:i/>
          <w:sz w:val="22"/>
          <w:szCs w:val="22"/>
        </w:rPr>
        <w:t>(</w:t>
      </w:r>
      <w:r w:rsidR="00856E10" w:rsidRPr="000A2B36">
        <w:rPr>
          <w:i/>
          <w:sz w:val="22"/>
          <w:szCs w:val="22"/>
        </w:rPr>
        <w:t>...</w:t>
      </w:r>
      <w:r w:rsidR="004A4692" w:rsidRPr="000A2B36">
        <w:rPr>
          <w:i/>
          <w:sz w:val="22"/>
          <w:szCs w:val="22"/>
        </w:rPr>
        <w:t>)</w:t>
      </w:r>
      <w:r w:rsidR="00856E10" w:rsidRPr="000A2B36">
        <w:rPr>
          <w:i/>
          <w:sz w:val="22"/>
          <w:szCs w:val="22"/>
        </w:rPr>
        <w:t xml:space="preserve"> sem o necessário aditivo contratual, em dissonância com o disposto no art. 60 da Lei 8.666/1993</w:t>
      </w:r>
      <w:r w:rsidR="00856E10" w:rsidRPr="000A2B36">
        <w:rPr>
          <w:sz w:val="22"/>
          <w:szCs w:val="22"/>
        </w:rPr>
        <w:t xml:space="preserve">”. Para o relator, </w:t>
      </w:r>
      <w:r w:rsidR="00DB4B21" w:rsidRPr="000A2B36">
        <w:rPr>
          <w:sz w:val="22"/>
          <w:szCs w:val="22"/>
        </w:rPr>
        <w:t xml:space="preserve">embora </w:t>
      </w:r>
      <w:r w:rsidR="007750D9" w:rsidRPr="000A2B36">
        <w:rPr>
          <w:sz w:val="22"/>
          <w:szCs w:val="22"/>
        </w:rPr>
        <w:t>a</w:t>
      </w:r>
      <w:r w:rsidR="004A4692" w:rsidRPr="000A2B36">
        <w:rPr>
          <w:sz w:val="22"/>
          <w:szCs w:val="22"/>
        </w:rPr>
        <w:t xml:space="preserve"> falha seja</w:t>
      </w:r>
      <w:r w:rsidR="001D3A4D" w:rsidRPr="000A2B36">
        <w:rPr>
          <w:sz w:val="22"/>
          <w:szCs w:val="22"/>
        </w:rPr>
        <w:t xml:space="preserve"> observada</w:t>
      </w:r>
      <w:r w:rsidR="00DB4B21" w:rsidRPr="000A2B36">
        <w:rPr>
          <w:sz w:val="22"/>
          <w:szCs w:val="22"/>
        </w:rPr>
        <w:t xml:space="preserve"> frequente</w:t>
      </w:r>
      <w:r w:rsidR="001D3A4D" w:rsidRPr="000A2B36">
        <w:rPr>
          <w:sz w:val="22"/>
          <w:szCs w:val="22"/>
        </w:rPr>
        <w:t>mente</w:t>
      </w:r>
      <w:r w:rsidR="00DB4B21" w:rsidRPr="000A2B36">
        <w:rPr>
          <w:sz w:val="22"/>
          <w:szCs w:val="22"/>
        </w:rPr>
        <w:t xml:space="preserve"> na execução dos contratos de repasse relacionados a obras em estabelecimentos penitenciários, “</w:t>
      </w:r>
      <w:r w:rsidR="00DB4B21" w:rsidRPr="000A2B36">
        <w:rPr>
          <w:i/>
          <w:sz w:val="22"/>
          <w:szCs w:val="22"/>
        </w:rPr>
        <w:t>o caso em tela denota uma alteração de objeto tão expressiva em relação ao que foi licitado, que não poderia ter sido admitida pelo fiscal do contrato</w:t>
      </w:r>
      <w:r w:rsidR="00DB4B21" w:rsidRPr="000A2B36">
        <w:rPr>
          <w:sz w:val="22"/>
          <w:szCs w:val="22"/>
        </w:rPr>
        <w:t>”.</w:t>
      </w:r>
      <w:r w:rsidR="00AC6864" w:rsidRPr="000A2B36">
        <w:rPr>
          <w:sz w:val="22"/>
          <w:szCs w:val="22"/>
        </w:rPr>
        <w:t xml:space="preserve"> Acrescentou que</w:t>
      </w:r>
      <w:r w:rsidR="001D3A4D" w:rsidRPr="000A2B36">
        <w:rPr>
          <w:sz w:val="22"/>
          <w:szCs w:val="22"/>
        </w:rPr>
        <w:t>, no caso em exame,</w:t>
      </w:r>
      <w:r w:rsidR="00AC6864" w:rsidRPr="000A2B36">
        <w:rPr>
          <w:sz w:val="22"/>
          <w:szCs w:val="22"/>
        </w:rPr>
        <w:t xml:space="preserve"> 61,3% do valor total acumulado </w:t>
      </w:r>
      <w:r w:rsidR="007750D9" w:rsidRPr="000A2B36">
        <w:rPr>
          <w:sz w:val="22"/>
          <w:szCs w:val="22"/>
        </w:rPr>
        <w:t xml:space="preserve">dos </w:t>
      </w:r>
      <w:r w:rsidR="00AC6864" w:rsidRPr="000A2B36">
        <w:rPr>
          <w:sz w:val="22"/>
          <w:szCs w:val="22"/>
        </w:rPr>
        <w:t>boletins de medição</w:t>
      </w:r>
      <w:r w:rsidR="007750D9" w:rsidRPr="000A2B36">
        <w:rPr>
          <w:sz w:val="22"/>
          <w:szCs w:val="22"/>
        </w:rPr>
        <w:t xml:space="preserve"> </w:t>
      </w:r>
      <w:r w:rsidR="00AC6864" w:rsidRPr="000A2B36">
        <w:rPr>
          <w:sz w:val="22"/>
          <w:szCs w:val="22"/>
        </w:rPr>
        <w:t>equivaleram a itens não previstos no contrato, sendo evidente a responsabilidade do fiscal, o qual teria atestado os boletins sem autorização superior para a execução dos novos itens.</w:t>
      </w:r>
      <w:r w:rsidR="008D61F8" w:rsidRPr="000A2B36">
        <w:rPr>
          <w:sz w:val="22"/>
          <w:szCs w:val="22"/>
        </w:rPr>
        <w:t xml:space="preserve"> Ademais, “</w:t>
      </w:r>
      <w:r w:rsidR="008D61F8" w:rsidRPr="000A2B36">
        <w:rPr>
          <w:i/>
          <w:sz w:val="22"/>
          <w:szCs w:val="22"/>
        </w:rPr>
        <w:t>a inclusão desses itens deu-se por meio de uma espécie de re-ratificação do contrato feita diretamente nos boletins de medição, sem a formalização do necessário termo aditivo</w:t>
      </w:r>
      <w:r w:rsidR="008D61F8" w:rsidRPr="000A2B36">
        <w:rPr>
          <w:sz w:val="22"/>
          <w:szCs w:val="22"/>
        </w:rPr>
        <w:t>”.</w:t>
      </w:r>
      <w:r w:rsidR="00AC6864" w:rsidRPr="000A2B36">
        <w:rPr>
          <w:sz w:val="22"/>
          <w:szCs w:val="22"/>
        </w:rPr>
        <w:t xml:space="preserve"> </w:t>
      </w:r>
      <w:r w:rsidR="00756FA2" w:rsidRPr="000A2B36">
        <w:rPr>
          <w:sz w:val="22"/>
          <w:szCs w:val="22"/>
        </w:rPr>
        <w:t>Nesse sentido, destacou o relator que “</w:t>
      </w:r>
      <w:r w:rsidR="00756FA2" w:rsidRPr="000A2B36">
        <w:rPr>
          <w:i/>
          <w:sz w:val="22"/>
          <w:szCs w:val="22"/>
        </w:rPr>
        <w:t>o senso de diligência exigível a um engenheiro fiscal de contrato, aqui considerado sob o conceito de homo medius, impor-lhe-ia o dever de conhecimento dos limites e regras para alterações contratuais definidos no Estatuto de Licitações, e, por conseguinte, a obrigação de notificar seus superiores sobre a necessidade de realizar o necessário aditivo contratual, em respeito à exigência estabelecida no caput do art. 60 da Lei 8.666/93</w:t>
      </w:r>
      <w:r w:rsidR="00756FA2" w:rsidRPr="000A2B36">
        <w:rPr>
          <w:sz w:val="22"/>
          <w:szCs w:val="22"/>
        </w:rPr>
        <w:t xml:space="preserve">”. </w:t>
      </w:r>
      <w:r w:rsidR="00992F2E" w:rsidRPr="000A2B36">
        <w:rPr>
          <w:sz w:val="22"/>
          <w:szCs w:val="22"/>
        </w:rPr>
        <w:t>Ainda s</w:t>
      </w:r>
      <w:r w:rsidR="007750D9" w:rsidRPr="000A2B36">
        <w:rPr>
          <w:sz w:val="22"/>
          <w:szCs w:val="22"/>
        </w:rPr>
        <w:t>obre</w:t>
      </w:r>
      <w:r w:rsidR="0030493A" w:rsidRPr="000A2B36">
        <w:rPr>
          <w:sz w:val="22"/>
          <w:szCs w:val="22"/>
        </w:rPr>
        <w:t xml:space="preserve"> a conduta do fiscal, ressaltou </w:t>
      </w:r>
      <w:r w:rsidR="007750D9" w:rsidRPr="000A2B36">
        <w:rPr>
          <w:sz w:val="22"/>
          <w:szCs w:val="22"/>
        </w:rPr>
        <w:t>que a</w:t>
      </w:r>
      <w:r w:rsidR="0030493A" w:rsidRPr="000A2B36">
        <w:rPr>
          <w:sz w:val="22"/>
          <w:szCs w:val="22"/>
        </w:rPr>
        <w:t xml:space="preserve"> gravidade </w:t>
      </w:r>
      <w:r w:rsidR="004E0C6F" w:rsidRPr="000A2B36">
        <w:rPr>
          <w:sz w:val="22"/>
          <w:szCs w:val="22"/>
        </w:rPr>
        <w:t>d</w:t>
      </w:r>
      <w:r w:rsidR="0030493A" w:rsidRPr="000A2B36">
        <w:rPr>
          <w:sz w:val="22"/>
          <w:szCs w:val="22"/>
        </w:rPr>
        <w:t>o procedimento adotado,</w:t>
      </w:r>
      <w:r w:rsidR="007750D9" w:rsidRPr="000A2B36">
        <w:rPr>
          <w:sz w:val="22"/>
          <w:szCs w:val="22"/>
        </w:rPr>
        <w:t xml:space="preserve"> </w:t>
      </w:r>
      <w:r w:rsidR="003D3A71" w:rsidRPr="000A2B36">
        <w:rPr>
          <w:sz w:val="22"/>
          <w:szCs w:val="22"/>
        </w:rPr>
        <w:t>de apenas anotar a alteração diret</w:t>
      </w:r>
      <w:r w:rsidR="002E1BC6" w:rsidRPr="000A2B36">
        <w:rPr>
          <w:sz w:val="22"/>
          <w:szCs w:val="22"/>
        </w:rPr>
        <w:t>amente nos boletins de medição,</w:t>
      </w:r>
      <w:r w:rsidR="003D3A71" w:rsidRPr="000A2B36">
        <w:rPr>
          <w:i/>
          <w:sz w:val="22"/>
          <w:szCs w:val="22"/>
        </w:rPr>
        <w:t xml:space="preserve"> </w:t>
      </w:r>
      <w:r w:rsidR="002E1BC6" w:rsidRPr="000A2B36">
        <w:rPr>
          <w:i/>
          <w:sz w:val="22"/>
          <w:szCs w:val="22"/>
        </w:rPr>
        <w:t>“</w:t>
      </w:r>
      <w:r w:rsidR="003D3A71" w:rsidRPr="000A2B36">
        <w:rPr>
          <w:i/>
          <w:sz w:val="22"/>
          <w:szCs w:val="22"/>
        </w:rPr>
        <w:t>foi ampliada em virtude da elevada proporção das modificações em relação ao total das medições (mais de 60%)</w:t>
      </w:r>
      <w:r w:rsidR="003D3A71" w:rsidRPr="000A2B36">
        <w:rPr>
          <w:sz w:val="22"/>
          <w:szCs w:val="22"/>
        </w:rPr>
        <w:t>”. Por fim, reforçou que o art. 67 da Lei 8.666/93 impõe ao fiscal do contrato “</w:t>
      </w:r>
      <w:r w:rsidR="003D3A71" w:rsidRPr="000A2B36">
        <w:rPr>
          <w:i/>
          <w:sz w:val="22"/>
          <w:szCs w:val="22"/>
        </w:rPr>
        <w:t>o dever de notificar seus superiores sobre eventuais ocorrências que e</w:t>
      </w:r>
      <w:r w:rsidR="004A4692" w:rsidRPr="000A2B36">
        <w:rPr>
          <w:i/>
          <w:sz w:val="22"/>
          <w:szCs w:val="22"/>
        </w:rPr>
        <w:t>xtrapolem sua alçada decisória</w:t>
      </w:r>
      <w:r w:rsidR="003D3A71" w:rsidRPr="000A2B36">
        <w:rPr>
          <w:sz w:val="22"/>
          <w:szCs w:val="22"/>
        </w:rPr>
        <w:t xml:space="preserve">”. </w:t>
      </w:r>
      <w:r w:rsidR="001D3A4D" w:rsidRPr="000A2B36">
        <w:rPr>
          <w:sz w:val="22"/>
          <w:szCs w:val="22"/>
        </w:rPr>
        <w:t>Diante do exposto pelo relator, o Tribunal decidiu, no ponto, rejeitar as justificativas apresentadas pelo responsável, aplicando-lh</w:t>
      </w:r>
      <w:r w:rsidR="004A4692" w:rsidRPr="000A2B36">
        <w:rPr>
          <w:sz w:val="22"/>
          <w:szCs w:val="22"/>
        </w:rPr>
        <w:t>e a multa prevista no inciso II do art. 58 da Lei 8.443/</w:t>
      </w:r>
      <w:r w:rsidR="001D3A4D" w:rsidRPr="000A2B36">
        <w:rPr>
          <w:sz w:val="22"/>
          <w:szCs w:val="22"/>
        </w:rPr>
        <w:t xml:space="preserve">92. </w:t>
      </w:r>
      <w:hyperlink r:id="rId10" w:history="1">
        <w:r w:rsidR="00506F6D" w:rsidRPr="000A2B36">
          <w:rPr>
            <w:rStyle w:val="Hyperlink"/>
            <w:b/>
            <w:bCs/>
            <w:i/>
            <w:sz w:val="22"/>
            <w:szCs w:val="22"/>
          </w:rPr>
          <w:t>Acórdão 43/2015-Plenário</w:t>
        </w:r>
      </w:hyperlink>
      <w:r w:rsidR="00506F6D" w:rsidRPr="000A2B36">
        <w:rPr>
          <w:b/>
          <w:bCs/>
          <w:i/>
          <w:sz w:val="22"/>
          <w:szCs w:val="22"/>
        </w:rPr>
        <w:t>, TC 017.261/2011-2, relator Ministro Raimundo Carreiro, 21.1.2015.</w:t>
      </w:r>
    </w:p>
    <w:p w:rsidR="008D61F8" w:rsidRPr="003D3A71" w:rsidRDefault="008D61F8" w:rsidP="00DD1802">
      <w:pPr>
        <w:autoSpaceDE w:val="0"/>
        <w:autoSpaceDN w:val="0"/>
        <w:adjustRightInd w:val="0"/>
        <w:spacing w:after="0"/>
        <w:ind w:left="0"/>
        <w:rPr>
          <w:rFonts w:eastAsia="Times New Roman"/>
          <w:sz w:val="22"/>
          <w:szCs w:val="22"/>
          <w:lang w:eastAsia="pt-BR"/>
        </w:rPr>
      </w:pPr>
    </w:p>
    <w:p w:rsidR="008D61F8" w:rsidRPr="003D3A71" w:rsidRDefault="008D61F8" w:rsidP="00DD1802">
      <w:pPr>
        <w:autoSpaceDE w:val="0"/>
        <w:autoSpaceDN w:val="0"/>
        <w:adjustRightInd w:val="0"/>
        <w:spacing w:after="0"/>
        <w:ind w:left="0"/>
        <w:rPr>
          <w:rFonts w:eastAsia="Times New Roman"/>
          <w:sz w:val="22"/>
          <w:szCs w:val="22"/>
          <w:lang w:eastAsia="pt-BR"/>
        </w:rPr>
      </w:pPr>
    </w:p>
    <w:p w:rsidR="008D61F8" w:rsidRDefault="008D61F8" w:rsidP="00DD1802">
      <w:pPr>
        <w:autoSpaceDE w:val="0"/>
        <w:autoSpaceDN w:val="0"/>
        <w:adjustRightInd w:val="0"/>
        <w:spacing w:after="0"/>
        <w:ind w:left="0"/>
        <w:rPr>
          <w:rFonts w:eastAsia="Times New Roman"/>
          <w:sz w:val="22"/>
          <w:szCs w:val="22"/>
          <w:lang w:eastAsia="pt-BR"/>
        </w:rPr>
      </w:pPr>
    </w:p>
    <w:p w:rsidR="00A35AAC" w:rsidRPr="00C60A63" w:rsidRDefault="00A35AAC" w:rsidP="00036449">
      <w:pPr>
        <w:spacing w:after="0"/>
        <w:ind w:left="0"/>
        <w:rPr>
          <w:rFonts w:eastAsia="Times New Roman"/>
          <w:sz w:val="22"/>
          <w:szCs w:val="22"/>
          <w:lang w:eastAsia="pt-BR"/>
        </w:rPr>
      </w:pPr>
    </w:p>
    <w:p w:rsidR="00A35AAC" w:rsidRPr="00D02292" w:rsidRDefault="00A35AAC" w:rsidP="00036449">
      <w:pPr>
        <w:spacing w:after="0"/>
        <w:ind w:left="0"/>
        <w:rPr>
          <w:b/>
          <w:i/>
          <w:sz w:val="22"/>
          <w:szCs w:val="22"/>
        </w:rPr>
      </w:pPr>
    </w:p>
    <w:p w:rsidR="00A35AAC" w:rsidRDefault="00A35AAC" w:rsidP="00036449">
      <w:pPr>
        <w:spacing w:after="0"/>
        <w:ind w:left="0"/>
        <w:rPr>
          <w:b/>
          <w:i/>
          <w:sz w:val="22"/>
          <w:szCs w:val="22"/>
        </w:rPr>
      </w:pPr>
    </w:p>
    <w:p w:rsidR="00A35AAC" w:rsidRPr="00877D54" w:rsidRDefault="00A35AAC" w:rsidP="00036449">
      <w:pPr>
        <w:spacing w:after="0"/>
        <w:ind w:left="0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2B7A02" w:rsidRPr="00827830" w:rsidRDefault="002B7A02" w:rsidP="00784888">
      <w:pPr>
        <w:ind w:left="0"/>
        <w:rPr>
          <w:sz w:val="22"/>
          <w:szCs w:val="22"/>
        </w:rPr>
      </w:pPr>
    </w:p>
    <w:sectPr w:rsidR="002B7A02" w:rsidRPr="00827830" w:rsidSect="00616945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C2" w:rsidRDefault="002E1EC2" w:rsidP="008B0547">
      <w:pPr>
        <w:spacing w:after="0"/>
      </w:pPr>
      <w:r>
        <w:separator/>
      </w:r>
    </w:p>
  </w:endnote>
  <w:endnote w:type="continuationSeparator" w:id="0">
    <w:p w:rsidR="002E1EC2" w:rsidRDefault="002E1EC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A2AB4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C2" w:rsidRDefault="002E1EC2" w:rsidP="008B0547">
      <w:pPr>
        <w:spacing w:after="0"/>
      </w:pPr>
      <w:r>
        <w:separator/>
      </w:r>
    </w:p>
  </w:footnote>
  <w:footnote w:type="continuationSeparator" w:id="0">
    <w:p w:rsidR="002E1EC2" w:rsidRDefault="002E1EC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50"/>
    <w:rsid w:val="00025753"/>
    <w:rsid w:val="00025A32"/>
    <w:rsid w:val="00025AA0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DCE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C8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B36"/>
    <w:rsid w:val="000A2C56"/>
    <w:rsid w:val="000A2DF9"/>
    <w:rsid w:val="000A301D"/>
    <w:rsid w:val="000A37A7"/>
    <w:rsid w:val="000A3939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DB2"/>
    <w:rsid w:val="000B5DD4"/>
    <w:rsid w:val="000B5F2F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AE8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5AC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C1D"/>
    <w:rsid w:val="00130032"/>
    <w:rsid w:val="00130752"/>
    <w:rsid w:val="00130A0C"/>
    <w:rsid w:val="00130B06"/>
    <w:rsid w:val="00130EF3"/>
    <w:rsid w:val="00131679"/>
    <w:rsid w:val="001316FC"/>
    <w:rsid w:val="00131767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5B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34AE"/>
    <w:rsid w:val="0016352E"/>
    <w:rsid w:val="00163585"/>
    <w:rsid w:val="00163752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3C3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C2E"/>
    <w:rsid w:val="001A6F58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968"/>
    <w:rsid w:val="001D2BC5"/>
    <w:rsid w:val="001D2D43"/>
    <w:rsid w:val="001D34EB"/>
    <w:rsid w:val="001D35B4"/>
    <w:rsid w:val="001D3A4D"/>
    <w:rsid w:val="001D3F21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73A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F9"/>
    <w:rsid w:val="00232B8A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71F"/>
    <w:rsid w:val="0025781A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0FA"/>
    <w:rsid w:val="00293198"/>
    <w:rsid w:val="002933A1"/>
    <w:rsid w:val="0029353D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1A0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78A"/>
    <w:rsid w:val="002C5912"/>
    <w:rsid w:val="002C5970"/>
    <w:rsid w:val="002C5C0C"/>
    <w:rsid w:val="002C5F03"/>
    <w:rsid w:val="002C6588"/>
    <w:rsid w:val="002C662D"/>
    <w:rsid w:val="002C66E9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D7C74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BC6"/>
    <w:rsid w:val="002E1EC2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F0A46"/>
    <w:rsid w:val="002F0C37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707"/>
    <w:rsid w:val="002F797B"/>
    <w:rsid w:val="002F7A9E"/>
    <w:rsid w:val="002F7C6D"/>
    <w:rsid w:val="003006FA"/>
    <w:rsid w:val="0030071B"/>
    <w:rsid w:val="003010D4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93A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53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4B2D"/>
    <w:rsid w:val="003C5187"/>
    <w:rsid w:val="003C526E"/>
    <w:rsid w:val="003C58C9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4A1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3C8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5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BC"/>
    <w:rsid w:val="004453D0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C61"/>
    <w:rsid w:val="00457013"/>
    <w:rsid w:val="004571D3"/>
    <w:rsid w:val="004573D3"/>
    <w:rsid w:val="004576DF"/>
    <w:rsid w:val="004578EA"/>
    <w:rsid w:val="00457AAC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695"/>
    <w:rsid w:val="004848A8"/>
    <w:rsid w:val="00484C78"/>
    <w:rsid w:val="00484CB7"/>
    <w:rsid w:val="00484E4C"/>
    <w:rsid w:val="00485154"/>
    <w:rsid w:val="004851D1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4692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5DA2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C43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F71"/>
    <w:rsid w:val="00551167"/>
    <w:rsid w:val="005512D3"/>
    <w:rsid w:val="00551C0E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496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B78"/>
    <w:rsid w:val="00573426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4CF9"/>
    <w:rsid w:val="0057531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0B0F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5AE"/>
    <w:rsid w:val="005D6A61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1E3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8C4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9B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4BE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0BE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294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DA2"/>
    <w:rsid w:val="00740FB1"/>
    <w:rsid w:val="00742422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47D96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3AE0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1FA"/>
    <w:rsid w:val="00774593"/>
    <w:rsid w:val="00774725"/>
    <w:rsid w:val="00774B44"/>
    <w:rsid w:val="00774B87"/>
    <w:rsid w:val="00774C88"/>
    <w:rsid w:val="00774D02"/>
    <w:rsid w:val="007750D9"/>
    <w:rsid w:val="00775265"/>
    <w:rsid w:val="007753B5"/>
    <w:rsid w:val="0077569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8E1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577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733E"/>
    <w:rsid w:val="0080783D"/>
    <w:rsid w:val="00807D62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3D0F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FFB"/>
    <w:rsid w:val="008600E5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D54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CC"/>
    <w:rsid w:val="008922EB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72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4E7C"/>
    <w:rsid w:val="008B50D8"/>
    <w:rsid w:val="008B510B"/>
    <w:rsid w:val="008B5688"/>
    <w:rsid w:val="008B56B8"/>
    <w:rsid w:val="008B58F9"/>
    <w:rsid w:val="008B5DA7"/>
    <w:rsid w:val="008B607E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E3C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C0B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A21"/>
    <w:rsid w:val="008E6BEC"/>
    <w:rsid w:val="008E6F9F"/>
    <w:rsid w:val="008E727E"/>
    <w:rsid w:val="008E72E1"/>
    <w:rsid w:val="008E78BF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C5B"/>
    <w:rsid w:val="00941FF5"/>
    <w:rsid w:val="00942022"/>
    <w:rsid w:val="009425D0"/>
    <w:rsid w:val="00942814"/>
    <w:rsid w:val="009429B8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660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FE"/>
    <w:rsid w:val="00962C94"/>
    <w:rsid w:val="00962F11"/>
    <w:rsid w:val="00963363"/>
    <w:rsid w:val="009635FB"/>
    <w:rsid w:val="00964075"/>
    <w:rsid w:val="009642CA"/>
    <w:rsid w:val="00964559"/>
    <w:rsid w:val="00964798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609"/>
    <w:rsid w:val="009D2884"/>
    <w:rsid w:val="009D2A4F"/>
    <w:rsid w:val="009D2E46"/>
    <w:rsid w:val="009D2F24"/>
    <w:rsid w:val="009D325B"/>
    <w:rsid w:val="009D3407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EFA"/>
    <w:rsid w:val="00A02FC7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202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2EC"/>
    <w:rsid w:val="00A24599"/>
    <w:rsid w:val="00A24E78"/>
    <w:rsid w:val="00A24FBC"/>
    <w:rsid w:val="00A253E6"/>
    <w:rsid w:val="00A25B79"/>
    <w:rsid w:val="00A25D7B"/>
    <w:rsid w:val="00A260A0"/>
    <w:rsid w:val="00A27308"/>
    <w:rsid w:val="00A273A9"/>
    <w:rsid w:val="00A27523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5D1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64E0"/>
    <w:rsid w:val="00A7653B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AB4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65C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18"/>
    <w:rsid w:val="00B414C9"/>
    <w:rsid w:val="00B415E5"/>
    <w:rsid w:val="00B4167C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6F6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A9F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A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2AA"/>
    <w:rsid w:val="00C93301"/>
    <w:rsid w:val="00C934E0"/>
    <w:rsid w:val="00C93680"/>
    <w:rsid w:val="00C939EE"/>
    <w:rsid w:val="00C94A2F"/>
    <w:rsid w:val="00C94BDC"/>
    <w:rsid w:val="00C94BF9"/>
    <w:rsid w:val="00C94CF0"/>
    <w:rsid w:val="00C95005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8FF"/>
    <w:rsid w:val="00CA0CE8"/>
    <w:rsid w:val="00CA0FB8"/>
    <w:rsid w:val="00CA107A"/>
    <w:rsid w:val="00CA10BE"/>
    <w:rsid w:val="00CA15F3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8A5"/>
    <w:rsid w:val="00CF4B22"/>
    <w:rsid w:val="00CF4ED1"/>
    <w:rsid w:val="00CF5489"/>
    <w:rsid w:val="00CF5F6B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B02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7EA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3B48"/>
    <w:rsid w:val="00D8414C"/>
    <w:rsid w:val="00D841A5"/>
    <w:rsid w:val="00D844B1"/>
    <w:rsid w:val="00D8469F"/>
    <w:rsid w:val="00D84E4D"/>
    <w:rsid w:val="00D85375"/>
    <w:rsid w:val="00D8603D"/>
    <w:rsid w:val="00D865D1"/>
    <w:rsid w:val="00D86C20"/>
    <w:rsid w:val="00D86DD4"/>
    <w:rsid w:val="00D87CFA"/>
    <w:rsid w:val="00D90046"/>
    <w:rsid w:val="00D9038D"/>
    <w:rsid w:val="00D90898"/>
    <w:rsid w:val="00D90998"/>
    <w:rsid w:val="00D909BB"/>
    <w:rsid w:val="00D90CE0"/>
    <w:rsid w:val="00D90EB1"/>
    <w:rsid w:val="00D9111B"/>
    <w:rsid w:val="00D917C7"/>
    <w:rsid w:val="00D917EB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21"/>
    <w:rsid w:val="00DB4BC2"/>
    <w:rsid w:val="00DB4BD4"/>
    <w:rsid w:val="00DB4E30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406"/>
    <w:rsid w:val="00E1687E"/>
    <w:rsid w:val="00E16BAF"/>
    <w:rsid w:val="00E1734B"/>
    <w:rsid w:val="00E17599"/>
    <w:rsid w:val="00E17711"/>
    <w:rsid w:val="00E17CD3"/>
    <w:rsid w:val="00E17D0F"/>
    <w:rsid w:val="00E20112"/>
    <w:rsid w:val="00E20504"/>
    <w:rsid w:val="00E20528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C7F"/>
    <w:rsid w:val="00E70D14"/>
    <w:rsid w:val="00E70EA0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2B78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B2A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7CE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241"/>
    <w:rsid w:val="00F07571"/>
    <w:rsid w:val="00F076C5"/>
    <w:rsid w:val="00F07C50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3A2F"/>
    <w:rsid w:val="00F14C13"/>
    <w:rsid w:val="00F14CE8"/>
    <w:rsid w:val="00F15471"/>
    <w:rsid w:val="00F15FBF"/>
    <w:rsid w:val="00F17174"/>
    <w:rsid w:val="00F172D0"/>
    <w:rsid w:val="00F17939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9B5"/>
    <w:rsid w:val="00F74BBB"/>
    <w:rsid w:val="00F759AD"/>
    <w:rsid w:val="00F75BDF"/>
    <w:rsid w:val="00F7642A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25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2FB"/>
    <w:rsid w:val="00FB08F9"/>
    <w:rsid w:val="00FB1350"/>
    <w:rsid w:val="00FB16CA"/>
    <w:rsid w:val="00FB2203"/>
    <w:rsid w:val="00FB2578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C78AF"/>
    <w:rsid w:val="00FC7BE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ProxyHighlight?base=ACORDAO&amp;ano=2015&amp;numero=43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93&amp;colegiado=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C38C-5CB5-4C14-B94C-8A8FF286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6708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7935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2014-11-17T17:22:00Z</cp:lastPrinted>
  <dcterms:created xsi:type="dcterms:W3CDTF">2015-05-07T13:27:00Z</dcterms:created>
  <dcterms:modified xsi:type="dcterms:W3CDTF">2015-05-07T13:27:00Z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