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B40473" w:rsidRDefault="00B4047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20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C61626" w:rsidRPr="00827830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="00C92B7F">
        <w:rPr>
          <w:rFonts w:ascii="Times New Roman" w:hAnsi="Times New Roman"/>
          <w:b/>
          <w:i w:val="0"/>
          <w:sz w:val="22"/>
          <w:szCs w:val="22"/>
          <w:lang w:val="pt-BR"/>
        </w:rPr>
        <w:t>º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2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>jul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ho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DA3477" w:rsidRPr="000A7A63" w:rsidRDefault="00DA3477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175500" w:rsidRPr="000A7A63" w:rsidRDefault="0008246E" w:rsidP="00CC134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0A7A63">
        <w:rPr>
          <w:b/>
          <w:sz w:val="22"/>
          <w:szCs w:val="22"/>
          <w:lang w:eastAsia="pt-BR"/>
        </w:rPr>
        <w:t>Plenário</w:t>
      </w:r>
    </w:p>
    <w:p w:rsidR="00A1416D" w:rsidRDefault="005D2C45" w:rsidP="006F6684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1</w:t>
      </w:r>
      <w:r w:rsidRPr="00DE6391">
        <w:rPr>
          <w:sz w:val="22"/>
          <w:szCs w:val="22"/>
          <w:lang w:eastAsia="pt-BR"/>
        </w:rPr>
        <w:t xml:space="preserve">. </w:t>
      </w:r>
      <w:r w:rsidR="00A7583F" w:rsidRPr="00A7583F">
        <w:rPr>
          <w:sz w:val="22"/>
          <w:szCs w:val="22"/>
          <w:lang w:eastAsia="pt-BR"/>
        </w:rPr>
        <w:t>Constitui falta grave a supressão</w:t>
      </w:r>
      <w:r w:rsidR="00C92B7F">
        <w:rPr>
          <w:sz w:val="22"/>
          <w:szCs w:val="22"/>
          <w:lang w:eastAsia="pt-BR"/>
        </w:rPr>
        <w:t xml:space="preserve"> ou o descumprimento do</w:t>
      </w:r>
      <w:r w:rsidR="00A7583F" w:rsidRPr="00A7583F">
        <w:rPr>
          <w:sz w:val="22"/>
          <w:szCs w:val="22"/>
          <w:lang w:eastAsia="pt-BR"/>
        </w:rPr>
        <w:t xml:space="preserve"> prazo</w:t>
      </w:r>
      <w:r w:rsidR="00C92B7F">
        <w:rPr>
          <w:sz w:val="22"/>
          <w:szCs w:val="22"/>
          <w:lang w:eastAsia="pt-BR"/>
        </w:rPr>
        <w:t xml:space="preserve"> legal</w:t>
      </w:r>
      <w:r w:rsidR="00A7583F" w:rsidRPr="00A7583F">
        <w:rPr>
          <w:sz w:val="22"/>
          <w:szCs w:val="22"/>
          <w:lang w:eastAsia="pt-BR"/>
        </w:rPr>
        <w:t xml:space="preserve"> para o exercício pelos licitantes do direito a recorrer, o qual, necessariamente, só pode ser exercido antes de homologada a licitação e adjudicado seu objeto</w:t>
      </w:r>
      <w:r w:rsidR="00A1416D" w:rsidRPr="00DE6391">
        <w:rPr>
          <w:sz w:val="22"/>
          <w:szCs w:val="22"/>
          <w:lang w:eastAsia="pt-BR"/>
        </w:rPr>
        <w:t>.</w:t>
      </w:r>
    </w:p>
    <w:p w:rsidR="006F6684" w:rsidRPr="00C92B7F" w:rsidRDefault="00CA16B5" w:rsidP="006F6684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C92B7F">
        <w:rPr>
          <w:sz w:val="22"/>
          <w:szCs w:val="22"/>
          <w:lang w:eastAsia="pt-BR"/>
        </w:rPr>
        <w:t>2</w:t>
      </w:r>
      <w:r w:rsidR="00ED6342" w:rsidRPr="00C92B7F">
        <w:rPr>
          <w:sz w:val="22"/>
          <w:szCs w:val="22"/>
          <w:lang w:eastAsia="pt-BR"/>
        </w:rPr>
        <w:t xml:space="preserve">. </w:t>
      </w:r>
      <w:r w:rsidR="00C92B7F" w:rsidRPr="00C92B7F">
        <w:rPr>
          <w:sz w:val="22"/>
          <w:szCs w:val="22"/>
        </w:rPr>
        <w:t>A concessão de reequilíbrio econômico-financeiro em prazo inferior a um ano, sem a comprovação de ocorrência das condições previstas em lei, afronta o disposto no art. 65, inciso II, alínea d, da Lei 8.666/93, c/c o art. 2º, § 1º, da Lei 10.192/01, e implica responsabilização dos gestores envolvidos.</w:t>
      </w:r>
    </w:p>
    <w:p w:rsidR="000D054D" w:rsidRPr="000D054D" w:rsidRDefault="00CA16B5" w:rsidP="000D054D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C508BC" w:rsidRPr="000A7A63">
        <w:rPr>
          <w:sz w:val="22"/>
          <w:szCs w:val="22"/>
          <w:lang w:eastAsia="pt-BR"/>
        </w:rPr>
        <w:t xml:space="preserve">. </w:t>
      </w:r>
      <w:r w:rsidR="000D054D" w:rsidRPr="000D054D">
        <w:rPr>
          <w:sz w:val="22"/>
          <w:szCs w:val="22"/>
          <w:lang w:eastAsia="pt-BR"/>
        </w:rPr>
        <w:t>Todos os fatores de risco entendidos como pertinentes pela contratada devem estar previstos no BDI, em item único e próprio, e não no campo para custos diretos. O</w:t>
      </w:r>
      <w:r w:rsidR="000D054D" w:rsidRPr="000D054D">
        <w:rPr>
          <w:sz w:val="22"/>
          <w:szCs w:val="22"/>
        </w:rPr>
        <w:t xml:space="preserve"> BDI é o elemento orçamentário destinado a cobrir as despesas classificadas como custo indireto, ou seja, as não diretamente relacionadas à execução do objeto contratado, como a cobertura de riscos eventuais ou imprevisíveis.</w:t>
      </w:r>
    </w:p>
    <w:p w:rsidR="00DA3477" w:rsidRPr="000A7A63" w:rsidRDefault="00DA3477" w:rsidP="000A7A63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6B62B4" w:rsidRPr="000A7A63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PLENÁRIO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92B7F" w:rsidRPr="00C92B7F" w:rsidRDefault="001F6DAC" w:rsidP="00C92B7F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B80BC8">
        <w:rPr>
          <w:b/>
          <w:sz w:val="22"/>
          <w:szCs w:val="22"/>
          <w:lang w:eastAsia="pt-BR"/>
        </w:rPr>
        <w:t xml:space="preserve">1. </w:t>
      </w:r>
      <w:r w:rsidR="00C92B7F" w:rsidRPr="00C92B7F">
        <w:rPr>
          <w:b/>
          <w:sz w:val="22"/>
          <w:szCs w:val="22"/>
          <w:lang w:eastAsia="pt-BR"/>
        </w:rPr>
        <w:t>Constitui falta grave a supressão ou o descumprimento do prazo legal para o exercício pelos licitantes do direito a recorrer, o qual, necessariamente, só pode ser exercido antes de homologada a licitação e adjudicado seu objeto.</w:t>
      </w:r>
    </w:p>
    <w:p w:rsidR="001F6DAC" w:rsidRPr="00A4627F" w:rsidRDefault="004927FF" w:rsidP="0037148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Pedidos de Reexame</w:t>
      </w:r>
      <w:r w:rsidR="00D52E68">
        <w:rPr>
          <w:sz w:val="22"/>
          <w:szCs w:val="22"/>
        </w:rPr>
        <w:t xml:space="preserve"> interpostos por </w:t>
      </w:r>
      <w:r>
        <w:rPr>
          <w:sz w:val="22"/>
          <w:szCs w:val="22"/>
        </w:rPr>
        <w:t>gerente e</w:t>
      </w:r>
      <w:r w:rsidR="001B7898">
        <w:rPr>
          <w:sz w:val="22"/>
          <w:szCs w:val="22"/>
        </w:rPr>
        <w:t>xecutivo</w:t>
      </w:r>
      <w:r w:rsidR="00D52E68">
        <w:rPr>
          <w:sz w:val="22"/>
          <w:szCs w:val="22"/>
        </w:rPr>
        <w:t xml:space="preserve"> e por membros da comissão especial d</w:t>
      </w:r>
      <w:r>
        <w:rPr>
          <w:sz w:val="22"/>
          <w:szCs w:val="22"/>
        </w:rPr>
        <w:t>e licitação do INSS em Teresina/</w:t>
      </w:r>
      <w:r w:rsidR="00D52E68">
        <w:rPr>
          <w:sz w:val="22"/>
          <w:szCs w:val="22"/>
        </w:rPr>
        <w:t xml:space="preserve">PI requereram a reforma de deliberação do TCU pela qual os responsáveis foram condenados ao pagamento de multa </w:t>
      </w:r>
      <w:r w:rsidR="001B7898">
        <w:rPr>
          <w:sz w:val="22"/>
          <w:szCs w:val="22"/>
        </w:rPr>
        <w:t>por</w:t>
      </w:r>
      <w:r w:rsidR="00D52E68">
        <w:rPr>
          <w:sz w:val="22"/>
          <w:szCs w:val="22"/>
        </w:rPr>
        <w:t xml:space="preserve"> excessivo rigor formal na desclassificação de licitante e</w:t>
      </w:r>
      <w:r w:rsidR="001B7898">
        <w:rPr>
          <w:sz w:val="22"/>
          <w:szCs w:val="22"/>
        </w:rPr>
        <w:t>, no que respeita ao gestor</w:t>
      </w:r>
      <w:r w:rsidR="00BD326B">
        <w:rPr>
          <w:sz w:val="22"/>
          <w:szCs w:val="22"/>
        </w:rPr>
        <w:t xml:space="preserve"> da autarquia</w:t>
      </w:r>
      <w:r w:rsidR="001B7898">
        <w:rPr>
          <w:sz w:val="22"/>
          <w:szCs w:val="22"/>
        </w:rPr>
        <w:t xml:space="preserve">, pelo </w:t>
      </w:r>
      <w:r w:rsidR="00D52E68" w:rsidRPr="00D52E68">
        <w:rPr>
          <w:sz w:val="22"/>
          <w:szCs w:val="22"/>
        </w:rPr>
        <w:t>descumprimento do prazo legal para recurso, entre o julgamento das propostas e a homologação da licitação</w:t>
      </w:r>
      <w:r w:rsidR="00D52E68">
        <w:rPr>
          <w:sz w:val="22"/>
          <w:szCs w:val="22"/>
        </w:rPr>
        <w:t>.</w:t>
      </w:r>
      <w:r w:rsidR="001B7898">
        <w:rPr>
          <w:sz w:val="22"/>
          <w:szCs w:val="22"/>
        </w:rPr>
        <w:t xml:space="preserve"> Analisando o mérito das peças interpostas, o relator, abordando a questão do prazo recursal, consignou que </w:t>
      </w:r>
      <w:r w:rsidR="001B7898" w:rsidRPr="001B7898">
        <w:rPr>
          <w:i/>
          <w:sz w:val="22"/>
          <w:szCs w:val="22"/>
        </w:rPr>
        <w:t>“A homologação do certame e a adjudicação do objeto ao vencedor são os atos que encerram o procedimento licitatório”</w:t>
      </w:r>
      <w:r w:rsidR="001B7898">
        <w:rPr>
          <w:sz w:val="22"/>
          <w:szCs w:val="22"/>
        </w:rPr>
        <w:t xml:space="preserve">. Nesse sentido, </w:t>
      </w:r>
      <w:r w:rsidR="001B7898" w:rsidRPr="001B7898">
        <w:rPr>
          <w:i/>
          <w:sz w:val="22"/>
          <w:szCs w:val="22"/>
        </w:rPr>
        <w:t>“a supressão de prazo para o exercício pelos licitantes do direito a recorrer, assegurado pela Lei 8.666/93, o qual, necessariamente, só pode ser exercido antes de homologada a licitação e adjudicado seu objeto, constitui falta grave, conforme entendeu esta Corte na deliberação recorrida”</w:t>
      </w:r>
      <w:r w:rsidR="001B7898">
        <w:rPr>
          <w:sz w:val="22"/>
          <w:szCs w:val="22"/>
        </w:rPr>
        <w:t xml:space="preserve">. </w:t>
      </w:r>
      <w:r w:rsidR="00BD326B">
        <w:rPr>
          <w:sz w:val="22"/>
          <w:szCs w:val="22"/>
        </w:rPr>
        <w:t xml:space="preserve">Assim, à vista dos elementos constitutivos dos autos, concluiu o relator pela rejeição dos argumentos recursais. </w:t>
      </w:r>
      <w:r w:rsidR="001B7898">
        <w:rPr>
          <w:sz w:val="22"/>
          <w:szCs w:val="22"/>
        </w:rPr>
        <w:t>O Plenário do TCU, acolhendo</w:t>
      </w:r>
      <w:r w:rsidR="00BD326B">
        <w:rPr>
          <w:sz w:val="22"/>
          <w:szCs w:val="22"/>
        </w:rPr>
        <w:t xml:space="preserve"> a tese da relatoria,</w:t>
      </w:r>
      <w:r>
        <w:rPr>
          <w:sz w:val="22"/>
          <w:szCs w:val="22"/>
        </w:rPr>
        <w:t xml:space="preserve"> negou provimento aos recursos. </w:t>
      </w:r>
      <w:hyperlink r:id="rId9" w:history="1">
        <w:r w:rsidRPr="004927FF">
          <w:rPr>
            <w:b/>
            <w:i/>
            <w:color w:val="0000FF"/>
            <w:sz w:val="22"/>
            <w:szCs w:val="22"/>
          </w:rPr>
          <w:t>Acórdão 1728/2014</w:t>
        </w:r>
        <w:r>
          <w:rPr>
            <w:b/>
            <w:i/>
            <w:color w:val="0000FF"/>
            <w:sz w:val="22"/>
            <w:szCs w:val="22"/>
          </w:rPr>
          <w:t>-</w:t>
        </w:r>
        <w:r w:rsidRPr="004927FF">
          <w:rPr>
            <w:b/>
            <w:i/>
            <w:color w:val="0000FF"/>
            <w:sz w:val="22"/>
            <w:szCs w:val="22"/>
          </w:rPr>
          <w:t>Plenário</w:t>
        </w:r>
      </w:hyperlink>
      <w:r w:rsidR="00C2061E" w:rsidRPr="00A4627F">
        <w:rPr>
          <w:b/>
          <w:i/>
          <w:sz w:val="22"/>
          <w:szCs w:val="22"/>
        </w:rPr>
        <w:t>, TC 006.493/2011-4, relator Ministro Raimundo Carreiro, 2.7.2014</w:t>
      </w:r>
      <w:r w:rsidR="00145661" w:rsidRPr="00A4627F">
        <w:rPr>
          <w:b/>
          <w:i/>
          <w:sz w:val="22"/>
          <w:szCs w:val="22"/>
        </w:rPr>
        <w:t>.</w:t>
      </w:r>
    </w:p>
    <w:p w:rsidR="001F6DAC" w:rsidRPr="00B80BC8" w:rsidRDefault="001F6DAC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5E2D71" w:rsidRDefault="005E2D71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5E2D71" w:rsidRDefault="005E2D71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ED6342" w:rsidRDefault="00CA16B5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C92B7F">
        <w:rPr>
          <w:b/>
          <w:sz w:val="22"/>
          <w:szCs w:val="22"/>
          <w:lang w:eastAsia="pt-BR"/>
        </w:rPr>
        <w:lastRenderedPageBreak/>
        <w:t>2</w:t>
      </w:r>
      <w:r w:rsidR="00ED6342" w:rsidRPr="00C92B7F">
        <w:rPr>
          <w:b/>
          <w:sz w:val="22"/>
          <w:szCs w:val="22"/>
          <w:lang w:eastAsia="pt-BR"/>
        </w:rPr>
        <w:t>.</w:t>
      </w:r>
      <w:r w:rsidR="00ED6342" w:rsidRPr="00C92B7F">
        <w:rPr>
          <w:sz w:val="22"/>
          <w:szCs w:val="22"/>
        </w:rPr>
        <w:t xml:space="preserve"> </w:t>
      </w:r>
      <w:r w:rsidR="00C92B7F" w:rsidRPr="00C92B7F">
        <w:rPr>
          <w:b/>
          <w:sz w:val="22"/>
          <w:szCs w:val="22"/>
        </w:rPr>
        <w:t>A concessão de reequilíbrio econômico-financeiro em prazo inferior a um ano, sem a comprovação de ocorrência das condições previstas em lei, afronta o disposto no art. 65, inciso II, alínea d, da Lei 8.666/93, c/c o art. 2º, § 1º, da Lei 10.192/01, e implica responsabilização dos gestores envolvidos.</w:t>
      </w:r>
    </w:p>
    <w:p w:rsidR="004927FF" w:rsidRPr="00CB04D0" w:rsidRDefault="00DC2020" w:rsidP="0037148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DC2020">
        <w:rPr>
          <w:sz w:val="22"/>
          <w:szCs w:val="22"/>
        </w:rPr>
        <w:t>Representação</w:t>
      </w:r>
      <w:r>
        <w:rPr>
          <w:sz w:val="22"/>
          <w:szCs w:val="22"/>
        </w:rPr>
        <w:t xml:space="preserve"> formulada por equipe de auditoria apontara possíveis irregularidades na gestão de recursos federais repassados ao município de Porto Ferreira/SP, no âmbito do Programa Nacional de Alimentação Escolar (Pnae). </w:t>
      </w:r>
      <w:r w:rsidR="000C1BD5">
        <w:rPr>
          <w:sz w:val="22"/>
          <w:szCs w:val="22"/>
        </w:rPr>
        <w:t>A Representaç</w:t>
      </w:r>
      <w:r w:rsidR="001A6F5B">
        <w:rPr>
          <w:sz w:val="22"/>
          <w:szCs w:val="22"/>
        </w:rPr>
        <w:t xml:space="preserve">ão </w:t>
      </w:r>
      <w:r w:rsidR="000C1BD5">
        <w:rPr>
          <w:sz w:val="22"/>
          <w:szCs w:val="22"/>
        </w:rPr>
        <w:t>originou</w:t>
      </w:r>
      <w:r w:rsidR="001A6F5B">
        <w:rPr>
          <w:sz w:val="22"/>
          <w:szCs w:val="22"/>
        </w:rPr>
        <w:t>-se</w:t>
      </w:r>
      <w:r w:rsidR="000C1BD5">
        <w:rPr>
          <w:sz w:val="22"/>
          <w:szCs w:val="22"/>
        </w:rPr>
        <w:t xml:space="preserve"> de informações fornecidas pelo Ministério Público do Estado de São Paulo dando conta de ilegalidades em licitações, contratações e execuções contratuais relativas ao fornecimento de insumos escolares ou de merenda escolar em diversos municípios daquele estado.</w:t>
      </w:r>
      <w:r w:rsidR="00FD43CF">
        <w:rPr>
          <w:sz w:val="22"/>
          <w:szCs w:val="22"/>
        </w:rPr>
        <w:t xml:space="preserve"> </w:t>
      </w:r>
      <w:r w:rsidR="001A6F5B">
        <w:rPr>
          <w:sz w:val="22"/>
          <w:szCs w:val="22"/>
        </w:rPr>
        <w:t>No município em tela, o c</w:t>
      </w:r>
      <w:r w:rsidR="00FD43CF">
        <w:rPr>
          <w:sz w:val="22"/>
          <w:szCs w:val="22"/>
        </w:rPr>
        <w:t>ontrato inquinado destinava-se a fornecimento de gêneros alimentícios,</w:t>
      </w:r>
      <w:r>
        <w:rPr>
          <w:sz w:val="22"/>
          <w:szCs w:val="22"/>
        </w:rPr>
        <w:t xml:space="preserve"> prestação de serviços</w:t>
      </w:r>
      <w:r w:rsidR="00FD43CF">
        <w:rPr>
          <w:sz w:val="22"/>
          <w:szCs w:val="22"/>
        </w:rPr>
        <w:t xml:space="preserve"> de preparo de merenda, limpeza de refeitórios e outros afins</w:t>
      </w:r>
      <w:r w:rsidR="000C1BD5">
        <w:rPr>
          <w:sz w:val="22"/>
          <w:szCs w:val="22"/>
        </w:rPr>
        <w:t xml:space="preserve">. </w:t>
      </w:r>
      <w:r w:rsidR="001A6F5B">
        <w:rPr>
          <w:sz w:val="22"/>
          <w:szCs w:val="22"/>
        </w:rPr>
        <w:t>Além de fraude no procedimento licitatório, decorrente de conluio entre licitantes</w:t>
      </w:r>
      <w:r w:rsidR="00FD43CF">
        <w:rPr>
          <w:sz w:val="22"/>
          <w:szCs w:val="22"/>
        </w:rPr>
        <w:t xml:space="preserve">, com o </w:t>
      </w:r>
      <w:r w:rsidR="001A6F5B">
        <w:rPr>
          <w:sz w:val="22"/>
          <w:szCs w:val="22"/>
        </w:rPr>
        <w:t>envolvimento de agentes p</w:t>
      </w:r>
      <w:r w:rsidR="00CB04D0">
        <w:rPr>
          <w:sz w:val="22"/>
          <w:szCs w:val="22"/>
        </w:rPr>
        <w:t>úblicos</w:t>
      </w:r>
      <w:r w:rsidR="001A6F5B">
        <w:rPr>
          <w:sz w:val="22"/>
          <w:szCs w:val="22"/>
        </w:rPr>
        <w:t>, constatara-se também, na execução contratual, a majoraç</w:t>
      </w:r>
      <w:r w:rsidR="00010C47">
        <w:rPr>
          <w:sz w:val="22"/>
          <w:szCs w:val="22"/>
        </w:rPr>
        <w:t>ão indevida do item “gêneros</w:t>
      </w:r>
      <w:r w:rsidR="001A6F5B">
        <w:rPr>
          <w:sz w:val="22"/>
          <w:szCs w:val="22"/>
        </w:rPr>
        <w:t xml:space="preserve"> aliment</w:t>
      </w:r>
      <w:r w:rsidR="00010C47">
        <w:rPr>
          <w:sz w:val="22"/>
          <w:szCs w:val="22"/>
        </w:rPr>
        <w:t>ícios”, a título de re</w:t>
      </w:r>
      <w:r w:rsidR="00FD43CF">
        <w:rPr>
          <w:sz w:val="22"/>
          <w:szCs w:val="22"/>
        </w:rPr>
        <w:t>equilíbrio econômico-financeiro.</w:t>
      </w:r>
      <w:r w:rsidR="00DF60DF">
        <w:rPr>
          <w:sz w:val="22"/>
          <w:szCs w:val="22"/>
        </w:rPr>
        <w:t xml:space="preserve"> Sobre este ponto,</w:t>
      </w:r>
      <w:r w:rsidR="00010C47">
        <w:rPr>
          <w:sz w:val="22"/>
          <w:szCs w:val="22"/>
        </w:rPr>
        <w:t xml:space="preserve"> </w:t>
      </w:r>
      <w:r w:rsidR="00DF60DF">
        <w:rPr>
          <w:sz w:val="22"/>
          <w:szCs w:val="22"/>
        </w:rPr>
        <w:t>a</w:t>
      </w:r>
      <w:r w:rsidR="00FD43CF">
        <w:rPr>
          <w:sz w:val="22"/>
          <w:szCs w:val="22"/>
        </w:rPr>
        <w:t xml:space="preserve"> unidade técnica, ao examinar as justificativas apresentadas pelos responsáveis,</w:t>
      </w:r>
      <w:r w:rsidR="001B3EE6">
        <w:rPr>
          <w:sz w:val="22"/>
          <w:szCs w:val="22"/>
        </w:rPr>
        <w:t xml:space="preserve"> </w:t>
      </w:r>
      <w:r w:rsidR="00AE2B1C">
        <w:rPr>
          <w:sz w:val="22"/>
          <w:szCs w:val="22"/>
        </w:rPr>
        <w:t>r</w:t>
      </w:r>
      <w:r w:rsidR="001B3EE6">
        <w:rPr>
          <w:sz w:val="22"/>
          <w:szCs w:val="22"/>
        </w:rPr>
        <w:t>essaltou que variação de preços de produtos agropecuários na entressafra era fato esperado, não se caracterizando, portanto, como imprevisível ou de consequências incalculáveis</w:t>
      </w:r>
      <w:r w:rsidR="00B14A80">
        <w:rPr>
          <w:sz w:val="22"/>
          <w:szCs w:val="22"/>
        </w:rPr>
        <w:t xml:space="preserve"> a justificar o reequilíbrio</w:t>
      </w:r>
      <w:r w:rsidR="001B3EE6">
        <w:rPr>
          <w:sz w:val="22"/>
          <w:szCs w:val="22"/>
        </w:rPr>
        <w:t xml:space="preserve">: </w:t>
      </w:r>
      <w:r w:rsidR="001B3EE6" w:rsidRPr="001B3EE6">
        <w:rPr>
          <w:i/>
          <w:sz w:val="22"/>
          <w:szCs w:val="22"/>
        </w:rPr>
        <w:t>“como a atividade da empresa é o fornecimento de refeições, deve conhecer bem o mercado em que atua e as variações sazonais dos preços dos insumos, cujo impacto deve incorporar nas propostas apresentadas nas licitações, considerando seu custo anualizado”</w:t>
      </w:r>
      <w:r w:rsidR="001B3EE6" w:rsidRPr="001B3EE6">
        <w:rPr>
          <w:sz w:val="22"/>
          <w:szCs w:val="22"/>
        </w:rPr>
        <w:t>.</w:t>
      </w:r>
      <w:r w:rsidR="001B3EE6">
        <w:rPr>
          <w:sz w:val="22"/>
          <w:szCs w:val="22"/>
        </w:rPr>
        <w:t xml:space="preserve"> </w:t>
      </w:r>
      <w:r w:rsidR="00B14A80">
        <w:rPr>
          <w:sz w:val="22"/>
          <w:szCs w:val="22"/>
        </w:rPr>
        <w:t>Além do mais, destacou que as planilhas apresentadas pela contratada não apresentavam dados coerentes a demonstrar a alegada variação de custos. Ao analisar o feito, o relator, em consonância com a unidade instrutiva, considerou comprovada a ocorrência de conluio na licitação</w:t>
      </w:r>
      <w:r w:rsidR="00CF7362">
        <w:rPr>
          <w:sz w:val="22"/>
          <w:szCs w:val="22"/>
        </w:rPr>
        <w:t xml:space="preserve"> e de</w:t>
      </w:r>
      <w:r w:rsidR="00B14A80">
        <w:rPr>
          <w:sz w:val="22"/>
          <w:szCs w:val="22"/>
        </w:rPr>
        <w:t xml:space="preserve"> irregularidade na repactuação do contrato </w:t>
      </w:r>
      <w:r w:rsidR="00612AFE">
        <w:rPr>
          <w:sz w:val="22"/>
          <w:szCs w:val="22"/>
        </w:rPr>
        <w:t>a título de reequilíbrio econ</w:t>
      </w:r>
      <w:r w:rsidR="00CF7362">
        <w:rPr>
          <w:sz w:val="22"/>
          <w:szCs w:val="22"/>
        </w:rPr>
        <w:t>ômico-financeiro “</w:t>
      </w:r>
      <w:r w:rsidR="00010C47" w:rsidRPr="00010C47">
        <w:rPr>
          <w:i/>
          <w:sz w:val="22"/>
          <w:szCs w:val="22"/>
        </w:rPr>
        <w:t>em prazo inferior a um ano, sem a ocorrência das condições prevista em Lei, em desacordo com o art. 65, inciso II, alínea “d”, da Lei 8.666/1993, c/c o § 1º do art. 2º da Lei 10.192/2001 e com as cláusulas 10.1 do edital e 7.1 da referida avença”</w:t>
      </w:r>
      <w:r w:rsidR="00010C47">
        <w:rPr>
          <w:sz w:val="22"/>
          <w:szCs w:val="22"/>
        </w:rPr>
        <w:t>.</w:t>
      </w:r>
      <w:r w:rsidR="000B19AD">
        <w:rPr>
          <w:sz w:val="22"/>
          <w:szCs w:val="22"/>
        </w:rPr>
        <w:t xml:space="preserve"> </w:t>
      </w:r>
      <w:r w:rsidR="00AE2B1C">
        <w:rPr>
          <w:sz w:val="22"/>
          <w:szCs w:val="22"/>
        </w:rPr>
        <w:t>Considerou</w:t>
      </w:r>
      <w:r w:rsidR="00DF60DF">
        <w:rPr>
          <w:sz w:val="22"/>
          <w:szCs w:val="22"/>
        </w:rPr>
        <w:t>, ainda, dispensada</w:t>
      </w:r>
      <w:r w:rsidR="00AE2B1C">
        <w:rPr>
          <w:sz w:val="22"/>
          <w:szCs w:val="22"/>
        </w:rPr>
        <w:t xml:space="preserve"> a instauração de tomada de contas especial, visto que o débito não atingiria o valor m</w:t>
      </w:r>
      <w:r w:rsidR="00DF60DF">
        <w:rPr>
          <w:sz w:val="22"/>
          <w:szCs w:val="22"/>
        </w:rPr>
        <w:t>ínimo</w:t>
      </w:r>
      <w:r w:rsidR="00AE2B1C">
        <w:rPr>
          <w:sz w:val="22"/>
          <w:szCs w:val="22"/>
        </w:rPr>
        <w:t xml:space="preserve"> (R$ 75.000,00) estipulado no art. </w:t>
      </w:r>
      <w:r w:rsidR="00DF60DF">
        <w:rPr>
          <w:sz w:val="22"/>
          <w:szCs w:val="22"/>
        </w:rPr>
        <w:t>6º, inciso I</w:t>
      </w:r>
      <w:r w:rsidR="00AE2B1C">
        <w:rPr>
          <w:sz w:val="22"/>
          <w:szCs w:val="22"/>
        </w:rPr>
        <w:t xml:space="preserve">, da IN/TCU 71/12. </w:t>
      </w:r>
      <w:r w:rsidR="000B19AD">
        <w:rPr>
          <w:sz w:val="22"/>
          <w:szCs w:val="22"/>
        </w:rPr>
        <w:t>Seguindo a proposta do relator</w:t>
      </w:r>
      <w:r w:rsidR="00B14A80">
        <w:rPr>
          <w:sz w:val="22"/>
          <w:szCs w:val="22"/>
        </w:rPr>
        <w:t xml:space="preserve"> quanto ao ponto</w:t>
      </w:r>
      <w:r w:rsidR="000B19AD">
        <w:rPr>
          <w:sz w:val="22"/>
          <w:szCs w:val="22"/>
        </w:rPr>
        <w:t xml:space="preserve">, o Plenário do Tribunal rejeitou </w:t>
      </w:r>
      <w:r w:rsidR="00B14A80">
        <w:rPr>
          <w:sz w:val="22"/>
          <w:szCs w:val="22"/>
        </w:rPr>
        <w:t>as razões de justificativa dos responsáveis (prefeito,</w:t>
      </w:r>
      <w:r w:rsidR="00E53DAF">
        <w:rPr>
          <w:sz w:val="22"/>
          <w:szCs w:val="22"/>
        </w:rPr>
        <w:t xml:space="preserve"> secretário de finanças</w:t>
      </w:r>
      <w:r w:rsidR="00B14A80" w:rsidRPr="00B14A80">
        <w:rPr>
          <w:sz w:val="22"/>
          <w:szCs w:val="22"/>
        </w:rPr>
        <w:t xml:space="preserve"> </w:t>
      </w:r>
      <w:r w:rsidR="00B14A80">
        <w:rPr>
          <w:sz w:val="22"/>
          <w:szCs w:val="22"/>
        </w:rPr>
        <w:t>e parecerista do setor de licitações</w:t>
      </w:r>
      <w:r w:rsidR="00E53DAF">
        <w:rPr>
          <w:sz w:val="22"/>
          <w:szCs w:val="22"/>
        </w:rPr>
        <w:t>)</w:t>
      </w:r>
      <w:r w:rsidR="00B14A80">
        <w:rPr>
          <w:sz w:val="22"/>
          <w:szCs w:val="22"/>
        </w:rPr>
        <w:t xml:space="preserve"> pela repactuação irregular</w:t>
      </w:r>
      <w:r w:rsidR="00E53DAF">
        <w:rPr>
          <w:sz w:val="22"/>
          <w:szCs w:val="22"/>
        </w:rPr>
        <w:t>, aplicando-lhes a multa prevista no art. 58, inciso II, da Lei 8.443/92</w:t>
      </w:r>
      <w:r w:rsidR="00CB04D0">
        <w:rPr>
          <w:sz w:val="22"/>
          <w:szCs w:val="22"/>
        </w:rPr>
        <w:t xml:space="preserve">, além de dar ciência à prefeitura sobre a irregularidade verificada. </w:t>
      </w:r>
      <w:hyperlink r:id="rId10" w:history="1">
        <w:r w:rsidR="004927FF" w:rsidRPr="004927FF">
          <w:rPr>
            <w:b/>
            <w:i/>
            <w:color w:val="0000FF"/>
            <w:sz w:val="22"/>
            <w:szCs w:val="22"/>
          </w:rPr>
          <w:t>Acórdão 1729/2014</w:t>
        </w:r>
        <w:r w:rsidR="004927FF">
          <w:rPr>
            <w:b/>
            <w:i/>
            <w:color w:val="0000FF"/>
            <w:sz w:val="22"/>
            <w:szCs w:val="22"/>
          </w:rPr>
          <w:t>-</w:t>
        </w:r>
        <w:r w:rsidR="004927FF" w:rsidRPr="004927FF">
          <w:rPr>
            <w:b/>
            <w:i/>
            <w:color w:val="0000FF"/>
            <w:sz w:val="22"/>
            <w:szCs w:val="22"/>
          </w:rPr>
          <w:t>Plenário</w:t>
        </w:r>
      </w:hyperlink>
      <w:r w:rsidR="004927FF" w:rsidRPr="004927FF">
        <w:rPr>
          <w:b/>
          <w:i/>
          <w:sz w:val="22"/>
          <w:szCs w:val="22"/>
        </w:rPr>
        <w:t>, TC</w:t>
      </w:r>
      <w:r w:rsidR="004927FF">
        <w:rPr>
          <w:b/>
          <w:i/>
          <w:sz w:val="22"/>
          <w:szCs w:val="22"/>
        </w:rPr>
        <w:t xml:space="preserve"> </w:t>
      </w:r>
      <w:r w:rsidR="00CB04D0">
        <w:rPr>
          <w:b/>
          <w:i/>
          <w:sz w:val="22"/>
          <w:szCs w:val="22"/>
        </w:rPr>
        <w:t>015.391/2012-4</w:t>
      </w:r>
      <w:r w:rsidR="004927FF">
        <w:rPr>
          <w:b/>
          <w:i/>
          <w:sz w:val="22"/>
          <w:szCs w:val="22"/>
        </w:rPr>
        <w:t>, relator Ministro Raimundo Carreiro, 2.7.2014.</w:t>
      </w:r>
    </w:p>
    <w:p w:rsidR="005741C8" w:rsidRPr="00B80BC8" w:rsidRDefault="005741C8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DF0604" w:rsidRPr="00B80BC8" w:rsidRDefault="00CA16B5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B80BC8">
        <w:rPr>
          <w:b/>
          <w:sz w:val="22"/>
          <w:szCs w:val="22"/>
          <w:lang w:eastAsia="pt-BR"/>
        </w:rPr>
        <w:t>3</w:t>
      </w:r>
      <w:r w:rsidR="00540322" w:rsidRPr="00B80BC8">
        <w:rPr>
          <w:b/>
          <w:sz w:val="22"/>
          <w:szCs w:val="22"/>
          <w:lang w:eastAsia="pt-BR"/>
        </w:rPr>
        <w:t xml:space="preserve">. </w:t>
      </w:r>
      <w:r w:rsidR="00DD1F42" w:rsidRPr="000D054D">
        <w:rPr>
          <w:b/>
          <w:sz w:val="22"/>
          <w:szCs w:val="22"/>
          <w:lang w:eastAsia="pt-BR"/>
        </w:rPr>
        <w:t>Todos os fatores de risco entendidos como pertinentes pela contrata</w:t>
      </w:r>
      <w:r w:rsidR="008A61D2" w:rsidRPr="000D054D">
        <w:rPr>
          <w:b/>
          <w:sz w:val="22"/>
          <w:szCs w:val="22"/>
          <w:lang w:eastAsia="pt-BR"/>
        </w:rPr>
        <w:t>da devem estar previstos no BDI</w:t>
      </w:r>
      <w:r w:rsidR="00C446B7" w:rsidRPr="000D054D">
        <w:rPr>
          <w:b/>
          <w:sz w:val="22"/>
          <w:szCs w:val="22"/>
          <w:lang w:eastAsia="pt-BR"/>
        </w:rPr>
        <w:t>, em item único e próprio,</w:t>
      </w:r>
      <w:r w:rsidR="000D054D">
        <w:rPr>
          <w:b/>
          <w:sz w:val="22"/>
          <w:szCs w:val="22"/>
          <w:lang w:eastAsia="pt-BR"/>
        </w:rPr>
        <w:t xml:space="preserve"> e</w:t>
      </w:r>
      <w:r w:rsidR="00DD1F42" w:rsidRPr="000D054D">
        <w:rPr>
          <w:b/>
          <w:sz w:val="22"/>
          <w:szCs w:val="22"/>
          <w:lang w:eastAsia="pt-BR"/>
        </w:rPr>
        <w:t xml:space="preserve"> não no campo para custos diretos</w:t>
      </w:r>
      <w:r w:rsidR="009A165D" w:rsidRPr="000D054D">
        <w:rPr>
          <w:b/>
          <w:sz w:val="22"/>
          <w:szCs w:val="22"/>
          <w:lang w:eastAsia="pt-BR"/>
        </w:rPr>
        <w:t>.</w:t>
      </w:r>
      <w:r w:rsidR="000D054D">
        <w:rPr>
          <w:b/>
          <w:sz w:val="22"/>
          <w:szCs w:val="22"/>
          <w:lang w:eastAsia="pt-BR"/>
        </w:rPr>
        <w:t xml:space="preserve"> O</w:t>
      </w:r>
      <w:r w:rsidR="000D054D" w:rsidRPr="000D054D">
        <w:rPr>
          <w:b/>
          <w:sz w:val="22"/>
          <w:szCs w:val="22"/>
        </w:rPr>
        <w:t xml:space="preserve"> BDI </w:t>
      </w:r>
      <w:r w:rsidR="000D054D">
        <w:rPr>
          <w:b/>
          <w:sz w:val="22"/>
          <w:szCs w:val="22"/>
        </w:rPr>
        <w:t>é o elemento</w:t>
      </w:r>
      <w:r w:rsidR="000D054D" w:rsidRPr="000D054D">
        <w:rPr>
          <w:b/>
          <w:sz w:val="22"/>
          <w:szCs w:val="22"/>
        </w:rPr>
        <w:t xml:space="preserve"> orçamentário destinado a cobrir as despesas classificadas como custo indireto, ou seja, as não diretamente relacionadas à execuç</w:t>
      </w:r>
      <w:r w:rsidR="000D054D">
        <w:rPr>
          <w:b/>
          <w:sz w:val="22"/>
          <w:szCs w:val="22"/>
        </w:rPr>
        <w:t>ão do objeto contratado, como a cobertura de riscos eventuais ou imprevisíveis.</w:t>
      </w:r>
    </w:p>
    <w:p w:rsidR="00DE6391" w:rsidRPr="00471F22" w:rsidRDefault="00A4627F" w:rsidP="00471F22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A</w:t>
      </w:r>
      <w:r w:rsidRPr="00A4627F">
        <w:rPr>
          <w:sz w:val="22"/>
          <w:szCs w:val="22"/>
        </w:rPr>
        <w:t>uditoria de conformidade realizada na Secretaria de Porto</w:t>
      </w:r>
      <w:r w:rsidR="0091790B">
        <w:rPr>
          <w:sz w:val="22"/>
          <w:szCs w:val="22"/>
        </w:rPr>
        <w:t>s da Presidência da República (</w:t>
      </w:r>
      <w:r w:rsidRPr="00A4627F">
        <w:rPr>
          <w:sz w:val="22"/>
          <w:szCs w:val="22"/>
        </w:rPr>
        <w:t>SEP/PR</w:t>
      </w:r>
      <w:r w:rsidR="0091790B">
        <w:rPr>
          <w:sz w:val="22"/>
          <w:szCs w:val="22"/>
        </w:rPr>
        <w:t>)</w:t>
      </w:r>
      <w:r w:rsidRPr="00A4627F">
        <w:rPr>
          <w:sz w:val="22"/>
          <w:szCs w:val="22"/>
        </w:rPr>
        <w:t xml:space="preserve"> para verificar a execução das obras de dragagem do Porto de Itaguaí</w:t>
      </w:r>
      <w:r>
        <w:rPr>
          <w:sz w:val="22"/>
          <w:szCs w:val="22"/>
        </w:rPr>
        <w:t>/SC apontara, dentre outros achados, possível sobrepreço decorrente da inclusão</w:t>
      </w:r>
      <w:r w:rsidR="009179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F1617">
        <w:rPr>
          <w:sz w:val="22"/>
          <w:szCs w:val="22"/>
        </w:rPr>
        <w:t>na composição de preços unitários do item</w:t>
      </w:r>
      <w:r w:rsidR="0091790B">
        <w:rPr>
          <w:sz w:val="22"/>
          <w:szCs w:val="22"/>
        </w:rPr>
        <w:t xml:space="preserve"> “Dragagem”</w:t>
      </w:r>
      <w:r w:rsidR="00A82156">
        <w:rPr>
          <w:sz w:val="22"/>
          <w:szCs w:val="22"/>
        </w:rPr>
        <w:t xml:space="preserve">, </w:t>
      </w:r>
      <w:r w:rsidR="0091790B">
        <w:rPr>
          <w:sz w:val="22"/>
          <w:szCs w:val="22"/>
        </w:rPr>
        <w:t>do custo</w:t>
      </w:r>
      <w:r w:rsidR="00A82156">
        <w:rPr>
          <w:sz w:val="22"/>
          <w:szCs w:val="22"/>
        </w:rPr>
        <w:t xml:space="preserve"> direto “Despesas Eventuais”, que estaria em duplicidade com o custo indireto</w:t>
      </w:r>
      <w:r w:rsidR="005F1617">
        <w:rPr>
          <w:sz w:val="22"/>
          <w:szCs w:val="22"/>
        </w:rPr>
        <w:t xml:space="preserve"> </w:t>
      </w:r>
      <w:r w:rsidR="00A82156">
        <w:rPr>
          <w:sz w:val="22"/>
          <w:szCs w:val="22"/>
        </w:rPr>
        <w:t>“Taxa de Margem de Incerteza”, contemplado no BDI</w:t>
      </w:r>
      <w:r w:rsidR="005F1617">
        <w:rPr>
          <w:sz w:val="22"/>
          <w:szCs w:val="22"/>
        </w:rPr>
        <w:t xml:space="preserve">. </w:t>
      </w:r>
      <w:r w:rsidR="00E769E0">
        <w:rPr>
          <w:sz w:val="22"/>
          <w:szCs w:val="22"/>
        </w:rPr>
        <w:t>Em preliminar, o relator consignou que o orçamento base fora</w:t>
      </w:r>
      <w:r w:rsidR="00A82156">
        <w:rPr>
          <w:sz w:val="22"/>
          <w:szCs w:val="22"/>
        </w:rPr>
        <w:t xml:space="preserve"> elaborado no âmbito do </w:t>
      </w:r>
      <w:r w:rsidR="00E769E0" w:rsidRPr="00E769E0">
        <w:rPr>
          <w:sz w:val="22"/>
          <w:szCs w:val="22"/>
        </w:rPr>
        <w:t>Instituto Nacional de Pesquisas Hidroviárias</w:t>
      </w:r>
      <w:r w:rsidR="00A82156">
        <w:rPr>
          <w:sz w:val="22"/>
          <w:szCs w:val="22"/>
        </w:rPr>
        <w:t xml:space="preserve"> (INPH)</w:t>
      </w:r>
      <w:r w:rsidR="00E769E0" w:rsidRPr="00E769E0">
        <w:rPr>
          <w:sz w:val="22"/>
          <w:szCs w:val="22"/>
        </w:rPr>
        <w:t xml:space="preserve">, órgão subordinado à </w:t>
      </w:r>
      <w:r w:rsidR="00A82156">
        <w:rPr>
          <w:sz w:val="22"/>
          <w:szCs w:val="22"/>
        </w:rPr>
        <w:t>SEP/</w:t>
      </w:r>
      <w:r w:rsidR="00E769E0">
        <w:rPr>
          <w:sz w:val="22"/>
          <w:szCs w:val="22"/>
        </w:rPr>
        <w:t>PR, com consultoria técnica do Centro de Excelência</w:t>
      </w:r>
      <w:r w:rsidR="00A82156">
        <w:rPr>
          <w:sz w:val="22"/>
          <w:szCs w:val="22"/>
        </w:rPr>
        <w:t xml:space="preserve"> em Engenharia de Transportes (</w:t>
      </w:r>
      <w:r w:rsidR="00E769E0">
        <w:rPr>
          <w:sz w:val="22"/>
          <w:szCs w:val="22"/>
        </w:rPr>
        <w:t>Centran</w:t>
      </w:r>
      <w:r w:rsidR="00A82156">
        <w:rPr>
          <w:sz w:val="22"/>
          <w:szCs w:val="22"/>
        </w:rPr>
        <w:t>)</w:t>
      </w:r>
      <w:r w:rsidR="00E769E0">
        <w:rPr>
          <w:sz w:val="22"/>
          <w:szCs w:val="22"/>
        </w:rPr>
        <w:t xml:space="preserve">, do Departamento de Engenharia e Construção do Exército Brasileiro. Realizado o contraditório, </w:t>
      </w:r>
      <w:r w:rsidR="003E48CB">
        <w:rPr>
          <w:sz w:val="22"/>
          <w:szCs w:val="22"/>
        </w:rPr>
        <w:t xml:space="preserve">tanto </w:t>
      </w:r>
      <w:r w:rsidR="00E769E0">
        <w:rPr>
          <w:sz w:val="22"/>
          <w:szCs w:val="22"/>
        </w:rPr>
        <w:t>o Centran</w:t>
      </w:r>
      <w:r w:rsidR="003E48CB">
        <w:rPr>
          <w:sz w:val="22"/>
          <w:szCs w:val="22"/>
        </w:rPr>
        <w:t xml:space="preserve"> quanto a empresa contratada</w:t>
      </w:r>
      <w:r w:rsidR="00E769E0">
        <w:rPr>
          <w:sz w:val="22"/>
          <w:szCs w:val="22"/>
        </w:rPr>
        <w:t xml:space="preserve"> defe</w:t>
      </w:r>
      <w:r w:rsidR="003E48CB">
        <w:rPr>
          <w:sz w:val="22"/>
          <w:szCs w:val="22"/>
        </w:rPr>
        <w:t>nderam</w:t>
      </w:r>
      <w:r w:rsidR="00E769E0">
        <w:rPr>
          <w:sz w:val="22"/>
          <w:szCs w:val="22"/>
        </w:rPr>
        <w:t xml:space="preserve"> haver distinção entre “margem de incerteza” e “despesas eventuais”: </w:t>
      </w:r>
      <w:r w:rsidR="00E769E0" w:rsidRPr="00E769E0">
        <w:rPr>
          <w:i/>
          <w:sz w:val="22"/>
          <w:szCs w:val="22"/>
        </w:rPr>
        <w:t>“</w:t>
      </w:r>
      <w:r w:rsidR="00E769E0" w:rsidRPr="00E769E0">
        <w:rPr>
          <w:i/>
          <w:sz w:val="22"/>
          <w:szCs w:val="22"/>
          <w:lang w:val="pt-PT"/>
        </w:rPr>
        <w:t xml:space="preserve">Os riscos inerentes à </w:t>
      </w:r>
      <w:r w:rsidR="00E769E0" w:rsidRPr="00E769E0">
        <w:rPr>
          <w:b/>
          <w:i/>
          <w:sz w:val="22"/>
          <w:szCs w:val="22"/>
          <w:lang w:val="pt-PT"/>
        </w:rPr>
        <w:t>elaboração dos projetos</w:t>
      </w:r>
      <w:r w:rsidR="00E769E0" w:rsidRPr="00E769E0">
        <w:rPr>
          <w:i/>
          <w:sz w:val="22"/>
          <w:szCs w:val="22"/>
          <w:lang w:val="pt-PT"/>
        </w:rPr>
        <w:t xml:space="preserve"> de dragagem (risco de projeto, climáticos e naturais, término antecipado e jurídico) seriam aqueles contidos na “margem de incerteza”; e os riscos de </w:t>
      </w:r>
      <w:r w:rsidR="00E769E0" w:rsidRPr="00E769E0">
        <w:rPr>
          <w:b/>
          <w:i/>
          <w:sz w:val="22"/>
          <w:szCs w:val="22"/>
          <w:lang w:val="pt-PT"/>
        </w:rPr>
        <w:t>execução de dragagem</w:t>
      </w:r>
      <w:r w:rsidR="00E769E0" w:rsidRPr="00E769E0">
        <w:rPr>
          <w:i/>
          <w:sz w:val="22"/>
          <w:szCs w:val="22"/>
          <w:lang w:val="pt-PT"/>
        </w:rPr>
        <w:t xml:space="preserve"> (riscos de obras, performance  e operacionais) aqueles contidos nas despesas eventuais”</w:t>
      </w:r>
      <w:r w:rsidR="003E48CB">
        <w:rPr>
          <w:sz w:val="22"/>
          <w:szCs w:val="22"/>
          <w:lang w:val="pt-PT"/>
        </w:rPr>
        <w:t>, razão p</w:t>
      </w:r>
      <w:r w:rsidR="00E00AF0">
        <w:rPr>
          <w:sz w:val="22"/>
          <w:szCs w:val="22"/>
          <w:lang w:val="pt-PT"/>
        </w:rPr>
        <w:t xml:space="preserve">ela qual essas últimas </w:t>
      </w:r>
      <w:r w:rsidR="003E48CB">
        <w:rPr>
          <w:sz w:val="22"/>
          <w:szCs w:val="22"/>
          <w:lang w:val="pt-PT"/>
        </w:rPr>
        <w:t>caract</w:t>
      </w:r>
      <w:r w:rsidR="00E00AF0">
        <w:rPr>
          <w:sz w:val="22"/>
          <w:szCs w:val="22"/>
          <w:lang w:val="pt-PT"/>
        </w:rPr>
        <w:t>erizariam custos diretos</w:t>
      </w:r>
      <w:r w:rsidR="003E48CB">
        <w:rPr>
          <w:sz w:val="22"/>
          <w:szCs w:val="22"/>
          <w:lang w:val="pt-PT"/>
        </w:rPr>
        <w:t xml:space="preserve">. Analisando o feito, o relator manifestou anuência ao entendimento da unidade instrutiva no sentido de que </w:t>
      </w:r>
      <w:r w:rsidR="003E48CB" w:rsidRPr="003E48CB">
        <w:rPr>
          <w:i/>
          <w:sz w:val="22"/>
          <w:szCs w:val="22"/>
          <w:lang w:val="pt-PT"/>
        </w:rPr>
        <w:t>“</w:t>
      </w:r>
      <w:r w:rsidR="003E48CB" w:rsidRPr="003E48CB">
        <w:rPr>
          <w:i/>
          <w:sz w:val="22"/>
          <w:szCs w:val="22"/>
        </w:rPr>
        <w:t>os elementos integrantes do</w:t>
      </w:r>
      <w:r w:rsidR="00E00AF0">
        <w:rPr>
          <w:i/>
          <w:sz w:val="22"/>
          <w:szCs w:val="22"/>
        </w:rPr>
        <w:t>s itens ‘Despesas Eventuais’ e ‘Taxa de Margem de Incerteza’</w:t>
      </w:r>
      <w:r w:rsidR="003E48CB" w:rsidRPr="003E48CB">
        <w:rPr>
          <w:i/>
          <w:sz w:val="22"/>
          <w:szCs w:val="22"/>
        </w:rPr>
        <w:t>, ainda que não sejam compostos pelos mesmos tipos de riscos, como alegam os responsáveis, destinam-se, todos eles, ao mesmo fim</w:t>
      </w:r>
      <w:r w:rsidR="003E48CB" w:rsidRPr="003E48CB">
        <w:rPr>
          <w:bCs/>
          <w:i/>
          <w:sz w:val="22"/>
          <w:szCs w:val="22"/>
        </w:rPr>
        <w:t xml:space="preserve"> (cobertura de possíveis riscos eventuais ou imprevisíveis, que prejudicam a execução da obra)</w:t>
      </w:r>
      <w:r w:rsidR="003E48CB" w:rsidRPr="003E48CB">
        <w:rPr>
          <w:i/>
          <w:sz w:val="22"/>
          <w:szCs w:val="22"/>
        </w:rPr>
        <w:t>, devendo estar previstos uma vez só, em item único e próprio do orçamento”</w:t>
      </w:r>
      <w:r w:rsidR="003E48CB">
        <w:rPr>
          <w:sz w:val="22"/>
          <w:szCs w:val="22"/>
        </w:rPr>
        <w:t xml:space="preserve">. Nesse sentido, </w:t>
      </w:r>
      <w:r w:rsidR="003E48CB" w:rsidRPr="003E48CB">
        <w:rPr>
          <w:i/>
          <w:sz w:val="22"/>
          <w:szCs w:val="22"/>
        </w:rPr>
        <w:t>“todos os fatores de risco entendidos como pertinentes pela contratada devem estar previstos no BDI (no subelemento ‘margem de incerteza’), que é o item</w:t>
      </w:r>
      <w:r w:rsidR="003E48CB" w:rsidRPr="003E48CB">
        <w:rPr>
          <w:i/>
          <w:sz w:val="22"/>
          <w:szCs w:val="22"/>
          <w:lang w:val="pt-PT"/>
        </w:rPr>
        <w:t xml:space="preserve"> orçamentário destinado a cobrir todas as despesas classificadas como custo indireto, que são aquelas não diretamente relacionadas com os insumos necessários à produção dos produtos em si”</w:t>
      </w:r>
      <w:r w:rsidR="003E48CB">
        <w:rPr>
          <w:sz w:val="22"/>
          <w:szCs w:val="22"/>
          <w:lang w:val="pt-PT"/>
        </w:rPr>
        <w:t xml:space="preserve">. Os custos classificados como diretos, prosseguiu, </w:t>
      </w:r>
      <w:r w:rsidR="003E48CB" w:rsidRPr="003E48CB">
        <w:rPr>
          <w:i/>
          <w:sz w:val="22"/>
          <w:szCs w:val="22"/>
          <w:lang w:val="pt-PT"/>
        </w:rPr>
        <w:t>“se referem aos elementos diretamente relacionados à execução do objeto contratado (mão de obras, equipamentos etc), dos quais não fazem parte os eventos imprevisíveis”</w:t>
      </w:r>
      <w:r w:rsidR="003E48CB">
        <w:rPr>
          <w:sz w:val="22"/>
          <w:szCs w:val="22"/>
          <w:lang w:val="pt-PT"/>
        </w:rPr>
        <w:t>.</w:t>
      </w:r>
      <w:r w:rsidR="00820067">
        <w:rPr>
          <w:sz w:val="22"/>
          <w:szCs w:val="22"/>
          <w:lang w:val="pt-PT"/>
        </w:rPr>
        <w:t xml:space="preserve"> </w:t>
      </w:r>
      <w:r w:rsidR="006743B8">
        <w:rPr>
          <w:sz w:val="22"/>
          <w:szCs w:val="22"/>
          <w:lang w:val="pt-PT"/>
        </w:rPr>
        <w:t>N</w:t>
      </w:r>
      <w:r w:rsidR="00820067">
        <w:rPr>
          <w:sz w:val="22"/>
          <w:szCs w:val="22"/>
          <w:lang w:val="pt-PT"/>
        </w:rPr>
        <w:t>esses</w:t>
      </w:r>
      <w:r w:rsidR="006743B8">
        <w:rPr>
          <w:sz w:val="22"/>
          <w:szCs w:val="22"/>
          <w:lang w:val="pt-PT"/>
        </w:rPr>
        <w:t xml:space="preserve"> termos, concluiu,</w:t>
      </w:r>
      <w:r w:rsidR="003E48CB">
        <w:rPr>
          <w:sz w:val="22"/>
          <w:szCs w:val="22"/>
          <w:lang w:val="pt-PT"/>
        </w:rPr>
        <w:t xml:space="preserve"> </w:t>
      </w:r>
      <w:r w:rsidR="003E48CB" w:rsidRPr="006743B8">
        <w:rPr>
          <w:i/>
          <w:sz w:val="22"/>
          <w:szCs w:val="22"/>
          <w:lang w:val="pt-PT"/>
        </w:rPr>
        <w:t>“</w:t>
      </w:r>
      <w:r w:rsidR="00E00AF0">
        <w:rPr>
          <w:i/>
          <w:sz w:val="22"/>
          <w:szCs w:val="22"/>
          <w:lang w:val="pt-PT"/>
        </w:rPr>
        <w:t>é</w:t>
      </w:r>
      <w:r w:rsidR="006743B8" w:rsidRPr="006743B8">
        <w:rPr>
          <w:i/>
          <w:sz w:val="22"/>
          <w:szCs w:val="22"/>
        </w:rPr>
        <w:t xml:space="preserve"> pacífico o entendimento do TCU de que as despesas relativas a fatos imprevisíveis devem estar contidas no BDI e não no campo para custos diretos”</w:t>
      </w:r>
      <w:r w:rsidR="006743B8">
        <w:rPr>
          <w:sz w:val="22"/>
          <w:szCs w:val="22"/>
        </w:rPr>
        <w:t>.</w:t>
      </w:r>
      <w:r w:rsidR="00820067">
        <w:rPr>
          <w:sz w:val="22"/>
          <w:szCs w:val="22"/>
        </w:rPr>
        <w:t xml:space="preserve"> Sopesadas as atenuantes, especialmente as</w:t>
      </w:r>
      <w:r w:rsidR="00820067" w:rsidRPr="00820067">
        <w:rPr>
          <w:sz w:val="22"/>
          <w:szCs w:val="22"/>
        </w:rPr>
        <w:t xml:space="preserve"> limitações e restrições impostas</w:t>
      </w:r>
      <w:r w:rsidR="00E00AF0">
        <w:rPr>
          <w:sz w:val="22"/>
          <w:szCs w:val="22"/>
        </w:rPr>
        <w:t>, à época,</w:t>
      </w:r>
      <w:r w:rsidR="00820067" w:rsidRPr="00820067">
        <w:rPr>
          <w:sz w:val="22"/>
          <w:szCs w:val="22"/>
        </w:rPr>
        <w:t xml:space="preserve"> pelo ineditismo do tipo e</w:t>
      </w:r>
      <w:r w:rsidR="00E00AF0">
        <w:rPr>
          <w:sz w:val="22"/>
          <w:szCs w:val="22"/>
        </w:rPr>
        <w:t xml:space="preserve"> do</w:t>
      </w:r>
      <w:r w:rsidR="00820067" w:rsidRPr="00820067">
        <w:rPr>
          <w:sz w:val="22"/>
          <w:szCs w:val="22"/>
        </w:rPr>
        <w:t xml:space="preserve"> porte </w:t>
      </w:r>
      <w:r w:rsidR="00820067">
        <w:rPr>
          <w:sz w:val="22"/>
          <w:szCs w:val="22"/>
        </w:rPr>
        <w:t>da obra</w:t>
      </w:r>
      <w:r w:rsidR="00E00AF0">
        <w:rPr>
          <w:sz w:val="22"/>
          <w:szCs w:val="22"/>
        </w:rPr>
        <w:t xml:space="preserve"> (dragagem por resultado)</w:t>
      </w:r>
      <w:r w:rsidR="00820067">
        <w:rPr>
          <w:sz w:val="22"/>
          <w:szCs w:val="22"/>
        </w:rPr>
        <w:t xml:space="preserve"> e a</w:t>
      </w:r>
      <w:r w:rsidR="00820067" w:rsidRPr="00820067">
        <w:rPr>
          <w:sz w:val="22"/>
          <w:szCs w:val="22"/>
        </w:rPr>
        <w:t xml:space="preserve"> falta de um sistema de referência oficial de preços para serviços de dragagem</w:t>
      </w:r>
      <w:r w:rsidR="00AF7A2B">
        <w:rPr>
          <w:sz w:val="22"/>
          <w:szCs w:val="22"/>
        </w:rPr>
        <w:t xml:space="preserve">, </w:t>
      </w:r>
      <w:r w:rsidR="002E37B2">
        <w:rPr>
          <w:sz w:val="22"/>
          <w:szCs w:val="22"/>
        </w:rPr>
        <w:t xml:space="preserve">bem como a não consumação de sobrepreço na proposta da contratada, o Plenário acolheu a proposta do relator, rejeitando no ponto as justificativas apresentadas e arquivando o processo. </w:t>
      </w:r>
      <w:hyperlink r:id="rId11" w:history="1">
        <w:r w:rsidR="00FF729D" w:rsidRPr="00FF729D">
          <w:rPr>
            <w:b/>
            <w:i/>
            <w:color w:val="0000FF"/>
            <w:sz w:val="22"/>
            <w:szCs w:val="22"/>
          </w:rPr>
          <w:t>Acórdão 1733/2014</w:t>
        </w:r>
        <w:r w:rsidR="00FF729D">
          <w:rPr>
            <w:b/>
            <w:i/>
            <w:color w:val="0000FF"/>
            <w:sz w:val="22"/>
            <w:szCs w:val="22"/>
          </w:rPr>
          <w:t>-</w:t>
        </w:r>
        <w:r w:rsidR="00FF729D" w:rsidRPr="00FF729D">
          <w:rPr>
            <w:b/>
            <w:i/>
            <w:color w:val="0000FF"/>
            <w:sz w:val="22"/>
            <w:szCs w:val="22"/>
          </w:rPr>
          <w:t>Plenário</w:t>
        </w:r>
      </w:hyperlink>
      <w:r w:rsidRPr="00A4627F">
        <w:rPr>
          <w:b/>
          <w:i/>
          <w:sz w:val="22"/>
          <w:szCs w:val="22"/>
        </w:rPr>
        <w:t>, TC 013.874/2010-1, relator Ministro José Jorge, 2.7.2014</w:t>
      </w:r>
      <w:r w:rsidR="0082135E" w:rsidRPr="00A4627F">
        <w:rPr>
          <w:b/>
          <w:i/>
          <w:sz w:val="22"/>
          <w:szCs w:val="22"/>
        </w:rPr>
        <w:t>.</w:t>
      </w:r>
    </w:p>
    <w:p w:rsidR="000957B7" w:rsidRPr="00827830" w:rsidRDefault="000957B7" w:rsidP="00104D9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6F" w:rsidRDefault="00AA326F" w:rsidP="008B0547">
      <w:pPr>
        <w:spacing w:after="0"/>
      </w:pPr>
      <w:r>
        <w:separator/>
      </w:r>
    </w:p>
  </w:endnote>
  <w:endnote w:type="continuationSeparator" w:id="0">
    <w:p w:rsidR="00AA326F" w:rsidRDefault="00AA326F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F458E7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6F" w:rsidRDefault="00AA326F" w:rsidP="008B0547">
      <w:pPr>
        <w:spacing w:after="0"/>
      </w:pPr>
      <w:r>
        <w:separator/>
      </w:r>
    </w:p>
  </w:footnote>
  <w:footnote w:type="continuationSeparator" w:id="0">
    <w:p w:rsidR="00AA326F" w:rsidRDefault="00AA326F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173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6823"/>
    <w:rsid w:val="001B7758"/>
    <w:rsid w:val="001B7898"/>
    <w:rsid w:val="001B7EFA"/>
    <w:rsid w:val="001B7F4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3A8"/>
    <w:rsid w:val="00576B38"/>
    <w:rsid w:val="00576D6B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5AE"/>
    <w:rsid w:val="005D6A61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6FA"/>
    <w:rsid w:val="008577C7"/>
    <w:rsid w:val="008578B7"/>
    <w:rsid w:val="0085795A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3B0E"/>
    <w:rsid w:val="00A34307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67C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326B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362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1B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8E7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0842&amp;texto=2b2532384e554d41434f5244414f253341313733332b4f522b4e554d52454c4143414f25334131373333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0846&amp;texto=2b2532384e554d41434f5244414f253341313732392b4f522b4e554d52454c4143414f253341313732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0847&amp;texto=2b2532384e554d41434f5244414f253341313732382b4f522b4e554d52454c4143414f253341313732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ECC3-2A92-4ACF-A202-A28DDD53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1807</Words>
  <Characters>9760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11544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2015-05-07T13:24:00Z</dcterms:created>
  <dcterms:modified xsi:type="dcterms:W3CDTF">2015-05-07T13:24:00Z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