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C156D7" w:rsidP="00BC47C5">
      <w:pPr>
        <w:pStyle w:val="Ttulo8"/>
        <w:tabs>
          <w:tab w:val="right" w:pos="4423"/>
        </w:tabs>
        <w:spacing w:before="0" w:after="0"/>
        <w:ind w:left="0"/>
        <w:rPr>
          <w:rFonts w:ascii="Times New Roman" w:hAnsi="Times New Roman"/>
          <w:b/>
          <w:i w:val="0"/>
          <w:sz w:val="22"/>
          <w:szCs w:val="22"/>
        </w:rPr>
      </w:pPr>
      <w:bookmarkStart w:id="0" w:name="_GoBack"/>
      <w:bookmarkEnd w:id="0"/>
      <w:r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B40473" w:rsidRDefault="00B40473"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20</w:t>
      </w:r>
      <w:r w:rsidR="00C00FE5">
        <w:rPr>
          <w:rFonts w:ascii="Times New Roman" w:hAnsi="Times New Roman"/>
          <w:b/>
          <w:i w:val="0"/>
          <w:sz w:val="22"/>
          <w:szCs w:val="22"/>
          <w:lang w:val="pt-BR"/>
        </w:rPr>
        <w:t>3</w:t>
      </w:r>
    </w:p>
    <w:p w:rsidR="00C61626" w:rsidRPr="00827830" w:rsidRDefault="0008246E" w:rsidP="002815F0">
      <w:pPr>
        <w:pStyle w:val="Ttulo8"/>
        <w:tabs>
          <w:tab w:val="right" w:pos="4423"/>
        </w:tabs>
        <w:spacing w:before="0"/>
        <w:ind w:left="0"/>
        <w:jc w:val="center"/>
        <w:rPr>
          <w:rFonts w:ascii="Times New Roman" w:hAnsi="Times New Roman"/>
          <w:b/>
          <w:i w:val="0"/>
          <w:sz w:val="22"/>
          <w:szCs w:val="22"/>
          <w:lang w:val="pt-BR"/>
        </w:rPr>
      </w:pPr>
      <w:r w:rsidRPr="00827830">
        <w:rPr>
          <w:rFonts w:ascii="Times New Roman" w:hAnsi="Times New Roman"/>
          <w:b/>
          <w:i w:val="0"/>
          <w:sz w:val="22"/>
          <w:szCs w:val="22"/>
        </w:rPr>
        <w:t>Sess</w:t>
      </w:r>
      <w:r w:rsidR="00C00FE5">
        <w:rPr>
          <w:rFonts w:ascii="Times New Roman" w:hAnsi="Times New Roman"/>
          <w:b/>
          <w:i w:val="0"/>
          <w:sz w:val="22"/>
          <w:szCs w:val="22"/>
          <w:lang w:val="pt-BR"/>
        </w:rPr>
        <w:t>ões</w:t>
      </w:r>
      <w:r w:rsidRPr="00827830">
        <w:rPr>
          <w:rFonts w:ascii="Times New Roman" w:hAnsi="Times New Roman"/>
          <w:b/>
          <w:i w:val="0"/>
          <w:sz w:val="22"/>
          <w:szCs w:val="22"/>
        </w:rPr>
        <w:t>:</w:t>
      </w:r>
      <w:r w:rsidR="00C341B8" w:rsidRPr="00827830">
        <w:rPr>
          <w:rFonts w:ascii="Times New Roman" w:hAnsi="Times New Roman"/>
          <w:b/>
          <w:i w:val="0"/>
          <w:sz w:val="22"/>
          <w:szCs w:val="22"/>
        </w:rPr>
        <w:t xml:space="preserve"> </w:t>
      </w:r>
      <w:r w:rsidR="00C00FE5">
        <w:rPr>
          <w:rFonts w:ascii="Times New Roman" w:hAnsi="Times New Roman"/>
          <w:b/>
          <w:i w:val="0"/>
          <w:sz w:val="22"/>
          <w:szCs w:val="22"/>
          <w:lang w:val="pt-BR"/>
        </w:rPr>
        <w:t>24 e 25</w:t>
      </w:r>
      <w:r w:rsidRPr="00827830">
        <w:rPr>
          <w:rFonts w:ascii="Times New Roman" w:hAnsi="Times New Roman"/>
          <w:b/>
          <w:i w:val="0"/>
          <w:sz w:val="22"/>
          <w:szCs w:val="22"/>
        </w:rPr>
        <w:t xml:space="preserve"> de </w:t>
      </w:r>
      <w:r w:rsidR="00700949" w:rsidRPr="00827830">
        <w:rPr>
          <w:rFonts w:ascii="Times New Roman" w:hAnsi="Times New Roman"/>
          <w:b/>
          <w:i w:val="0"/>
          <w:sz w:val="22"/>
          <w:szCs w:val="22"/>
          <w:lang w:val="pt-BR"/>
        </w:rPr>
        <w:t>junho</w:t>
      </w:r>
      <w:r w:rsidR="000C5536" w:rsidRPr="00827830">
        <w:rPr>
          <w:rFonts w:ascii="Times New Roman" w:hAnsi="Times New Roman"/>
          <w:b/>
          <w:i w:val="0"/>
          <w:sz w:val="22"/>
          <w:szCs w:val="22"/>
        </w:rPr>
        <w:t xml:space="preserve"> de 201</w:t>
      </w:r>
      <w:r w:rsidR="000C5536" w:rsidRPr="00827830">
        <w:rPr>
          <w:rFonts w:ascii="Times New Roman" w:hAnsi="Times New Roman"/>
          <w:b/>
          <w:i w:val="0"/>
          <w:sz w:val="22"/>
          <w:szCs w:val="22"/>
          <w:lang w:val="pt-BR"/>
        </w:rPr>
        <w:t>4</w:t>
      </w:r>
    </w:p>
    <w:p w:rsidR="0008246E" w:rsidRDefault="0008246E" w:rsidP="000A7A63">
      <w:pPr>
        <w:pStyle w:val="Corpodetexto2"/>
        <w:spacing w:after="60" w:line="240" w:lineRule="auto"/>
        <w:ind w:left="0"/>
        <w:rPr>
          <w:sz w:val="22"/>
          <w:szCs w:val="22"/>
        </w:rPr>
      </w:pPr>
      <w:r w:rsidRPr="000A7A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DA3477" w:rsidRPr="000A7A63" w:rsidRDefault="00DA3477" w:rsidP="000A7A63">
      <w:pPr>
        <w:pStyle w:val="Corpodetexto2"/>
        <w:spacing w:after="60" w:line="240" w:lineRule="auto"/>
        <w:ind w:left="0"/>
        <w:rPr>
          <w:sz w:val="22"/>
          <w:szCs w:val="22"/>
        </w:rPr>
      </w:pPr>
    </w:p>
    <w:p w:rsidR="0008246E" w:rsidRPr="000A7A63"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0A7A63">
        <w:rPr>
          <w:b/>
          <w:bCs/>
          <w:smallCaps/>
          <w:sz w:val="22"/>
          <w:szCs w:val="22"/>
        </w:rPr>
        <w:t>SUMÁRIO</w:t>
      </w:r>
    </w:p>
    <w:p w:rsidR="00175500" w:rsidRPr="000A7A63" w:rsidRDefault="0008246E" w:rsidP="00CC1342">
      <w:pPr>
        <w:autoSpaceDE w:val="0"/>
        <w:autoSpaceDN w:val="0"/>
        <w:adjustRightInd w:val="0"/>
        <w:spacing w:after="60"/>
        <w:ind w:left="0"/>
        <w:rPr>
          <w:b/>
          <w:sz w:val="22"/>
          <w:szCs w:val="22"/>
          <w:lang w:eastAsia="pt-BR"/>
        </w:rPr>
      </w:pPr>
      <w:r w:rsidRPr="000A7A63">
        <w:rPr>
          <w:b/>
          <w:sz w:val="22"/>
          <w:szCs w:val="22"/>
          <w:lang w:eastAsia="pt-BR"/>
        </w:rPr>
        <w:t>Plenário</w:t>
      </w:r>
    </w:p>
    <w:p w:rsidR="00A1416D" w:rsidRDefault="005D2C45" w:rsidP="006F6684">
      <w:pPr>
        <w:autoSpaceDE w:val="0"/>
        <w:autoSpaceDN w:val="0"/>
        <w:adjustRightInd w:val="0"/>
        <w:spacing w:after="60"/>
        <w:ind w:left="0"/>
        <w:rPr>
          <w:sz w:val="22"/>
          <w:szCs w:val="22"/>
          <w:lang w:eastAsia="pt-BR"/>
        </w:rPr>
      </w:pPr>
      <w:r>
        <w:rPr>
          <w:sz w:val="22"/>
          <w:szCs w:val="22"/>
          <w:lang w:eastAsia="pt-BR"/>
        </w:rPr>
        <w:t>1</w:t>
      </w:r>
      <w:r w:rsidRPr="00DE6391">
        <w:rPr>
          <w:sz w:val="22"/>
          <w:szCs w:val="22"/>
          <w:lang w:eastAsia="pt-BR"/>
        </w:rPr>
        <w:t xml:space="preserve">. </w:t>
      </w:r>
      <w:r w:rsidR="00A1416D" w:rsidRPr="00DE6391">
        <w:rPr>
          <w:sz w:val="22"/>
          <w:szCs w:val="22"/>
          <w:lang w:eastAsia="pt-BR"/>
        </w:rPr>
        <w:t xml:space="preserve">Nos contratos por escopo, inexistindo motivos para sua rescisão ou </w:t>
      </w:r>
      <w:r w:rsidR="00DE6391">
        <w:rPr>
          <w:sz w:val="22"/>
          <w:szCs w:val="22"/>
          <w:lang w:eastAsia="pt-BR"/>
        </w:rPr>
        <w:t>anulação, a extinção do ajuste</w:t>
      </w:r>
      <w:r w:rsidR="00A1416D" w:rsidRPr="00DE6391">
        <w:rPr>
          <w:sz w:val="22"/>
          <w:szCs w:val="22"/>
          <w:lang w:eastAsia="pt-BR"/>
        </w:rPr>
        <w:t xml:space="preserve"> somente </w:t>
      </w:r>
      <w:r w:rsidR="00DE6391">
        <w:rPr>
          <w:sz w:val="22"/>
          <w:szCs w:val="22"/>
          <w:lang w:eastAsia="pt-BR"/>
        </w:rPr>
        <w:t xml:space="preserve">se opera com a conclusão do </w:t>
      </w:r>
      <w:r w:rsidR="00A1416D" w:rsidRPr="00DE6391">
        <w:rPr>
          <w:sz w:val="22"/>
          <w:szCs w:val="22"/>
          <w:lang w:eastAsia="pt-BR"/>
        </w:rPr>
        <w:t>objeto e</w:t>
      </w:r>
      <w:r w:rsidR="00DE6391">
        <w:rPr>
          <w:sz w:val="22"/>
          <w:szCs w:val="22"/>
          <w:lang w:eastAsia="pt-BR"/>
        </w:rPr>
        <w:t xml:space="preserve"> o seu</w:t>
      </w:r>
      <w:r w:rsidR="00A1416D" w:rsidRPr="00DE6391">
        <w:rPr>
          <w:sz w:val="22"/>
          <w:szCs w:val="22"/>
          <w:lang w:eastAsia="pt-BR"/>
        </w:rPr>
        <w:t xml:space="preserve"> recebimento pela Administração, diferentemente dos ajustes por tempo determinado, nos quais o prazo constitui elemento essencial e imprescindível para a consecução ou </w:t>
      </w:r>
      <w:r w:rsidR="00DE6391">
        <w:rPr>
          <w:sz w:val="22"/>
          <w:szCs w:val="22"/>
          <w:lang w:eastAsia="pt-BR"/>
        </w:rPr>
        <w:t xml:space="preserve">a </w:t>
      </w:r>
      <w:r w:rsidR="00A1416D" w:rsidRPr="00DE6391">
        <w:rPr>
          <w:sz w:val="22"/>
          <w:szCs w:val="22"/>
          <w:lang w:eastAsia="pt-BR"/>
        </w:rPr>
        <w:t>eficácia do objeto avençado.</w:t>
      </w:r>
    </w:p>
    <w:p w:rsidR="006F6684" w:rsidRPr="006F6684" w:rsidRDefault="00CA16B5" w:rsidP="006F6684">
      <w:pPr>
        <w:autoSpaceDE w:val="0"/>
        <w:autoSpaceDN w:val="0"/>
        <w:adjustRightInd w:val="0"/>
        <w:spacing w:after="60"/>
        <w:ind w:left="0"/>
        <w:rPr>
          <w:sz w:val="22"/>
          <w:szCs w:val="22"/>
          <w:lang w:eastAsia="pt-BR"/>
        </w:rPr>
      </w:pPr>
      <w:r>
        <w:rPr>
          <w:sz w:val="22"/>
          <w:szCs w:val="22"/>
          <w:lang w:eastAsia="pt-BR"/>
        </w:rPr>
        <w:t>2</w:t>
      </w:r>
      <w:r w:rsidR="00ED6342" w:rsidRPr="00F41516">
        <w:rPr>
          <w:sz w:val="22"/>
          <w:szCs w:val="22"/>
          <w:lang w:eastAsia="pt-BR"/>
        </w:rPr>
        <w:t xml:space="preserve">. </w:t>
      </w:r>
      <w:r w:rsidR="006F6684" w:rsidRPr="006F6684">
        <w:rPr>
          <w:sz w:val="22"/>
          <w:szCs w:val="22"/>
        </w:rPr>
        <w:t xml:space="preserve">Nas </w:t>
      </w:r>
      <w:r w:rsidR="006F6684" w:rsidRPr="006F6684">
        <w:rPr>
          <w:sz w:val="22"/>
          <w:szCs w:val="22"/>
          <w:lang w:eastAsia="pt-BR"/>
        </w:rPr>
        <w:t>licitações para contratação de serviços de vale-refeição e vale-alimentação, é necessária, para a fixação do quantitativo mínimo de estabelecimentos credenciados, a definição clara dos critérios técnicos utilizados, os quais devem ser fundamentados em levantamentos estatísticos, parâmetros e estudos previamente realizados.</w:t>
      </w:r>
    </w:p>
    <w:p w:rsidR="007D46E8" w:rsidRDefault="00CA16B5" w:rsidP="006F6684">
      <w:pPr>
        <w:autoSpaceDE w:val="0"/>
        <w:autoSpaceDN w:val="0"/>
        <w:adjustRightInd w:val="0"/>
        <w:spacing w:after="60"/>
        <w:ind w:left="0"/>
        <w:rPr>
          <w:sz w:val="22"/>
          <w:szCs w:val="22"/>
          <w:lang w:eastAsia="pt-BR"/>
        </w:rPr>
      </w:pPr>
      <w:r>
        <w:rPr>
          <w:sz w:val="22"/>
          <w:szCs w:val="22"/>
          <w:lang w:eastAsia="pt-BR"/>
        </w:rPr>
        <w:t>3</w:t>
      </w:r>
      <w:r w:rsidR="00C508BC" w:rsidRPr="000A7A63">
        <w:rPr>
          <w:sz w:val="22"/>
          <w:szCs w:val="22"/>
          <w:lang w:eastAsia="pt-BR"/>
        </w:rPr>
        <w:t xml:space="preserve">. </w:t>
      </w:r>
      <w:r w:rsidR="00F41516" w:rsidRPr="00F41516">
        <w:rPr>
          <w:sz w:val="22"/>
          <w:szCs w:val="22"/>
          <w:lang w:eastAsia="pt-BR"/>
        </w:rPr>
        <w:t>É possível a exigência de laudos para comprovação da qualidade do objeto licitado, desde que (i) haja previsão no instrumento convocatório, (ii) sejam exigidos apenas na fase de julgamento das propostas e do licitante provisoriamente classificado em primeiro lugar, e (iii) seja estabelecido prazo suficiente para a obtenção dos laudos.</w:t>
      </w:r>
    </w:p>
    <w:p w:rsidR="00CA16B5" w:rsidRPr="00DE6391" w:rsidRDefault="00CA16B5" w:rsidP="006F6684">
      <w:pPr>
        <w:spacing w:after="60"/>
        <w:ind w:left="0"/>
        <w:rPr>
          <w:sz w:val="22"/>
          <w:szCs w:val="22"/>
        </w:rPr>
      </w:pPr>
      <w:r w:rsidRPr="00DE6391">
        <w:rPr>
          <w:sz w:val="22"/>
          <w:szCs w:val="22"/>
          <w:lang w:eastAsia="pt-BR"/>
        </w:rPr>
        <w:t xml:space="preserve">4. </w:t>
      </w:r>
      <w:r w:rsidR="00DE6391" w:rsidRPr="00DE6391">
        <w:rPr>
          <w:sz w:val="22"/>
          <w:szCs w:val="22"/>
        </w:rPr>
        <w:t>A Administração somente deve emitir autorização para início das obras após a efetiva comprovação da titularidade das respectivas áreas, não admitindo para esse fim documentos diversos daqueles constantes nas normas específicas.</w:t>
      </w:r>
    </w:p>
    <w:p w:rsidR="00DE6391" w:rsidRPr="00DE6391" w:rsidRDefault="00CA16B5" w:rsidP="006F6684">
      <w:pPr>
        <w:spacing w:after="60"/>
        <w:ind w:left="0"/>
        <w:rPr>
          <w:sz w:val="22"/>
          <w:szCs w:val="22"/>
        </w:rPr>
      </w:pPr>
      <w:r w:rsidRPr="00DE6391">
        <w:rPr>
          <w:sz w:val="22"/>
          <w:szCs w:val="22"/>
          <w:lang w:eastAsia="pt-BR"/>
        </w:rPr>
        <w:t>5</w:t>
      </w:r>
      <w:r w:rsidR="00F41516" w:rsidRPr="00DE6391">
        <w:rPr>
          <w:sz w:val="22"/>
          <w:szCs w:val="22"/>
          <w:lang w:eastAsia="pt-BR"/>
        </w:rPr>
        <w:t xml:space="preserve">. </w:t>
      </w:r>
      <w:r w:rsidR="00DE6391" w:rsidRPr="00DE6391">
        <w:rPr>
          <w:sz w:val="22"/>
          <w:szCs w:val="22"/>
        </w:rPr>
        <w:t>Os empregados colocados à disposição da empresa urbana tomadora dos serviços ficam subordinados à empresa de trabalho temporário contratada, sendo esta a responsável pelo cumprimento de todas as exigências legais inerentes a tal relação, incluindo a observância dos direitos e deveres dos trabalhadores. A empresa tomadora dos serviços é responsabilizada solidariamente apenas no caso de falência da empresa contratada relativamente à remuneração e aos direitos previdenciários.</w:t>
      </w:r>
    </w:p>
    <w:p w:rsidR="00DA3477" w:rsidRPr="000A7A63" w:rsidRDefault="00DA3477" w:rsidP="000A7A63">
      <w:pPr>
        <w:autoSpaceDE w:val="0"/>
        <w:autoSpaceDN w:val="0"/>
        <w:adjustRightInd w:val="0"/>
        <w:spacing w:after="60"/>
        <w:ind w:left="0"/>
        <w:rPr>
          <w:sz w:val="22"/>
          <w:szCs w:val="22"/>
        </w:rPr>
      </w:pPr>
    </w:p>
    <w:p w:rsidR="006B62B4" w:rsidRPr="000A7A63"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0A7A63">
        <w:rPr>
          <w:b/>
          <w:bCs/>
          <w:smallCaps/>
          <w:sz w:val="22"/>
          <w:szCs w:val="22"/>
        </w:rPr>
        <w:t>PLENÁRIO</w:t>
      </w:r>
    </w:p>
    <w:p w:rsidR="0078621C" w:rsidRPr="000A7A63" w:rsidRDefault="0078621C" w:rsidP="00500320">
      <w:pPr>
        <w:pBdr>
          <w:top w:val="threeDEmboss" w:sz="24" w:space="5" w:color="auto"/>
        </w:pBdr>
        <w:tabs>
          <w:tab w:val="left" w:pos="284"/>
          <w:tab w:val="left" w:pos="4172"/>
          <w:tab w:val="center" w:pos="4818"/>
        </w:tabs>
        <w:spacing w:after="0"/>
        <w:ind w:left="0"/>
        <w:jc w:val="center"/>
        <w:rPr>
          <w:b/>
          <w:bCs/>
          <w:smallCaps/>
          <w:sz w:val="22"/>
          <w:szCs w:val="22"/>
        </w:rPr>
      </w:pPr>
    </w:p>
    <w:p w:rsidR="00E24737" w:rsidRPr="00B80BC8" w:rsidRDefault="001F6DAC" w:rsidP="00371487">
      <w:pPr>
        <w:autoSpaceDE w:val="0"/>
        <w:autoSpaceDN w:val="0"/>
        <w:adjustRightInd w:val="0"/>
        <w:spacing w:after="0"/>
        <w:ind w:left="0"/>
        <w:rPr>
          <w:b/>
          <w:sz w:val="22"/>
          <w:szCs w:val="22"/>
          <w:lang w:eastAsia="pt-BR"/>
        </w:rPr>
      </w:pPr>
      <w:r w:rsidRPr="00B80BC8">
        <w:rPr>
          <w:b/>
          <w:sz w:val="22"/>
          <w:szCs w:val="22"/>
          <w:lang w:eastAsia="pt-BR"/>
        </w:rPr>
        <w:t xml:space="preserve">1. </w:t>
      </w:r>
      <w:r w:rsidR="00DE6391" w:rsidRPr="00B80BC8">
        <w:rPr>
          <w:b/>
          <w:sz w:val="22"/>
          <w:szCs w:val="22"/>
          <w:lang w:eastAsia="pt-BR"/>
        </w:rPr>
        <w:t>Nos contratos por escopo, inexistindo motivos para sua rescisão ou anulação, a extinção do ajuste somente se opera com a conclusão do objeto e o seu recebimento pela Administração, diferentemente dos ajustes por tempo determinado, nos quais o prazo constitui elemento essencial e imprescindível para a consecução ou a eficácia do objeto avençado.</w:t>
      </w:r>
    </w:p>
    <w:p w:rsidR="001F6DAC" w:rsidRPr="00B80BC8" w:rsidRDefault="001F6DAC" w:rsidP="00371487">
      <w:pPr>
        <w:autoSpaceDE w:val="0"/>
        <w:autoSpaceDN w:val="0"/>
        <w:adjustRightInd w:val="0"/>
        <w:spacing w:after="0"/>
        <w:ind w:left="0"/>
        <w:rPr>
          <w:b/>
          <w:sz w:val="22"/>
          <w:szCs w:val="22"/>
        </w:rPr>
      </w:pPr>
      <w:r w:rsidRPr="00B80BC8">
        <w:rPr>
          <w:sz w:val="22"/>
          <w:szCs w:val="22"/>
        </w:rPr>
        <w:t xml:space="preserve">Tomada de Contas Especial originada da conversão de autos de Representação </w:t>
      </w:r>
      <w:r w:rsidR="003E30EF" w:rsidRPr="00B80BC8">
        <w:rPr>
          <w:sz w:val="22"/>
          <w:szCs w:val="22"/>
        </w:rPr>
        <w:t>apurou dano ao erário n</w:t>
      </w:r>
      <w:r w:rsidRPr="00B80BC8">
        <w:rPr>
          <w:sz w:val="22"/>
          <w:szCs w:val="22"/>
        </w:rPr>
        <w:t xml:space="preserve">a retomada das obras de construção de rodovia vicinal no município de Maranguape/CE, de responsabilidade do Departamento Nacional de Obras Contra as Secas (Dnocs). Segundo o relator, </w:t>
      </w:r>
      <w:r w:rsidR="003E30EF" w:rsidRPr="00B80BC8">
        <w:rPr>
          <w:i/>
          <w:sz w:val="22"/>
          <w:szCs w:val="22"/>
        </w:rPr>
        <w:t xml:space="preserve">“a </w:t>
      </w:r>
      <w:r w:rsidRPr="00B80BC8">
        <w:rPr>
          <w:i/>
          <w:sz w:val="22"/>
          <w:szCs w:val="22"/>
        </w:rPr>
        <w:t>irregularidade principal foi o reinício das obras em 21/8/2007 (paralisadas em 23/4/2002), com a utilização do projeto original de 2001, apesar de se ter conhecimento das significativas alterações ocorridas na região em virtude da construção de um açude e de uma agrovila. Essa inadequação gerou o rompimento de bueiros e outr</w:t>
      </w:r>
      <w:r w:rsidR="00F96F1B" w:rsidRPr="00B80BC8">
        <w:rPr>
          <w:i/>
          <w:sz w:val="22"/>
          <w:szCs w:val="22"/>
        </w:rPr>
        <w:t>as passagens de água da rodovia</w:t>
      </w:r>
      <w:r w:rsidRPr="00B80BC8">
        <w:rPr>
          <w:i/>
          <w:sz w:val="22"/>
          <w:szCs w:val="22"/>
        </w:rPr>
        <w:t>”</w:t>
      </w:r>
      <w:r w:rsidRPr="00B80BC8">
        <w:rPr>
          <w:sz w:val="22"/>
          <w:szCs w:val="22"/>
        </w:rPr>
        <w:t>. Realizado o contraditório, o relator</w:t>
      </w:r>
      <w:r w:rsidR="00F96F1B" w:rsidRPr="00B80BC8">
        <w:rPr>
          <w:sz w:val="22"/>
          <w:szCs w:val="22"/>
        </w:rPr>
        <w:t xml:space="preserve"> </w:t>
      </w:r>
      <w:r w:rsidRPr="00B80BC8">
        <w:rPr>
          <w:sz w:val="22"/>
          <w:szCs w:val="22"/>
        </w:rPr>
        <w:t>consignou que tanto a unidade instrutiva quanto o M</w:t>
      </w:r>
      <w:r w:rsidR="003E30EF" w:rsidRPr="00B80BC8">
        <w:rPr>
          <w:sz w:val="22"/>
          <w:szCs w:val="22"/>
        </w:rPr>
        <w:t xml:space="preserve">inistério </w:t>
      </w:r>
      <w:r w:rsidRPr="00B80BC8">
        <w:rPr>
          <w:sz w:val="22"/>
          <w:szCs w:val="22"/>
        </w:rPr>
        <w:lastRenderedPageBreak/>
        <w:t>P</w:t>
      </w:r>
      <w:r w:rsidR="003E30EF" w:rsidRPr="00B80BC8">
        <w:rPr>
          <w:sz w:val="22"/>
          <w:szCs w:val="22"/>
        </w:rPr>
        <w:t xml:space="preserve">úblico junto ao </w:t>
      </w:r>
      <w:r w:rsidRPr="00B80BC8">
        <w:rPr>
          <w:sz w:val="22"/>
          <w:szCs w:val="22"/>
        </w:rPr>
        <w:t xml:space="preserve">TCU </w:t>
      </w:r>
      <w:r w:rsidR="00F96F1B" w:rsidRPr="00B80BC8">
        <w:rPr>
          <w:sz w:val="22"/>
          <w:szCs w:val="22"/>
        </w:rPr>
        <w:t xml:space="preserve">acreditavam ser possível a retomada da avença </w:t>
      </w:r>
      <w:r w:rsidR="00F96F1B" w:rsidRPr="00B80BC8">
        <w:rPr>
          <w:i/>
          <w:sz w:val="22"/>
          <w:szCs w:val="22"/>
        </w:rPr>
        <w:t>“por se tratar de contrato por escopo, cuja extinção ocorreria apenas com a conclusão do objeto”</w:t>
      </w:r>
      <w:r w:rsidR="00F96F1B" w:rsidRPr="00B80BC8">
        <w:rPr>
          <w:sz w:val="22"/>
          <w:szCs w:val="22"/>
        </w:rPr>
        <w:t>. Nessa linha reproduziu o relator excertos de duas deliberações do Plenário, dentre</w:t>
      </w:r>
      <w:r w:rsidR="003E30EF" w:rsidRPr="00B80BC8">
        <w:rPr>
          <w:sz w:val="22"/>
          <w:szCs w:val="22"/>
        </w:rPr>
        <w:t xml:space="preserve"> as quais o Acórdão 5466/2011-Segunda Câmara</w:t>
      </w:r>
      <w:r w:rsidR="00F96F1B" w:rsidRPr="00B80BC8">
        <w:rPr>
          <w:sz w:val="22"/>
          <w:szCs w:val="22"/>
        </w:rPr>
        <w:t>, no qual é reproduzido trechos do voto</w:t>
      </w:r>
      <w:r w:rsidR="003E30EF" w:rsidRPr="00B80BC8">
        <w:rPr>
          <w:sz w:val="22"/>
          <w:szCs w:val="22"/>
        </w:rPr>
        <w:t xml:space="preserve"> condutor da Decisão 732/1999-</w:t>
      </w:r>
      <w:r w:rsidR="00F96F1B" w:rsidRPr="00B80BC8">
        <w:rPr>
          <w:sz w:val="22"/>
          <w:szCs w:val="22"/>
        </w:rPr>
        <w:t>P</w:t>
      </w:r>
      <w:r w:rsidR="003E30EF" w:rsidRPr="00B80BC8">
        <w:rPr>
          <w:sz w:val="22"/>
          <w:szCs w:val="22"/>
        </w:rPr>
        <w:t>lenário</w:t>
      </w:r>
      <w:r w:rsidR="00F96F1B" w:rsidRPr="00B80BC8">
        <w:rPr>
          <w:sz w:val="22"/>
          <w:szCs w:val="22"/>
        </w:rPr>
        <w:t>, com o seguinte teor: “</w:t>
      </w:r>
      <w:r w:rsidR="00F96F1B" w:rsidRPr="00B80BC8">
        <w:rPr>
          <w:i/>
          <w:sz w:val="22"/>
          <w:szCs w:val="22"/>
        </w:rPr>
        <w:t>No entanto, ao meu ver, inexistindo motivos para sua rescisão ou anulação, a extinção de contrato pelo término de seu prazo somente se opera nos ajustes celebrados por tempo determinado, nos quais o prazo constitui elemento essencial e imprescindível para a consecução ou eficácia do objeto avençado, o que não é o caso do contrato firmado pelo DER/MG, no qual a execução prévia é o seu objetivo principal. Dessa forma, não havendo motivos para a cessação prévia do ajuste, a extinção do contrato firmado com o DER/MG operar-se-ia apenas com a conclusão de seu objeto e recebimento pela Administração, o que ainda não ocorreu”</w:t>
      </w:r>
      <w:r w:rsidR="00F96F1B" w:rsidRPr="00B80BC8">
        <w:rPr>
          <w:sz w:val="22"/>
          <w:szCs w:val="22"/>
        </w:rPr>
        <w:t>.</w:t>
      </w:r>
      <w:r w:rsidR="007C0666" w:rsidRPr="00B80BC8">
        <w:rPr>
          <w:sz w:val="22"/>
          <w:szCs w:val="22"/>
        </w:rPr>
        <w:t xml:space="preserve"> Constatando a inexistência nos autos de notícias sobre a rescisão do ajuste, concluiu o relator que, para o caso em exame,</w:t>
      </w:r>
      <w:r w:rsidR="007C0666" w:rsidRPr="00B80BC8">
        <w:rPr>
          <w:i/>
          <w:sz w:val="22"/>
          <w:szCs w:val="22"/>
        </w:rPr>
        <w:t xml:space="preserve"> “a reativação do contrato pode ser aceita como legítima, com o consequente acolhimento das alegações de defesa dos responsáveis, tendo em vista a natureza do seu objeto e o fato de que, conforme as informações disponíveis, a suspensão da execução não foi causada pela contratada”</w:t>
      </w:r>
      <w:r w:rsidR="007C0666" w:rsidRPr="00B80BC8">
        <w:rPr>
          <w:sz w:val="22"/>
          <w:szCs w:val="22"/>
        </w:rPr>
        <w:t>. Considerou</w:t>
      </w:r>
      <w:r w:rsidR="003E30EF" w:rsidRPr="00B80BC8">
        <w:rPr>
          <w:sz w:val="22"/>
          <w:szCs w:val="22"/>
        </w:rPr>
        <w:t>,</w:t>
      </w:r>
      <w:r w:rsidR="007C0666" w:rsidRPr="00B80BC8">
        <w:rPr>
          <w:sz w:val="22"/>
          <w:szCs w:val="22"/>
        </w:rPr>
        <w:t xml:space="preserve"> contudo</w:t>
      </w:r>
      <w:r w:rsidR="003E30EF" w:rsidRPr="00B80BC8">
        <w:rPr>
          <w:sz w:val="22"/>
          <w:szCs w:val="22"/>
        </w:rPr>
        <w:t>,</w:t>
      </w:r>
      <w:r w:rsidR="007C0666" w:rsidRPr="00B80BC8">
        <w:rPr>
          <w:sz w:val="22"/>
          <w:szCs w:val="22"/>
        </w:rPr>
        <w:t xml:space="preserve"> </w:t>
      </w:r>
      <w:r w:rsidR="007C0666" w:rsidRPr="00B80BC8">
        <w:rPr>
          <w:i/>
          <w:sz w:val="22"/>
          <w:szCs w:val="22"/>
        </w:rPr>
        <w:t>“indevida a utilização do projeto original, ignorando as alterações físicas consideráveis ocorridas na região antes da retomada das obras”</w:t>
      </w:r>
      <w:r w:rsidR="007C0666" w:rsidRPr="00B80BC8">
        <w:rPr>
          <w:sz w:val="22"/>
          <w:szCs w:val="22"/>
        </w:rPr>
        <w:t>.</w:t>
      </w:r>
      <w:r w:rsidR="00145661" w:rsidRPr="00B80BC8">
        <w:rPr>
          <w:sz w:val="22"/>
          <w:szCs w:val="22"/>
        </w:rPr>
        <w:t xml:space="preserve"> Nesses termos, considerando a ausência de elementos suficientes para a quantificação do dano, o Plenário, acompanhando o voto do relator, julgou irregulares as contas dos responsáveis, aplicando-lhes a multa capitulada no art. 58, inciso III, da Lei 8.443/92. </w:t>
      </w:r>
      <w:hyperlink r:id="rId9" w:history="1">
        <w:r w:rsidR="00DD4688" w:rsidRPr="00DD4688">
          <w:rPr>
            <w:rStyle w:val="Hyperlink"/>
            <w:b/>
            <w:i/>
            <w:sz w:val="22"/>
            <w:szCs w:val="22"/>
          </w:rPr>
          <w:t>Acórdão 1674/2014-Plenário</w:t>
        </w:r>
      </w:hyperlink>
      <w:r w:rsidR="00145661" w:rsidRPr="00B80BC8">
        <w:rPr>
          <w:b/>
          <w:i/>
          <w:sz w:val="22"/>
          <w:szCs w:val="22"/>
        </w:rPr>
        <w:t>, TC 033.123/2010-1, relator Ministro José Múcio Monteiro, 25.6.2014.</w:t>
      </w:r>
    </w:p>
    <w:p w:rsidR="001F6DAC" w:rsidRPr="00B80BC8" w:rsidRDefault="001F6DAC" w:rsidP="00371487">
      <w:pPr>
        <w:autoSpaceDE w:val="0"/>
        <w:autoSpaceDN w:val="0"/>
        <w:adjustRightInd w:val="0"/>
        <w:spacing w:after="0"/>
        <w:ind w:left="0"/>
        <w:rPr>
          <w:b/>
          <w:sz w:val="22"/>
          <w:szCs w:val="22"/>
          <w:lang w:eastAsia="pt-BR"/>
        </w:rPr>
      </w:pPr>
    </w:p>
    <w:p w:rsidR="00ED6342" w:rsidRPr="00B80BC8" w:rsidRDefault="00CA16B5" w:rsidP="00371487">
      <w:pPr>
        <w:autoSpaceDE w:val="0"/>
        <w:autoSpaceDN w:val="0"/>
        <w:adjustRightInd w:val="0"/>
        <w:spacing w:after="0"/>
        <w:ind w:left="0"/>
        <w:rPr>
          <w:b/>
          <w:sz w:val="22"/>
          <w:szCs w:val="22"/>
          <w:lang w:eastAsia="pt-BR"/>
        </w:rPr>
      </w:pPr>
      <w:r w:rsidRPr="00B80BC8">
        <w:rPr>
          <w:b/>
          <w:sz w:val="22"/>
          <w:szCs w:val="22"/>
          <w:lang w:eastAsia="pt-BR"/>
        </w:rPr>
        <w:t>2</w:t>
      </w:r>
      <w:r w:rsidR="00ED6342" w:rsidRPr="00B80BC8">
        <w:rPr>
          <w:b/>
          <w:sz w:val="22"/>
          <w:szCs w:val="22"/>
          <w:lang w:eastAsia="pt-BR"/>
        </w:rPr>
        <w:t>.</w:t>
      </w:r>
      <w:r w:rsidR="00ED6342" w:rsidRPr="00B80BC8">
        <w:rPr>
          <w:sz w:val="22"/>
          <w:szCs w:val="22"/>
        </w:rPr>
        <w:t xml:space="preserve"> </w:t>
      </w:r>
      <w:r w:rsidR="0045067C" w:rsidRPr="00B80BC8">
        <w:rPr>
          <w:b/>
          <w:sz w:val="22"/>
          <w:szCs w:val="22"/>
        </w:rPr>
        <w:t xml:space="preserve">Nas </w:t>
      </w:r>
      <w:r w:rsidR="0045067C" w:rsidRPr="00B80BC8">
        <w:rPr>
          <w:b/>
          <w:sz w:val="22"/>
          <w:szCs w:val="22"/>
          <w:lang w:eastAsia="pt-BR"/>
        </w:rPr>
        <w:t>licitações para contratação de serviços de vale-refeição e vale-alimentação</w:t>
      </w:r>
      <w:r w:rsidR="009F7A82" w:rsidRPr="00B80BC8">
        <w:rPr>
          <w:b/>
          <w:sz w:val="22"/>
          <w:szCs w:val="22"/>
          <w:lang w:eastAsia="pt-BR"/>
        </w:rPr>
        <w:t>,</w:t>
      </w:r>
      <w:r w:rsidR="0045067C" w:rsidRPr="00B80BC8">
        <w:rPr>
          <w:b/>
          <w:sz w:val="22"/>
          <w:szCs w:val="22"/>
          <w:lang w:eastAsia="pt-BR"/>
        </w:rPr>
        <w:t xml:space="preserve"> é necessária</w:t>
      </w:r>
      <w:r w:rsidR="006F6684" w:rsidRPr="00B80BC8">
        <w:rPr>
          <w:b/>
          <w:sz w:val="22"/>
          <w:szCs w:val="22"/>
          <w:lang w:eastAsia="pt-BR"/>
        </w:rPr>
        <w:t xml:space="preserve">, para a fixação do quantitativo mínimo de estabelecimentos credenciados, </w:t>
      </w:r>
      <w:r w:rsidR="0045067C" w:rsidRPr="00B80BC8">
        <w:rPr>
          <w:b/>
          <w:sz w:val="22"/>
          <w:szCs w:val="22"/>
          <w:lang w:eastAsia="pt-BR"/>
        </w:rPr>
        <w:t>a definição clara dos critérios técnicos utilizados, os quais devem ser fundamentados em levantamentos estatísticos, parâmetros e estudos previamente realizados</w:t>
      </w:r>
      <w:r w:rsidR="0002541E" w:rsidRPr="00B80BC8">
        <w:rPr>
          <w:b/>
          <w:sz w:val="22"/>
          <w:szCs w:val="22"/>
          <w:lang w:eastAsia="pt-BR"/>
        </w:rPr>
        <w:t>.</w:t>
      </w:r>
    </w:p>
    <w:p w:rsidR="00ED6342" w:rsidRPr="00B80BC8" w:rsidRDefault="00810246" w:rsidP="00371487">
      <w:pPr>
        <w:autoSpaceDE w:val="0"/>
        <w:autoSpaceDN w:val="0"/>
        <w:adjustRightInd w:val="0"/>
        <w:spacing w:after="0"/>
        <w:ind w:left="0"/>
        <w:rPr>
          <w:b/>
          <w:i/>
          <w:sz w:val="22"/>
          <w:szCs w:val="22"/>
        </w:rPr>
      </w:pPr>
      <w:r w:rsidRPr="00B80BC8">
        <w:rPr>
          <w:sz w:val="22"/>
          <w:szCs w:val="22"/>
        </w:rPr>
        <w:t>Representação formulada por sociedade empresária apontara</w:t>
      </w:r>
      <w:r w:rsidRPr="00B80BC8">
        <w:rPr>
          <w:bCs/>
          <w:sz w:val="22"/>
          <w:szCs w:val="22"/>
        </w:rPr>
        <w:t xml:space="preserve"> possíveis irregularidades em </w:t>
      </w:r>
      <w:r w:rsidR="00A940BE" w:rsidRPr="00B80BC8">
        <w:rPr>
          <w:bCs/>
          <w:sz w:val="22"/>
          <w:szCs w:val="22"/>
        </w:rPr>
        <w:t>c</w:t>
      </w:r>
      <w:r w:rsidRPr="00B80BC8">
        <w:rPr>
          <w:bCs/>
          <w:sz w:val="22"/>
          <w:szCs w:val="22"/>
        </w:rPr>
        <w:t>oncorrência realizada pelo Conselho Federal de Psicologia da 6ª Região (CRP-06) para a contratação de serviços de vale-refeição e vale-alimentação. Em ess</w:t>
      </w:r>
      <w:r w:rsidR="00AE2D43" w:rsidRPr="00B80BC8">
        <w:rPr>
          <w:bCs/>
          <w:sz w:val="22"/>
          <w:szCs w:val="22"/>
        </w:rPr>
        <w:t>ência, a representante sustentara</w:t>
      </w:r>
      <w:r w:rsidRPr="00B80BC8">
        <w:rPr>
          <w:bCs/>
          <w:sz w:val="22"/>
          <w:szCs w:val="22"/>
        </w:rPr>
        <w:t xml:space="preserve"> que fora</w:t>
      </w:r>
      <w:r w:rsidR="00040477" w:rsidRPr="00B80BC8">
        <w:rPr>
          <w:bCs/>
          <w:sz w:val="22"/>
          <w:szCs w:val="22"/>
        </w:rPr>
        <w:t>m excessivas as seguintes exigências do edital</w:t>
      </w:r>
      <w:r w:rsidRPr="00B80BC8">
        <w:rPr>
          <w:bCs/>
          <w:sz w:val="22"/>
          <w:szCs w:val="22"/>
        </w:rPr>
        <w:t xml:space="preserve">: (i) o número </w:t>
      </w:r>
      <w:r w:rsidR="00A940BE" w:rsidRPr="00B80BC8">
        <w:rPr>
          <w:bCs/>
          <w:sz w:val="22"/>
          <w:szCs w:val="22"/>
        </w:rPr>
        <w:t xml:space="preserve">mínimo </w:t>
      </w:r>
      <w:r w:rsidRPr="00B80BC8">
        <w:rPr>
          <w:bCs/>
          <w:sz w:val="22"/>
          <w:szCs w:val="22"/>
        </w:rPr>
        <w:t xml:space="preserve">de </w:t>
      </w:r>
      <w:r w:rsidR="00A940BE" w:rsidRPr="00B80BC8">
        <w:rPr>
          <w:bCs/>
          <w:sz w:val="22"/>
          <w:szCs w:val="22"/>
        </w:rPr>
        <w:t>estabelecimentos</w:t>
      </w:r>
      <w:r w:rsidR="00B25764" w:rsidRPr="00B80BC8">
        <w:rPr>
          <w:bCs/>
          <w:sz w:val="22"/>
          <w:szCs w:val="22"/>
        </w:rPr>
        <w:t xml:space="preserve"> comerciais</w:t>
      </w:r>
      <w:r w:rsidR="00A940BE" w:rsidRPr="00B80BC8">
        <w:rPr>
          <w:bCs/>
          <w:sz w:val="22"/>
          <w:szCs w:val="22"/>
        </w:rPr>
        <w:t xml:space="preserve"> credenciados</w:t>
      </w:r>
      <w:r w:rsidRPr="00B80BC8">
        <w:rPr>
          <w:bCs/>
          <w:sz w:val="22"/>
          <w:szCs w:val="22"/>
        </w:rPr>
        <w:t>; (ii) a obrigatoriedade de credenciamento de</w:t>
      </w:r>
      <w:r w:rsidR="00504922" w:rsidRPr="00B80BC8">
        <w:rPr>
          <w:bCs/>
          <w:sz w:val="22"/>
          <w:szCs w:val="22"/>
        </w:rPr>
        <w:t xml:space="preserve"> um percentual de</w:t>
      </w:r>
      <w:r w:rsidR="00A940BE" w:rsidRPr="00B80BC8">
        <w:rPr>
          <w:bCs/>
          <w:sz w:val="22"/>
          <w:szCs w:val="22"/>
        </w:rPr>
        <w:t xml:space="preserve"> estabelecimentos </w:t>
      </w:r>
      <w:r w:rsidRPr="00B80BC8">
        <w:rPr>
          <w:bCs/>
          <w:sz w:val="22"/>
          <w:szCs w:val="22"/>
        </w:rPr>
        <w:t xml:space="preserve">em </w:t>
      </w:r>
      <w:r w:rsidR="00A940BE" w:rsidRPr="00B80BC8">
        <w:rPr>
          <w:bCs/>
          <w:sz w:val="22"/>
          <w:szCs w:val="22"/>
        </w:rPr>
        <w:t>centros comerciais</w:t>
      </w:r>
      <w:r w:rsidRPr="00B80BC8">
        <w:rPr>
          <w:bCs/>
          <w:sz w:val="22"/>
          <w:szCs w:val="22"/>
        </w:rPr>
        <w:t xml:space="preserve">; e (iii) a necessidade de que os estabelecimentos credenciados </w:t>
      </w:r>
      <w:r w:rsidR="00040477" w:rsidRPr="00B80BC8">
        <w:rPr>
          <w:bCs/>
          <w:sz w:val="22"/>
          <w:szCs w:val="22"/>
        </w:rPr>
        <w:t>estejam</w:t>
      </w:r>
      <w:r w:rsidRPr="00B80BC8">
        <w:rPr>
          <w:bCs/>
          <w:sz w:val="22"/>
          <w:szCs w:val="22"/>
        </w:rPr>
        <w:t xml:space="preserve"> situados no entorno dos postos de trabalho dos funcionários e não por todas as regiões do município</w:t>
      </w:r>
      <w:r w:rsidR="00040477" w:rsidRPr="00B80BC8">
        <w:rPr>
          <w:bCs/>
          <w:sz w:val="22"/>
          <w:szCs w:val="22"/>
        </w:rPr>
        <w:t xml:space="preserve">. Analisando o feito, o relator manifestou anuência à análise da unidade técnica no sentido de que </w:t>
      </w:r>
      <w:r w:rsidR="00040477" w:rsidRPr="00B80BC8">
        <w:rPr>
          <w:bCs/>
          <w:i/>
          <w:sz w:val="22"/>
          <w:szCs w:val="22"/>
        </w:rPr>
        <w:t>“apesar de discricionária a fixação do número mínimo de estabelecimentos credenciados, o gestor deve, para tanto, estar respaldado em estudo técnico”</w:t>
      </w:r>
      <w:r w:rsidR="00040477" w:rsidRPr="00B80BC8">
        <w:rPr>
          <w:bCs/>
          <w:sz w:val="22"/>
          <w:szCs w:val="22"/>
        </w:rPr>
        <w:t xml:space="preserve">. Lembrou que, no tocante à rede credenciada, a jurisprudência do TCU estabelece que </w:t>
      </w:r>
      <w:r w:rsidR="00040477" w:rsidRPr="00B80BC8">
        <w:rPr>
          <w:bCs/>
          <w:i/>
          <w:sz w:val="22"/>
          <w:szCs w:val="22"/>
        </w:rPr>
        <w:t>“os requisitos definidos em edital voltados à rede credenciada devem estar tecnicamente respaldados, bem como devem buscar compatibilizar o caráter competitivo do certame com a satisfação das necessidades da entidade visando garantir o conforto e a liberdade de escolha dos funcionários da instituição para a aquisição de gêneros alimentícios”</w:t>
      </w:r>
      <w:r w:rsidR="00040477" w:rsidRPr="00B80BC8">
        <w:rPr>
          <w:bCs/>
          <w:sz w:val="22"/>
          <w:szCs w:val="22"/>
        </w:rPr>
        <w:t>.</w:t>
      </w:r>
      <w:r w:rsidR="00B25764" w:rsidRPr="00B80BC8">
        <w:rPr>
          <w:bCs/>
          <w:sz w:val="22"/>
          <w:szCs w:val="22"/>
        </w:rPr>
        <w:t xml:space="preserve"> Ess</w:t>
      </w:r>
      <w:r w:rsidR="00E130E8" w:rsidRPr="00B80BC8">
        <w:rPr>
          <w:bCs/>
          <w:sz w:val="22"/>
          <w:szCs w:val="22"/>
        </w:rPr>
        <w:t xml:space="preserve">a definição, prossegue o relator, </w:t>
      </w:r>
      <w:r w:rsidR="00E130E8" w:rsidRPr="00B80BC8">
        <w:rPr>
          <w:bCs/>
          <w:i/>
          <w:sz w:val="22"/>
          <w:szCs w:val="22"/>
        </w:rPr>
        <w:t>“se insere no campo da discricionariedade do gestor, não se constituindo, com base nas informações constantes destes autos, em indício de direcionamento do procedimento licitatório ou perigo de lesão ao erário, sendo, essencialmente, parte fundamental do objeto da licitação”</w:t>
      </w:r>
      <w:r w:rsidR="00E130E8" w:rsidRPr="00B80BC8">
        <w:rPr>
          <w:bCs/>
          <w:sz w:val="22"/>
          <w:szCs w:val="22"/>
        </w:rPr>
        <w:t>.</w:t>
      </w:r>
      <w:r w:rsidR="00504922" w:rsidRPr="00B80BC8">
        <w:rPr>
          <w:bCs/>
          <w:sz w:val="22"/>
          <w:szCs w:val="22"/>
        </w:rPr>
        <w:t xml:space="preserve"> No que respeita ao percentual de estabelecimentos em </w:t>
      </w:r>
      <w:r w:rsidR="00504922" w:rsidRPr="00B80BC8">
        <w:rPr>
          <w:bCs/>
          <w:i/>
          <w:sz w:val="22"/>
          <w:szCs w:val="22"/>
        </w:rPr>
        <w:t>shopping centers</w:t>
      </w:r>
      <w:r w:rsidR="00504922" w:rsidRPr="00B80BC8">
        <w:rPr>
          <w:bCs/>
          <w:sz w:val="22"/>
          <w:szCs w:val="22"/>
        </w:rPr>
        <w:t xml:space="preserve">, o relator relembrou precedentes do Tribunal nos quais foram julgadas improcedentes representações da mesma empresa com questionamentos semelhantes. Ademais, como pontuou a unidade instrutiva, seria insignificante o impacto desta exigência em termos de incremento na rede credenciada da representante, razão pela qual não há que se falar em restrição à competitividade ou ofensa ao princípio da impessoalidade. Nesses termos, o Plenário do TCU, acolhendo a tese da relatoria, considerou improcedente a </w:t>
      </w:r>
      <w:r w:rsidR="004E3653" w:rsidRPr="00B80BC8">
        <w:rPr>
          <w:bCs/>
          <w:sz w:val="22"/>
          <w:szCs w:val="22"/>
        </w:rPr>
        <w:t>R</w:t>
      </w:r>
      <w:r w:rsidR="00504922" w:rsidRPr="00B80BC8">
        <w:rPr>
          <w:bCs/>
          <w:sz w:val="22"/>
          <w:szCs w:val="22"/>
        </w:rPr>
        <w:t>epresentação, cie</w:t>
      </w:r>
      <w:r w:rsidR="00B05DC8" w:rsidRPr="00B80BC8">
        <w:rPr>
          <w:bCs/>
          <w:sz w:val="22"/>
          <w:szCs w:val="22"/>
        </w:rPr>
        <w:t>ntificando, contudo, o CRP-06 para</w:t>
      </w:r>
      <w:r w:rsidR="00504922" w:rsidRPr="00B80BC8">
        <w:rPr>
          <w:bCs/>
          <w:sz w:val="22"/>
          <w:szCs w:val="22"/>
        </w:rPr>
        <w:t xml:space="preserve"> que, em futuras licitações, observe a </w:t>
      </w:r>
      <w:r w:rsidR="00504922" w:rsidRPr="00B80BC8">
        <w:rPr>
          <w:bCs/>
          <w:i/>
          <w:sz w:val="22"/>
          <w:szCs w:val="22"/>
        </w:rPr>
        <w:t>“</w:t>
      </w:r>
      <w:r w:rsidR="00504922" w:rsidRPr="00B80BC8">
        <w:rPr>
          <w:i/>
          <w:sz w:val="22"/>
          <w:szCs w:val="22"/>
        </w:rPr>
        <w:t>necessidade da definição clara dos critérios técnicos utilizados para a fixação do quantitativo mínimo de estabelecimentos credenciados, os quais devem ser fundamentados em levantamentos estatísticos, parâmetros e estudos previamente realizados, nos termos do que restou consignado no Acórdão 2.367/2011 – Plenário”</w:t>
      </w:r>
      <w:r w:rsidR="00504922" w:rsidRPr="00B80BC8">
        <w:rPr>
          <w:sz w:val="22"/>
          <w:szCs w:val="22"/>
        </w:rPr>
        <w:t>.</w:t>
      </w:r>
      <w:r w:rsidR="00A507B9" w:rsidRPr="00B80BC8">
        <w:rPr>
          <w:sz w:val="22"/>
          <w:szCs w:val="22"/>
        </w:rPr>
        <w:t xml:space="preserve"> </w:t>
      </w:r>
      <w:r w:rsidR="00D6621B" w:rsidRPr="00B80BC8">
        <w:rPr>
          <w:sz w:val="22"/>
          <w:szCs w:val="22"/>
        </w:rPr>
        <w:t xml:space="preserve">   </w:t>
      </w:r>
      <w:hyperlink r:id="rId10" w:history="1">
        <w:r w:rsidR="00D6621B" w:rsidRPr="00B80BC8">
          <w:rPr>
            <w:rStyle w:val="Hyperlink"/>
            <w:b/>
            <w:i/>
            <w:sz w:val="22"/>
            <w:szCs w:val="22"/>
          </w:rPr>
          <w:t>Acórdão 1675/2014-Plenário</w:t>
        </w:r>
      </w:hyperlink>
      <w:r w:rsidR="00A507B9" w:rsidRPr="00B80BC8">
        <w:rPr>
          <w:b/>
          <w:i/>
          <w:sz w:val="22"/>
          <w:szCs w:val="22"/>
        </w:rPr>
        <w:t>, TC</w:t>
      </w:r>
      <w:r w:rsidR="00644689" w:rsidRPr="00B80BC8">
        <w:rPr>
          <w:b/>
          <w:i/>
          <w:sz w:val="22"/>
          <w:szCs w:val="22"/>
        </w:rPr>
        <w:t xml:space="preserve"> </w:t>
      </w:r>
      <w:r w:rsidR="00A507B9" w:rsidRPr="00B80BC8">
        <w:rPr>
          <w:b/>
          <w:i/>
          <w:sz w:val="22"/>
          <w:szCs w:val="22"/>
        </w:rPr>
        <w:t>009.231/2014-5, relator Ministro-Substituto Augusto Sherman Cavalcanti, 25.6.2014.</w:t>
      </w:r>
    </w:p>
    <w:p w:rsidR="005741C8" w:rsidRPr="00B80BC8" w:rsidRDefault="005741C8" w:rsidP="00371487">
      <w:pPr>
        <w:autoSpaceDE w:val="0"/>
        <w:autoSpaceDN w:val="0"/>
        <w:adjustRightInd w:val="0"/>
        <w:spacing w:after="0"/>
        <w:ind w:left="0"/>
        <w:rPr>
          <w:b/>
          <w:sz w:val="22"/>
          <w:szCs w:val="22"/>
          <w:lang w:eastAsia="pt-BR"/>
        </w:rPr>
      </w:pPr>
    </w:p>
    <w:p w:rsidR="00540322" w:rsidRPr="00B80BC8" w:rsidRDefault="00CA16B5" w:rsidP="00371487">
      <w:pPr>
        <w:autoSpaceDE w:val="0"/>
        <w:autoSpaceDN w:val="0"/>
        <w:adjustRightInd w:val="0"/>
        <w:spacing w:after="0"/>
        <w:ind w:left="0"/>
        <w:rPr>
          <w:b/>
          <w:sz w:val="22"/>
          <w:szCs w:val="22"/>
        </w:rPr>
      </w:pPr>
      <w:r w:rsidRPr="00B80BC8">
        <w:rPr>
          <w:b/>
          <w:sz w:val="22"/>
          <w:szCs w:val="22"/>
          <w:lang w:eastAsia="pt-BR"/>
        </w:rPr>
        <w:t>3</w:t>
      </w:r>
      <w:r w:rsidR="00540322" w:rsidRPr="00B80BC8">
        <w:rPr>
          <w:b/>
          <w:sz w:val="22"/>
          <w:szCs w:val="22"/>
          <w:lang w:eastAsia="pt-BR"/>
        </w:rPr>
        <w:t xml:space="preserve">. </w:t>
      </w:r>
      <w:r w:rsidR="009A165D" w:rsidRPr="00B80BC8">
        <w:rPr>
          <w:b/>
          <w:sz w:val="22"/>
          <w:szCs w:val="22"/>
          <w:lang w:eastAsia="pt-BR"/>
        </w:rPr>
        <w:t>É possível a exigência de laudos para comprovação da qualidade do objeto licitado, desde que (i) haja previsão no instrumento convocatório, (ii) sejam exigidos apenas na fase de julgamento das propostas e do licitante provisoriamente classificado em primeiro lugar, e (iii) seja estabelecido prazo suficiente para a obtenção dos laudos.</w:t>
      </w:r>
    </w:p>
    <w:p w:rsidR="0082135E" w:rsidRPr="00B80BC8" w:rsidRDefault="008130EE" w:rsidP="00371487">
      <w:pPr>
        <w:autoSpaceDE w:val="0"/>
        <w:autoSpaceDN w:val="0"/>
        <w:adjustRightInd w:val="0"/>
        <w:spacing w:after="0"/>
        <w:ind w:left="0"/>
        <w:rPr>
          <w:b/>
          <w:i/>
          <w:sz w:val="22"/>
          <w:szCs w:val="22"/>
        </w:rPr>
      </w:pPr>
      <w:r w:rsidRPr="00B80BC8">
        <w:rPr>
          <w:sz w:val="22"/>
          <w:szCs w:val="22"/>
        </w:rPr>
        <w:t xml:space="preserve">Representação </w:t>
      </w:r>
      <w:r w:rsidR="00F645BA" w:rsidRPr="00B80BC8">
        <w:rPr>
          <w:sz w:val="22"/>
          <w:szCs w:val="22"/>
        </w:rPr>
        <w:t>relativa a</w:t>
      </w:r>
      <w:r w:rsidRPr="00B80BC8">
        <w:rPr>
          <w:bCs/>
          <w:sz w:val="22"/>
          <w:szCs w:val="22"/>
        </w:rPr>
        <w:t xml:space="preserve"> </w:t>
      </w:r>
      <w:r w:rsidR="00425F16" w:rsidRPr="00B80BC8">
        <w:rPr>
          <w:bCs/>
          <w:sz w:val="22"/>
          <w:szCs w:val="22"/>
        </w:rPr>
        <w:t>pregão eletrônico para registro de preços</w:t>
      </w:r>
      <w:r w:rsidRPr="00B80BC8">
        <w:rPr>
          <w:bCs/>
          <w:sz w:val="22"/>
          <w:szCs w:val="22"/>
        </w:rPr>
        <w:t xml:space="preserve"> </w:t>
      </w:r>
      <w:r w:rsidR="00425F16" w:rsidRPr="00B80BC8">
        <w:rPr>
          <w:bCs/>
          <w:sz w:val="22"/>
          <w:szCs w:val="22"/>
        </w:rPr>
        <w:t>conduzido pela</w:t>
      </w:r>
      <w:r w:rsidRPr="00B80BC8">
        <w:rPr>
          <w:bCs/>
          <w:sz w:val="22"/>
          <w:szCs w:val="22"/>
        </w:rPr>
        <w:t xml:space="preserve"> </w:t>
      </w:r>
      <w:r w:rsidR="00425F16" w:rsidRPr="00B80BC8">
        <w:rPr>
          <w:sz w:val="22"/>
          <w:szCs w:val="22"/>
        </w:rPr>
        <w:t>Universidade Federal da Paraíba (UFPB)</w:t>
      </w:r>
      <w:r w:rsidR="00F645BA" w:rsidRPr="00B80BC8">
        <w:rPr>
          <w:sz w:val="22"/>
          <w:szCs w:val="22"/>
        </w:rPr>
        <w:t>, destinado</w:t>
      </w:r>
      <w:r w:rsidR="00F03059" w:rsidRPr="00B80BC8">
        <w:rPr>
          <w:sz w:val="22"/>
          <w:szCs w:val="22"/>
        </w:rPr>
        <w:t xml:space="preserve"> ao</w:t>
      </w:r>
      <w:r w:rsidR="00425F16" w:rsidRPr="00B80BC8">
        <w:rPr>
          <w:bCs/>
          <w:sz w:val="22"/>
          <w:szCs w:val="22"/>
        </w:rPr>
        <w:t xml:space="preserve"> fornecimento de arquivos deslizantes</w:t>
      </w:r>
      <w:r w:rsidR="00F03059" w:rsidRPr="00B80BC8">
        <w:rPr>
          <w:bCs/>
          <w:sz w:val="22"/>
          <w:szCs w:val="22"/>
        </w:rPr>
        <w:t xml:space="preserve">, </w:t>
      </w:r>
      <w:r w:rsidR="009A165D" w:rsidRPr="00B80BC8">
        <w:rPr>
          <w:bCs/>
          <w:sz w:val="22"/>
          <w:szCs w:val="22"/>
        </w:rPr>
        <w:t xml:space="preserve">apontara possível restrição à competitividade decorrente, dentre </w:t>
      </w:r>
      <w:r w:rsidR="00F645BA" w:rsidRPr="00B80BC8">
        <w:rPr>
          <w:bCs/>
          <w:sz w:val="22"/>
          <w:szCs w:val="22"/>
        </w:rPr>
        <w:t>outros aspectos</w:t>
      </w:r>
      <w:r w:rsidR="00037ED3" w:rsidRPr="00B80BC8">
        <w:rPr>
          <w:bCs/>
          <w:sz w:val="22"/>
          <w:szCs w:val="22"/>
        </w:rPr>
        <w:t>, da</w:t>
      </w:r>
      <w:r w:rsidR="00425F16" w:rsidRPr="00B80BC8">
        <w:rPr>
          <w:bCs/>
          <w:sz w:val="22"/>
          <w:szCs w:val="22"/>
        </w:rPr>
        <w:t xml:space="preserve"> exigência de laudos reconhecidos pelo Inmetro na fase de habilitaç</w:t>
      </w:r>
      <w:r w:rsidR="00B91BEB" w:rsidRPr="00B80BC8">
        <w:rPr>
          <w:bCs/>
          <w:sz w:val="22"/>
          <w:szCs w:val="22"/>
        </w:rPr>
        <w:t>ão</w:t>
      </w:r>
      <w:r w:rsidR="00F03059" w:rsidRPr="00B80BC8">
        <w:rPr>
          <w:bCs/>
          <w:sz w:val="22"/>
          <w:szCs w:val="22"/>
        </w:rPr>
        <w:t>.</w:t>
      </w:r>
      <w:r w:rsidR="00B91BEB" w:rsidRPr="00B80BC8">
        <w:rPr>
          <w:bCs/>
          <w:sz w:val="22"/>
          <w:szCs w:val="22"/>
        </w:rPr>
        <w:t xml:space="preserve"> </w:t>
      </w:r>
      <w:r w:rsidR="009A165D" w:rsidRPr="00B80BC8">
        <w:rPr>
          <w:bCs/>
          <w:sz w:val="22"/>
          <w:szCs w:val="22"/>
        </w:rPr>
        <w:t xml:space="preserve">Analisando o </w:t>
      </w:r>
      <w:r w:rsidR="0082135E" w:rsidRPr="00B80BC8">
        <w:rPr>
          <w:bCs/>
          <w:sz w:val="22"/>
          <w:szCs w:val="22"/>
        </w:rPr>
        <w:t>ponto</w:t>
      </w:r>
      <w:r w:rsidR="009A165D" w:rsidRPr="00B80BC8">
        <w:rPr>
          <w:bCs/>
          <w:sz w:val="22"/>
          <w:szCs w:val="22"/>
        </w:rPr>
        <w:t xml:space="preserve">, após as oitivas regimentais, </w:t>
      </w:r>
      <w:r w:rsidR="00F645BA" w:rsidRPr="00B80BC8">
        <w:rPr>
          <w:bCs/>
          <w:sz w:val="22"/>
          <w:szCs w:val="22"/>
        </w:rPr>
        <w:t xml:space="preserve">o relator anotou que a etapa de habilitação tem por objetivo </w:t>
      </w:r>
      <w:r w:rsidR="00F645BA" w:rsidRPr="00B80BC8">
        <w:rPr>
          <w:bCs/>
          <w:i/>
          <w:sz w:val="22"/>
          <w:szCs w:val="22"/>
        </w:rPr>
        <w:t>“garantir que a empresa a ser contratada tenha capacidade de entregar o objeto licitado”</w:t>
      </w:r>
      <w:r w:rsidR="00F645BA" w:rsidRPr="00B80BC8">
        <w:rPr>
          <w:bCs/>
          <w:sz w:val="22"/>
          <w:szCs w:val="22"/>
        </w:rPr>
        <w:t xml:space="preserve">, razão pela qual os requisitos ali exigidos dizem respeito </w:t>
      </w:r>
      <w:r w:rsidR="00F645BA" w:rsidRPr="00B80BC8">
        <w:rPr>
          <w:bCs/>
          <w:i/>
          <w:sz w:val="22"/>
          <w:szCs w:val="22"/>
        </w:rPr>
        <w:t>“à qualidade da licitante, e não do objeto a ser ofertado”</w:t>
      </w:r>
      <w:r w:rsidR="00F645BA" w:rsidRPr="00B80BC8">
        <w:rPr>
          <w:bCs/>
          <w:sz w:val="22"/>
          <w:szCs w:val="22"/>
        </w:rPr>
        <w:t>.</w:t>
      </w:r>
      <w:r w:rsidR="007A573C" w:rsidRPr="00B80BC8">
        <w:rPr>
          <w:bCs/>
          <w:sz w:val="22"/>
          <w:szCs w:val="22"/>
        </w:rPr>
        <w:t xml:space="preserve"> Por essa razão, </w:t>
      </w:r>
      <w:r w:rsidR="00037ED3" w:rsidRPr="00B80BC8">
        <w:rPr>
          <w:bCs/>
          <w:i/>
          <w:sz w:val="22"/>
          <w:szCs w:val="22"/>
        </w:rPr>
        <w:t>“n</w:t>
      </w:r>
      <w:r w:rsidR="007A573C" w:rsidRPr="00B80BC8">
        <w:rPr>
          <w:bCs/>
          <w:i/>
          <w:sz w:val="22"/>
          <w:szCs w:val="22"/>
        </w:rPr>
        <w:t>enhum dos documentos elencados pela lei refere-se à qualidade do produto ofertado, mas sim à empresa que pretende fornecê-lo”</w:t>
      </w:r>
      <w:r w:rsidR="007A573C" w:rsidRPr="00B80BC8">
        <w:rPr>
          <w:bCs/>
          <w:sz w:val="22"/>
          <w:szCs w:val="22"/>
        </w:rPr>
        <w:t xml:space="preserve">. Nesse sentido, segue o relator, a etapa de habilitação </w:t>
      </w:r>
      <w:r w:rsidR="007A573C" w:rsidRPr="00B80BC8">
        <w:rPr>
          <w:bCs/>
          <w:i/>
          <w:sz w:val="22"/>
          <w:szCs w:val="22"/>
        </w:rPr>
        <w:t>“não é a adequada para que se comprove a robustez do produto a ser entregue (...) a demonstração do atendimento do objeto aos termos editalícios deve ser feita na etapa de classificação, não na de habilitação”</w:t>
      </w:r>
      <w:r w:rsidR="007A573C" w:rsidRPr="00B80BC8">
        <w:rPr>
          <w:bCs/>
          <w:sz w:val="22"/>
          <w:szCs w:val="22"/>
        </w:rPr>
        <w:t xml:space="preserve">. </w:t>
      </w:r>
      <w:r w:rsidR="00752A9D" w:rsidRPr="00B80BC8">
        <w:rPr>
          <w:bCs/>
          <w:sz w:val="22"/>
          <w:szCs w:val="22"/>
        </w:rPr>
        <w:t xml:space="preserve">Nada obstante, considerou o relator que, desde que justificada e motivada, a exigência de laudos técnicos como critério de aferição da qualidade do objeto licitado </w:t>
      </w:r>
      <w:r w:rsidR="00752A9D" w:rsidRPr="00B80BC8">
        <w:rPr>
          <w:bCs/>
          <w:i/>
          <w:sz w:val="22"/>
          <w:szCs w:val="22"/>
        </w:rPr>
        <w:t>“</w:t>
      </w:r>
      <w:r w:rsidR="00752A9D" w:rsidRPr="00B80BC8">
        <w:rPr>
          <w:i/>
          <w:sz w:val="22"/>
          <w:szCs w:val="22"/>
        </w:rPr>
        <w:t>não se configuraria como restrição indevida da competitividade”</w:t>
      </w:r>
      <w:r w:rsidR="00037ED3" w:rsidRPr="00B80BC8">
        <w:rPr>
          <w:sz w:val="22"/>
          <w:szCs w:val="22"/>
        </w:rPr>
        <w:t xml:space="preserve">. A propósito, </w:t>
      </w:r>
      <w:r w:rsidR="00752A9D" w:rsidRPr="00B80BC8">
        <w:rPr>
          <w:sz w:val="22"/>
          <w:szCs w:val="22"/>
        </w:rPr>
        <w:t xml:space="preserve">lembrou o relator, a </w:t>
      </w:r>
      <w:r w:rsidR="00752A9D" w:rsidRPr="00B80BC8">
        <w:rPr>
          <w:i/>
          <w:sz w:val="22"/>
          <w:szCs w:val="22"/>
        </w:rPr>
        <w:t>“jurisprudência deste Tribunal admite a exigência de laudos para comprovação da qualidade do objeto licitado, desde que haja previsão no instrumento convocatório, que sejam exigidos apenas na fase de julgamento das propostas, e somente do licitante provisoriamente classificado em primeiro lugar”</w:t>
      </w:r>
      <w:r w:rsidR="00752A9D" w:rsidRPr="00B80BC8">
        <w:rPr>
          <w:sz w:val="22"/>
          <w:szCs w:val="22"/>
        </w:rPr>
        <w:t xml:space="preserve">, estabelecendo-se, obviamente, </w:t>
      </w:r>
      <w:r w:rsidR="00752A9D" w:rsidRPr="00B80BC8">
        <w:rPr>
          <w:i/>
          <w:sz w:val="22"/>
          <w:szCs w:val="22"/>
        </w:rPr>
        <w:t>“prazo suficiente para a obtenção desses laudos”</w:t>
      </w:r>
      <w:r w:rsidR="00752A9D" w:rsidRPr="00B80BC8">
        <w:rPr>
          <w:sz w:val="22"/>
          <w:szCs w:val="22"/>
        </w:rPr>
        <w:t>.</w:t>
      </w:r>
      <w:r w:rsidR="0082135E" w:rsidRPr="00B80BC8">
        <w:rPr>
          <w:sz w:val="22"/>
          <w:szCs w:val="22"/>
        </w:rPr>
        <w:t xml:space="preserve"> O Plenário do TCU, considerando que as irregularidades verificadas não tinham envergadura para ensejar a nulidade do certame, recepcionou a proposta do relator para ju</w:t>
      </w:r>
      <w:r w:rsidR="00037ED3" w:rsidRPr="00B80BC8">
        <w:rPr>
          <w:sz w:val="22"/>
          <w:szCs w:val="22"/>
        </w:rPr>
        <w:t>lgar parcialmente procedente a R</w:t>
      </w:r>
      <w:r w:rsidR="0082135E" w:rsidRPr="00B80BC8">
        <w:rPr>
          <w:sz w:val="22"/>
          <w:szCs w:val="22"/>
        </w:rPr>
        <w:t xml:space="preserve">epresentação e determinar à UFPB, dentre outros aspectos, que, em futuras licitações, </w:t>
      </w:r>
      <w:r w:rsidR="0082135E" w:rsidRPr="00B80BC8">
        <w:rPr>
          <w:i/>
          <w:sz w:val="22"/>
          <w:szCs w:val="22"/>
        </w:rPr>
        <w:t>“quando necessária a apresentação de laudos técnicos para assegurar a qualidade do objeto licitado, limite-se a exigi-los na etapa de julgamento das propostas, e apenas do licitante provisoriamente classificado em primeiro lugar, conferindo-lhe prazo suficiente para obtê-los”</w:t>
      </w:r>
      <w:r w:rsidR="0082135E" w:rsidRPr="00B80BC8">
        <w:rPr>
          <w:sz w:val="22"/>
          <w:szCs w:val="22"/>
        </w:rPr>
        <w:t xml:space="preserve">. </w:t>
      </w:r>
      <w:hyperlink r:id="rId11" w:history="1">
        <w:r w:rsidR="00371487" w:rsidRPr="00B80BC8">
          <w:rPr>
            <w:b/>
            <w:i/>
            <w:color w:val="0000FF"/>
            <w:sz w:val="22"/>
            <w:szCs w:val="22"/>
          </w:rPr>
          <w:t>Acórdão 1677/2014-Plenário</w:t>
        </w:r>
      </w:hyperlink>
      <w:r w:rsidR="0082135E" w:rsidRPr="00B80BC8">
        <w:rPr>
          <w:b/>
          <w:i/>
          <w:sz w:val="22"/>
          <w:szCs w:val="22"/>
        </w:rPr>
        <w:t>, TC 031.200/2013-3, relator Ministro-Substituto Augusto Sherman Cavalcanti, 25.6.2014.</w:t>
      </w:r>
    </w:p>
    <w:p w:rsidR="0082135E" w:rsidRPr="00B80BC8" w:rsidRDefault="0082135E" w:rsidP="00371487">
      <w:pPr>
        <w:autoSpaceDE w:val="0"/>
        <w:autoSpaceDN w:val="0"/>
        <w:adjustRightInd w:val="0"/>
        <w:spacing w:after="0"/>
        <w:ind w:left="0"/>
        <w:rPr>
          <w:b/>
          <w:i/>
          <w:sz w:val="22"/>
          <w:szCs w:val="22"/>
        </w:rPr>
      </w:pPr>
    </w:p>
    <w:p w:rsidR="00CA16B5" w:rsidRPr="00B80BC8" w:rsidRDefault="00CA16B5" w:rsidP="00371487">
      <w:pPr>
        <w:autoSpaceDE w:val="0"/>
        <w:autoSpaceDN w:val="0"/>
        <w:adjustRightInd w:val="0"/>
        <w:spacing w:after="0"/>
        <w:ind w:left="0"/>
        <w:rPr>
          <w:b/>
          <w:bCs/>
          <w:sz w:val="22"/>
          <w:szCs w:val="22"/>
        </w:rPr>
      </w:pPr>
      <w:r w:rsidRPr="00B80BC8">
        <w:rPr>
          <w:b/>
          <w:bCs/>
          <w:sz w:val="22"/>
          <w:szCs w:val="22"/>
        </w:rPr>
        <w:t>4. </w:t>
      </w:r>
      <w:r w:rsidR="00DE6391" w:rsidRPr="00B80BC8">
        <w:rPr>
          <w:b/>
          <w:sz w:val="22"/>
          <w:szCs w:val="22"/>
        </w:rPr>
        <w:t>A Administração somente deve emitir autorização para início das obras após a efetiva comprovação da titularidade das respectivas áreas, não admitindo para esse fim documentos diversos daqueles constantes nas normas específicas.</w:t>
      </w:r>
      <w:r w:rsidRPr="00B80BC8">
        <w:rPr>
          <w:b/>
          <w:bCs/>
          <w:sz w:val="22"/>
          <w:szCs w:val="22"/>
        </w:rPr>
        <w:t xml:space="preserve"> </w:t>
      </w:r>
    </w:p>
    <w:p w:rsidR="00CA16B5" w:rsidRPr="00B80BC8" w:rsidRDefault="00CA16B5" w:rsidP="00371487">
      <w:pPr>
        <w:autoSpaceDE w:val="0"/>
        <w:autoSpaceDN w:val="0"/>
        <w:adjustRightInd w:val="0"/>
        <w:spacing w:after="0"/>
        <w:ind w:left="0"/>
        <w:rPr>
          <w:b/>
          <w:sz w:val="22"/>
          <w:szCs w:val="22"/>
        </w:rPr>
      </w:pPr>
      <w:r w:rsidRPr="00B80BC8">
        <w:rPr>
          <w:bCs/>
          <w:sz w:val="22"/>
          <w:szCs w:val="22"/>
        </w:rPr>
        <w:t>Em</w:t>
      </w:r>
      <w:r w:rsidR="004E3653" w:rsidRPr="00B80BC8">
        <w:rPr>
          <w:bCs/>
          <w:sz w:val="22"/>
          <w:szCs w:val="22"/>
        </w:rPr>
        <w:t xml:space="preserve"> A</w:t>
      </w:r>
      <w:r w:rsidRPr="00B80BC8">
        <w:rPr>
          <w:bCs/>
          <w:sz w:val="22"/>
          <w:szCs w:val="22"/>
        </w:rPr>
        <w:t xml:space="preserve">uditoria destinada a avaliar a execução das obras de construção de unidades habitacionais na cidade de Manaus/AM, fora constatada a não comprovação da titularidade de parte da área onde seria realizado o empreendimento. Com base em precedente jurisprudencial </w:t>
      </w:r>
      <w:r w:rsidR="004E3653" w:rsidRPr="00B80BC8">
        <w:rPr>
          <w:bCs/>
          <w:sz w:val="22"/>
          <w:szCs w:val="22"/>
        </w:rPr>
        <w:t>do Tribunal (Acórdão 1213/2013-</w:t>
      </w:r>
      <w:r w:rsidRPr="00B80BC8">
        <w:rPr>
          <w:bCs/>
          <w:sz w:val="22"/>
          <w:szCs w:val="22"/>
        </w:rPr>
        <w:t>Plenário), o relator destacou, em seu voto, a importância, no caso de desapropriação necessária, de a i</w:t>
      </w:r>
      <w:r w:rsidR="00AE2D43" w:rsidRPr="00B80BC8">
        <w:rPr>
          <w:bCs/>
          <w:sz w:val="22"/>
          <w:szCs w:val="22"/>
        </w:rPr>
        <w:t>nstituição pública providenciar antecipadamente</w:t>
      </w:r>
      <w:r w:rsidRPr="00B80BC8">
        <w:rPr>
          <w:bCs/>
          <w:sz w:val="22"/>
          <w:szCs w:val="22"/>
        </w:rPr>
        <w:t xml:space="preserve"> a regularização fundiária das áreas, mediante justa e prévia indenização, para, somente então, autorizar o início das obras, não sendo suficiente, a princípio, a mera expedi</w:t>
      </w:r>
      <w:r w:rsidR="00AE2D43" w:rsidRPr="00B80BC8">
        <w:rPr>
          <w:bCs/>
          <w:sz w:val="22"/>
          <w:szCs w:val="22"/>
        </w:rPr>
        <w:t>ção do decreto desapropriatório</w:t>
      </w:r>
      <w:r w:rsidRPr="00B80BC8">
        <w:rPr>
          <w:bCs/>
          <w:sz w:val="22"/>
          <w:szCs w:val="22"/>
        </w:rPr>
        <w:t xml:space="preserve"> para autorizar a realização do empreendimento. A aceitação do decreto de desapropriação e do Registro </w:t>
      </w:r>
      <w:r w:rsidR="00AE2D43" w:rsidRPr="00B80BC8">
        <w:rPr>
          <w:bCs/>
          <w:sz w:val="22"/>
          <w:szCs w:val="22"/>
        </w:rPr>
        <w:t>Geral de Imóveis (RGI)</w:t>
      </w:r>
      <w:r w:rsidRPr="00B80BC8">
        <w:rPr>
          <w:bCs/>
          <w:sz w:val="22"/>
          <w:szCs w:val="22"/>
        </w:rPr>
        <w:t>, como documentos úteis para o início das obras, seria medida excepcional e, ainda assim, necessitaria que o p</w:t>
      </w:r>
      <w:r w:rsidR="00AE2D43" w:rsidRPr="00B80BC8">
        <w:rPr>
          <w:bCs/>
          <w:sz w:val="22"/>
          <w:szCs w:val="22"/>
        </w:rPr>
        <w:t>roprietário do imóvel em processo de desapropriação interviesse no contrato de r</w:t>
      </w:r>
      <w:r w:rsidRPr="00B80BC8">
        <w:rPr>
          <w:bCs/>
          <w:sz w:val="22"/>
          <w:szCs w:val="22"/>
        </w:rPr>
        <w:t>epasse e concordasse com o procedimen</w:t>
      </w:r>
      <w:r w:rsidR="00AE2D43" w:rsidRPr="00B80BC8">
        <w:rPr>
          <w:bCs/>
          <w:sz w:val="22"/>
          <w:szCs w:val="22"/>
        </w:rPr>
        <w:t>to adotado, o que não aconteceu no caso em exame</w:t>
      </w:r>
      <w:r w:rsidRPr="00B80BC8">
        <w:rPr>
          <w:bCs/>
          <w:sz w:val="22"/>
          <w:szCs w:val="22"/>
        </w:rPr>
        <w:t>. Por conseguinte, o relator votou por que fossem multados os responsáveis envol</w:t>
      </w:r>
      <w:r w:rsidR="00AE2D43" w:rsidRPr="00B80BC8">
        <w:rPr>
          <w:bCs/>
          <w:sz w:val="22"/>
          <w:szCs w:val="22"/>
        </w:rPr>
        <w:t>vidos, bem como determinado ao m</w:t>
      </w:r>
      <w:r w:rsidRPr="00B80BC8">
        <w:rPr>
          <w:bCs/>
          <w:sz w:val="22"/>
          <w:szCs w:val="22"/>
        </w:rPr>
        <w:t>unicípio de Manaus que somente emitisse autorização para início da execução de obras após a efetiva comprovação da titularidade das respectivas áreas, não se admitindo, para este fim, documentos diversos daqueles constantes nas normas específicas, no que contou com a anuência do Plenário.</w:t>
      </w:r>
      <w:r w:rsidRPr="00B80BC8">
        <w:rPr>
          <w:b/>
          <w:sz w:val="22"/>
          <w:szCs w:val="22"/>
        </w:rPr>
        <w:t xml:space="preserve"> </w:t>
      </w:r>
      <w:hyperlink r:id="rId12" w:history="1">
        <w:r w:rsidRPr="00B80BC8">
          <w:rPr>
            <w:rStyle w:val="Hyperlink"/>
            <w:b/>
            <w:bCs/>
            <w:i/>
            <w:sz w:val="22"/>
            <w:szCs w:val="22"/>
          </w:rPr>
          <w:t>Acórdão 1681/2014-Plenário</w:t>
        </w:r>
      </w:hyperlink>
      <w:r w:rsidRPr="00B80BC8">
        <w:rPr>
          <w:b/>
          <w:bCs/>
          <w:i/>
          <w:sz w:val="22"/>
          <w:szCs w:val="22"/>
        </w:rPr>
        <w:t>, TC 000.278/2010-6, relator Ministro-Substituto Marcos Bemquerer Costa, 25.6.2014.</w:t>
      </w:r>
    </w:p>
    <w:p w:rsidR="00DE6391" w:rsidRPr="00B80BC8" w:rsidRDefault="00DE6391" w:rsidP="00371487">
      <w:pPr>
        <w:spacing w:after="0"/>
        <w:ind w:left="0"/>
        <w:rPr>
          <w:b/>
          <w:sz w:val="22"/>
          <w:szCs w:val="22"/>
          <w:lang w:eastAsia="pt-BR"/>
        </w:rPr>
      </w:pPr>
    </w:p>
    <w:p w:rsidR="00DE6391" w:rsidRPr="00B80BC8" w:rsidRDefault="00CA16B5" w:rsidP="00371487">
      <w:pPr>
        <w:spacing w:after="0"/>
        <w:ind w:left="0"/>
        <w:rPr>
          <w:b/>
          <w:sz w:val="22"/>
          <w:szCs w:val="22"/>
        </w:rPr>
      </w:pPr>
      <w:r w:rsidRPr="00B80BC8">
        <w:rPr>
          <w:b/>
          <w:sz w:val="22"/>
          <w:szCs w:val="22"/>
          <w:lang w:eastAsia="pt-BR"/>
        </w:rPr>
        <w:t>5</w:t>
      </w:r>
      <w:r w:rsidR="00DE5810" w:rsidRPr="00B80BC8">
        <w:rPr>
          <w:b/>
          <w:sz w:val="22"/>
          <w:szCs w:val="22"/>
          <w:lang w:eastAsia="pt-BR"/>
        </w:rPr>
        <w:t xml:space="preserve">. </w:t>
      </w:r>
      <w:r w:rsidR="00DE6391" w:rsidRPr="00B80BC8">
        <w:rPr>
          <w:b/>
          <w:sz w:val="22"/>
          <w:szCs w:val="22"/>
        </w:rPr>
        <w:t>Os empregados colocados à disposição da empresa urbana tomadora dos serviços ficam subordinados à empresa de trabalho temporário contratada, sendo esta a responsável pelo cumprimento de todas as exigências legais inerentes a tal relação, incluindo a observância dos direitos e deveres dos trabalhadores. A empresa tomadora dos serviços é responsabilizada solidariamente apenas no caso de falência da empresa contratada relativamente à remuneração e aos direitos previdenciários.</w:t>
      </w:r>
    </w:p>
    <w:p w:rsidR="00811DF8" w:rsidRPr="00B80BC8" w:rsidRDefault="00DE5810" w:rsidP="00371487">
      <w:pPr>
        <w:autoSpaceDE w:val="0"/>
        <w:autoSpaceDN w:val="0"/>
        <w:adjustRightInd w:val="0"/>
        <w:spacing w:after="0"/>
        <w:ind w:left="0"/>
        <w:rPr>
          <w:b/>
          <w:sz w:val="22"/>
          <w:szCs w:val="22"/>
        </w:rPr>
      </w:pPr>
      <w:r w:rsidRPr="00B80BC8">
        <w:rPr>
          <w:sz w:val="22"/>
          <w:szCs w:val="22"/>
        </w:rPr>
        <w:t>Representação relativa a</w:t>
      </w:r>
      <w:r w:rsidRPr="00B80BC8">
        <w:rPr>
          <w:bCs/>
          <w:sz w:val="22"/>
          <w:szCs w:val="22"/>
        </w:rPr>
        <w:t xml:space="preserve"> pregão eletrônico conduzido pela</w:t>
      </w:r>
      <w:r w:rsidR="007567CE" w:rsidRPr="00B80BC8">
        <w:rPr>
          <w:bCs/>
          <w:sz w:val="22"/>
          <w:szCs w:val="22"/>
        </w:rPr>
        <w:t xml:space="preserve"> </w:t>
      </w:r>
      <w:r w:rsidR="007567CE" w:rsidRPr="00B80BC8">
        <w:rPr>
          <w:sz w:val="22"/>
          <w:szCs w:val="22"/>
        </w:rPr>
        <w:t>Nucle</w:t>
      </w:r>
      <w:r w:rsidR="00AE2D43" w:rsidRPr="00B80BC8">
        <w:rPr>
          <w:sz w:val="22"/>
          <w:szCs w:val="22"/>
        </w:rPr>
        <w:t>brás Equipamentos Pesados S.A. (</w:t>
      </w:r>
      <w:r w:rsidR="007567CE" w:rsidRPr="00B80BC8">
        <w:rPr>
          <w:sz w:val="22"/>
          <w:szCs w:val="22"/>
        </w:rPr>
        <w:t>Nuclep</w:t>
      </w:r>
      <w:r w:rsidR="00AE2D43" w:rsidRPr="00B80BC8">
        <w:rPr>
          <w:sz w:val="22"/>
          <w:szCs w:val="22"/>
        </w:rPr>
        <w:t>)</w:t>
      </w:r>
      <w:r w:rsidRPr="00B80BC8">
        <w:rPr>
          <w:sz w:val="22"/>
          <w:szCs w:val="22"/>
        </w:rPr>
        <w:t xml:space="preserve">, </w:t>
      </w:r>
      <w:r w:rsidR="007567CE" w:rsidRPr="00B80BC8">
        <w:rPr>
          <w:sz w:val="22"/>
          <w:szCs w:val="22"/>
        </w:rPr>
        <w:t>para a contratação de empresa fornecedora de mão de obra temporária</w:t>
      </w:r>
      <w:r w:rsidRPr="00B80BC8">
        <w:rPr>
          <w:bCs/>
          <w:sz w:val="22"/>
          <w:szCs w:val="22"/>
        </w:rPr>
        <w:t xml:space="preserve">, apontara </w:t>
      </w:r>
      <w:r w:rsidR="007567CE" w:rsidRPr="00B80BC8">
        <w:rPr>
          <w:bCs/>
          <w:sz w:val="22"/>
          <w:szCs w:val="22"/>
        </w:rPr>
        <w:t xml:space="preserve">possível inadequação do edital aos princípios e normativos que regem </w:t>
      </w:r>
      <w:r w:rsidR="00A33B0E" w:rsidRPr="00B80BC8">
        <w:rPr>
          <w:bCs/>
          <w:sz w:val="22"/>
          <w:szCs w:val="22"/>
        </w:rPr>
        <w:t>as contratações da espécie</w:t>
      </w:r>
      <w:r w:rsidR="007567CE" w:rsidRPr="00B80BC8">
        <w:rPr>
          <w:bCs/>
          <w:sz w:val="22"/>
          <w:szCs w:val="22"/>
        </w:rPr>
        <w:t>.</w:t>
      </w:r>
      <w:r w:rsidR="00970FA2" w:rsidRPr="00B80BC8">
        <w:rPr>
          <w:bCs/>
          <w:sz w:val="22"/>
          <w:szCs w:val="22"/>
        </w:rPr>
        <w:t xml:space="preserve"> Em síntese, a representante alegara, com base na legislação incidente, existir no edital cláusulas que refletiriam </w:t>
      </w:r>
      <w:r w:rsidR="00970FA2" w:rsidRPr="00B80BC8">
        <w:rPr>
          <w:bCs/>
          <w:i/>
          <w:sz w:val="22"/>
          <w:szCs w:val="22"/>
        </w:rPr>
        <w:t xml:space="preserve">“confusão conceitual entre terceirização de serviços e contratação de mão de obra temporária” </w:t>
      </w:r>
      <w:r w:rsidR="00970FA2" w:rsidRPr="00B80BC8">
        <w:rPr>
          <w:bCs/>
          <w:sz w:val="22"/>
          <w:szCs w:val="22"/>
        </w:rPr>
        <w:t xml:space="preserve">existente na Nuclep. Em preliminar, o relator anotou que </w:t>
      </w:r>
      <w:r w:rsidR="00970FA2" w:rsidRPr="00B80BC8">
        <w:rPr>
          <w:bCs/>
          <w:i/>
          <w:sz w:val="22"/>
          <w:szCs w:val="22"/>
        </w:rPr>
        <w:t>“não se mostra adequado afirmar que, nos termos da Lei nº 6.019, de 1974, que dispõe sobre o trabalho temporário nas empresas urbanas, bem como do Decreto nº 73.841, de 13 de março de 1974, que a regulamentou, os empregados colocados à disposição da empresa tomadora dos serviços ficam a ela subordinados”</w:t>
      </w:r>
      <w:r w:rsidR="00970FA2" w:rsidRPr="00B80BC8">
        <w:rPr>
          <w:bCs/>
          <w:sz w:val="22"/>
          <w:szCs w:val="22"/>
        </w:rPr>
        <w:t xml:space="preserve">. Nos termos da Lei e do regulamento, prosseguiu, </w:t>
      </w:r>
      <w:r w:rsidR="00970FA2" w:rsidRPr="00B80BC8">
        <w:rPr>
          <w:bCs/>
          <w:i/>
          <w:sz w:val="22"/>
          <w:szCs w:val="22"/>
        </w:rPr>
        <w:t>“o contrato de trabalho é firmado entre o trabalhador e a empresa de trabalho temporário, sendo esta a responsável pelo cumprimento de todas as exigências legais inerentes, incluindo a observância dos direitos e deveres dos trabalhadores”</w:t>
      </w:r>
      <w:r w:rsidR="00970FA2" w:rsidRPr="00B80BC8">
        <w:rPr>
          <w:bCs/>
          <w:sz w:val="22"/>
          <w:szCs w:val="22"/>
        </w:rPr>
        <w:t xml:space="preserve">. Nesse sentido, a empresa tomadora dos serviços </w:t>
      </w:r>
      <w:r w:rsidR="00970FA2" w:rsidRPr="00B80BC8">
        <w:rPr>
          <w:bCs/>
          <w:i/>
          <w:sz w:val="22"/>
          <w:szCs w:val="22"/>
        </w:rPr>
        <w:t>“apenas firma o contrato com a empresa de trabalho temporário pelo período máximo de três meses, com prorrogação possível apenas com autorização de órgão regional do Ministério do Trabalho e Emprego, sendo responsabilizada solidariamente apenas no caso de falência da empresa contratada relativamente à remuneração e aos direitos previdenciários”</w:t>
      </w:r>
      <w:r w:rsidR="00D27D32" w:rsidRPr="00B80BC8">
        <w:rPr>
          <w:bCs/>
          <w:sz w:val="22"/>
          <w:szCs w:val="22"/>
        </w:rPr>
        <w:t>. A par dess</w:t>
      </w:r>
      <w:r w:rsidR="00970FA2" w:rsidRPr="00B80BC8">
        <w:rPr>
          <w:bCs/>
          <w:sz w:val="22"/>
          <w:szCs w:val="22"/>
        </w:rPr>
        <w:t>as considerações, e considerando que eventuais litígios acerca da relação jurídica entre trabalhadores temporários e a empresa tomadora dos serviços</w:t>
      </w:r>
      <w:r w:rsidR="00D3218B" w:rsidRPr="00B80BC8">
        <w:rPr>
          <w:bCs/>
          <w:sz w:val="22"/>
          <w:szCs w:val="22"/>
        </w:rPr>
        <w:t xml:space="preserve"> deverá ser resolvido na instância judicial, concluiu o relator </w:t>
      </w:r>
      <w:r w:rsidR="00D3218B" w:rsidRPr="00B80BC8">
        <w:rPr>
          <w:bCs/>
          <w:i/>
          <w:sz w:val="22"/>
          <w:szCs w:val="22"/>
        </w:rPr>
        <w:t>“não haver irregularidade nas cláusulas editalícias criticadas pela representante, ficando prejudicado o pedido de adoção da cautelar”</w:t>
      </w:r>
      <w:r w:rsidR="00D3218B" w:rsidRPr="00B80BC8">
        <w:rPr>
          <w:bCs/>
          <w:sz w:val="22"/>
          <w:szCs w:val="22"/>
        </w:rPr>
        <w:t>. O Plenário do TCU, acolhendo a proposta do rela</w:t>
      </w:r>
      <w:r w:rsidR="00D27D32" w:rsidRPr="00B80BC8">
        <w:rPr>
          <w:bCs/>
          <w:sz w:val="22"/>
          <w:szCs w:val="22"/>
        </w:rPr>
        <w:t>tor, considerou improcedente a R</w:t>
      </w:r>
      <w:r w:rsidR="00D3218B" w:rsidRPr="00B80BC8">
        <w:rPr>
          <w:bCs/>
          <w:sz w:val="22"/>
          <w:szCs w:val="22"/>
        </w:rPr>
        <w:t xml:space="preserve">epresentação e arquivou o processo. </w:t>
      </w:r>
      <w:r w:rsidR="00371487" w:rsidRPr="00B80BC8">
        <w:rPr>
          <w:bCs/>
          <w:sz w:val="22"/>
          <w:szCs w:val="22"/>
        </w:rPr>
        <w:t xml:space="preserve"> </w:t>
      </w:r>
      <w:hyperlink r:id="rId13" w:history="1">
        <w:r w:rsidR="00371487" w:rsidRPr="00B80BC8">
          <w:rPr>
            <w:b/>
            <w:i/>
            <w:color w:val="0000FF"/>
            <w:sz w:val="22"/>
            <w:szCs w:val="22"/>
          </w:rPr>
          <w:t>Acórdão 1683/2014-Plenário</w:t>
        </w:r>
      </w:hyperlink>
      <w:r w:rsidRPr="00B80BC8">
        <w:rPr>
          <w:b/>
          <w:i/>
          <w:sz w:val="22"/>
          <w:szCs w:val="22"/>
        </w:rPr>
        <w:t xml:space="preserve">, TC </w:t>
      </w:r>
      <w:r w:rsidR="00D3218B" w:rsidRPr="00B80BC8">
        <w:rPr>
          <w:b/>
          <w:i/>
          <w:sz w:val="22"/>
          <w:szCs w:val="22"/>
        </w:rPr>
        <w:t>013.117/2014-9</w:t>
      </w:r>
      <w:r w:rsidRPr="00B80BC8">
        <w:rPr>
          <w:b/>
          <w:i/>
          <w:sz w:val="22"/>
          <w:szCs w:val="22"/>
        </w:rPr>
        <w:t xml:space="preserve">, relator Ministro-Substituto </w:t>
      </w:r>
      <w:r w:rsidR="00D3218B" w:rsidRPr="00B80BC8">
        <w:rPr>
          <w:b/>
          <w:i/>
          <w:sz w:val="22"/>
          <w:szCs w:val="22"/>
        </w:rPr>
        <w:t>André Luís de Carvalho</w:t>
      </w:r>
      <w:r w:rsidRPr="00B80BC8">
        <w:rPr>
          <w:b/>
          <w:i/>
          <w:sz w:val="22"/>
          <w:szCs w:val="22"/>
        </w:rPr>
        <w:t>, 25.6.2014.</w:t>
      </w:r>
    </w:p>
    <w:p w:rsidR="002D2B7E" w:rsidRDefault="002D2B7E" w:rsidP="00DE5810">
      <w:pPr>
        <w:autoSpaceDE w:val="0"/>
        <w:autoSpaceDN w:val="0"/>
        <w:adjustRightInd w:val="0"/>
        <w:spacing w:after="0"/>
        <w:ind w:left="0"/>
        <w:rPr>
          <w:b/>
        </w:rPr>
      </w:pPr>
    </w:p>
    <w:p w:rsidR="000957B7" w:rsidRPr="00827830" w:rsidRDefault="000957B7" w:rsidP="00104D93">
      <w:pPr>
        <w:pStyle w:val="Default"/>
        <w:jc w:val="both"/>
        <w:rPr>
          <w:color w:val="auto"/>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8A12E6">
        <w:trPr>
          <w:trHeight w:val="779"/>
          <w:jc w:val="center"/>
        </w:trPr>
        <w:tc>
          <w:tcPr>
            <w:tcW w:w="0" w:type="auto"/>
            <w:vAlign w:val="center"/>
          </w:tcPr>
          <w:p w:rsidR="0008246E" w:rsidRPr="00827830" w:rsidRDefault="0008246E" w:rsidP="008A12E6">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8A12E6">
            <w:pPr>
              <w:pStyle w:val="enter-3pt"/>
              <w:tabs>
                <w:tab w:val="left" w:pos="2590"/>
              </w:tabs>
              <w:spacing w:line="240" w:lineRule="auto"/>
              <w:rPr>
                <w:b/>
                <w:i/>
                <w:sz w:val="18"/>
                <w:szCs w:val="18"/>
              </w:rPr>
            </w:pPr>
            <w:r w:rsidRPr="00827830">
              <w:rPr>
                <w:b/>
                <w:i/>
                <w:sz w:val="18"/>
                <w:szCs w:val="18"/>
              </w:rPr>
              <w:t xml:space="preserve">Contato: </w:t>
            </w:r>
            <w:hyperlink r:id="rId14" w:history="1">
              <w:r w:rsidRPr="00827830">
                <w:rPr>
                  <w:rStyle w:val="Hyperlink"/>
                  <w:b/>
                  <w:i/>
                  <w:color w:val="auto"/>
                  <w:sz w:val="18"/>
                  <w:szCs w:val="18"/>
                </w:rPr>
                <w:t>infojuris@tcu.gov.br</w:t>
              </w:r>
            </w:hyperlink>
          </w:p>
        </w:tc>
      </w:tr>
    </w:tbl>
    <w:p w:rsidR="0045423A" w:rsidRDefault="0045423A" w:rsidP="00784888">
      <w:pPr>
        <w:ind w:left="0"/>
        <w:rPr>
          <w:sz w:val="22"/>
          <w:szCs w:val="22"/>
        </w:rPr>
      </w:pPr>
    </w:p>
    <w:p w:rsidR="002B7A02" w:rsidRPr="0045423A" w:rsidRDefault="0045423A" w:rsidP="0045423A">
      <w:pPr>
        <w:tabs>
          <w:tab w:val="left" w:pos="2580"/>
        </w:tabs>
        <w:rPr>
          <w:sz w:val="22"/>
          <w:szCs w:val="22"/>
        </w:rPr>
      </w:pPr>
      <w:r>
        <w:rPr>
          <w:noProof/>
          <w:sz w:val="22"/>
          <w:szCs w:val="22"/>
          <w:lang w:eastAsia="pt-BR"/>
        </w:rPr>
        <mc:AlternateContent>
          <mc:Choice Requires="wps">
            <w:drawing>
              <wp:anchor distT="0" distB="0" distL="114300" distR="114300" simplePos="0" relativeHeight="251659264" behindDoc="0" locked="0" layoutInCell="1" allowOverlap="1">
                <wp:simplePos x="0" y="0"/>
                <wp:positionH relativeFrom="column">
                  <wp:posOffset>680720</wp:posOffset>
                </wp:positionH>
                <wp:positionV relativeFrom="paragraph">
                  <wp:posOffset>108268</wp:posOffset>
                </wp:positionV>
                <wp:extent cx="1890713" cy="309562"/>
                <wp:effectExtent l="0" t="0" r="14605" b="14605"/>
                <wp:wrapNone/>
                <wp:docPr id="2" name="Retângulo 2"/>
                <wp:cNvGraphicFramePr/>
                <a:graphic xmlns:a="http://schemas.openxmlformats.org/drawingml/2006/main">
                  <a:graphicData uri="http://schemas.microsoft.com/office/word/2010/wordprocessingShape">
                    <wps:wsp>
                      <wps:cNvSpPr/>
                      <wps:spPr>
                        <a:xfrm>
                          <a:off x="0" y="0"/>
                          <a:ext cx="1890713" cy="30956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2C648" id="Retângulo 2" o:spid="_x0000_s1026" style="position:absolute;margin-left:53.6pt;margin-top:8.55pt;width:148.9pt;height:2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" fillcolor="white [3212]" strokecolor="white [3212]" strokeweight="1pt"/>
            </w:pict>
          </mc:Fallback>
        </mc:AlternateContent>
      </w:r>
      <w:r>
        <w:rPr>
          <w:sz w:val="22"/>
          <w:szCs w:val="22"/>
        </w:rPr>
        <w:tab/>
      </w:r>
    </w:p>
    <w:sectPr w:rsidR="002B7A02" w:rsidRPr="0045423A" w:rsidSect="00616945">
      <w:headerReference w:type="default" r:id="rId15"/>
      <w:footerReference w:type="default" r:id="rId16"/>
      <w:headerReference w:type="first" r:id="rId17"/>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A5" w:rsidRDefault="000C25A5" w:rsidP="008B0547">
      <w:pPr>
        <w:spacing w:after="0"/>
      </w:pPr>
      <w:r>
        <w:separator/>
      </w:r>
    </w:p>
  </w:endnote>
  <w:endnote w:type="continuationSeparator" w:id="0">
    <w:p w:rsidR="000C25A5" w:rsidRDefault="000C25A5"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207B5A">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A5" w:rsidRDefault="000C25A5" w:rsidP="008B0547">
      <w:pPr>
        <w:spacing w:after="0"/>
      </w:pPr>
      <w:r>
        <w:separator/>
      </w:r>
    </w:p>
  </w:footnote>
  <w:footnote w:type="continuationSeparator" w:id="0">
    <w:p w:rsidR="000C25A5" w:rsidRDefault="000C25A5"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2">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9">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8"/>
    <w:lvlOverride w:ilvl="0">
      <w:startOverride w:val="1"/>
    </w:lvlOverride>
  </w:num>
  <w:num w:numId="4">
    <w:abstractNumId w:val="11"/>
  </w:num>
  <w:num w:numId="5">
    <w:abstractNumId w:val="8"/>
  </w:num>
  <w:num w:numId="6">
    <w:abstractNumId w:val="7"/>
  </w:num>
  <w:num w:numId="7">
    <w:abstractNumId w:val="10"/>
  </w:num>
  <w:num w:numId="8">
    <w:abstractNumId w:val="12"/>
  </w:num>
  <w:num w:numId="9">
    <w:abstractNumId w:val="3"/>
  </w:num>
  <w:num w:numId="10">
    <w:abstractNumId w:val="5"/>
  </w:num>
  <w:num w:numId="11">
    <w:abstractNumId w:val="14"/>
  </w:num>
  <w:num w:numId="12">
    <w:abstractNumId w:val="15"/>
  </w:num>
  <w:num w:numId="13">
    <w:abstractNumId w:val="17"/>
  </w:num>
  <w:num w:numId="14">
    <w:abstractNumId w:val="16"/>
  </w:num>
  <w:num w:numId="15">
    <w:abstractNumId w:val="19"/>
  </w:num>
  <w:num w:numId="16">
    <w:abstractNumId w:val="0"/>
  </w:num>
  <w:num w:numId="17">
    <w:abstractNumId w:val="6"/>
  </w:num>
  <w:num w:numId="18">
    <w:abstractNumId w:val="4"/>
  </w:num>
  <w:num w:numId="19">
    <w:abstractNumId w:val="13"/>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153E"/>
    <w:rsid w:val="00001878"/>
    <w:rsid w:val="00001B4A"/>
    <w:rsid w:val="00001B69"/>
    <w:rsid w:val="000021D2"/>
    <w:rsid w:val="000023EE"/>
    <w:rsid w:val="00002445"/>
    <w:rsid w:val="000028E3"/>
    <w:rsid w:val="00002F0C"/>
    <w:rsid w:val="00003CEA"/>
    <w:rsid w:val="00003D44"/>
    <w:rsid w:val="00003DC6"/>
    <w:rsid w:val="000042F4"/>
    <w:rsid w:val="00004614"/>
    <w:rsid w:val="0000485C"/>
    <w:rsid w:val="00004C3B"/>
    <w:rsid w:val="00004C47"/>
    <w:rsid w:val="00004D04"/>
    <w:rsid w:val="00005142"/>
    <w:rsid w:val="00005435"/>
    <w:rsid w:val="0000560C"/>
    <w:rsid w:val="00005BA5"/>
    <w:rsid w:val="00005CA1"/>
    <w:rsid w:val="00005E1E"/>
    <w:rsid w:val="00005F57"/>
    <w:rsid w:val="00006310"/>
    <w:rsid w:val="0000636F"/>
    <w:rsid w:val="000069F3"/>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61F7"/>
    <w:rsid w:val="0001636D"/>
    <w:rsid w:val="0001643A"/>
    <w:rsid w:val="0001657D"/>
    <w:rsid w:val="00016730"/>
    <w:rsid w:val="00016A5D"/>
    <w:rsid w:val="00016B9F"/>
    <w:rsid w:val="00016BF5"/>
    <w:rsid w:val="0001776E"/>
    <w:rsid w:val="000179E2"/>
    <w:rsid w:val="00017E97"/>
    <w:rsid w:val="00017ED0"/>
    <w:rsid w:val="0002039E"/>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AFD"/>
    <w:rsid w:val="00023D72"/>
    <w:rsid w:val="00024363"/>
    <w:rsid w:val="000253D1"/>
    <w:rsid w:val="000253EE"/>
    <w:rsid w:val="0002541E"/>
    <w:rsid w:val="00025450"/>
    <w:rsid w:val="00025753"/>
    <w:rsid w:val="00025A32"/>
    <w:rsid w:val="00025AA0"/>
    <w:rsid w:val="00025C63"/>
    <w:rsid w:val="000262E8"/>
    <w:rsid w:val="0002663F"/>
    <w:rsid w:val="00026CE8"/>
    <w:rsid w:val="00026F3D"/>
    <w:rsid w:val="000271FA"/>
    <w:rsid w:val="0002751C"/>
    <w:rsid w:val="00027B2E"/>
    <w:rsid w:val="00027C86"/>
    <w:rsid w:val="00027EFC"/>
    <w:rsid w:val="000300A2"/>
    <w:rsid w:val="000304BD"/>
    <w:rsid w:val="00030996"/>
    <w:rsid w:val="00030C19"/>
    <w:rsid w:val="00030EC2"/>
    <w:rsid w:val="0003113F"/>
    <w:rsid w:val="00031B9D"/>
    <w:rsid w:val="00032198"/>
    <w:rsid w:val="0003282A"/>
    <w:rsid w:val="00032CA1"/>
    <w:rsid w:val="00032CE9"/>
    <w:rsid w:val="00032D47"/>
    <w:rsid w:val="000334D4"/>
    <w:rsid w:val="00033551"/>
    <w:rsid w:val="00033B3E"/>
    <w:rsid w:val="0003422F"/>
    <w:rsid w:val="00035593"/>
    <w:rsid w:val="00035A82"/>
    <w:rsid w:val="00035D4C"/>
    <w:rsid w:val="00035FBF"/>
    <w:rsid w:val="000360F1"/>
    <w:rsid w:val="00036818"/>
    <w:rsid w:val="00036F23"/>
    <w:rsid w:val="000371C1"/>
    <w:rsid w:val="0003724C"/>
    <w:rsid w:val="00037DCE"/>
    <w:rsid w:val="00037ED3"/>
    <w:rsid w:val="00040477"/>
    <w:rsid w:val="000408F5"/>
    <w:rsid w:val="00041337"/>
    <w:rsid w:val="00041450"/>
    <w:rsid w:val="000415DA"/>
    <w:rsid w:val="00042393"/>
    <w:rsid w:val="00042A13"/>
    <w:rsid w:val="000431BD"/>
    <w:rsid w:val="000436B0"/>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B48"/>
    <w:rsid w:val="00057D5A"/>
    <w:rsid w:val="0006028E"/>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7B1"/>
    <w:rsid w:val="0006509C"/>
    <w:rsid w:val="0006516A"/>
    <w:rsid w:val="00065849"/>
    <w:rsid w:val="0006592B"/>
    <w:rsid w:val="00065A49"/>
    <w:rsid w:val="00065A8B"/>
    <w:rsid w:val="00065B97"/>
    <w:rsid w:val="00065E95"/>
    <w:rsid w:val="00066126"/>
    <w:rsid w:val="00066E66"/>
    <w:rsid w:val="00066F26"/>
    <w:rsid w:val="0006707B"/>
    <w:rsid w:val="000675D5"/>
    <w:rsid w:val="00067E95"/>
    <w:rsid w:val="00067EB3"/>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916"/>
    <w:rsid w:val="00072D55"/>
    <w:rsid w:val="00072F56"/>
    <w:rsid w:val="00073231"/>
    <w:rsid w:val="00073509"/>
    <w:rsid w:val="000735D1"/>
    <w:rsid w:val="00074384"/>
    <w:rsid w:val="00074AC5"/>
    <w:rsid w:val="000756E7"/>
    <w:rsid w:val="00075CE6"/>
    <w:rsid w:val="000761CD"/>
    <w:rsid w:val="0007670D"/>
    <w:rsid w:val="000768BB"/>
    <w:rsid w:val="00076909"/>
    <w:rsid w:val="00077346"/>
    <w:rsid w:val="00077A56"/>
    <w:rsid w:val="00077BA4"/>
    <w:rsid w:val="0008010D"/>
    <w:rsid w:val="00080148"/>
    <w:rsid w:val="00080237"/>
    <w:rsid w:val="00080245"/>
    <w:rsid w:val="000802D1"/>
    <w:rsid w:val="000807D4"/>
    <w:rsid w:val="00080B82"/>
    <w:rsid w:val="00080CAA"/>
    <w:rsid w:val="00080D3E"/>
    <w:rsid w:val="0008154F"/>
    <w:rsid w:val="00081635"/>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4B0E"/>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6CB"/>
    <w:rsid w:val="00096740"/>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A4"/>
    <w:rsid w:val="000A0EF8"/>
    <w:rsid w:val="000A152A"/>
    <w:rsid w:val="000A1EBD"/>
    <w:rsid w:val="000A246C"/>
    <w:rsid w:val="000A261A"/>
    <w:rsid w:val="000A2C56"/>
    <w:rsid w:val="000A2DF9"/>
    <w:rsid w:val="000A301D"/>
    <w:rsid w:val="000A37A7"/>
    <w:rsid w:val="000A402F"/>
    <w:rsid w:val="000A40FD"/>
    <w:rsid w:val="000A4384"/>
    <w:rsid w:val="000A4632"/>
    <w:rsid w:val="000A47EA"/>
    <w:rsid w:val="000A4E36"/>
    <w:rsid w:val="000A504A"/>
    <w:rsid w:val="000A5457"/>
    <w:rsid w:val="000A54F5"/>
    <w:rsid w:val="000A57DA"/>
    <w:rsid w:val="000A599E"/>
    <w:rsid w:val="000A6269"/>
    <w:rsid w:val="000A62BD"/>
    <w:rsid w:val="000A6645"/>
    <w:rsid w:val="000A6CDC"/>
    <w:rsid w:val="000A6E08"/>
    <w:rsid w:val="000A75EF"/>
    <w:rsid w:val="000A77BB"/>
    <w:rsid w:val="000A78E5"/>
    <w:rsid w:val="000A79DB"/>
    <w:rsid w:val="000A7A63"/>
    <w:rsid w:val="000A7FCD"/>
    <w:rsid w:val="000B00CC"/>
    <w:rsid w:val="000B0765"/>
    <w:rsid w:val="000B0ECB"/>
    <w:rsid w:val="000B0FEA"/>
    <w:rsid w:val="000B1052"/>
    <w:rsid w:val="000B1627"/>
    <w:rsid w:val="000B1A59"/>
    <w:rsid w:val="000B1B9E"/>
    <w:rsid w:val="000B2AFA"/>
    <w:rsid w:val="000B2B2C"/>
    <w:rsid w:val="000B3015"/>
    <w:rsid w:val="000B3444"/>
    <w:rsid w:val="000B359F"/>
    <w:rsid w:val="000B395E"/>
    <w:rsid w:val="000B3C52"/>
    <w:rsid w:val="000B4439"/>
    <w:rsid w:val="000B4534"/>
    <w:rsid w:val="000B4AF2"/>
    <w:rsid w:val="000B4B33"/>
    <w:rsid w:val="000B4B84"/>
    <w:rsid w:val="000B4C5B"/>
    <w:rsid w:val="000B4E93"/>
    <w:rsid w:val="000B4EBB"/>
    <w:rsid w:val="000B5A1A"/>
    <w:rsid w:val="000B5BA4"/>
    <w:rsid w:val="000B5DB2"/>
    <w:rsid w:val="000B5DD4"/>
    <w:rsid w:val="000B6342"/>
    <w:rsid w:val="000B639F"/>
    <w:rsid w:val="000B63F3"/>
    <w:rsid w:val="000B6475"/>
    <w:rsid w:val="000B6BC1"/>
    <w:rsid w:val="000B6DA0"/>
    <w:rsid w:val="000B706C"/>
    <w:rsid w:val="000B759E"/>
    <w:rsid w:val="000B775A"/>
    <w:rsid w:val="000B79DD"/>
    <w:rsid w:val="000B7EC2"/>
    <w:rsid w:val="000C0013"/>
    <w:rsid w:val="000C02AD"/>
    <w:rsid w:val="000C049A"/>
    <w:rsid w:val="000C0AA8"/>
    <w:rsid w:val="000C0D07"/>
    <w:rsid w:val="000C1585"/>
    <w:rsid w:val="000C1A3E"/>
    <w:rsid w:val="000C1AFC"/>
    <w:rsid w:val="000C1EED"/>
    <w:rsid w:val="000C1F99"/>
    <w:rsid w:val="000C22BE"/>
    <w:rsid w:val="000C22C0"/>
    <w:rsid w:val="000C25A5"/>
    <w:rsid w:val="000C28CC"/>
    <w:rsid w:val="000C2CBC"/>
    <w:rsid w:val="000C3A4C"/>
    <w:rsid w:val="000C3BD5"/>
    <w:rsid w:val="000C3DAB"/>
    <w:rsid w:val="000C42A5"/>
    <w:rsid w:val="000C4611"/>
    <w:rsid w:val="000C47FF"/>
    <w:rsid w:val="000C4A10"/>
    <w:rsid w:val="000C4AC9"/>
    <w:rsid w:val="000C4BA1"/>
    <w:rsid w:val="000C4FAE"/>
    <w:rsid w:val="000C5199"/>
    <w:rsid w:val="000C51DE"/>
    <w:rsid w:val="000C5536"/>
    <w:rsid w:val="000C5799"/>
    <w:rsid w:val="000C5FDE"/>
    <w:rsid w:val="000C61FA"/>
    <w:rsid w:val="000C69B3"/>
    <w:rsid w:val="000C7281"/>
    <w:rsid w:val="000C7D11"/>
    <w:rsid w:val="000D073F"/>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0743"/>
    <w:rsid w:val="000E0A96"/>
    <w:rsid w:val="000E10DB"/>
    <w:rsid w:val="000E12F7"/>
    <w:rsid w:val="000E1A4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730B"/>
    <w:rsid w:val="000E7703"/>
    <w:rsid w:val="000E78A6"/>
    <w:rsid w:val="000E7FD4"/>
    <w:rsid w:val="000F05AC"/>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18"/>
    <w:rsid w:val="000F4B82"/>
    <w:rsid w:val="000F4CC1"/>
    <w:rsid w:val="000F5135"/>
    <w:rsid w:val="000F59E0"/>
    <w:rsid w:val="000F5ED7"/>
    <w:rsid w:val="000F601E"/>
    <w:rsid w:val="000F6986"/>
    <w:rsid w:val="000F69B8"/>
    <w:rsid w:val="000F6A43"/>
    <w:rsid w:val="000F6A5D"/>
    <w:rsid w:val="000F6D85"/>
    <w:rsid w:val="000F73F1"/>
    <w:rsid w:val="000F7B66"/>
    <w:rsid w:val="000F7CEE"/>
    <w:rsid w:val="000F7D84"/>
    <w:rsid w:val="001001F4"/>
    <w:rsid w:val="001003DD"/>
    <w:rsid w:val="001005A8"/>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48B"/>
    <w:rsid w:val="00104AAD"/>
    <w:rsid w:val="00104C71"/>
    <w:rsid w:val="00104D93"/>
    <w:rsid w:val="001052CD"/>
    <w:rsid w:val="00105F75"/>
    <w:rsid w:val="00106075"/>
    <w:rsid w:val="001064E1"/>
    <w:rsid w:val="001071C7"/>
    <w:rsid w:val="00107244"/>
    <w:rsid w:val="001072E1"/>
    <w:rsid w:val="00107486"/>
    <w:rsid w:val="00107A34"/>
    <w:rsid w:val="00107AC8"/>
    <w:rsid w:val="001100F8"/>
    <w:rsid w:val="0011038F"/>
    <w:rsid w:val="0011039E"/>
    <w:rsid w:val="001104BA"/>
    <w:rsid w:val="001108C0"/>
    <w:rsid w:val="00111441"/>
    <w:rsid w:val="00111866"/>
    <w:rsid w:val="00111A2A"/>
    <w:rsid w:val="00111A71"/>
    <w:rsid w:val="00111B67"/>
    <w:rsid w:val="00111E00"/>
    <w:rsid w:val="00112265"/>
    <w:rsid w:val="001125A2"/>
    <w:rsid w:val="00112676"/>
    <w:rsid w:val="0011273C"/>
    <w:rsid w:val="00112A5F"/>
    <w:rsid w:val="00112C80"/>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178"/>
    <w:rsid w:val="001173EC"/>
    <w:rsid w:val="0011748D"/>
    <w:rsid w:val="001174F7"/>
    <w:rsid w:val="00117631"/>
    <w:rsid w:val="00117A9F"/>
    <w:rsid w:val="00117E95"/>
    <w:rsid w:val="001203BE"/>
    <w:rsid w:val="00121213"/>
    <w:rsid w:val="00121290"/>
    <w:rsid w:val="001212BD"/>
    <w:rsid w:val="00121782"/>
    <w:rsid w:val="001217A0"/>
    <w:rsid w:val="00121BE3"/>
    <w:rsid w:val="00121EDA"/>
    <w:rsid w:val="00122950"/>
    <w:rsid w:val="00122F63"/>
    <w:rsid w:val="0012305F"/>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A9F"/>
    <w:rsid w:val="00126AB1"/>
    <w:rsid w:val="00126B84"/>
    <w:rsid w:val="001278E8"/>
    <w:rsid w:val="00127C1D"/>
    <w:rsid w:val="00130032"/>
    <w:rsid w:val="00130752"/>
    <w:rsid w:val="00130A0C"/>
    <w:rsid w:val="00130B06"/>
    <w:rsid w:val="00130EF3"/>
    <w:rsid w:val="001316FC"/>
    <w:rsid w:val="00131767"/>
    <w:rsid w:val="00132794"/>
    <w:rsid w:val="00132D82"/>
    <w:rsid w:val="00132E48"/>
    <w:rsid w:val="0013322B"/>
    <w:rsid w:val="0013393F"/>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820"/>
    <w:rsid w:val="00140984"/>
    <w:rsid w:val="00140C58"/>
    <w:rsid w:val="00140CA5"/>
    <w:rsid w:val="00140FED"/>
    <w:rsid w:val="0014137E"/>
    <w:rsid w:val="00141D7A"/>
    <w:rsid w:val="00141DE9"/>
    <w:rsid w:val="001420D1"/>
    <w:rsid w:val="001420FE"/>
    <w:rsid w:val="00142621"/>
    <w:rsid w:val="00142699"/>
    <w:rsid w:val="0014299D"/>
    <w:rsid w:val="00142A39"/>
    <w:rsid w:val="00142AB7"/>
    <w:rsid w:val="00142C16"/>
    <w:rsid w:val="001430DC"/>
    <w:rsid w:val="001438E6"/>
    <w:rsid w:val="001441C9"/>
    <w:rsid w:val="001444A2"/>
    <w:rsid w:val="00144987"/>
    <w:rsid w:val="00144EBC"/>
    <w:rsid w:val="00145439"/>
    <w:rsid w:val="00145661"/>
    <w:rsid w:val="00145B06"/>
    <w:rsid w:val="00145B71"/>
    <w:rsid w:val="00146C4A"/>
    <w:rsid w:val="00146F56"/>
    <w:rsid w:val="001477A4"/>
    <w:rsid w:val="00147AE1"/>
    <w:rsid w:val="001504AD"/>
    <w:rsid w:val="001506B4"/>
    <w:rsid w:val="0015086F"/>
    <w:rsid w:val="00150CBB"/>
    <w:rsid w:val="001516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585"/>
    <w:rsid w:val="00163752"/>
    <w:rsid w:val="00164355"/>
    <w:rsid w:val="00164DAA"/>
    <w:rsid w:val="0016510E"/>
    <w:rsid w:val="00165590"/>
    <w:rsid w:val="0016572F"/>
    <w:rsid w:val="001658D6"/>
    <w:rsid w:val="001665B9"/>
    <w:rsid w:val="001667C0"/>
    <w:rsid w:val="00166B40"/>
    <w:rsid w:val="00166C60"/>
    <w:rsid w:val="00167274"/>
    <w:rsid w:val="001672BC"/>
    <w:rsid w:val="00167F39"/>
    <w:rsid w:val="00170A9D"/>
    <w:rsid w:val="00170F1A"/>
    <w:rsid w:val="0017110F"/>
    <w:rsid w:val="00171DD5"/>
    <w:rsid w:val="00171E89"/>
    <w:rsid w:val="0017217D"/>
    <w:rsid w:val="001729A4"/>
    <w:rsid w:val="00173132"/>
    <w:rsid w:val="00173174"/>
    <w:rsid w:val="001731D5"/>
    <w:rsid w:val="001737F7"/>
    <w:rsid w:val="00173E98"/>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DB"/>
    <w:rsid w:val="001847D6"/>
    <w:rsid w:val="0018495A"/>
    <w:rsid w:val="00184DD0"/>
    <w:rsid w:val="001855E1"/>
    <w:rsid w:val="001858EA"/>
    <w:rsid w:val="00186AF4"/>
    <w:rsid w:val="00186DF9"/>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326B"/>
    <w:rsid w:val="00194053"/>
    <w:rsid w:val="001943EB"/>
    <w:rsid w:val="00194BE9"/>
    <w:rsid w:val="00194C5E"/>
    <w:rsid w:val="00194CA4"/>
    <w:rsid w:val="00194EDA"/>
    <w:rsid w:val="00195023"/>
    <w:rsid w:val="001951C9"/>
    <w:rsid w:val="001956E2"/>
    <w:rsid w:val="00195F77"/>
    <w:rsid w:val="00196098"/>
    <w:rsid w:val="00196898"/>
    <w:rsid w:val="00196ADB"/>
    <w:rsid w:val="00196E11"/>
    <w:rsid w:val="0019736D"/>
    <w:rsid w:val="001977ED"/>
    <w:rsid w:val="001979BB"/>
    <w:rsid w:val="00197C2F"/>
    <w:rsid w:val="001A052D"/>
    <w:rsid w:val="001A0725"/>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6C7"/>
    <w:rsid w:val="001A58D8"/>
    <w:rsid w:val="001A5C45"/>
    <w:rsid w:val="001A60A2"/>
    <w:rsid w:val="001A6C2E"/>
    <w:rsid w:val="001A6F58"/>
    <w:rsid w:val="001A6F68"/>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F90"/>
    <w:rsid w:val="001B52A1"/>
    <w:rsid w:val="001B5333"/>
    <w:rsid w:val="001B5426"/>
    <w:rsid w:val="001B6823"/>
    <w:rsid w:val="001B7758"/>
    <w:rsid w:val="001B7EFA"/>
    <w:rsid w:val="001B7F4F"/>
    <w:rsid w:val="001C0575"/>
    <w:rsid w:val="001C0677"/>
    <w:rsid w:val="001C08D8"/>
    <w:rsid w:val="001C0A66"/>
    <w:rsid w:val="001C0B97"/>
    <w:rsid w:val="001C0D55"/>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CF9"/>
    <w:rsid w:val="001C3FE0"/>
    <w:rsid w:val="001C412B"/>
    <w:rsid w:val="001C423E"/>
    <w:rsid w:val="001C437E"/>
    <w:rsid w:val="001C4F39"/>
    <w:rsid w:val="001C4FE9"/>
    <w:rsid w:val="001C51E4"/>
    <w:rsid w:val="001C536B"/>
    <w:rsid w:val="001C5777"/>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71B"/>
    <w:rsid w:val="001D07B6"/>
    <w:rsid w:val="001D0A1D"/>
    <w:rsid w:val="001D0FAF"/>
    <w:rsid w:val="001D1478"/>
    <w:rsid w:val="001D1E52"/>
    <w:rsid w:val="001D1ECA"/>
    <w:rsid w:val="001D1FCD"/>
    <w:rsid w:val="001D263A"/>
    <w:rsid w:val="001D2746"/>
    <w:rsid w:val="001D2BC5"/>
    <w:rsid w:val="001D34EB"/>
    <w:rsid w:val="001D35B4"/>
    <w:rsid w:val="001D4515"/>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BF1"/>
    <w:rsid w:val="001E0F71"/>
    <w:rsid w:val="001E1815"/>
    <w:rsid w:val="001E1E28"/>
    <w:rsid w:val="001E1E6E"/>
    <w:rsid w:val="001E2620"/>
    <w:rsid w:val="001E2B28"/>
    <w:rsid w:val="001E3674"/>
    <w:rsid w:val="001E3AC2"/>
    <w:rsid w:val="001E3D51"/>
    <w:rsid w:val="001E3D84"/>
    <w:rsid w:val="001E4147"/>
    <w:rsid w:val="001E4381"/>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34F8"/>
    <w:rsid w:val="001F4DA1"/>
    <w:rsid w:val="001F5268"/>
    <w:rsid w:val="001F553C"/>
    <w:rsid w:val="001F5E50"/>
    <w:rsid w:val="001F5EB4"/>
    <w:rsid w:val="001F6448"/>
    <w:rsid w:val="001F64D1"/>
    <w:rsid w:val="001F6932"/>
    <w:rsid w:val="001F6A27"/>
    <w:rsid w:val="001F6A48"/>
    <w:rsid w:val="001F6AA6"/>
    <w:rsid w:val="001F6BB0"/>
    <w:rsid w:val="001F6D5B"/>
    <w:rsid w:val="001F6DAC"/>
    <w:rsid w:val="001F6FDB"/>
    <w:rsid w:val="001F73EB"/>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6E7"/>
    <w:rsid w:val="00205BBD"/>
    <w:rsid w:val="0020621C"/>
    <w:rsid w:val="00206C2E"/>
    <w:rsid w:val="00206CDA"/>
    <w:rsid w:val="00206CDC"/>
    <w:rsid w:val="00207082"/>
    <w:rsid w:val="0020734D"/>
    <w:rsid w:val="00207B5A"/>
    <w:rsid w:val="00207BF8"/>
    <w:rsid w:val="00207E85"/>
    <w:rsid w:val="00210018"/>
    <w:rsid w:val="0021001C"/>
    <w:rsid w:val="0021022F"/>
    <w:rsid w:val="002108A7"/>
    <w:rsid w:val="00211194"/>
    <w:rsid w:val="0021149E"/>
    <w:rsid w:val="00211816"/>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CAD"/>
    <w:rsid w:val="00231BB3"/>
    <w:rsid w:val="00231DA0"/>
    <w:rsid w:val="00232158"/>
    <w:rsid w:val="00232164"/>
    <w:rsid w:val="0023253B"/>
    <w:rsid w:val="0023279B"/>
    <w:rsid w:val="0023289D"/>
    <w:rsid w:val="002328F9"/>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11"/>
    <w:rsid w:val="0024353D"/>
    <w:rsid w:val="002435FC"/>
    <w:rsid w:val="00243797"/>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C0E"/>
    <w:rsid w:val="002510D5"/>
    <w:rsid w:val="00251572"/>
    <w:rsid w:val="0025173D"/>
    <w:rsid w:val="002523CF"/>
    <w:rsid w:val="0025280C"/>
    <w:rsid w:val="002528AB"/>
    <w:rsid w:val="00252907"/>
    <w:rsid w:val="00252BB0"/>
    <w:rsid w:val="00252BB3"/>
    <w:rsid w:val="00253242"/>
    <w:rsid w:val="002537C5"/>
    <w:rsid w:val="00253A05"/>
    <w:rsid w:val="00253D3A"/>
    <w:rsid w:val="00254467"/>
    <w:rsid w:val="00254590"/>
    <w:rsid w:val="002549FC"/>
    <w:rsid w:val="00254B75"/>
    <w:rsid w:val="00254B8C"/>
    <w:rsid w:val="002551C8"/>
    <w:rsid w:val="0025529E"/>
    <w:rsid w:val="002556B1"/>
    <w:rsid w:val="00255B58"/>
    <w:rsid w:val="00255CF8"/>
    <w:rsid w:val="00255E00"/>
    <w:rsid w:val="00256044"/>
    <w:rsid w:val="002565C7"/>
    <w:rsid w:val="0025663C"/>
    <w:rsid w:val="002568DA"/>
    <w:rsid w:val="00256A50"/>
    <w:rsid w:val="00256D8B"/>
    <w:rsid w:val="00256FE1"/>
    <w:rsid w:val="0025717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993"/>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BFB"/>
    <w:rsid w:val="00270C63"/>
    <w:rsid w:val="00270CEF"/>
    <w:rsid w:val="00270EAC"/>
    <w:rsid w:val="0027130B"/>
    <w:rsid w:val="0027156A"/>
    <w:rsid w:val="00271A81"/>
    <w:rsid w:val="00271CD7"/>
    <w:rsid w:val="00271CF2"/>
    <w:rsid w:val="00271D81"/>
    <w:rsid w:val="00272073"/>
    <w:rsid w:val="0027213F"/>
    <w:rsid w:val="002722BD"/>
    <w:rsid w:val="0027267D"/>
    <w:rsid w:val="002727E6"/>
    <w:rsid w:val="00272D1C"/>
    <w:rsid w:val="00273058"/>
    <w:rsid w:val="002731B9"/>
    <w:rsid w:val="00273206"/>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A8E"/>
    <w:rsid w:val="002930FA"/>
    <w:rsid w:val="00293198"/>
    <w:rsid w:val="002933A1"/>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190F"/>
    <w:rsid w:val="002A1B25"/>
    <w:rsid w:val="002A1B2A"/>
    <w:rsid w:val="002A1CB1"/>
    <w:rsid w:val="002A2129"/>
    <w:rsid w:val="002A2FA2"/>
    <w:rsid w:val="002A3215"/>
    <w:rsid w:val="002A33F4"/>
    <w:rsid w:val="002A34F6"/>
    <w:rsid w:val="002A3697"/>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ABB"/>
    <w:rsid w:val="002A6CE6"/>
    <w:rsid w:val="002A7DBA"/>
    <w:rsid w:val="002A7E9B"/>
    <w:rsid w:val="002B0578"/>
    <w:rsid w:val="002B059A"/>
    <w:rsid w:val="002B059F"/>
    <w:rsid w:val="002B0668"/>
    <w:rsid w:val="002B1293"/>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562"/>
    <w:rsid w:val="002B56C3"/>
    <w:rsid w:val="002B595B"/>
    <w:rsid w:val="002B5AD5"/>
    <w:rsid w:val="002B5C5A"/>
    <w:rsid w:val="002B6038"/>
    <w:rsid w:val="002B61FF"/>
    <w:rsid w:val="002B6422"/>
    <w:rsid w:val="002B6ABA"/>
    <w:rsid w:val="002B71BA"/>
    <w:rsid w:val="002B742B"/>
    <w:rsid w:val="002B782F"/>
    <w:rsid w:val="002B7843"/>
    <w:rsid w:val="002B7A02"/>
    <w:rsid w:val="002B7AE1"/>
    <w:rsid w:val="002B7B4D"/>
    <w:rsid w:val="002C0291"/>
    <w:rsid w:val="002C0625"/>
    <w:rsid w:val="002C0678"/>
    <w:rsid w:val="002C1252"/>
    <w:rsid w:val="002C15D5"/>
    <w:rsid w:val="002C166E"/>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912"/>
    <w:rsid w:val="002C5970"/>
    <w:rsid w:val="002C5C0C"/>
    <w:rsid w:val="002C5F03"/>
    <w:rsid w:val="002C6588"/>
    <w:rsid w:val="002C662D"/>
    <w:rsid w:val="002C6B2F"/>
    <w:rsid w:val="002C6BFB"/>
    <w:rsid w:val="002C78D8"/>
    <w:rsid w:val="002C7B61"/>
    <w:rsid w:val="002C7B6D"/>
    <w:rsid w:val="002C7C2B"/>
    <w:rsid w:val="002C7C42"/>
    <w:rsid w:val="002C7D61"/>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7E"/>
    <w:rsid w:val="002D2BF5"/>
    <w:rsid w:val="002D2D0E"/>
    <w:rsid w:val="002D3043"/>
    <w:rsid w:val="002D35F5"/>
    <w:rsid w:val="002D3B6D"/>
    <w:rsid w:val="002D3D5A"/>
    <w:rsid w:val="002D3E5B"/>
    <w:rsid w:val="002D4510"/>
    <w:rsid w:val="002D47FE"/>
    <w:rsid w:val="002D4B1D"/>
    <w:rsid w:val="002D532D"/>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EC7"/>
    <w:rsid w:val="002E2333"/>
    <w:rsid w:val="002E2433"/>
    <w:rsid w:val="002E28BA"/>
    <w:rsid w:val="002E361B"/>
    <w:rsid w:val="002E361C"/>
    <w:rsid w:val="002E3943"/>
    <w:rsid w:val="002E3EAF"/>
    <w:rsid w:val="002E3F7C"/>
    <w:rsid w:val="002E4254"/>
    <w:rsid w:val="002E44C3"/>
    <w:rsid w:val="002E4691"/>
    <w:rsid w:val="002E4695"/>
    <w:rsid w:val="002E4F13"/>
    <w:rsid w:val="002E4FB7"/>
    <w:rsid w:val="002E5213"/>
    <w:rsid w:val="002E5392"/>
    <w:rsid w:val="002E5412"/>
    <w:rsid w:val="002E543D"/>
    <w:rsid w:val="002E577D"/>
    <w:rsid w:val="002E5E86"/>
    <w:rsid w:val="002E63EE"/>
    <w:rsid w:val="002E6468"/>
    <w:rsid w:val="002E6712"/>
    <w:rsid w:val="002E6FDB"/>
    <w:rsid w:val="002E71B1"/>
    <w:rsid w:val="002F0A46"/>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472F"/>
    <w:rsid w:val="002F556F"/>
    <w:rsid w:val="002F5678"/>
    <w:rsid w:val="002F5F3B"/>
    <w:rsid w:val="002F64E5"/>
    <w:rsid w:val="002F693C"/>
    <w:rsid w:val="002F69BB"/>
    <w:rsid w:val="002F6EC5"/>
    <w:rsid w:val="002F6FAD"/>
    <w:rsid w:val="002F7003"/>
    <w:rsid w:val="002F797B"/>
    <w:rsid w:val="002F7A9E"/>
    <w:rsid w:val="002F7C6D"/>
    <w:rsid w:val="003006FA"/>
    <w:rsid w:val="0030071B"/>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68B2"/>
    <w:rsid w:val="00316A09"/>
    <w:rsid w:val="0031702A"/>
    <w:rsid w:val="003170A7"/>
    <w:rsid w:val="003179E3"/>
    <w:rsid w:val="00317B6B"/>
    <w:rsid w:val="00317CF0"/>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62E"/>
    <w:rsid w:val="00326854"/>
    <w:rsid w:val="00326AC6"/>
    <w:rsid w:val="00326F42"/>
    <w:rsid w:val="00327220"/>
    <w:rsid w:val="003272AF"/>
    <w:rsid w:val="003275E4"/>
    <w:rsid w:val="00327788"/>
    <w:rsid w:val="0032786D"/>
    <w:rsid w:val="003278A7"/>
    <w:rsid w:val="00327F0D"/>
    <w:rsid w:val="00330069"/>
    <w:rsid w:val="00330144"/>
    <w:rsid w:val="003302D8"/>
    <w:rsid w:val="0033032C"/>
    <w:rsid w:val="003304A1"/>
    <w:rsid w:val="0033052A"/>
    <w:rsid w:val="00330999"/>
    <w:rsid w:val="00330CD8"/>
    <w:rsid w:val="00331316"/>
    <w:rsid w:val="0033133C"/>
    <w:rsid w:val="0033161D"/>
    <w:rsid w:val="00331864"/>
    <w:rsid w:val="0033244F"/>
    <w:rsid w:val="00332C1D"/>
    <w:rsid w:val="00332EF9"/>
    <w:rsid w:val="00332F67"/>
    <w:rsid w:val="00333005"/>
    <w:rsid w:val="00333597"/>
    <w:rsid w:val="00334500"/>
    <w:rsid w:val="0033497F"/>
    <w:rsid w:val="00334E58"/>
    <w:rsid w:val="00335067"/>
    <w:rsid w:val="003356EF"/>
    <w:rsid w:val="00335707"/>
    <w:rsid w:val="0033572F"/>
    <w:rsid w:val="00335C05"/>
    <w:rsid w:val="00335F31"/>
    <w:rsid w:val="0033634D"/>
    <w:rsid w:val="003370E6"/>
    <w:rsid w:val="00337740"/>
    <w:rsid w:val="00337743"/>
    <w:rsid w:val="00337E16"/>
    <w:rsid w:val="003401CA"/>
    <w:rsid w:val="003409FD"/>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4832"/>
    <w:rsid w:val="0035500F"/>
    <w:rsid w:val="0035552E"/>
    <w:rsid w:val="00355796"/>
    <w:rsid w:val="003557D3"/>
    <w:rsid w:val="00355828"/>
    <w:rsid w:val="00355872"/>
    <w:rsid w:val="00355B00"/>
    <w:rsid w:val="00355C09"/>
    <w:rsid w:val="003561EE"/>
    <w:rsid w:val="00356418"/>
    <w:rsid w:val="0035689D"/>
    <w:rsid w:val="00356D90"/>
    <w:rsid w:val="00356E38"/>
    <w:rsid w:val="00356F95"/>
    <w:rsid w:val="0035721C"/>
    <w:rsid w:val="003576DA"/>
    <w:rsid w:val="00357CBE"/>
    <w:rsid w:val="00357D66"/>
    <w:rsid w:val="003602F2"/>
    <w:rsid w:val="003603B9"/>
    <w:rsid w:val="0036046F"/>
    <w:rsid w:val="003609A7"/>
    <w:rsid w:val="00360C13"/>
    <w:rsid w:val="003613E4"/>
    <w:rsid w:val="00361427"/>
    <w:rsid w:val="00361487"/>
    <w:rsid w:val="00361661"/>
    <w:rsid w:val="0036199D"/>
    <w:rsid w:val="00362905"/>
    <w:rsid w:val="003629D8"/>
    <w:rsid w:val="00362D04"/>
    <w:rsid w:val="00363230"/>
    <w:rsid w:val="003644B2"/>
    <w:rsid w:val="00364B80"/>
    <w:rsid w:val="00364D53"/>
    <w:rsid w:val="00364FD8"/>
    <w:rsid w:val="0036548C"/>
    <w:rsid w:val="003654A7"/>
    <w:rsid w:val="00365669"/>
    <w:rsid w:val="00365A74"/>
    <w:rsid w:val="0036610E"/>
    <w:rsid w:val="00366735"/>
    <w:rsid w:val="0036674E"/>
    <w:rsid w:val="0036675B"/>
    <w:rsid w:val="00366917"/>
    <w:rsid w:val="00366EBB"/>
    <w:rsid w:val="00366F43"/>
    <w:rsid w:val="0036772F"/>
    <w:rsid w:val="00367BD2"/>
    <w:rsid w:val="003705BB"/>
    <w:rsid w:val="00370987"/>
    <w:rsid w:val="003709BD"/>
    <w:rsid w:val="00370A1C"/>
    <w:rsid w:val="00370AD3"/>
    <w:rsid w:val="00370BC7"/>
    <w:rsid w:val="00371059"/>
    <w:rsid w:val="00371487"/>
    <w:rsid w:val="003715D6"/>
    <w:rsid w:val="003717C6"/>
    <w:rsid w:val="00371822"/>
    <w:rsid w:val="003719DE"/>
    <w:rsid w:val="00371A15"/>
    <w:rsid w:val="00371A33"/>
    <w:rsid w:val="00371EC9"/>
    <w:rsid w:val="00371F8F"/>
    <w:rsid w:val="0037285D"/>
    <w:rsid w:val="00372E83"/>
    <w:rsid w:val="0037314C"/>
    <w:rsid w:val="003731C2"/>
    <w:rsid w:val="00373747"/>
    <w:rsid w:val="00373860"/>
    <w:rsid w:val="00373DBC"/>
    <w:rsid w:val="00374226"/>
    <w:rsid w:val="00374B8C"/>
    <w:rsid w:val="00375080"/>
    <w:rsid w:val="0037523C"/>
    <w:rsid w:val="00375561"/>
    <w:rsid w:val="00375772"/>
    <w:rsid w:val="0037593A"/>
    <w:rsid w:val="00376575"/>
    <w:rsid w:val="003766A1"/>
    <w:rsid w:val="0037674F"/>
    <w:rsid w:val="0037696B"/>
    <w:rsid w:val="00376B8B"/>
    <w:rsid w:val="00376C51"/>
    <w:rsid w:val="00376CE2"/>
    <w:rsid w:val="00376D6D"/>
    <w:rsid w:val="00377047"/>
    <w:rsid w:val="00377407"/>
    <w:rsid w:val="003775AA"/>
    <w:rsid w:val="00380026"/>
    <w:rsid w:val="0038073F"/>
    <w:rsid w:val="0038081D"/>
    <w:rsid w:val="003808DB"/>
    <w:rsid w:val="00380993"/>
    <w:rsid w:val="0038122A"/>
    <w:rsid w:val="00381332"/>
    <w:rsid w:val="0038178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8B7"/>
    <w:rsid w:val="00387C17"/>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5E6"/>
    <w:rsid w:val="00395950"/>
    <w:rsid w:val="003961E2"/>
    <w:rsid w:val="00396FE3"/>
    <w:rsid w:val="0039759B"/>
    <w:rsid w:val="0039763E"/>
    <w:rsid w:val="003978EA"/>
    <w:rsid w:val="0039797F"/>
    <w:rsid w:val="00397D8E"/>
    <w:rsid w:val="003A008A"/>
    <w:rsid w:val="003A05E8"/>
    <w:rsid w:val="003A08E5"/>
    <w:rsid w:val="003A105C"/>
    <w:rsid w:val="003A14F3"/>
    <w:rsid w:val="003A19D7"/>
    <w:rsid w:val="003A1E70"/>
    <w:rsid w:val="003A21CC"/>
    <w:rsid w:val="003A2222"/>
    <w:rsid w:val="003A2269"/>
    <w:rsid w:val="003A233D"/>
    <w:rsid w:val="003A23DC"/>
    <w:rsid w:val="003A289A"/>
    <w:rsid w:val="003A2A37"/>
    <w:rsid w:val="003A2AE0"/>
    <w:rsid w:val="003A3262"/>
    <w:rsid w:val="003A39F5"/>
    <w:rsid w:val="003A434B"/>
    <w:rsid w:val="003A4371"/>
    <w:rsid w:val="003A46A8"/>
    <w:rsid w:val="003A49E2"/>
    <w:rsid w:val="003A4CC6"/>
    <w:rsid w:val="003A4F18"/>
    <w:rsid w:val="003A5479"/>
    <w:rsid w:val="003A57F9"/>
    <w:rsid w:val="003A5C1B"/>
    <w:rsid w:val="003A5F8F"/>
    <w:rsid w:val="003A60B9"/>
    <w:rsid w:val="003A6665"/>
    <w:rsid w:val="003A6CF4"/>
    <w:rsid w:val="003A75A7"/>
    <w:rsid w:val="003A7971"/>
    <w:rsid w:val="003A7C7F"/>
    <w:rsid w:val="003A7F48"/>
    <w:rsid w:val="003A7FDB"/>
    <w:rsid w:val="003B0162"/>
    <w:rsid w:val="003B023B"/>
    <w:rsid w:val="003B0304"/>
    <w:rsid w:val="003B043F"/>
    <w:rsid w:val="003B09C9"/>
    <w:rsid w:val="003B155C"/>
    <w:rsid w:val="003B16DB"/>
    <w:rsid w:val="003B1E19"/>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5D24"/>
    <w:rsid w:val="003B62EA"/>
    <w:rsid w:val="003B6508"/>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5187"/>
    <w:rsid w:val="003C526E"/>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4149"/>
    <w:rsid w:val="003D44C8"/>
    <w:rsid w:val="003D47FD"/>
    <w:rsid w:val="003D4AA0"/>
    <w:rsid w:val="003D4B8C"/>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0EF"/>
    <w:rsid w:val="003E3D77"/>
    <w:rsid w:val="003E3DCA"/>
    <w:rsid w:val="003E4100"/>
    <w:rsid w:val="003E4408"/>
    <w:rsid w:val="003E5242"/>
    <w:rsid w:val="003E5824"/>
    <w:rsid w:val="003E5930"/>
    <w:rsid w:val="003E5FC5"/>
    <w:rsid w:val="003E63A2"/>
    <w:rsid w:val="003E65D7"/>
    <w:rsid w:val="003E6BFB"/>
    <w:rsid w:val="003E7465"/>
    <w:rsid w:val="003E7483"/>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3F7D98"/>
    <w:rsid w:val="004000C9"/>
    <w:rsid w:val="0040048C"/>
    <w:rsid w:val="00400533"/>
    <w:rsid w:val="00400C90"/>
    <w:rsid w:val="00400F7F"/>
    <w:rsid w:val="00401930"/>
    <w:rsid w:val="00401ABD"/>
    <w:rsid w:val="00401B73"/>
    <w:rsid w:val="004023F7"/>
    <w:rsid w:val="00402C93"/>
    <w:rsid w:val="00402CED"/>
    <w:rsid w:val="0040363C"/>
    <w:rsid w:val="004036AF"/>
    <w:rsid w:val="0040371E"/>
    <w:rsid w:val="00403A0F"/>
    <w:rsid w:val="00403BE7"/>
    <w:rsid w:val="00403F52"/>
    <w:rsid w:val="0040424B"/>
    <w:rsid w:val="0040434E"/>
    <w:rsid w:val="004045DC"/>
    <w:rsid w:val="0040481F"/>
    <w:rsid w:val="004048E5"/>
    <w:rsid w:val="00404D1E"/>
    <w:rsid w:val="00405316"/>
    <w:rsid w:val="004053AD"/>
    <w:rsid w:val="004057B0"/>
    <w:rsid w:val="00405876"/>
    <w:rsid w:val="00406224"/>
    <w:rsid w:val="004065C0"/>
    <w:rsid w:val="00406623"/>
    <w:rsid w:val="00407AB6"/>
    <w:rsid w:val="00410810"/>
    <w:rsid w:val="004108C3"/>
    <w:rsid w:val="004109CD"/>
    <w:rsid w:val="00410ED3"/>
    <w:rsid w:val="00411268"/>
    <w:rsid w:val="0041153E"/>
    <w:rsid w:val="004117A3"/>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7048"/>
    <w:rsid w:val="00417956"/>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4E7"/>
    <w:rsid w:val="004229FE"/>
    <w:rsid w:val="00422BF5"/>
    <w:rsid w:val="0042327F"/>
    <w:rsid w:val="004235EB"/>
    <w:rsid w:val="00423B76"/>
    <w:rsid w:val="00423F07"/>
    <w:rsid w:val="004240B4"/>
    <w:rsid w:val="004242BF"/>
    <w:rsid w:val="00424303"/>
    <w:rsid w:val="004243AB"/>
    <w:rsid w:val="00424835"/>
    <w:rsid w:val="00425431"/>
    <w:rsid w:val="004254F2"/>
    <w:rsid w:val="004257A8"/>
    <w:rsid w:val="00425BB7"/>
    <w:rsid w:val="00425D34"/>
    <w:rsid w:val="00425F16"/>
    <w:rsid w:val="00425FF9"/>
    <w:rsid w:val="00426328"/>
    <w:rsid w:val="004266DC"/>
    <w:rsid w:val="0042672D"/>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39F1"/>
    <w:rsid w:val="0044417A"/>
    <w:rsid w:val="0044434A"/>
    <w:rsid w:val="0044437F"/>
    <w:rsid w:val="00444447"/>
    <w:rsid w:val="004446ED"/>
    <w:rsid w:val="004452BC"/>
    <w:rsid w:val="004453D0"/>
    <w:rsid w:val="004459D3"/>
    <w:rsid w:val="00445A25"/>
    <w:rsid w:val="00445AC4"/>
    <w:rsid w:val="00445C7A"/>
    <w:rsid w:val="00445E76"/>
    <w:rsid w:val="0044620A"/>
    <w:rsid w:val="0044655B"/>
    <w:rsid w:val="00446606"/>
    <w:rsid w:val="00446B7C"/>
    <w:rsid w:val="00446BF7"/>
    <w:rsid w:val="004471BC"/>
    <w:rsid w:val="00447217"/>
    <w:rsid w:val="00447508"/>
    <w:rsid w:val="004477E9"/>
    <w:rsid w:val="00447B50"/>
    <w:rsid w:val="00447EB2"/>
    <w:rsid w:val="004501F3"/>
    <w:rsid w:val="00450515"/>
    <w:rsid w:val="0045067C"/>
    <w:rsid w:val="0045090E"/>
    <w:rsid w:val="00450AD8"/>
    <w:rsid w:val="00450F0D"/>
    <w:rsid w:val="00451220"/>
    <w:rsid w:val="00451450"/>
    <w:rsid w:val="00451471"/>
    <w:rsid w:val="00451B50"/>
    <w:rsid w:val="0045211C"/>
    <w:rsid w:val="0045237D"/>
    <w:rsid w:val="00452756"/>
    <w:rsid w:val="00452C60"/>
    <w:rsid w:val="00452DBE"/>
    <w:rsid w:val="00452DFE"/>
    <w:rsid w:val="004530CC"/>
    <w:rsid w:val="004531B1"/>
    <w:rsid w:val="00453294"/>
    <w:rsid w:val="0045343E"/>
    <w:rsid w:val="00453626"/>
    <w:rsid w:val="004536C3"/>
    <w:rsid w:val="00453704"/>
    <w:rsid w:val="00453FC2"/>
    <w:rsid w:val="0045404D"/>
    <w:rsid w:val="0045423A"/>
    <w:rsid w:val="004544ED"/>
    <w:rsid w:val="00454D9A"/>
    <w:rsid w:val="00456230"/>
    <w:rsid w:val="0045665B"/>
    <w:rsid w:val="00456C61"/>
    <w:rsid w:val="00457013"/>
    <w:rsid w:val="004571D3"/>
    <w:rsid w:val="004573D3"/>
    <w:rsid w:val="004578EA"/>
    <w:rsid w:val="00457AAC"/>
    <w:rsid w:val="00457F93"/>
    <w:rsid w:val="00460326"/>
    <w:rsid w:val="00460376"/>
    <w:rsid w:val="00460547"/>
    <w:rsid w:val="00460682"/>
    <w:rsid w:val="00460A4F"/>
    <w:rsid w:val="00460B6C"/>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F9A"/>
    <w:rsid w:val="0046444C"/>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3CF"/>
    <w:rsid w:val="004709A0"/>
    <w:rsid w:val="00470D19"/>
    <w:rsid w:val="00471284"/>
    <w:rsid w:val="004712D4"/>
    <w:rsid w:val="00471E08"/>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1CC"/>
    <w:rsid w:val="00483553"/>
    <w:rsid w:val="004836D8"/>
    <w:rsid w:val="004837C6"/>
    <w:rsid w:val="00483998"/>
    <w:rsid w:val="00483FC1"/>
    <w:rsid w:val="0048405B"/>
    <w:rsid w:val="00484250"/>
    <w:rsid w:val="00484652"/>
    <w:rsid w:val="004848A8"/>
    <w:rsid w:val="00484C78"/>
    <w:rsid w:val="00484CB7"/>
    <w:rsid w:val="00484E4C"/>
    <w:rsid w:val="00485154"/>
    <w:rsid w:val="004851F3"/>
    <w:rsid w:val="004854A3"/>
    <w:rsid w:val="00485673"/>
    <w:rsid w:val="00485B99"/>
    <w:rsid w:val="004862BE"/>
    <w:rsid w:val="00486ABE"/>
    <w:rsid w:val="00486EF1"/>
    <w:rsid w:val="00486F3A"/>
    <w:rsid w:val="00487033"/>
    <w:rsid w:val="004873C2"/>
    <w:rsid w:val="004874C4"/>
    <w:rsid w:val="004878ED"/>
    <w:rsid w:val="00487B7C"/>
    <w:rsid w:val="0049004B"/>
    <w:rsid w:val="004908E5"/>
    <w:rsid w:val="00490C52"/>
    <w:rsid w:val="00491039"/>
    <w:rsid w:val="00491438"/>
    <w:rsid w:val="00491AE6"/>
    <w:rsid w:val="00491B1C"/>
    <w:rsid w:val="004922BC"/>
    <w:rsid w:val="004923BD"/>
    <w:rsid w:val="00492E3F"/>
    <w:rsid w:val="004930B3"/>
    <w:rsid w:val="00493F5C"/>
    <w:rsid w:val="00494129"/>
    <w:rsid w:val="0049412A"/>
    <w:rsid w:val="00494269"/>
    <w:rsid w:val="004945E3"/>
    <w:rsid w:val="0049469C"/>
    <w:rsid w:val="00494A4D"/>
    <w:rsid w:val="00494D66"/>
    <w:rsid w:val="00494EB3"/>
    <w:rsid w:val="004952F2"/>
    <w:rsid w:val="0049560D"/>
    <w:rsid w:val="00495DB3"/>
    <w:rsid w:val="00495F43"/>
    <w:rsid w:val="00497F5E"/>
    <w:rsid w:val="004A00B0"/>
    <w:rsid w:val="004A10F9"/>
    <w:rsid w:val="004A16BB"/>
    <w:rsid w:val="004A171B"/>
    <w:rsid w:val="004A1A36"/>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5B17"/>
    <w:rsid w:val="004A67A5"/>
    <w:rsid w:val="004A69D0"/>
    <w:rsid w:val="004A6D85"/>
    <w:rsid w:val="004A6E60"/>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E45"/>
    <w:rsid w:val="004B7FE2"/>
    <w:rsid w:val="004C07BD"/>
    <w:rsid w:val="004C0EF4"/>
    <w:rsid w:val="004C109F"/>
    <w:rsid w:val="004C14B1"/>
    <w:rsid w:val="004C1A46"/>
    <w:rsid w:val="004C1C2F"/>
    <w:rsid w:val="004C289A"/>
    <w:rsid w:val="004C2ADF"/>
    <w:rsid w:val="004C31BF"/>
    <w:rsid w:val="004C3427"/>
    <w:rsid w:val="004C4453"/>
    <w:rsid w:val="004C4A77"/>
    <w:rsid w:val="004C4D53"/>
    <w:rsid w:val="004C5692"/>
    <w:rsid w:val="004C5A50"/>
    <w:rsid w:val="004C5D4D"/>
    <w:rsid w:val="004C60F8"/>
    <w:rsid w:val="004C6173"/>
    <w:rsid w:val="004C61A3"/>
    <w:rsid w:val="004C68C2"/>
    <w:rsid w:val="004C6E03"/>
    <w:rsid w:val="004C6F47"/>
    <w:rsid w:val="004C6F97"/>
    <w:rsid w:val="004C780C"/>
    <w:rsid w:val="004C79B9"/>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F37"/>
    <w:rsid w:val="004E14AB"/>
    <w:rsid w:val="004E1622"/>
    <w:rsid w:val="004E1E98"/>
    <w:rsid w:val="004E22F6"/>
    <w:rsid w:val="004E26E4"/>
    <w:rsid w:val="004E2AB8"/>
    <w:rsid w:val="004E357A"/>
    <w:rsid w:val="004E35EE"/>
    <w:rsid w:val="004E3653"/>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3035"/>
    <w:rsid w:val="004F3340"/>
    <w:rsid w:val="004F368A"/>
    <w:rsid w:val="004F379F"/>
    <w:rsid w:val="004F3D4A"/>
    <w:rsid w:val="004F3E0F"/>
    <w:rsid w:val="004F401E"/>
    <w:rsid w:val="004F43AB"/>
    <w:rsid w:val="004F456D"/>
    <w:rsid w:val="004F50EE"/>
    <w:rsid w:val="004F5614"/>
    <w:rsid w:val="004F58BE"/>
    <w:rsid w:val="004F6FAA"/>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922"/>
    <w:rsid w:val="00504A31"/>
    <w:rsid w:val="00504D3B"/>
    <w:rsid w:val="00504F8B"/>
    <w:rsid w:val="005055B5"/>
    <w:rsid w:val="005056AC"/>
    <w:rsid w:val="005058D9"/>
    <w:rsid w:val="00505C75"/>
    <w:rsid w:val="0050605D"/>
    <w:rsid w:val="0050625D"/>
    <w:rsid w:val="005063A0"/>
    <w:rsid w:val="005063D2"/>
    <w:rsid w:val="00506619"/>
    <w:rsid w:val="0050690E"/>
    <w:rsid w:val="00506971"/>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90F"/>
    <w:rsid w:val="00513D0A"/>
    <w:rsid w:val="00513EBA"/>
    <w:rsid w:val="00513F43"/>
    <w:rsid w:val="00514116"/>
    <w:rsid w:val="00514985"/>
    <w:rsid w:val="00514E64"/>
    <w:rsid w:val="00514F92"/>
    <w:rsid w:val="0051506B"/>
    <w:rsid w:val="00515A6A"/>
    <w:rsid w:val="00515D3E"/>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72A"/>
    <w:rsid w:val="00520894"/>
    <w:rsid w:val="00520BC0"/>
    <w:rsid w:val="00520BF7"/>
    <w:rsid w:val="00520C6E"/>
    <w:rsid w:val="005215A2"/>
    <w:rsid w:val="005217F8"/>
    <w:rsid w:val="005219E0"/>
    <w:rsid w:val="00521A77"/>
    <w:rsid w:val="00521B41"/>
    <w:rsid w:val="00522091"/>
    <w:rsid w:val="005220A9"/>
    <w:rsid w:val="00522490"/>
    <w:rsid w:val="0052259A"/>
    <w:rsid w:val="0052267A"/>
    <w:rsid w:val="005226D4"/>
    <w:rsid w:val="005234D4"/>
    <w:rsid w:val="0052382F"/>
    <w:rsid w:val="005239DD"/>
    <w:rsid w:val="00523BB0"/>
    <w:rsid w:val="00523CA1"/>
    <w:rsid w:val="00523EB9"/>
    <w:rsid w:val="0052417B"/>
    <w:rsid w:val="00524A9C"/>
    <w:rsid w:val="00525956"/>
    <w:rsid w:val="00525B92"/>
    <w:rsid w:val="00525BED"/>
    <w:rsid w:val="00525D89"/>
    <w:rsid w:val="0052633E"/>
    <w:rsid w:val="005266F4"/>
    <w:rsid w:val="0052675C"/>
    <w:rsid w:val="0052679A"/>
    <w:rsid w:val="00526931"/>
    <w:rsid w:val="005269EC"/>
    <w:rsid w:val="00526C15"/>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37A4C"/>
    <w:rsid w:val="00540322"/>
    <w:rsid w:val="00540D81"/>
    <w:rsid w:val="00541BF0"/>
    <w:rsid w:val="00541C34"/>
    <w:rsid w:val="00542821"/>
    <w:rsid w:val="00542CA8"/>
    <w:rsid w:val="00542E32"/>
    <w:rsid w:val="005430ED"/>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5FC"/>
    <w:rsid w:val="00545821"/>
    <w:rsid w:val="00545A47"/>
    <w:rsid w:val="00545FC7"/>
    <w:rsid w:val="0054613D"/>
    <w:rsid w:val="0054634E"/>
    <w:rsid w:val="00546368"/>
    <w:rsid w:val="005469B4"/>
    <w:rsid w:val="00546A4F"/>
    <w:rsid w:val="00546B67"/>
    <w:rsid w:val="00546B92"/>
    <w:rsid w:val="00547079"/>
    <w:rsid w:val="0054707A"/>
    <w:rsid w:val="0054710E"/>
    <w:rsid w:val="005474C7"/>
    <w:rsid w:val="00547758"/>
    <w:rsid w:val="00547A68"/>
    <w:rsid w:val="00547B37"/>
    <w:rsid w:val="00550490"/>
    <w:rsid w:val="00550986"/>
    <w:rsid w:val="00550CBD"/>
    <w:rsid w:val="00550F71"/>
    <w:rsid w:val="00551167"/>
    <w:rsid w:val="005512D3"/>
    <w:rsid w:val="00551C0E"/>
    <w:rsid w:val="00551F46"/>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EA9"/>
    <w:rsid w:val="00560321"/>
    <w:rsid w:val="005603F5"/>
    <w:rsid w:val="005605D3"/>
    <w:rsid w:val="005609A0"/>
    <w:rsid w:val="00560E55"/>
    <w:rsid w:val="00560E76"/>
    <w:rsid w:val="005610CA"/>
    <w:rsid w:val="00561360"/>
    <w:rsid w:val="00561B32"/>
    <w:rsid w:val="0056275D"/>
    <w:rsid w:val="00562E8F"/>
    <w:rsid w:val="0056301A"/>
    <w:rsid w:val="005630D2"/>
    <w:rsid w:val="005635AD"/>
    <w:rsid w:val="005636B0"/>
    <w:rsid w:val="005637ED"/>
    <w:rsid w:val="00563CAB"/>
    <w:rsid w:val="00564070"/>
    <w:rsid w:val="005640E1"/>
    <w:rsid w:val="005647B6"/>
    <w:rsid w:val="00564EA1"/>
    <w:rsid w:val="0056534C"/>
    <w:rsid w:val="0056665F"/>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3EC"/>
    <w:rsid w:val="005713F4"/>
    <w:rsid w:val="0057154B"/>
    <w:rsid w:val="0057166D"/>
    <w:rsid w:val="00571B86"/>
    <w:rsid w:val="00571BB1"/>
    <w:rsid w:val="00571E64"/>
    <w:rsid w:val="0057201E"/>
    <w:rsid w:val="00572B78"/>
    <w:rsid w:val="00573713"/>
    <w:rsid w:val="00573ADD"/>
    <w:rsid w:val="00573D3B"/>
    <w:rsid w:val="00573EE2"/>
    <w:rsid w:val="00573F6A"/>
    <w:rsid w:val="005741C8"/>
    <w:rsid w:val="005742D5"/>
    <w:rsid w:val="0057432C"/>
    <w:rsid w:val="00574657"/>
    <w:rsid w:val="00574676"/>
    <w:rsid w:val="00574C41"/>
    <w:rsid w:val="00575314"/>
    <w:rsid w:val="00575CC3"/>
    <w:rsid w:val="00575D10"/>
    <w:rsid w:val="00576018"/>
    <w:rsid w:val="005763A8"/>
    <w:rsid w:val="00576B38"/>
    <w:rsid w:val="00576D6B"/>
    <w:rsid w:val="005778E9"/>
    <w:rsid w:val="005779BF"/>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130F"/>
    <w:rsid w:val="00592283"/>
    <w:rsid w:val="00592385"/>
    <w:rsid w:val="0059241D"/>
    <w:rsid w:val="00592491"/>
    <w:rsid w:val="0059266B"/>
    <w:rsid w:val="0059346F"/>
    <w:rsid w:val="00593875"/>
    <w:rsid w:val="00593B35"/>
    <w:rsid w:val="00593E2F"/>
    <w:rsid w:val="005943C5"/>
    <w:rsid w:val="005948C2"/>
    <w:rsid w:val="00594A7B"/>
    <w:rsid w:val="00595102"/>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94"/>
    <w:rsid w:val="005B2199"/>
    <w:rsid w:val="005B2339"/>
    <w:rsid w:val="005B2BC3"/>
    <w:rsid w:val="005B31EA"/>
    <w:rsid w:val="005B32F0"/>
    <w:rsid w:val="005B3447"/>
    <w:rsid w:val="005B35D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5C7"/>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239B"/>
    <w:rsid w:val="005C2BF7"/>
    <w:rsid w:val="005C303E"/>
    <w:rsid w:val="005C30DE"/>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FF"/>
    <w:rsid w:val="005D28A0"/>
    <w:rsid w:val="005D2A1B"/>
    <w:rsid w:val="005D2B0F"/>
    <w:rsid w:val="005D2C45"/>
    <w:rsid w:val="005D30FC"/>
    <w:rsid w:val="005D323E"/>
    <w:rsid w:val="005D3352"/>
    <w:rsid w:val="005D3562"/>
    <w:rsid w:val="005D363D"/>
    <w:rsid w:val="005D3A17"/>
    <w:rsid w:val="005D3ACE"/>
    <w:rsid w:val="005D3D1E"/>
    <w:rsid w:val="005D3E50"/>
    <w:rsid w:val="005D3ECD"/>
    <w:rsid w:val="005D4ADF"/>
    <w:rsid w:val="005D4D03"/>
    <w:rsid w:val="005D50D9"/>
    <w:rsid w:val="005D529B"/>
    <w:rsid w:val="005D5E15"/>
    <w:rsid w:val="005D65AE"/>
    <w:rsid w:val="005D6A61"/>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906"/>
    <w:rsid w:val="005F0E46"/>
    <w:rsid w:val="005F135B"/>
    <w:rsid w:val="005F1942"/>
    <w:rsid w:val="005F1A1B"/>
    <w:rsid w:val="005F1BB0"/>
    <w:rsid w:val="005F20AE"/>
    <w:rsid w:val="005F22B3"/>
    <w:rsid w:val="005F2426"/>
    <w:rsid w:val="005F24DF"/>
    <w:rsid w:val="005F2B41"/>
    <w:rsid w:val="005F2D16"/>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7F7"/>
    <w:rsid w:val="005F5DC9"/>
    <w:rsid w:val="005F6186"/>
    <w:rsid w:val="005F676C"/>
    <w:rsid w:val="005F68BE"/>
    <w:rsid w:val="005F70B6"/>
    <w:rsid w:val="005F73B3"/>
    <w:rsid w:val="005F7518"/>
    <w:rsid w:val="005F772E"/>
    <w:rsid w:val="005F778D"/>
    <w:rsid w:val="005F7A87"/>
    <w:rsid w:val="005F7BA0"/>
    <w:rsid w:val="005F7C34"/>
    <w:rsid w:val="005F7F41"/>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83C"/>
    <w:rsid w:val="00611B68"/>
    <w:rsid w:val="00611C07"/>
    <w:rsid w:val="00611C8F"/>
    <w:rsid w:val="00611D43"/>
    <w:rsid w:val="00611E07"/>
    <w:rsid w:val="00611EFD"/>
    <w:rsid w:val="00612045"/>
    <w:rsid w:val="006120C3"/>
    <w:rsid w:val="0061286E"/>
    <w:rsid w:val="00612E91"/>
    <w:rsid w:val="00612F12"/>
    <w:rsid w:val="00612F99"/>
    <w:rsid w:val="006136FF"/>
    <w:rsid w:val="0061371F"/>
    <w:rsid w:val="00613A47"/>
    <w:rsid w:val="00613AC9"/>
    <w:rsid w:val="00613DA3"/>
    <w:rsid w:val="00613EFC"/>
    <w:rsid w:val="00613F7B"/>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2EC"/>
    <w:rsid w:val="006275F3"/>
    <w:rsid w:val="00627733"/>
    <w:rsid w:val="00627921"/>
    <w:rsid w:val="0063016C"/>
    <w:rsid w:val="00630A86"/>
    <w:rsid w:val="00630E1F"/>
    <w:rsid w:val="00631786"/>
    <w:rsid w:val="00631B1E"/>
    <w:rsid w:val="00631FE7"/>
    <w:rsid w:val="006321EA"/>
    <w:rsid w:val="006324E6"/>
    <w:rsid w:val="0063272C"/>
    <w:rsid w:val="00632ACC"/>
    <w:rsid w:val="006332CD"/>
    <w:rsid w:val="00633313"/>
    <w:rsid w:val="006335C9"/>
    <w:rsid w:val="00633EB5"/>
    <w:rsid w:val="00633FF2"/>
    <w:rsid w:val="00634207"/>
    <w:rsid w:val="00634571"/>
    <w:rsid w:val="006345C1"/>
    <w:rsid w:val="006347E8"/>
    <w:rsid w:val="00634969"/>
    <w:rsid w:val="006349C0"/>
    <w:rsid w:val="00634AB3"/>
    <w:rsid w:val="00634F76"/>
    <w:rsid w:val="00635520"/>
    <w:rsid w:val="006358A3"/>
    <w:rsid w:val="00635B68"/>
    <w:rsid w:val="00635E34"/>
    <w:rsid w:val="0063608A"/>
    <w:rsid w:val="00636341"/>
    <w:rsid w:val="00637056"/>
    <w:rsid w:val="0063793A"/>
    <w:rsid w:val="00637AD5"/>
    <w:rsid w:val="00637E9B"/>
    <w:rsid w:val="00637FDD"/>
    <w:rsid w:val="00640129"/>
    <w:rsid w:val="006407E3"/>
    <w:rsid w:val="0064090D"/>
    <w:rsid w:val="00641E57"/>
    <w:rsid w:val="006421E9"/>
    <w:rsid w:val="0064260D"/>
    <w:rsid w:val="00642A39"/>
    <w:rsid w:val="00642DBC"/>
    <w:rsid w:val="0064307F"/>
    <w:rsid w:val="006430E6"/>
    <w:rsid w:val="006430FF"/>
    <w:rsid w:val="006432A3"/>
    <w:rsid w:val="006439EC"/>
    <w:rsid w:val="00643CED"/>
    <w:rsid w:val="00643D90"/>
    <w:rsid w:val="00644234"/>
    <w:rsid w:val="00644689"/>
    <w:rsid w:val="00644878"/>
    <w:rsid w:val="00644DE2"/>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D2E"/>
    <w:rsid w:val="00656E5B"/>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70BE7"/>
    <w:rsid w:val="00670D78"/>
    <w:rsid w:val="00670FEA"/>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BC6"/>
    <w:rsid w:val="00675403"/>
    <w:rsid w:val="00675498"/>
    <w:rsid w:val="00675BE6"/>
    <w:rsid w:val="00675DC9"/>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6A"/>
    <w:rsid w:val="0069246E"/>
    <w:rsid w:val="0069297F"/>
    <w:rsid w:val="00692D30"/>
    <w:rsid w:val="00692E71"/>
    <w:rsid w:val="00692F53"/>
    <w:rsid w:val="00692F6A"/>
    <w:rsid w:val="006933C5"/>
    <w:rsid w:val="006934C4"/>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F9D"/>
    <w:rsid w:val="006A1D7D"/>
    <w:rsid w:val="006A1E12"/>
    <w:rsid w:val="006A2019"/>
    <w:rsid w:val="006A21CC"/>
    <w:rsid w:val="006A294D"/>
    <w:rsid w:val="006A30E6"/>
    <w:rsid w:val="006A3D41"/>
    <w:rsid w:val="006A4022"/>
    <w:rsid w:val="006A4C19"/>
    <w:rsid w:val="006A511D"/>
    <w:rsid w:val="006A53F3"/>
    <w:rsid w:val="006A5833"/>
    <w:rsid w:val="006A5B87"/>
    <w:rsid w:val="006A6143"/>
    <w:rsid w:val="006A6410"/>
    <w:rsid w:val="006A6C4A"/>
    <w:rsid w:val="006A72F8"/>
    <w:rsid w:val="006A7354"/>
    <w:rsid w:val="006A7796"/>
    <w:rsid w:val="006A7C96"/>
    <w:rsid w:val="006A7D38"/>
    <w:rsid w:val="006A7F83"/>
    <w:rsid w:val="006B0331"/>
    <w:rsid w:val="006B0495"/>
    <w:rsid w:val="006B0DCB"/>
    <w:rsid w:val="006B0EAB"/>
    <w:rsid w:val="006B0EE5"/>
    <w:rsid w:val="006B14C8"/>
    <w:rsid w:val="006B15DB"/>
    <w:rsid w:val="006B19E9"/>
    <w:rsid w:val="006B2344"/>
    <w:rsid w:val="006B2408"/>
    <w:rsid w:val="006B299D"/>
    <w:rsid w:val="006B2CA1"/>
    <w:rsid w:val="006B2F28"/>
    <w:rsid w:val="006B3325"/>
    <w:rsid w:val="006B33F7"/>
    <w:rsid w:val="006B38B3"/>
    <w:rsid w:val="006B3AF9"/>
    <w:rsid w:val="006B3C91"/>
    <w:rsid w:val="006B414C"/>
    <w:rsid w:val="006B47F4"/>
    <w:rsid w:val="006B48AB"/>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721"/>
    <w:rsid w:val="006C183C"/>
    <w:rsid w:val="006C1AF8"/>
    <w:rsid w:val="006C26D6"/>
    <w:rsid w:val="006C2C87"/>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304"/>
    <w:rsid w:val="006C7488"/>
    <w:rsid w:val="006C761F"/>
    <w:rsid w:val="006C7815"/>
    <w:rsid w:val="006C7DE0"/>
    <w:rsid w:val="006D024B"/>
    <w:rsid w:val="006D047D"/>
    <w:rsid w:val="006D0616"/>
    <w:rsid w:val="006D092B"/>
    <w:rsid w:val="006D0E20"/>
    <w:rsid w:val="006D0EDF"/>
    <w:rsid w:val="006D0F52"/>
    <w:rsid w:val="006D0FAB"/>
    <w:rsid w:val="006D1314"/>
    <w:rsid w:val="006D150C"/>
    <w:rsid w:val="006D15EE"/>
    <w:rsid w:val="006D16CA"/>
    <w:rsid w:val="006D1793"/>
    <w:rsid w:val="006D18A4"/>
    <w:rsid w:val="006D1ABE"/>
    <w:rsid w:val="006D1D06"/>
    <w:rsid w:val="006D2070"/>
    <w:rsid w:val="006D209E"/>
    <w:rsid w:val="006D2162"/>
    <w:rsid w:val="006D23EE"/>
    <w:rsid w:val="006D252A"/>
    <w:rsid w:val="006D2AB0"/>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8AC"/>
    <w:rsid w:val="006D69C4"/>
    <w:rsid w:val="006D6DF7"/>
    <w:rsid w:val="006D6EBA"/>
    <w:rsid w:val="006D7DD5"/>
    <w:rsid w:val="006D7E18"/>
    <w:rsid w:val="006E00A7"/>
    <w:rsid w:val="006E010C"/>
    <w:rsid w:val="006E0A87"/>
    <w:rsid w:val="006E0A93"/>
    <w:rsid w:val="006E1B15"/>
    <w:rsid w:val="006E1CC8"/>
    <w:rsid w:val="006E1DA5"/>
    <w:rsid w:val="006E220A"/>
    <w:rsid w:val="006E27F1"/>
    <w:rsid w:val="006E346A"/>
    <w:rsid w:val="006E3C8A"/>
    <w:rsid w:val="006E3E0D"/>
    <w:rsid w:val="006E4064"/>
    <w:rsid w:val="006E4806"/>
    <w:rsid w:val="006E4C0D"/>
    <w:rsid w:val="006E58EA"/>
    <w:rsid w:val="006E5BF8"/>
    <w:rsid w:val="006E5C36"/>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1C7"/>
    <w:rsid w:val="006F1233"/>
    <w:rsid w:val="006F1244"/>
    <w:rsid w:val="006F27E0"/>
    <w:rsid w:val="006F28D9"/>
    <w:rsid w:val="006F2F67"/>
    <w:rsid w:val="006F30EF"/>
    <w:rsid w:val="006F3CA4"/>
    <w:rsid w:val="006F4148"/>
    <w:rsid w:val="006F4986"/>
    <w:rsid w:val="006F4DE0"/>
    <w:rsid w:val="006F4FB2"/>
    <w:rsid w:val="006F515A"/>
    <w:rsid w:val="006F5BF3"/>
    <w:rsid w:val="006F5C90"/>
    <w:rsid w:val="006F5DB5"/>
    <w:rsid w:val="006F5E2D"/>
    <w:rsid w:val="006F62C5"/>
    <w:rsid w:val="006F6483"/>
    <w:rsid w:val="006F6684"/>
    <w:rsid w:val="006F6EEB"/>
    <w:rsid w:val="006F7316"/>
    <w:rsid w:val="006F7332"/>
    <w:rsid w:val="006F7AF3"/>
    <w:rsid w:val="006F7BB6"/>
    <w:rsid w:val="00700949"/>
    <w:rsid w:val="00700B08"/>
    <w:rsid w:val="007016DE"/>
    <w:rsid w:val="00701779"/>
    <w:rsid w:val="007019B8"/>
    <w:rsid w:val="00701F1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265"/>
    <w:rsid w:val="00707D82"/>
    <w:rsid w:val="00707E70"/>
    <w:rsid w:val="00710AE5"/>
    <w:rsid w:val="007111CC"/>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7A0"/>
    <w:rsid w:val="0071591B"/>
    <w:rsid w:val="0071607D"/>
    <w:rsid w:val="0071623B"/>
    <w:rsid w:val="00716CAD"/>
    <w:rsid w:val="007174DA"/>
    <w:rsid w:val="007174DB"/>
    <w:rsid w:val="007178AF"/>
    <w:rsid w:val="007179F7"/>
    <w:rsid w:val="00717B0D"/>
    <w:rsid w:val="00717F41"/>
    <w:rsid w:val="007204CC"/>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3E9"/>
    <w:rsid w:val="007235B1"/>
    <w:rsid w:val="00723840"/>
    <w:rsid w:val="007238C4"/>
    <w:rsid w:val="00723B3D"/>
    <w:rsid w:val="0072459F"/>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5A3C"/>
    <w:rsid w:val="00736376"/>
    <w:rsid w:val="00737424"/>
    <w:rsid w:val="007378AD"/>
    <w:rsid w:val="00737FEC"/>
    <w:rsid w:val="00740292"/>
    <w:rsid w:val="00740D16"/>
    <w:rsid w:val="00740FB1"/>
    <w:rsid w:val="00741CD1"/>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5064C"/>
    <w:rsid w:val="00750E7E"/>
    <w:rsid w:val="00751650"/>
    <w:rsid w:val="00751AAF"/>
    <w:rsid w:val="00752285"/>
    <w:rsid w:val="00752721"/>
    <w:rsid w:val="00752801"/>
    <w:rsid w:val="00752A9D"/>
    <w:rsid w:val="00752ADC"/>
    <w:rsid w:val="00752B26"/>
    <w:rsid w:val="00752B96"/>
    <w:rsid w:val="00752E39"/>
    <w:rsid w:val="00753089"/>
    <w:rsid w:val="00753DD3"/>
    <w:rsid w:val="0075451A"/>
    <w:rsid w:val="00754E06"/>
    <w:rsid w:val="0075525C"/>
    <w:rsid w:val="00755374"/>
    <w:rsid w:val="0075566D"/>
    <w:rsid w:val="007556C3"/>
    <w:rsid w:val="0075580D"/>
    <w:rsid w:val="00755956"/>
    <w:rsid w:val="00756142"/>
    <w:rsid w:val="007561B4"/>
    <w:rsid w:val="007562B3"/>
    <w:rsid w:val="007567CE"/>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695"/>
    <w:rsid w:val="00775AAA"/>
    <w:rsid w:val="00776159"/>
    <w:rsid w:val="007762E1"/>
    <w:rsid w:val="00776EDA"/>
    <w:rsid w:val="007773AF"/>
    <w:rsid w:val="00777599"/>
    <w:rsid w:val="007779A0"/>
    <w:rsid w:val="00777A2C"/>
    <w:rsid w:val="007804CC"/>
    <w:rsid w:val="00780F1B"/>
    <w:rsid w:val="00780FEA"/>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363"/>
    <w:rsid w:val="00787700"/>
    <w:rsid w:val="007879CD"/>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5EE0"/>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73C"/>
    <w:rsid w:val="007A5922"/>
    <w:rsid w:val="007A5924"/>
    <w:rsid w:val="007A5969"/>
    <w:rsid w:val="007A5AAE"/>
    <w:rsid w:val="007A5EED"/>
    <w:rsid w:val="007A63D4"/>
    <w:rsid w:val="007A679D"/>
    <w:rsid w:val="007A71E1"/>
    <w:rsid w:val="007A763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ABA"/>
    <w:rsid w:val="007B1DC7"/>
    <w:rsid w:val="007B2070"/>
    <w:rsid w:val="007B221D"/>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66"/>
    <w:rsid w:val="007C06A5"/>
    <w:rsid w:val="007C08AB"/>
    <w:rsid w:val="007C11F4"/>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F01"/>
    <w:rsid w:val="007D246B"/>
    <w:rsid w:val="007D250D"/>
    <w:rsid w:val="007D2D2B"/>
    <w:rsid w:val="007D3500"/>
    <w:rsid w:val="007D350E"/>
    <w:rsid w:val="007D37D7"/>
    <w:rsid w:val="007D3868"/>
    <w:rsid w:val="007D3E0E"/>
    <w:rsid w:val="007D3F33"/>
    <w:rsid w:val="007D3F48"/>
    <w:rsid w:val="007D4104"/>
    <w:rsid w:val="007D420F"/>
    <w:rsid w:val="007D46E8"/>
    <w:rsid w:val="007D48CF"/>
    <w:rsid w:val="007D4A4A"/>
    <w:rsid w:val="007D4C4B"/>
    <w:rsid w:val="007D560E"/>
    <w:rsid w:val="007D5AAB"/>
    <w:rsid w:val="007D5D5F"/>
    <w:rsid w:val="007D5F85"/>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9C9"/>
    <w:rsid w:val="007E79CB"/>
    <w:rsid w:val="007E7C33"/>
    <w:rsid w:val="007E7D7E"/>
    <w:rsid w:val="007E7ECC"/>
    <w:rsid w:val="007E7FF2"/>
    <w:rsid w:val="007F00D0"/>
    <w:rsid w:val="007F0546"/>
    <w:rsid w:val="007F0635"/>
    <w:rsid w:val="007F0754"/>
    <w:rsid w:val="007F09F2"/>
    <w:rsid w:val="007F0FE5"/>
    <w:rsid w:val="007F1691"/>
    <w:rsid w:val="007F1AC7"/>
    <w:rsid w:val="007F1B7A"/>
    <w:rsid w:val="007F1DEB"/>
    <w:rsid w:val="007F2142"/>
    <w:rsid w:val="007F22A5"/>
    <w:rsid w:val="007F27A7"/>
    <w:rsid w:val="007F2A0B"/>
    <w:rsid w:val="007F2DC4"/>
    <w:rsid w:val="007F2E4B"/>
    <w:rsid w:val="007F367E"/>
    <w:rsid w:val="007F3B8F"/>
    <w:rsid w:val="007F3D93"/>
    <w:rsid w:val="007F413A"/>
    <w:rsid w:val="007F421D"/>
    <w:rsid w:val="007F4E05"/>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3ED"/>
    <w:rsid w:val="008069B2"/>
    <w:rsid w:val="00806ABA"/>
    <w:rsid w:val="0080733E"/>
    <w:rsid w:val="0080783D"/>
    <w:rsid w:val="008100B2"/>
    <w:rsid w:val="00810246"/>
    <w:rsid w:val="00810A71"/>
    <w:rsid w:val="00810B66"/>
    <w:rsid w:val="00810B76"/>
    <w:rsid w:val="00810CC2"/>
    <w:rsid w:val="00811B4D"/>
    <w:rsid w:val="00811DF8"/>
    <w:rsid w:val="008124CB"/>
    <w:rsid w:val="00812C2A"/>
    <w:rsid w:val="00812FCB"/>
    <w:rsid w:val="00813052"/>
    <w:rsid w:val="008130EE"/>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2BD"/>
    <w:rsid w:val="008203CB"/>
    <w:rsid w:val="008209BC"/>
    <w:rsid w:val="00820CEA"/>
    <w:rsid w:val="0082117C"/>
    <w:rsid w:val="0082135E"/>
    <w:rsid w:val="00821702"/>
    <w:rsid w:val="008218ED"/>
    <w:rsid w:val="00822563"/>
    <w:rsid w:val="00823472"/>
    <w:rsid w:val="008234BD"/>
    <w:rsid w:val="00823663"/>
    <w:rsid w:val="00823997"/>
    <w:rsid w:val="00823A7E"/>
    <w:rsid w:val="00824A8C"/>
    <w:rsid w:val="008250A5"/>
    <w:rsid w:val="00825155"/>
    <w:rsid w:val="008258FE"/>
    <w:rsid w:val="00825D4C"/>
    <w:rsid w:val="00825EB9"/>
    <w:rsid w:val="008261E9"/>
    <w:rsid w:val="00826614"/>
    <w:rsid w:val="0082668A"/>
    <w:rsid w:val="008266D3"/>
    <w:rsid w:val="00826786"/>
    <w:rsid w:val="00827461"/>
    <w:rsid w:val="008277BF"/>
    <w:rsid w:val="00827830"/>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496"/>
    <w:rsid w:val="00832E0D"/>
    <w:rsid w:val="0083324B"/>
    <w:rsid w:val="008333A6"/>
    <w:rsid w:val="00833867"/>
    <w:rsid w:val="00833A8F"/>
    <w:rsid w:val="00833C13"/>
    <w:rsid w:val="00833D53"/>
    <w:rsid w:val="00834123"/>
    <w:rsid w:val="008341F8"/>
    <w:rsid w:val="00834892"/>
    <w:rsid w:val="0083514E"/>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75D6"/>
    <w:rsid w:val="00847B37"/>
    <w:rsid w:val="00847CE5"/>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ECD"/>
    <w:rsid w:val="00853F97"/>
    <w:rsid w:val="0085433A"/>
    <w:rsid w:val="00854A62"/>
    <w:rsid w:val="00854A85"/>
    <w:rsid w:val="00854B32"/>
    <w:rsid w:val="00854DD3"/>
    <w:rsid w:val="0085553C"/>
    <w:rsid w:val="00855F2B"/>
    <w:rsid w:val="00855FBE"/>
    <w:rsid w:val="00856252"/>
    <w:rsid w:val="00856BAE"/>
    <w:rsid w:val="00856C76"/>
    <w:rsid w:val="008570DF"/>
    <w:rsid w:val="008571A7"/>
    <w:rsid w:val="00857554"/>
    <w:rsid w:val="00857634"/>
    <w:rsid w:val="008576FA"/>
    <w:rsid w:val="008577C7"/>
    <w:rsid w:val="008578B7"/>
    <w:rsid w:val="0085795A"/>
    <w:rsid w:val="00857FFB"/>
    <w:rsid w:val="00860B38"/>
    <w:rsid w:val="0086124E"/>
    <w:rsid w:val="0086194D"/>
    <w:rsid w:val="00861AF9"/>
    <w:rsid w:val="00861B74"/>
    <w:rsid w:val="00861DF4"/>
    <w:rsid w:val="00861E30"/>
    <w:rsid w:val="008625ED"/>
    <w:rsid w:val="00862DB7"/>
    <w:rsid w:val="00862F06"/>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434"/>
    <w:rsid w:val="00891A0E"/>
    <w:rsid w:val="00891ADA"/>
    <w:rsid w:val="00891B39"/>
    <w:rsid w:val="00891FCC"/>
    <w:rsid w:val="008922EB"/>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A55"/>
    <w:rsid w:val="008A019D"/>
    <w:rsid w:val="008A0395"/>
    <w:rsid w:val="008A0423"/>
    <w:rsid w:val="008A058F"/>
    <w:rsid w:val="008A086B"/>
    <w:rsid w:val="008A0993"/>
    <w:rsid w:val="008A0F0E"/>
    <w:rsid w:val="008A1294"/>
    <w:rsid w:val="008A12E6"/>
    <w:rsid w:val="008A140B"/>
    <w:rsid w:val="008A1565"/>
    <w:rsid w:val="008A195C"/>
    <w:rsid w:val="008A1C9E"/>
    <w:rsid w:val="008A2417"/>
    <w:rsid w:val="008A273A"/>
    <w:rsid w:val="008A2B57"/>
    <w:rsid w:val="008A2C79"/>
    <w:rsid w:val="008A344D"/>
    <w:rsid w:val="008A34CE"/>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13C"/>
    <w:rsid w:val="008B11A3"/>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50D8"/>
    <w:rsid w:val="008B510B"/>
    <w:rsid w:val="008B5688"/>
    <w:rsid w:val="008B56B8"/>
    <w:rsid w:val="008B58F9"/>
    <w:rsid w:val="008B5DA7"/>
    <w:rsid w:val="008B6640"/>
    <w:rsid w:val="008B71A7"/>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4C8"/>
    <w:rsid w:val="008C3730"/>
    <w:rsid w:val="008C39CB"/>
    <w:rsid w:val="008C3A5B"/>
    <w:rsid w:val="008C3D50"/>
    <w:rsid w:val="008C437D"/>
    <w:rsid w:val="008C4823"/>
    <w:rsid w:val="008C4EF9"/>
    <w:rsid w:val="008C5728"/>
    <w:rsid w:val="008C5822"/>
    <w:rsid w:val="008C597E"/>
    <w:rsid w:val="008C5B71"/>
    <w:rsid w:val="008C5FFD"/>
    <w:rsid w:val="008C6B27"/>
    <w:rsid w:val="008C6BCE"/>
    <w:rsid w:val="008C6D01"/>
    <w:rsid w:val="008C7039"/>
    <w:rsid w:val="008C7559"/>
    <w:rsid w:val="008C7DC1"/>
    <w:rsid w:val="008D07A9"/>
    <w:rsid w:val="008D0808"/>
    <w:rsid w:val="008D09E8"/>
    <w:rsid w:val="008D0E23"/>
    <w:rsid w:val="008D142E"/>
    <w:rsid w:val="008D1890"/>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C09"/>
    <w:rsid w:val="008D3C87"/>
    <w:rsid w:val="008D40B3"/>
    <w:rsid w:val="008D421A"/>
    <w:rsid w:val="008D4846"/>
    <w:rsid w:val="008D5667"/>
    <w:rsid w:val="008D57ED"/>
    <w:rsid w:val="008D597F"/>
    <w:rsid w:val="008D61B7"/>
    <w:rsid w:val="008D62A6"/>
    <w:rsid w:val="008D675C"/>
    <w:rsid w:val="008D6B2F"/>
    <w:rsid w:val="008D6D9A"/>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F76"/>
    <w:rsid w:val="008E4027"/>
    <w:rsid w:val="008E40B8"/>
    <w:rsid w:val="008E477B"/>
    <w:rsid w:val="008E4A1F"/>
    <w:rsid w:val="008E4C62"/>
    <w:rsid w:val="008E4E55"/>
    <w:rsid w:val="008E4E85"/>
    <w:rsid w:val="008E537D"/>
    <w:rsid w:val="008E581C"/>
    <w:rsid w:val="008E6003"/>
    <w:rsid w:val="008E622A"/>
    <w:rsid w:val="008E6A21"/>
    <w:rsid w:val="008E6BEC"/>
    <w:rsid w:val="008E6F9F"/>
    <w:rsid w:val="008E727E"/>
    <w:rsid w:val="008E72E1"/>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8B2"/>
    <w:rsid w:val="008F3912"/>
    <w:rsid w:val="008F3DF9"/>
    <w:rsid w:val="008F4047"/>
    <w:rsid w:val="008F4111"/>
    <w:rsid w:val="008F4593"/>
    <w:rsid w:val="008F4FDF"/>
    <w:rsid w:val="008F50FE"/>
    <w:rsid w:val="008F5604"/>
    <w:rsid w:val="008F5AE6"/>
    <w:rsid w:val="008F6071"/>
    <w:rsid w:val="008F60C6"/>
    <w:rsid w:val="008F6220"/>
    <w:rsid w:val="008F660B"/>
    <w:rsid w:val="008F695F"/>
    <w:rsid w:val="008F6E12"/>
    <w:rsid w:val="008F6F9E"/>
    <w:rsid w:val="008F7290"/>
    <w:rsid w:val="00900057"/>
    <w:rsid w:val="0090019D"/>
    <w:rsid w:val="00900516"/>
    <w:rsid w:val="009005CE"/>
    <w:rsid w:val="00900822"/>
    <w:rsid w:val="0090087F"/>
    <w:rsid w:val="00900C17"/>
    <w:rsid w:val="00900CF2"/>
    <w:rsid w:val="00901129"/>
    <w:rsid w:val="00901376"/>
    <w:rsid w:val="0090141B"/>
    <w:rsid w:val="0090187D"/>
    <w:rsid w:val="0090188B"/>
    <w:rsid w:val="009018BE"/>
    <w:rsid w:val="00901AF4"/>
    <w:rsid w:val="00901EE5"/>
    <w:rsid w:val="00901F83"/>
    <w:rsid w:val="009021A4"/>
    <w:rsid w:val="009027FA"/>
    <w:rsid w:val="009028C4"/>
    <w:rsid w:val="009028CD"/>
    <w:rsid w:val="00902A54"/>
    <w:rsid w:val="0090306F"/>
    <w:rsid w:val="00903309"/>
    <w:rsid w:val="009034BE"/>
    <w:rsid w:val="009039C5"/>
    <w:rsid w:val="00903C16"/>
    <w:rsid w:val="00903EC2"/>
    <w:rsid w:val="00903ED6"/>
    <w:rsid w:val="00904305"/>
    <w:rsid w:val="00904362"/>
    <w:rsid w:val="0090441C"/>
    <w:rsid w:val="009045D3"/>
    <w:rsid w:val="009047D9"/>
    <w:rsid w:val="00904986"/>
    <w:rsid w:val="00904C5A"/>
    <w:rsid w:val="00904CA6"/>
    <w:rsid w:val="00904EC5"/>
    <w:rsid w:val="00906B15"/>
    <w:rsid w:val="00907498"/>
    <w:rsid w:val="009104A9"/>
    <w:rsid w:val="00910550"/>
    <w:rsid w:val="00910A48"/>
    <w:rsid w:val="00910A67"/>
    <w:rsid w:val="00910B23"/>
    <w:rsid w:val="00910C0D"/>
    <w:rsid w:val="0091159F"/>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A34"/>
    <w:rsid w:val="00917AFB"/>
    <w:rsid w:val="00917B6F"/>
    <w:rsid w:val="00917D2C"/>
    <w:rsid w:val="00917E08"/>
    <w:rsid w:val="00917E84"/>
    <w:rsid w:val="00920D31"/>
    <w:rsid w:val="009211CF"/>
    <w:rsid w:val="009211F2"/>
    <w:rsid w:val="00921A3E"/>
    <w:rsid w:val="00921A4F"/>
    <w:rsid w:val="00921B79"/>
    <w:rsid w:val="00922061"/>
    <w:rsid w:val="00922295"/>
    <w:rsid w:val="00922459"/>
    <w:rsid w:val="009226F4"/>
    <w:rsid w:val="0092299C"/>
    <w:rsid w:val="00922CD3"/>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74C7"/>
    <w:rsid w:val="00927CC9"/>
    <w:rsid w:val="00927FAA"/>
    <w:rsid w:val="00930134"/>
    <w:rsid w:val="0093097F"/>
    <w:rsid w:val="00930F0E"/>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CBC"/>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576"/>
    <w:rsid w:val="009405C8"/>
    <w:rsid w:val="00940DD8"/>
    <w:rsid w:val="0094104B"/>
    <w:rsid w:val="0094141F"/>
    <w:rsid w:val="00941C5B"/>
    <w:rsid w:val="00941FF5"/>
    <w:rsid w:val="00942022"/>
    <w:rsid w:val="009425D0"/>
    <w:rsid w:val="00942814"/>
    <w:rsid w:val="00943395"/>
    <w:rsid w:val="00943453"/>
    <w:rsid w:val="00943D34"/>
    <w:rsid w:val="00943F9A"/>
    <w:rsid w:val="009440DE"/>
    <w:rsid w:val="00944198"/>
    <w:rsid w:val="0094429F"/>
    <w:rsid w:val="009444E6"/>
    <w:rsid w:val="009448E4"/>
    <w:rsid w:val="009449E0"/>
    <w:rsid w:val="00944A8E"/>
    <w:rsid w:val="009450F0"/>
    <w:rsid w:val="009453E9"/>
    <w:rsid w:val="0094541F"/>
    <w:rsid w:val="009455E6"/>
    <w:rsid w:val="0094589B"/>
    <w:rsid w:val="00945C6B"/>
    <w:rsid w:val="009465EE"/>
    <w:rsid w:val="00946A49"/>
    <w:rsid w:val="00946D3C"/>
    <w:rsid w:val="009476BA"/>
    <w:rsid w:val="00947AEE"/>
    <w:rsid w:val="00947F64"/>
    <w:rsid w:val="00950390"/>
    <w:rsid w:val="00950775"/>
    <w:rsid w:val="009509C0"/>
    <w:rsid w:val="00950AFF"/>
    <w:rsid w:val="00951313"/>
    <w:rsid w:val="009514DE"/>
    <w:rsid w:val="00951938"/>
    <w:rsid w:val="00952A65"/>
    <w:rsid w:val="00952B9C"/>
    <w:rsid w:val="00952E93"/>
    <w:rsid w:val="009530DC"/>
    <w:rsid w:val="00953422"/>
    <w:rsid w:val="009539F2"/>
    <w:rsid w:val="00953B70"/>
    <w:rsid w:val="00953C3C"/>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6021A"/>
    <w:rsid w:val="0096053C"/>
    <w:rsid w:val="00960D89"/>
    <w:rsid w:val="00960F73"/>
    <w:rsid w:val="00961346"/>
    <w:rsid w:val="0096169A"/>
    <w:rsid w:val="00961A86"/>
    <w:rsid w:val="00961DAE"/>
    <w:rsid w:val="00961F29"/>
    <w:rsid w:val="00962202"/>
    <w:rsid w:val="009622D8"/>
    <w:rsid w:val="00962337"/>
    <w:rsid w:val="009624DE"/>
    <w:rsid w:val="00962C94"/>
    <w:rsid w:val="00962F11"/>
    <w:rsid w:val="00963363"/>
    <w:rsid w:val="009635FB"/>
    <w:rsid w:val="00964075"/>
    <w:rsid w:val="009642CA"/>
    <w:rsid w:val="00964559"/>
    <w:rsid w:val="00964B4C"/>
    <w:rsid w:val="00964BE5"/>
    <w:rsid w:val="00964ED5"/>
    <w:rsid w:val="00964F2B"/>
    <w:rsid w:val="009652B6"/>
    <w:rsid w:val="00965A36"/>
    <w:rsid w:val="00965B60"/>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0FA2"/>
    <w:rsid w:val="00971139"/>
    <w:rsid w:val="009712B4"/>
    <w:rsid w:val="00971F21"/>
    <w:rsid w:val="00971F5D"/>
    <w:rsid w:val="00972288"/>
    <w:rsid w:val="00972B10"/>
    <w:rsid w:val="00972DED"/>
    <w:rsid w:val="00973B6E"/>
    <w:rsid w:val="00973E1D"/>
    <w:rsid w:val="00973F4A"/>
    <w:rsid w:val="0097401F"/>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3541"/>
    <w:rsid w:val="00983A7B"/>
    <w:rsid w:val="00984046"/>
    <w:rsid w:val="00984366"/>
    <w:rsid w:val="00984666"/>
    <w:rsid w:val="009848A7"/>
    <w:rsid w:val="00984CA0"/>
    <w:rsid w:val="00984E80"/>
    <w:rsid w:val="0098529D"/>
    <w:rsid w:val="00985656"/>
    <w:rsid w:val="00985B6F"/>
    <w:rsid w:val="009861A8"/>
    <w:rsid w:val="009861C2"/>
    <w:rsid w:val="0098634E"/>
    <w:rsid w:val="00986460"/>
    <w:rsid w:val="0098690F"/>
    <w:rsid w:val="00986A7E"/>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741"/>
    <w:rsid w:val="00992830"/>
    <w:rsid w:val="009928B3"/>
    <w:rsid w:val="00992968"/>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65D"/>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22E6"/>
    <w:rsid w:val="009C2E9D"/>
    <w:rsid w:val="009C33CA"/>
    <w:rsid w:val="009C39AF"/>
    <w:rsid w:val="009C3EB1"/>
    <w:rsid w:val="009C4359"/>
    <w:rsid w:val="009C4B6D"/>
    <w:rsid w:val="009C55C1"/>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77D"/>
    <w:rsid w:val="009D3890"/>
    <w:rsid w:val="009D3B41"/>
    <w:rsid w:val="009D4062"/>
    <w:rsid w:val="009D45C8"/>
    <w:rsid w:val="009D4D44"/>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D7A7F"/>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6FB5"/>
    <w:rsid w:val="009E733E"/>
    <w:rsid w:val="009E74C5"/>
    <w:rsid w:val="009F015D"/>
    <w:rsid w:val="009F01DB"/>
    <w:rsid w:val="009F1041"/>
    <w:rsid w:val="009F1253"/>
    <w:rsid w:val="009F16B2"/>
    <w:rsid w:val="009F18E8"/>
    <w:rsid w:val="009F202B"/>
    <w:rsid w:val="009F20C6"/>
    <w:rsid w:val="009F2E7E"/>
    <w:rsid w:val="009F37BF"/>
    <w:rsid w:val="009F3DA5"/>
    <w:rsid w:val="009F4326"/>
    <w:rsid w:val="009F43AF"/>
    <w:rsid w:val="009F4702"/>
    <w:rsid w:val="009F484C"/>
    <w:rsid w:val="009F4D5E"/>
    <w:rsid w:val="009F519F"/>
    <w:rsid w:val="009F560A"/>
    <w:rsid w:val="009F5834"/>
    <w:rsid w:val="009F5ABD"/>
    <w:rsid w:val="009F5E79"/>
    <w:rsid w:val="009F687A"/>
    <w:rsid w:val="009F68AC"/>
    <w:rsid w:val="009F6B46"/>
    <w:rsid w:val="009F7078"/>
    <w:rsid w:val="009F7379"/>
    <w:rsid w:val="009F73DA"/>
    <w:rsid w:val="009F7A82"/>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B3E"/>
    <w:rsid w:val="00A023BE"/>
    <w:rsid w:val="00A0244C"/>
    <w:rsid w:val="00A02A53"/>
    <w:rsid w:val="00A02EFA"/>
    <w:rsid w:val="00A033FF"/>
    <w:rsid w:val="00A038D7"/>
    <w:rsid w:val="00A038E2"/>
    <w:rsid w:val="00A03FA4"/>
    <w:rsid w:val="00A0409E"/>
    <w:rsid w:val="00A041B4"/>
    <w:rsid w:val="00A046C7"/>
    <w:rsid w:val="00A04BDD"/>
    <w:rsid w:val="00A04E2C"/>
    <w:rsid w:val="00A04EDA"/>
    <w:rsid w:val="00A05450"/>
    <w:rsid w:val="00A05840"/>
    <w:rsid w:val="00A05843"/>
    <w:rsid w:val="00A05FF4"/>
    <w:rsid w:val="00A06137"/>
    <w:rsid w:val="00A06344"/>
    <w:rsid w:val="00A063FE"/>
    <w:rsid w:val="00A06C38"/>
    <w:rsid w:val="00A06EDB"/>
    <w:rsid w:val="00A07ACC"/>
    <w:rsid w:val="00A1108E"/>
    <w:rsid w:val="00A11259"/>
    <w:rsid w:val="00A11430"/>
    <w:rsid w:val="00A11799"/>
    <w:rsid w:val="00A1184F"/>
    <w:rsid w:val="00A11BFE"/>
    <w:rsid w:val="00A122A9"/>
    <w:rsid w:val="00A122C5"/>
    <w:rsid w:val="00A123F2"/>
    <w:rsid w:val="00A12D25"/>
    <w:rsid w:val="00A131A1"/>
    <w:rsid w:val="00A1329C"/>
    <w:rsid w:val="00A138CF"/>
    <w:rsid w:val="00A13A8C"/>
    <w:rsid w:val="00A13DEE"/>
    <w:rsid w:val="00A13E26"/>
    <w:rsid w:val="00A1416D"/>
    <w:rsid w:val="00A141DC"/>
    <w:rsid w:val="00A144F9"/>
    <w:rsid w:val="00A14503"/>
    <w:rsid w:val="00A14928"/>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3BA5"/>
    <w:rsid w:val="00A24599"/>
    <w:rsid w:val="00A24E78"/>
    <w:rsid w:val="00A24FBC"/>
    <w:rsid w:val="00A253E6"/>
    <w:rsid w:val="00A25B79"/>
    <w:rsid w:val="00A25D7B"/>
    <w:rsid w:val="00A260A0"/>
    <w:rsid w:val="00A273A9"/>
    <w:rsid w:val="00A27E08"/>
    <w:rsid w:val="00A27F9C"/>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56E"/>
    <w:rsid w:val="00A33991"/>
    <w:rsid w:val="00A33B0E"/>
    <w:rsid w:val="00A34307"/>
    <w:rsid w:val="00A35595"/>
    <w:rsid w:val="00A35A7A"/>
    <w:rsid w:val="00A35DD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147"/>
    <w:rsid w:val="00A41298"/>
    <w:rsid w:val="00A417D4"/>
    <w:rsid w:val="00A418FF"/>
    <w:rsid w:val="00A41D00"/>
    <w:rsid w:val="00A422EE"/>
    <w:rsid w:val="00A4233E"/>
    <w:rsid w:val="00A42403"/>
    <w:rsid w:val="00A42BF4"/>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79A"/>
    <w:rsid w:val="00A46E28"/>
    <w:rsid w:val="00A473D7"/>
    <w:rsid w:val="00A477C6"/>
    <w:rsid w:val="00A478FA"/>
    <w:rsid w:val="00A47D31"/>
    <w:rsid w:val="00A507B9"/>
    <w:rsid w:val="00A50BCE"/>
    <w:rsid w:val="00A51066"/>
    <w:rsid w:val="00A51516"/>
    <w:rsid w:val="00A51653"/>
    <w:rsid w:val="00A51BDE"/>
    <w:rsid w:val="00A51CBF"/>
    <w:rsid w:val="00A51DF8"/>
    <w:rsid w:val="00A5205B"/>
    <w:rsid w:val="00A5219C"/>
    <w:rsid w:val="00A5256F"/>
    <w:rsid w:val="00A52D8E"/>
    <w:rsid w:val="00A52DA1"/>
    <w:rsid w:val="00A53AA9"/>
    <w:rsid w:val="00A54367"/>
    <w:rsid w:val="00A544CD"/>
    <w:rsid w:val="00A5485E"/>
    <w:rsid w:val="00A548B1"/>
    <w:rsid w:val="00A5499C"/>
    <w:rsid w:val="00A54CCB"/>
    <w:rsid w:val="00A54E77"/>
    <w:rsid w:val="00A55424"/>
    <w:rsid w:val="00A55682"/>
    <w:rsid w:val="00A55C52"/>
    <w:rsid w:val="00A5605D"/>
    <w:rsid w:val="00A560D5"/>
    <w:rsid w:val="00A569F9"/>
    <w:rsid w:val="00A56A2B"/>
    <w:rsid w:val="00A56E63"/>
    <w:rsid w:val="00A57301"/>
    <w:rsid w:val="00A574C8"/>
    <w:rsid w:val="00A574DE"/>
    <w:rsid w:val="00A5757E"/>
    <w:rsid w:val="00A57A93"/>
    <w:rsid w:val="00A60766"/>
    <w:rsid w:val="00A60A6E"/>
    <w:rsid w:val="00A60F52"/>
    <w:rsid w:val="00A61DFE"/>
    <w:rsid w:val="00A61F91"/>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1FF"/>
    <w:rsid w:val="00A70225"/>
    <w:rsid w:val="00A70517"/>
    <w:rsid w:val="00A708DF"/>
    <w:rsid w:val="00A70904"/>
    <w:rsid w:val="00A709BB"/>
    <w:rsid w:val="00A70BC3"/>
    <w:rsid w:val="00A717CF"/>
    <w:rsid w:val="00A71BA3"/>
    <w:rsid w:val="00A72239"/>
    <w:rsid w:val="00A722E2"/>
    <w:rsid w:val="00A72D44"/>
    <w:rsid w:val="00A72EDC"/>
    <w:rsid w:val="00A72F67"/>
    <w:rsid w:val="00A72FAC"/>
    <w:rsid w:val="00A730AC"/>
    <w:rsid w:val="00A73406"/>
    <w:rsid w:val="00A735A4"/>
    <w:rsid w:val="00A7377A"/>
    <w:rsid w:val="00A740EA"/>
    <w:rsid w:val="00A7424A"/>
    <w:rsid w:val="00A74597"/>
    <w:rsid w:val="00A74A7D"/>
    <w:rsid w:val="00A74D0A"/>
    <w:rsid w:val="00A74D20"/>
    <w:rsid w:val="00A7542C"/>
    <w:rsid w:val="00A756FE"/>
    <w:rsid w:val="00A757F9"/>
    <w:rsid w:val="00A759BE"/>
    <w:rsid w:val="00A75BC4"/>
    <w:rsid w:val="00A75C52"/>
    <w:rsid w:val="00A764E0"/>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C5"/>
    <w:rsid w:val="00A83EB5"/>
    <w:rsid w:val="00A84186"/>
    <w:rsid w:val="00A846F1"/>
    <w:rsid w:val="00A84937"/>
    <w:rsid w:val="00A85468"/>
    <w:rsid w:val="00A85469"/>
    <w:rsid w:val="00A857B4"/>
    <w:rsid w:val="00A85B14"/>
    <w:rsid w:val="00A85B90"/>
    <w:rsid w:val="00A8674E"/>
    <w:rsid w:val="00A86F91"/>
    <w:rsid w:val="00A875C0"/>
    <w:rsid w:val="00A87C15"/>
    <w:rsid w:val="00A90925"/>
    <w:rsid w:val="00A90DDB"/>
    <w:rsid w:val="00A925D7"/>
    <w:rsid w:val="00A92706"/>
    <w:rsid w:val="00A9280B"/>
    <w:rsid w:val="00A9281E"/>
    <w:rsid w:val="00A92939"/>
    <w:rsid w:val="00A92CF1"/>
    <w:rsid w:val="00A93190"/>
    <w:rsid w:val="00A93CB3"/>
    <w:rsid w:val="00A93DAF"/>
    <w:rsid w:val="00A93E6F"/>
    <w:rsid w:val="00A93FD1"/>
    <w:rsid w:val="00A940BE"/>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7E4"/>
    <w:rsid w:val="00AB18EE"/>
    <w:rsid w:val="00AB1BB4"/>
    <w:rsid w:val="00AB1DEB"/>
    <w:rsid w:val="00AB2769"/>
    <w:rsid w:val="00AB27AA"/>
    <w:rsid w:val="00AB2A85"/>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B3"/>
    <w:rsid w:val="00AC13D9"/>
    <w:rsid w:val="00AC13F7"/>
    <w:rsid w:val="00AC1415"/>
    <w:rsid w:val="00AC157B"/>
    <w:rsid w:val="00AC1BD7"/>
    <w:rsid w:val="00AC1E9C"/>
    <w:rsid w:val="00AC2005"/>
    <w:rsid w:val="00AC265D"/>
    <w:rsid w:val="00AC2805"/>
    <w:rsid w:val="00AC2A1F"/>
    <w:rsid w:val="00AC2C49"/>
    <w:rsid w:val="00AC3256"/>
    <w:rsid w:val="00AC3304"/>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2A"/>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2262"/>
    <w:rsid w:val="00AD22C5"/>
    <w:rsid w:val="00AD2519"/>
    <w:rsid w:val="00AD283D"/>
    <w:rsid w:val="00AD294A"/>
    <w:rsid w:val="00AD2AA3"/>
    <w:rsid w:val="00AD2E6B"/>
    <w:rsid w:val="00AD3115"/>
    <w:rsid w:val="00AD3920"/>
    <w:rsid w:val="00AD3D9F"/>
    <w:rsid w:val="00AD4D66"/>
    <w:rsid w:val="00AD516C"/>
    <w:rsid w:val="00AD5922"/>
    <w:rsid w:val="00AD5E96"/>
    <w:rsid w:val="00AD5F80"/>
    <w:rsid w:val="00AD61E3"/>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2D43"/>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EA"/>
    <w:rsid w:val="00AF20FB"/>
    <w:rsid w:val="00AF22F8"/>
    <w:rsid w:val="00AF2FFD"/>
    <w:rsid w:val="00AF3458"/>
    <w:rsid w:val="00AF37F7"/>
    <w:rsid w:val="00AF3888"/>
    <w:rsid w:val="00AF3A05"/>
    <w:rsid w:val="00AF3DFD"/>
    <w:rsid w:val="00AF44C8"/>
    <w:rsid w:val="00AF4B96"/>
    <w:rsid w:val="00AF4BF4"/>
    <w:rsid w:val="00AF4BF9"/>
    <w:rsid w:val="00AF551F"/>
    <w:rsid w:val="00AF55FA"/>
    <w:rsid w:val="00AF5706"/>
    <w:rsid w:val="00AF5967"/>
    <w:rsid w:val="00AF5A88"/>
    <w:rsid w:val="00AF5AE8"/>
    <w:rsid w:val="00AF5F84"/>
    <w:rsid w:val="00AF6563"/>
    <w:rsid w:val="00AF6EEF"/>
    <w:rsid w:val="00AF735A"/>
    <w:rsid w:val="00AF75FC"/>
    <w:rsid w:val="00AF7766"/>
    <w:rsid w:val="00AF78A5"/>
    <w:rsid w:val="00B0025D"/>
    <w:rsid w:val="00B006D8"/>
    <w:rsid w:val="00B0073B"/>
    <w:rsid w:val="00B02174"/>
    <w:rsid w:val="00B02209"/>
    <w:rsid w:val="00B02238"/>
    <w:rsid w:val="00B02265"/>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DC8"/>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FBB"/>
    <w:rsid w:val="00B200F2"/>
    <w:rsid w:val="00B20223"/>
    <w:rsid w:val="00B20496"/>
    <w:rsid w:val="00B20833"/>
    <w:rsid w:val="00B20890"/>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1DE"/>
    <w:rsid w:val="00B232FE"/>
    <w:rsid w:val="00B23522"/>
    <w:rsid w:val="00B23564"/>
    <w:rsid w:val="00B2376E"/>
    <w:rsid w:val="00B2388A"/>
    <w:rsid w:val="00B23EB7"/>
    <w:rsid w:val="00B23FFE"/>
    <w:rsid w:val="00B240EE"/>
    <w:rsid w:val="00B243EB"/>
    <w:rsid w:val="00B24581"/>
    <w:rsid w:val="00B24820"/>
    <w:rsid w:val="00B249CD"/>
    <w:rsid w:val="00B24C80"/>
    <w:rsid w:val="00B24FB1"/>
    <w:rsid w:val="00B25143"/>
    <w:rsid w:val="00B251DE"/>
    <w:rsid w:val="00B25764"/>
    <w:rsid w:val="00B25825"/>
    <w:rsid w:val="00B2585D"/>
    <w:rsid w:val="00B25962"/>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55"/>
    <w:rsid w:val="00B35774"/>
    <w:rsid w:val="00B3599F"/>
    <w:rsid w:val="00B35C3E"/>
    <w:rsid w:val="00B3602A"/>
    <w:rsid w:val="00B36473"/>
    <w:rsid w:val="00B3656D"/>
    <w:rsid w:val="00B36577"/>
    <w:rsid w:val="00B366D2"/>
    <w:rsid w:val="00B36C48"/>
    <w:rsid w:val="00B36EBC"/>
    <w:rsid w:val="00B376F1"/>
    <w:rsid w:val="00B3796C"/>
    <w:rsid w:val="00B37A01"/>
    <w:rsid w:val="00B37B12"/>
    <w:rsid w:val="00B37ECE"/>
    <w:rsid w:val="00B40111"/>
    <w:rsid w:val="00B401F3"/>
    <w:rsid w:val="00B402DA"/>
    <w:rsid w:val="00B40473"/>
    <w:rsid w:val="00B404B2"/>
    <w:rsid w:val="00B408FD"/>
    <w:rsid w:val="00B40A2D"/>
    <w:rsid w:val="00B40BEA"/>
    <w:rsid w:val="00B40EC3"/>
    <w:rsid w:val="00B4140A"/>
    <w:rsid w:val="00B414C9"/>
    <w:rsid w:val="00B415E5"/>
    <w:rsid w:val="00B4167C"/>
    <w:rsid w:val="00B41962"/>
    <w:rsid w:val="00B41A7E"/>
    <w:rsid w:val="00B41D9D"/>
    <w:rsid w:val="00B4220C"/>
    <w:rsid w:val="00B42372"/>
    <w:rsid w:val="00B425A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874"/>
    <w:rsid w:val="00B57F02"/>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3CD"/>
    <w:rsid w:val="00B665C8"/>
    <w:rsid w:val="00B67013"/>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5FB"/>
    <w:rsid w:val="00B73B28"/>
    <w:rsid w:val="00B73E58"/>
    <w:rsid w:val="00B73EC5"/>
    <w:rsid w:val="00B74251"/>
    <w:rsid w:val="00B74308"/>
    <w:rsid w:val="00B74E5B"/>
    <w:rsid w:val="00B74FE2"/>
    <w:rsid w:val="00B75317"/>
    <w:rsid w:val="00B763BE"/>
    <w:rsid w:val="00B76FB2"/>
    <w:rsid w:val="00B76FCB"/>
    <w:rsid w:val="00B7749A"/>
    <w:rsid w:val="00B77582"/>
    <w:rsid w:val="00B779BB"/>
    <w:rsid w:val="00B77A5A"/>
    <w:rsid w:val="00B77B07"/>
    <w:rsid w:val="00B77BB8"/>
    <w:rsid w:val="00B77E78"/>
    <w:rsid w:val="00B77FDF"/>
    <w:rsid w:val="00B800EC"/>
    <w:rsid w:val="00B80561"/>
    <w:rsid w:val="00B80BC8"/>
    <w:rsid w:val="00B8103D"/>
    <w:rsid w:val="00B81718"/>
    <w:rsid w:val="00B8179E"/>
    <w:rsid w:val="00B81A37"/>
    <w:rsid w:val="00B8252D"/>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D7"/>
    <w:rsid w:val="00B909E7"/>
    <w:rsid w:val="00B90A28"/>
    <w:rsid w:val="00B9121D"/>
    <w:rsid w:val="00B915C5"/>
    <w:rsid w:val="00B91A5D"/>
    <w:rsid w:val="00B91BEB"/>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F6F"/>
    <w:rsid w:val="00B95FC8"/>
    <w:rsid w:val="00B965DC"/>
    <w:rsid w:val="00B966FB"/>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E7"/>
    <w:rsid w:val="00BB0E0C"/>
    <w:rsid w:val="00BB112C"/>
    <w:rsid w:val="00BB135F"/>
    <w:rsid w:val="00BB209C"/>
    <w:rsid w:val="00BB218D"/>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6E9D"/>
    <w:rsid w:val="00BB7373"/>
    <w:rsid w:val="00BB76DF"/>
    <w:rsid w:val="00BB779D"/>
    <w:rsid w:val="00BB7C9F"/>
    <w:rsid w:val="00BC050A"/>
    <w:rsid w:val="00BC066A"/>
    <w:rsid w:val="00BC072F"/>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2188"/>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B83"/>
    <w:rsid w:val="00BE1FEF"/>
    <w:rsid w:val="00BE28AB"/>
    <w:rsid w:val="00BE29B0"/>
    <w:rsid w:val="00BE2B81"/>
    <w:rsid w:val="00BE311F"/>
    <w:rsid w:val="00BE348F"/>
    <w:rsid w:val="00BE3C9C"/>
    <w:rsid w:val="00BE3F6E"/>
    <w:rsid w:val="00BE4614"/>
    <w:rsid w:val="00BE4909"/>
    <w:rsid w:val="00BE4B58"/>
    <w:rsid w:val="00BE4E6F"/>
    <w:rsid w:val="00BE5100"/>
    <w:rsid w:val="00BE529D"/>
    <w:rsid w:val="00BE53DD"/>
    <w:rsid w:val="00BE573E"/>
    <w:rsid w:val="00BE59E2"/>
    <w:rsid w:val="00BE5D1B"/>
    <w:rsid w:val="00BE6065"/>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0FE5"/>
    <w:rsid w:val="00C01B1D"/>
    <w:rsid w:val="00C021B2"/>
    <w:rsid w:val="00C02307"/>
    <w:rsid w:val="00C02493"/>
    <w:rsid w:val="00C0250F"/>
    <w:rsid w:val="00C02802"/>
    <w:rsid w:val="00C0314D"/>
    <w:rsid w:val="00C0327E"/>
    <w:rsid w:val="00C03312"/>
    <w:rsid w:val="00C03532"/>
    <w:rsid w:val="00C03605"/>
    <w:rsid w:val="00C039A5"/>
    <w:rsid w:val="00C03A04"/>
    <w:rsid w:val="00C03C67"/>
    <w:rsid w:val="00C0441D"/>
    <w:rsid w:val="00C046F7"/>
    <w:rsid w:val="00C062B9"/>
    <w:rsid w:val="00C06374"/>
    <w:rsid w:val="00C064FE"/>
    <w:rsid w:val="00C066AB"/>
    <w:rsid w:val="00C067CE"/>
    <w:rsid w:val="00C06A1F"/>
    <w:rsid w:val="00C06EA1"/>
    <w:rsid w:val="00C070F7"/>
    <w:rsid w:val="00C071E1"/>
    <w:rsid w:val="00C07715"/>
    <w:rsid w:val="00C07795"/>
    <w:rsid w:val="00C079DE"/>
    <w:rsid w:val="00C07A1D"/>
    <w:rsid w:val="00C07A9D"/>
    <w:rsid w:val="00C07B5B"/>
    <w:rsid w:val="00C07D9B"/>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3567"/>
    <w:rsid w:val="00C13C61"/>
    <w:rsid w:val="00C1421F"/>
    <w:rsid w:val="00C145C0"/>
    <w:rsid w:val="00C1477D"/>
    <w:rsid w:val="00C14D9F"/>
    <w:rsid w:val="00C156A5"/>
    <w:rsid w:val="00C156D7"/>
    <w:rsid w:val="00C15A27"/>
    <w:rsid w:val="00C15D0C"/>
    <w:rsid w:val="00C15FEF"/>
    <w:rsid w:val="00C165A1"/>
    <w:rsid w:val="00C16765"/>
    <w:rsid w:val="00C16A2F"/>
    <w:rsid w:val="00C16AD7"/>
    <w:rsid w:val="00C16DAE"/>
    <w:rsid w:val="00C16F1F"/>
    <w:rsid w:val="00C176A9"/>
    <w:rsid w:val="00C1776A"/>
    <w:rsid w:val="00C20301"/>
    <w:rsid w:val="00C20BBA"/>
    <w:rsid w:val="00C20FFB"/>
    <w:rsid w:val="00C21442"/>
    <w:rsid w:val="00C21BF1"/>
    <w:rsid w:val="00C21D92"/>
    <w:rsid w:val="00C22275"/>
    <w:rsid w:val="00C22519"/>
    <w:rsid w:val="00C22725"/>
    <w:rsid w:val="00C22950"/>
    <w:rsid w:val="00C229D9"/>
    <w:rsid w:val="00C22C7B"/>
    <w:rsid w:val="00C22F12"/>
    <w:rsid w:val="00C2305C"/>
    <w:rsid w:val="00C233D0"/>
    <w:rsid w:val="00C234A2"/>
    <w:rsid w:val="00C2380D"/>
    <w:rsid w:val="00C23EEE"/>
    <w:rsid w:val="00C23F25"/>
    <w:rsid w:val="00C240E7"/>
    <w:rsid w:val="00C24162"/>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A70"/>
    <w:rsid w:val="00C30BF7"/>
    <w:rsid w:val="00C31013"/>
    <w:rsid w:val="00C3140F"/>
    <w:rsid w:val="00C31921"/>
    <w:rsid w:val="00C31A5B"/>
    <w:rsid w:val="00C31AB7"/>
    <w:rsid w:val="00C31EC5"/>
    <w:rsid w:val="00C32176"/>
    <w:rsid w:val="00C32A02"/>
    <w:rsid w:val="00C32A16"/>
    <w:rsid w:val="00C32EA6"/>
    <w:rsid w:val="00C33356"/>
    <w:rsid w:val="00C33E55"/>
    <w:rsid w:val="00C33F76"/>
    <w:rsid w:val="00C341B8"/>
    <w:rsid w:val="00C344DC"/>
    <w:rsid w:val="00C34ABD"/>
    <w:rsid w:val="00C351DF"/>
    <w:rsid w:val="00C353CF"/>
    <w:rsid w:val="00C353DC"/>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7A0"/>
    <w:rsid w:val="00C4497D"/>
    <w:rsid w:val="00C44A07"/>
    <w:rsid w:val="00C44BDC"/>
    <w:rsid w:val="00C44E3E"/>
    <w:rsid w:val="00C450A5"/>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D33"/>
    <w:rsid w:val="00C520A5"/>
    <w:rsid w:val="00C521F4"/>
    <w:rsid w:val="00C52889"/>
    <w:rsid w:val="00C528D2"/>
    <w:rsid w:val="00C52D5A"/>
    <w:rsid w:val="00C52E8B"/>
    <w:rsid w:val="00C53CA1"/>
    <w:rsid w:val="00C53CFC"/>
    <w:rsid w:val="00C53DE5"/>
    <w:rsid w:val="00C53FEF"/>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17D3"/>
    <w:rsid w:val="00C61BB0"/>
    <w:rsid w:val="00C624FC"/>
    <w:rsid w:val="00C62A70"/>
    <w:rsid w:val="00C62B48"/>
    <w:rsid w:val="00C62BAA"/>
    <w:rsid w:val="00C631CA"/>
    <w:rsid w:val="00C6352A"/>
    <w:rsid w:val="00C635CC"/>
    <w:rsid w:val="00C63B29"/>
    <w:rsid w:val="00C63D29"/>
    <w:rsid w:val="00C63E6A"/>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FC"/>
    <w:rsid w:val="00C7329F"/>
    <w:rsid w:val="00C73586"/>
    <w:rsid w:val="00C73782"/>
    <w:rsid w:val="00C73B8D"/>
    <w:rsid w:val="00C73F9C"/>
    <w:rsid w:val="00C74107"/>
    <w:rsid w:val="00C74430"/>
    <w:rsid w:val="00C745E5"/>
    <w:rsid w:val="00C75031"/>
    <w:rsid w:val="00C752ED"/>
    <w:rsid w:val="00C754A0"/>
    <w:rsid w:val="00C754FF"/>
    <w:rsid w:val="00C7593A"/>
    <w:rsid w:val="00C76330"/>
    <w:rsid w:val="00C76932"/>
    <w:rsid w:val="00C76976"/>
    <w:rsid w:val="00C76D32"/>
    <w:rsid w:val="00C76E8A"/>
    <w:rsid w:val="00C77134"/>
    <w:rsid w:val="00C772D2"/>
    <w:rsid w:val="00C778A2"/>
    <w:rsid w:val="00C77E68"/>
    <w:rsid w:val="00C8034B"/>
    <w:rsid w:val="00C80C77"/>
    <w:rsid w:val="00C80D90"/>
    <w:rsid w:val="00C8104E"/>
    <w:rsid w:val="00C8117A"/>
    <w:rsid w:val="00C81245"/>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DDA"/>
    <w:rsid w:val="00C842BA"/>
    <w:rsid w:val="00C84A7D"/>
    <w:rsid w:val="00C84B88"/>
    <w:rsid w:val="00C84CAA"/>
    <w:rsid w:val="00C84F1F"/>
    <w:rsid w:val="00C853B8"/>
    <w:rsid w:val="00C8550D"/>
    <w:rsid w:val="00C85531"/>
    <w:rsid w:val="00C85563"/>
    <w:rsid w:val="00C85AC7"/>
    <w:rsid w:val="00C85B0B"/>
    <w:rsid w:val="00C85DAD"/>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2AA"/>
    <w:rsid w:val="00C93301"/>
    <w:rsid w:val="00C934E0"/>
    <w:rsid w:val="00C939EE"/>
    <w:rsid w:val="00C94A2F"/>
    <w:rsid w:val="00C94BDC"/>
    <w:rsid w:val="00C94BF9"/>
    <w:rsid w:val="00C94CF0"/>
    <w:rsid w:val="00C95005"/>
    <w:rsid w:val="00C9557C"/>
    <w:rsid w:val="00C9579D"/>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16B5"/>
    <w:rsid w:val="00CA2056"/>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AAF"/>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091B"/>
    <w:rsid w:val="00CC1342"/>
    <w:rsid w:val="00CC172D"/>
    <w:rsid w:val="00CC18C0"/>
    <w:rsid w:val="00CC1939"/>
    <w:rsid w:val="00CC1F80"/>
    <w:rsid w:val="00CC1FD7"/>
    <w:rsid w:val="00CC23EB"/>
    <w:rsid w:val="00CC2A2C"/>
    <w:rsid w:val="00CC2B14"/>
    <w:rsid w:val="00CC42D4"/>
    <w:rsid w:val="00CC4364"/>
    <w:rsid w:val="00CC472C"/>
    <w:rsid w:val="00CC4A40"/>
    <w:rsid w:val="00CC4E16"/>
    <w:rsid w:val="00CC4FC4"/>
    <w:rsid w:val="00CC5628"/>
    <w:rsid w:val="00CC5ABF"/>
    <w:rsid w:val="00CC64E3"/>
    <w:rsid w:val="00CC6D93"/>
    <w:rsid w:val="00CC727E"/>
    <w:rsid w:val="00CC7712"/>
    <w:rsid w:val="00CC774A"/>
    <w:rsid w:val="00CC7DDA"/>
    <w:rsid w:val="00CD054D"/>
    <w:rsid w:val="00CD06A0"/>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3A66"/>
    <w:rsid w:val="00CF4349"/>
    <w:rsid w:val="00CF43C6"/>
    <w:rsid w:val="00CF454F"/>
    <w:rsid w:val="00CF48A5"/>
    <w:rsid w:val="00CF4B22"/>
    <w:rsid w:val="00CF4ED1"/>
    <w:rsid w:val="00CF5489"/>
    <w:rsid w:val="00CF6B84"/>
    <w:rsid w:val="00CF6DDB"/>
    <w:rsid w:val="00CF7111"/>
    <w:rsid w:val="00CF7452"/>
    <w:rsid w:val="00CF7615"/>
    <w:rsid w:val="00CF7796"/>
    <w:rsid w:val="00CF7823"/>
    <w:rsid w:val="00CF78DA"/>
    <w:rsid w:val="00CF7A96"/>
    <w:rsid w:val="00D003F8"/>
    <w:rsid w:val="00D0052C"/>
    <w:rsid w:val="00D00E04"/>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03D"/>
    <w:rsid w:val="00D0345B"/>
    <w:rsid w:val="00D035D9"/>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6C"/>
    <w:rsid w:val="00D15C72"/>
    <w:rsid w:val="00D164EA"/>
    <w:rsid w:val="00D164FD"/>
    <w:rsid w:val="00D16754"/>
    <w:rsid w:val="00D167BD"/>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4035"/>
    <w:rsid w:val="00D24CA3"/>
    <w:rsid w:val="00D24DAB"/>
    <w:rsid w:val="00D24F45"/>
    <w:rsid w:val="00D2516D"/>
    <w:rsid w:val="00D251AC"/>
    <w:rsid w:val="00D257FD"/>
    <w:rsid w:val="00D25AEC"/>
    <w:rsid w:val="00D25B2F"/>
    <w:rsid w:val="00D25B6B"/>
    <w:rsid w:val="00D25C43"/>
    <w:rsid w:val="00D25C6E"/>
    <w:rsid w:val="00D25CC0"/>
    <w:rsid w:val="00D25E77"/>
    <w:rsid w:val="00D25F2E"/>
    <w:rsid w:val="00D2608B"/>
    <w:rsid w:val="00D2623C"/>
    <w:rsid w:val="00D26A86"/>
    <w:rsid w:val="00D274CE"/>
    <w:rsid w:val="00D2772C"/>
    <w:rsid w:val="00D27D32"/>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18B"/>
    <w:rsid w:val="00D32376"/>
    <w:rsid w:val="00D323B1"/>
    <w:rsid w:val="00D326DD"/>
    <w:rsid w:val="00D3277A"/>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C1C"/>
    <w:rsid w:val="00D66008"/>
    <w:rsid w:val="00D6621B"/>
    <w:rsid w:val="00D662FC"/>
    <w:rsid w:val="00D66381"/>
    <w:rsid w:val="00D66410"/>
    <w:rsid w:val="00D66472"/>
    <w:rsid w:val="00D66597"/>
    <w:rsid w:val="00D6679A"/>
    <w:rsid w:val="00D66D20"/>
    <w:rsid w:val="00D66F17"/>
    <w:rsid w:val="00D66F26"/>
    <w:rsid w:val="00D672A3"/>
    <w:rsid w:val="00D6744F"/>
    <w:rsid w:val="00D67827"/>
    <w:rsid w:val="00D67B55"/>
    <w:rsid w:val="00D700E5"/>
    <w:rsid w:val="00D70900"/>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25BC"/>
    <w:rsid w:val="00D82676"/>
    <w:rsid w:val="00D82706"/>
    <w:rsid w:val="00D8299B"/>
    <w:rsid w:val="00D8312E"/>
    <w:rsid w:val="00D8371D"/>
    <w:rsid w:val="00D83A9F"/>
    <w:rsid w:val="00D8414C"/>
    <w:rsid w:val="00D841A5"/>
    <w:rsid w:val="00D844B1"/>
    <w:rsid w:val="00D8469F"/>
    <w:rsid w:val="00D84E4D"/>
    <w:rsid w:val="00D85375"/>
    <w:rsid w:val="00D8603D"/>
    <w:rsid w:val="00D865D1"/>
    <w:rsid w:val="00D86C20"/>
    <w:rsid w:val="00D86DD4"/>
    <w:rsid w:val="00D87CFA"/>
    <w:rsid w:val="00D90046"/>
    <w:rsid w:val="00D9038D"/>
    <w:rsid w:val="00D90898"/>
    <w:rsid w:val="00D90998"/>
    <w:rsid w:val="00D909BB"/>
    <w:rsid w:val="00D9111B"/>
    <w:rsid w:val="00D917EB"/>
    <w:rsid w:val="00D91D92"/>
    <w:rsid w:val="00D920C6"/>
    <w:rsid w:val="00D92529"/>
    <w:rsid w:val="00D92870"/>
    <w:rsid w:val="00D92A2B"/>
    <w:rsid w:val="00D92AB8"/>
    <w:rsid w:val="00D92B67"/>
    <w:rsid w:val="00D92F08"/>
    <w:rsid w:val="00D93743"/>
    <w:rsid w:val="00D93A59"/>
    <w:rsid w:val="00D9412D"/>
    <w:rsid w:val="00D9420E"/>
    <w:rsid w:val="00D94BD0"/>
    <w:rsid w:val="00D9558B"/>
    <w:rsid w:val="00D95F5F"/>
    <w:rsid w:val="00D95FDA"/>
    <w:rsid w:val="00D96398"/>
    <w:rsid w:val="00D965FA"/>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40D"/>
    <w:rsid w:val="00DA2675"/>
    <w:rsid w:val="00DA26BA"/>
    <w:rsid w:val="00DA27D7"/>
    <w:rsid w:val="00DA29C5"/>
    <w:rsid w:val="00DA2AEB"/>
    <w:rsid w:val="00DA2F37"/>
    <w:rsid w:val="00DA301E"/>
    <w:rsid w:val="00DA330A"/>
    <w:rsid w:val="00DA3477"/>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717"/>
    <w:rsid w:val="00DB4BC2"/>
    <w:rsid w:val="00DB4BD4"/>
    <w:rsid w:val="00DB5806"/>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CC3"/>
    <w:rsid w:val="00DC0F8C"/>
    <w:rsid w:val="00DC12C8"/>
    <w:rsid w:val="00DC1C61"/>
    <w:rsid w:val="00DC2232"/>
    <w:rsid w:val="00DC2611"/>
    <w:rsid w:val="00DC343C"/>
    <w:rsid w:val="00DC3597"/>
    <w:rsid w:val="00DC36E8"/>
    <w:rsid w:val="00DC3B0F"/>
    <w:rsid w:val="00DC3F3D"/>
    <w:rsid w:val="00DC4508"/>
    <w:rsid w:val="00DC4AC6"/>
    <w:rsid w:val="00DC56F0"/>
    <w:rsid w:val="00DC570A"/>
    <w:rsid w:val="00DC5C68"/>
    <w:rsid w:val="00DC5D8F"/>
    <w:rsid w:val="00DC6AB5"/>
    <w:rsid w:val="00DC6CD0"/>
    <w:rsid w:val="00DC6EC8"/>
    <w:rsid w:val="00DC6F31"/>
    <w:rsid w:val="00DC7004"/>
    <w:rsid w:val="00DC703A"/>
    <w:rsid w:val="00DC7070"/>
    <w:rsid w:val="00DC72FE"/>
    <w:rsid w:val="00DC7502"/>
    <w:rsid w:val="00DC7BF7"/>
    <w:rsid w:val="00DC7FFD"/>
    <w:rsid w:val="00DD0277"/>
    <w:rsid w:val="00DD0698"/>
    <w:rsid w:val="00DD096E"/>
    <w:rsid w:val="00DD1129"/>
    <w:rsid w:val="00DD15C7"/>
    <w:rsid w:val="00DD1B11"/>
    <w:rsid w:val="00DD1B33"/>
    <w:rsid w:val="00DD1B59"/>
    <w:rsid w:val="00DD1CE2"/>
    <w:rsid w:val="00DD23D3"/>
    <w:rsid w:val="00DD2F5E"/>
    <w:rsid w:val="00DD371B"/>
    <w:rsid w:val="00DD4238"/>
    <w:rsid w:val="00DD468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58"/>
    <w:rsid w:val="00DE4978"/>
    <w:rsid w:val="00DE4A0A"/>
    <w:rsid w:val="00DE4A94"/>
    <w:rsid w:val="00DE4AA0"/>
    <w:rsid w:val="00DE4CAF"/>
    <w:rsid w:val="00DE5039"/>
    <w:rsid w:val="00DE5414"/>
    <w:rsid w:val="00DE563D"/>
    <w:rsid w:val="00DE5810"/>
    <w:rsid w:val="00DE5B1E"/>
    <w:rsid w:val="00DE5BAE"/>
    <w:rsid w:val="00DE60BA"/>
    <w:rsid w:val="00DE6391"/>
    <w:rsid w:val="00DE7267"/>
    <w:rsid w:val="00DE74A8"/>
    <w:rsid w:val="00DE74F5"/>
    <w:rsid w:val="00DE7566"/>
    <w:rsid w:val="00DE7BA3"/>
    <w:rsid w:val="00DE7D4D"/>
    <w:rsid w:val="00DE7E46"/>
    <w:rsid w:val="00DF0577"/>
    <w:rsid w:val="00DF066D"/>
    <w:rsid w:val="00DF0737"/>
    <w:rsid w:val="00DF07B4"/>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6AF"/>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E1"/>
    <w:rsid w:val="00DF7D56"/>
    <w:rsid w:val="00DF7DBE"/>
    <w:rsid w:val="00E002D6"/>
    <w:rsid w:val="00E00A7C"/>
    <w:rsid w:val="00E00E9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C5"/>
    <w:rsid w:val="00E0584B"/>
    <w:rsid w:val="00E058F4"/>
    <w:rsid w:val="00E05C97"/>
    <w:rsid w:val="00E05DA6"/>
    <w:rsid w:val="00E05F35"/>
    <w:rsid w:val="00E06065"/>
    <w:rsid w:val="00E0668C"/>
    <w:rsid w:val="00E066F2"/>
    <w:rsid w:val="00E06A81"/>
    <w:rsid w:val="00E06B51"/>
    <w:rsid w:val="00E07772"/>
    <w:rsid w:val="00E07901"/>
    <w:rsid w:val="00E079C6"/>
    <w:rsid w:val="00E100A0"/>
    <w:rsid w:val="00E10AE7"/>
    <w:rsid w:val="00E10BFA"/>
    <w:rsid w:val="00E1133A"/>
    <w:rsid w:val="00E11428"/>
    <w:rsid w:val="00E116C6"/>
    <w:rsid w:val="00E12030"/>
    <w:rsid w:val="00E1239C"/>
    <w:rsid w:val="00E1262D"/>
    <w:rsid w:val="00E1273C"/>
    <w:rsid w:val="00E128A2"/>
    <w:rsid w:val="00E12AD1"/>
    <w:rsid w:val="00E130E8"/>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0FA3"/>
    <w:rsid w:val="00E210C4"/>
    <w:rsid w:val="00E211F7"/>
    <w:rsid w:val="00E21488"/>
    <w:rsid w:val="00E217A2"/>
    <w:rsid w:val="00E217B2"/>
    <w:rsid w:val="00E21B26"/>
    <w:rsid w:val="00E2207F"/>
    <w:rsid w:val="00E220B0"/>
    <w:rsid w:val="00E22126"/>
    <w:rsid w:val="00E23501"/>
    <w:rsid w:val="00E23C05"/>
    <w:rsid w:val="00E23C20"/>
    <w:rsid w:val="00E2407B"/>
    <w:rsid w:val="00E241F5"/>
    <w:rsid w:val="00E2425F"/>
    <w:rsid w:val="00E242F0"/>
    <w:rsid w:val="00E2459F"/>
    <w:rsid w:val="00E245B0"/>
    <w:rsid w:val="00E2461C"/>
    <w:rsid w:val="00E24737"/>
    <w:rsid w:val="00E247E2"/>
    <w:rsid w:val="00E24B86"/>
    <w:rsid w:val="00E24E01"/>
    <w:rsid w:val="00E24EF9"/>
    <w:rsid w:val="00E25B7C"/>
    <w:rsid w:val="00E25DDB"/>
    <w:rsid w:val="00E262C5"/>
    <w:rsid w:val="00E26325"/>
    <w:rsid w:val="00E267BF"/>
    <w:rsid w:val="00E26F14"/>
    <w:rsid w:val="00E26FAD"/>
    <w:rsid w:val="00E271DE"/>
    <w:rsid w:val="00E275E3"/>
    <w:rsid w:val="00E27664"/>
    <w:rsid w:val="00E27927"/>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C35"/>
    <w:rsid w:val="00E42E41"/>
    <w:rsid w:val="00E42EE0"/>
    <w:rsid w:val="00E432D2"/>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FBC"/>
    <w:rsid w:val="00E518D0"/>
    <w:rsid w:val="00E51AB5"/>
    <w:rsid w:val="00E51C9F"/>
    <w:rsid w:val="00E51DDF"/>
    <w:rsid w:val="00E51DFD"/>
    <w:rsid w:val="00E52345"/>
    <w:rsid w:val="00E52763"/>
    <w:rsid w:val="00E531E2"/>
    <w:rsid w:val="00E53948"/>
    <w:rsid w:val="00E53C11"/>
    <w:rsid w:val="00E53C31"/>
    <w:rsid w:val="00E53DED"/>
    <w:rsid w:val="00E5411A"/>
    <w:rsid w:val="00E54129"/>
    <w:rsid w:val="00E553BC"/>
    <w:rsid w:val="00E55509"/>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70088"/>
    <w:rsid w:val="00E705FE"/>
    <w:rsid w:val="00E7064C"/>
    <w:rsid w:val="00E7074B"/>
    <w:rsid w:val="00E70C7F"/>
    <w:rsid w:val="00E70D14"/>
    <w:rsid w:val="00E70EA0"/>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6C5B"/>
    <w:rsid w:val="00E77A57"/>
    <w:rsid w:val="00E80278"/>
    <w:rsid w:val="00E80499"/>
    <w:rsid w:val="00E80724"/>
    <w:rsid w:val="00E807BC"/>
    <w:rsid w:val="00E80A85"/>
    <w:rsid w:val="00E80E3F"/>
    <w:rsid w:val="00E814F5"/>
    <w:rsid w:val="00E81B70"/>
    <w:rsid w:val="00E82322"/>
    <w:rsid w:val="00E82484"/>
    <w:rsid w:val="00E82556"/>
    <w:rsid w:val="00E82D19"/>
    <w:rsid w:val="00E830E2"/>
    <w:rsid w:val="00E832D1"/>
    <w:rsid w:val="00E836CF"/>
    <w:rsid w:val="00E83809"/>
    <w:rsid w:val="00E83A40"/>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3620"/>
    <w:rsid w:val="00E93ACF"/>
    <w:rsid w:val="00E93E4F"/>
    <w:rsid w:val="00E941E0"/>
    <w:rsid w:val="00E944F8"/>
    <w:rsid w:val="00E94B95"/>
    <w:rsid w:val="00E951D5"/>
    <w:rsid w:val="00E9567F"/>
    <w:rsid w:val="00E95761"/>
    <w:rsid w:val="00E959A0"/>
    <w:rsid w:val="00E95A69"/>
    <w:rsid w:val="00E95A73"/>
    <w:rsid w:val="00E95E8F"/>
    <w:rsid w:val="00E965C3"/>
    <w:rsid w:val="00E96897"/>
    <w:rsid w:val="00E96918"/>
    <w:rsid w:val="00E969FC"/>
    <w:rsid w:val="00E96DE6"/>
    <w:rsid w:val="00E97045"/>
    <w:rsid w:val="00E973CF"/>
    <w:rsid w:val="00E976A8"/>
    <w:rsid w:val="00E97B8E"/>
    <w:rsid w:val="00E97DA3"/>
    <w:rsid w:val="00E97E70"/>
    <w:rsid w:val="00EA0038"/>
    <w:rsid w:val="00EA0AE7"/>
    <w:rsid w:val="00EA0CE1"/>
    <w:rsid w:val="00EA1086"/>
    <w:rsid w:val="00EA10B1"/>
    <w:rsid w:val="00EA1BA6"/>
    <w:rsid w:val="00EA20D4"/>
    <w:rsid w:val="00EA270C"/>
    <w:rsid w:val="00EA281B"/>
    <w:rsid w:val="00EA2AE4"/>
    <w:rsid w:val="00EA2BBE"/>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ACC"/>
    <w:rsid w:val="00EA7E45"/>
    <w:rsid w:val="00EB09B9"/>
    <w:rsid w:val="00EB0C2C"/>
    <w:rsid w:val="00EB0C7C"/>
    <w:rsid w:val="00EB0E75"/>
    <w:rsid w:val="00EB0F35"/>
    <w:rsid w:val="00EB1714"/>
    <w:rsid w:val="00EB2310"/>
    <w:rsid w:val="00EB2721"/>
    <w:rsid w:val="00EB30BE"/>
    <w:rsid w:val="00EB30E8"/>
    <w:rsid w:val="00EB3404"/>
    <w:rsid w:val="00EB3599"/>
    <w:rsid w:val="00EB3934"/>
    <w:rsid w:val="00EB3BA9"/>
    <w:rsid w:val="00EB3C52"/>
    <w:rsid w:val="00EB3DDB"/>
    <w:rsid w:val="00EB3F79"/>
    <w:rsid w:val="00EB41F5"/>
    <w:rsid w:val="00EB4457"/>
    <w:rsid w:val="00EB45F6"/>
    <w:rsid w:val="00EB4992"/>
    <w:rsid w:val="00EB4F1A"/>
    <w:rsid w:val="00EB50B2"/>
    <w:rsid w:val="00EB5799"/>
    <w:rsid w:val="00EB5C6E"/>
    <w:rsid w:val="00EB6530"/>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2D2"/>
    <w:rsid w:val="00EC66E8"/>
    <w:rsid w:val="00EC69B8"/>
    <w:rsid w:val="00EC6A5C"/>
    <w:rsid w:val="00EC6DE5"/>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6342"/>
    <w:rsid w:val="00ED6A10"/>
    <w:rsid w:val="00ED747F"/>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7BC"/>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75"/>
    <w:rsid w:val="00EE7CCF"/>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305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C54"/>
    <w:rsid w:val="00F06479"/>
    <w:rsid w:val="00F066CF"/>
    <w:rsid w:val="00F06958"/>
    <w:rsid w:val="00F07241"/>
    <w:rsid w:val="00F07571"/>
    <w:rsid w:val="00F076C5"/>
    <w:rsid w:val="00F07E96"/>
    <w:rsid w:val="00F07F43"/>
    <w:rsid w:val="00F10B0A"/>
    <w:rsid w:val="00F11537"/>
    <w:rsid w:val="00F120D9"/>
    <w:rsid w:val="00F124BE"/>
    <w:rsid w:val="00F125DE"/>
    <w:rsid w:val="00F12638"/>
    <w:rsid w:val="00F12A36"/>
    <w:rsid w:val="00F12A9F"/>
    <w:rsid w:val="00F13137"/>
    <w:rsid w:val="00F1339B"/>
    <w:rsid w:val="00F14C13"/>
    <w:rsid w:val="00F14CE8"/>
    <w:rsid w:val="00F15471"/>
    <w:rsid w:val="00F15FBF"/>
    <w:rsid w:val="00F17174"/>
    <w:rsid w:val="00F172D0"/>
    <w:rsid w:val="00F17939"/>
    <w:rsid w:val="00F17DD6"/>
    <w:rsid w:val="00F20740"/>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86E"/>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3D1"/>
    <w:rsid w:val="00F3144A"/>
    <w:rsid w:val="00F318A7"/>
    <w:rsid w:val="00F31C75"/>
    <w:rsid w:val="00F31F4C"/>
    <w:rsid w:val="00F31FA1"/>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508"/>
    <w:rsid w:val="00F406D5"/>
    <w:rsid w:val="00F409C2"/>
    <w:rsid w:val="00F40CAB"/>
    <w:rsid w:val="00F40D09"/>
    <w:rsid w:val="00F40D6A"/>
    <w:rsid w:val="00F41516"/>
    <w:rsid w:val="00F41968"/>
    <w:rsid w:val="00F4272C"/>
    <w:rsid w:val="00F42739"/>
    <w:rsid w:val="00F429E5"/>
    <w:rsid w:val="00F432C6"/>
    <w:rsid w:val="00F4352E"/>
    <w:rsid w:val="00F438A7"/>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22D"/>
    <w:rsid w:val="00F5051A"/>
    <w:rsid w:val="00F5068E"/>
    <w:rsid w:val="00F50A8A"/>
    <w:rsid w:val="00F50BFA"/>
    <w:rsid w:val="00F510A6"/>
    <w:rsid w:val="00F513B1"/>
    <w:rsid w:val="00F515CA"/>
    <w:rsid w:val="00F51D20"/>
    <w:rsid w:val="00F52BF1"/>
    <w:rsid w:val="00F52DAC"/>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5BA"/>
    <w:rsid w:val="00F648B2"/>
    <w:rsid w:val="00F64CE6"/>
    <w:rsid w:val="00F64CF8"/>
    <w:rsid w:val="00F64DD3"/>
    <w:rsid w:val="00F64F51"/>
    <w:rsid w:val="00F654E8"/>
    <w:rsid w:val="00F65529"/>
    <w:rsid w:val="00F65AE2"/>
    <w:rsid w:val="00F6607F"/>
    <w:rsid w:val="00F66122"/>
    <w:rsid w:val="00F665D5"/>
    <w:rsid w:val="00F666FD"/>
    <w:rsid w:val="00F667C5"/>
    <w:rsid w:val="00F66EC1"/>
    <w:rsid w:val="00F67099"/>
    <w:rsid w:val="00F672F1"/>
    <w:rsid w:val="00F67302"/>
    <w:rsid w:val="00F67600"/>
    <w:rsid w:val="00F677AF"/>
    <w:rsid w:val="00F67A00"/>
    <w:rsid w:val="00F67A35"/>
    <w:rsid w:val="00F67B7D"/>
    <w:rsid w:val="00F67FC4"/>
    <w:rsid w:val="00F70895"/>
    <w:rsid w:val="00F71419"/>
    <w:rsid w:val="00F721D8"/>
    <w:rsid w:val="00F72357"/>
    <w:rsid w:val="00F723D2"/>
    <w:rsid w:val="00F72620"/>
    <w:rsid w:val="00F72E0A"/>
    <w:rsid w:val="00F733CC"/>
    <w:rsid w:val="00F73930"/>
    <w:rsid w:val="00F73B70"/>
    <w:rsid w:val="00F74088"/>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E81"/>
    <w:rsid w:val="00F80F3C"/>
    <w:rsid w:val="00F8124E"/>
    <w:rsid w:val="00F81421"/>
    <w:rsid w:val="00F81526"/>
    <w:rsid w:val="00F81886"/>
    <w:rsid w:val="00F81A8E"/>
    <w:rsid w:val="00F81EF6"/>
    <w:rsid w:val="00F8200C"/>
    <w:rsid w:val="00F823C1"/>
    <w:rsid w:val="00F82B09"/>
    <w:rsid w:val="00F82F09"/>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898"/>
    <w:rsid w:val="00F911DD"/>
    <w:rsid w:val="00F91326"/>
    <w:rsid w:val="00F914C8"/>
    <w:rsid w:val="00F914EA"/>
    <w:rsid w:val="00F91839"/>
    <w:rsid w:val="00F91CC0"/>
    <w:rsid w:val="00F91F34"/>
    <w:rsid w:val="00F928CE"/>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F1B"/>
    <w:rsid w:val="00F9721B"/>
    <w:rsid w:val="00F9722F"/>
    <w:rsid w:val="00F9725D"/>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62D"/>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924"/>
    <w:rsid w:val="00FA69D3"/>
    <w:rsid w:val="00FA6C90"/>
    <w:rsid w:val="00FA7125"/>
    <w:rsid w:val="00FA7131"/>
    <w:rsid w:val="00FA7DF7"/>
    <w:rsid w:val="00FB01CC"/>
    <w:rsid w:val="00FB08F9"/>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44D7"/>
    <w:rsid w:val="00FC50EA"/>
    <w:rsid w:val="00FC51C4"/>
    <w:rsid w:val="00FC51D7"/>
    <w:rsid w:val="00FC5656"/>
    <w:rsid w:val="00FC5661"/>
    <w:rsid w:val="00FC5964"/>
    <w:rsid w:val="00FC5B5D"/>
    <w:rsid w:val="00FC5BAE"/>
    <w:rsid w:val="00FC5F90"/>
    <w:rsid w:val="00FC6104"/>
    <w:rsid w:val="00FC64F3"/>
    <w:rsid w:val="00FC6527"/>
    <w:rsid w:val="00FC66AD"/>
    <w:rsid w:val="00FC6AE5"/>
    <w:rsid w:val="00FC72E0"/>
    <w:rsid w:val="00FC7533"/>
    <w:rsid w:val="00FC78A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CE6"/>
    <w:rsid w:val="00FE0E39"/>
    <w:rsid w:val="00FE0FBC"/>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4C8"/>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C39882-C220-4A87-82C5-6973116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02"/>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47249234">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2330741">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2887660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193460">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43371609">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s.tcu.gov.br/juris/SvlHighLight?key=ACORDAO-LEGADO-120777&amp;texto=2b2532384e554d41434f5244414f253341313638332b4f522b4e554d52454c4143414f25334131363833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HighLight?key=ACORDAO-LEGADO-119924&amp;texto=2b2532384e554d41434f5244414f253341313035342b4f522b4e554d52454c4143414f253341313035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20812&amp;texto=2b2532384e554d41434f5244414f253341313637372b4f522b4e554d52454c4143414f25334131363737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tas.tcu.gov.br/juris/SvlHighLight?key=ACORDAO-LEGADO-120814&amp;texto=2b2532384e554d41434f5244414f253341313637352b4f522b4e554d52454c4143414f25334131363735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as.tcu.gov.br/juris/SvlHighLight?key=ACORDAO-LEGADO-121053&amp;texto=2b2532384e554d41434f5244414f253341313637342b4f522b4e554d52454c4143414f253341313637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14" Type="http://schemas.openxmlformats.org/officeDocument/2006/relationships/hyperlink" Target="mailto:infojuris@tcu.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C8CFA-1AE4-4525-9505-CC0CFF74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2915</Words>
  <Characters>15746</Characters>
  <Application>Microsoft Office Word</Application>
  <DocSecurity>4</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18624</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2014-05-27T20:16:00Z</cp:lastPrinted>
  <dcterms:created xsi:type="dcterms:W3CDTF">2015-05-07T13:24:00Z</dcterms:created>
  <dcterms:modified xsi:type="dcterms:W3CDTF">2015-05-07T13:24:00Z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