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601784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601784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601784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D72FB8" w:rsidRDefault="00C341B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D72FB8">
        <w:rPr>
          <w:rFonts w:ascii="Times New Roman" w:hAnsi="Times New Roman"/>
          <w:b/>
          <w:i w:val="0"/>
          <w:sz w:val="22"/>
          <w:szCs w:val="22"/>
        </w:rPr>
        <w:t>Número 1</w:t>
      </w:r>
      <w:r w:rsidR="007213BD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A3356E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</w:p>
    <w:p w:rsidR="00C61626" w:rsidRPr="00D72FB8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D72FB8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D72FB8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D72F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3356E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20</w:t>
      </w:r>
      <w:r w:rsidR="002033AF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A3356E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7213BD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Pr="00D72FB8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FA5975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ma</w:t>
      </w:r>
      <w:r w:rsidR="00175EA0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io</w:t>
      </w:r>
      <w:r w:rsidR="000C5536" w:rsidRPr="00D72FB8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D72FB8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D72FB8" w:rsidRDefault="0008246E" w:rsidP="008D1BFC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D72FB8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D72FB8" w:rsidRDefault="0008246E" w:rsidP="008D1BF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D72FB8">
        <w:rPr>
          <w:b/>
          <w:bCs/>
          <w:smallCaps/>
          <w:sz w:val="22"/>
          <w:szCs w:val="22"/>
        </w:rPr>
        <w:t>SUMÁRIO</w:t>
      </w:r>
    </w:p>
    <w:p w:rsidR="00175500" w:rsidRPr="00D72FB8" w:rsidRDefault="0008246E" w:rsidP="00057B48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D72FB8">
        <w:rPr>
          <w:b/>
          <w:sz w:val="22"/>
          <w:szCs w:val="22"/>
          <w:lang w:eastAsia="pt-BR"/>
        </w:rPr>
        <w:t>Plenário</w:t>
      </w:r>
    </w:p>
    <w:p w:rsidR="00503C58" w:rsidRPr="00D72FB8" w:rsidRDefault="00503C58" w:rsidP="00BD0D1E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D72FB8">
        <w:rPr>
          <w:sz w:val="22"/>
          <w:szCs w:val="22"/>
          <w:lang w:eastAsia="pt-BR"/>
        </w:rPr>
        <w:t xml:space="preserve">1. </w:t>
      </w:r>
      <w:r w:rsidR="008258FE" w:rsidRPr="00D72FB8">
        <w:rPr>
          <w:color w:val="000000"/>
          <w:sz w:val="22"/>
          <w:szCs w:val="22"/>
        </w:rPr>
        <w:t>O aproveitamento de projetos de arquitetura e complementares de outra obra similar já executada (repetição de projetos) é ato discricionário da Administração, a qual, caso assim decida, deve fazer constar no processo da licitação autorização pormenorizada por parte dos respectivos autores quanto à repetição do projeto, à abrangência das adaptações e à definição de quais profissionais podem realizá-las (os próprios autores ou te</w:t>
      </w:r>
      <w:r w:rsidR="00F05C54" w:rsidRPr="00D72FB8">
        <w:rPr>
          <w:color w:val="000000"/>
          <w:sz w:val="22"/>
          <w:szCs w:val="22"/>
        </w:rPr>
        <w:t>rceiros), atualizando-se as anotações de responsabilidade técnica (ART)</w:t>
      </w:r>
      <w:r w:rsidR="008258FE" w:rsidRPr="00D72FB8">
        <w:rPr>
          <w:color w:val="000000"/>
          <w:sz w:val="22"/>
          <w:szCs w:val="22"/>
        </w:rPr>
        <w:t xml:space="preserve"> correspondentes</w:t>
      </w:r>
      <w:r w:rsidRPr="00D72FB8">
        <w:rPr>
          <w:sz w:val="22"/>
          <w:szCs w:val="22"/>
          <w:lang w:eastAsia="pt-BR"/>
        </w:rPr>
        <w:t>.</w:t>
      </w:r>
    </w:p>
    <w:p w:rsidR="00503C58" w:rsidRPr="00D72FB8" w:rsidRDefault="00503C58" w:rsidP="00503C58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D72FB8">
        <w:rPr>
          <w:sz w:val="22"/>
          <w:szCs w:val="22"/>
        </w:rPr>
        <w:t xml:space="preserve">2.  </w:t>
      </w:r>
      <w:r w:rsidR="008258FE" w:rsidRPr="00D72FB8">
        <w:rPr>
          <w:sz w:val="22"/>
          <w:szCs w:val="22"/>
          <w:lang w:eastAsia="pt-BR"/>
        </w:rPr>
        <w:t>Nas aquisições de passagens aéreas com intermediação de agências de viagens, deve constar, no edital da licitação, cláusula com exigência de apresentação pela agência contratada, mês a mês, das faturas emitidas pelas companhias aéreas referentes às passagens aéreas compradas pelo órgão público, apresentação esta que deverá condicionar o pagamento da próxima fatura da agência. É irregular o pagamento efetuado com base apenas em sistemas criados e mantidos pelas agências</w:t>
      </w:r>
      <w:r w:rsidRPr="00D72FB8">
        <w:rPr>
          <w:sz w:val="22"/>
          <w:szCs w:val="22"/>
        </w:rPr>
        <w:t>.</w:t>
      </w:r>
    </w:p>
    <w:p w:rsidR="008258FE" w:rsidRPr="00D72FB8" w:rsidRDefault="008258FE" w:rsidP="00503C58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D72FB8">
        <w:rPr>
          <w:sz w:val="22"/>
          <w:szCs w:val="22"/>
        </w:rPr>
        <w:t xml:space="preserve">3. </w:t>
      </w:r>
      <w:r w:rsidR="00F05C54" w:rsidRPr="00D72FB8">
        <w:rPr>
          <w:rFonts w:eastAsia="Times New Roman"/>
          <w:sz w:val="22"/>
          <w:szCs w:val="22"/>
          <w:lang w:eastAsia="pt-BR"/>
        </w:rPr>
        <w:t>Os preços obtidos pela Administração na fase interna da licitação, em coletas destinadas apenas a formar o preço de referência dos bens e serviços a serem licitados, não vinculam as propostas que eventualmente os fornecedores venham a apresentar no certame. Logo, esses preços não se mostram hábeis a compor o referencial utilizado na quantificação de aparente superfaturamento de preços. A comparação para esse fim há de considerar os preços efetivamente praticados pelo mercado fornecedor em situação semelhante</w:t>
      </w:r>
    </w:p>
    <w:p w:rsidR="008258FE" w:rsidRPr="00D72FB8" w:rsidRDefault="008258FE" w:rsidP="00D73DFA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D72FB8">
        <w:rPr>
          <w:sz w:val="22"/>
          <w:szCs w:val="22"/>
        </w:rPr>
        <w:t>4</w:t>
      </w:r>
      <w:r w:rsidR="00503C58" w:rsidRPr="00D72FB8">
        <w:rPr>
          <w:sz w:val="22"/>
          <w:szCs w:val="22"/>
        </w:rPr>
        <w:t xml:space="preserve">.  </w:t>
      </w:r>
      <w:r w:rsidR="00F05C54" w:rsidRPr="00D72FB8">
        <w:rPr>
          <w:rFonts w:eastAsia="Times New Roman"/>
          <w:sz w:val="22"/>
          <w:szCs w:val="22"/>
          <w:lang w:eastAsia="pt-BR"/>
        </w:rPr>
        <w:t>A exigência de atestados com limitação de época pode ser aceita nas situações em que a tecnologia envolvida só se tornou disponível a partir do período indicado. É essencial, contudo, que as exigências dessa natureza, por seu caráter excepcional, sejam especificadas e fundamentadas em estudos técnicos que constem no processo de licitação</w:t>
      </w:r>
      <w:r w:rsidR="00503C58" w:rsidRPr="00D72FB8">
        <w:rPr>
          <w:sz w:val="22"/>
          <w:szCs w:val="22"/>
        </w:rPr>
        <w:t>.</w:t>
      </w:r>
    </w:p>
    <w:p w:rsidR="00D73DFA" w:rsidRPr="00D72FB8" w:rsidRDefault="00D73DFA" w:rsidP="00327788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6C7488" w:rsidRPr="00D72FB8" w:rsidRDefault="006C7488" w:rsidP="00D73DFA">
      <w:pPr>
        <w:pStyle w:val="Default"/>
        <w:spacing w:after="60"/>
        <w:jc w:val="both"/>
        <w:rPr>
          <w:b/>
          <w:sz w:val="22"/>
          <w:szCs w:val="22"/>
        </w:rPr>
      </w:pPr>
      <w:r w:rsidRPr="00D72FB8">
        <w:rPr>
          <w:b/>
          <w:sz w:val="22"/>
          <w:szCs w:val="22"/>
        </w:rPr>
        <w:t>Inovação Legislativa</w:t>
      </w:r>
    </w:p>
    <w:p w:rsidR="006C7488" w:rsidRPr="00D72FB8" w:rsidRDefault="007E7ECC" w:rsidP="00BD0D1E">
      <w:pPr>
        <w:spacing w:after="0"/>
        <w:ind w:left="0"/>
        <w:rPr>
          <w:sz w:val="22"/>
          <w:szCs w:val="22"/>
        </w:rPr>
      </w:pPr>
      <w:r w:rsidRPr="00D72FB8">
        <w:rPr>
          <w:sz w:val="22"/>
          <w:szCs w:val="22"/>
        </w:rPr>
        <w:t>Lei 12.980, de 28.5.2014</w:t>
      </w:r>
    </w:p>
    <w:p w:rsidR="00BD0D1E" w:rsidRPr="00D72FB8" w:rsidRDefault="00BD0D1E" w:rsidP="00BD0D1E">
      <w:pPr>
        <w:spacing w:after="0"/>
        <w:ind w:left="0"/>
        <w:rPr>
          <w:sz w:val="22"/>
          <w:szCs w:val="22"/>
          <w:lang w:eastAsia="pt-BR"/>
        </w:rPr>
      </w:pPr>
    </w:p>
    <w:p w:rsidR="006B62B4" w:rsidRPr="00D72FB8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72FB8">
        <w:rPr>
          <w:b/>
          <w:bCs/>
          <w:smallCaps/>
          <w:sz w:val="22"/>
          <w:szCs w:val="22"/>
        </w:rPr>
        <w:t>PLENÁRIO</w:t>
      </w:r>
    </w:p>
    <w:p w:rsidR="0078621C" w:rsidRPr="00D72FB8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707265" w:rsidRPr="00D72FB8" w:rsidRDefault="00707265" w:rsidP="0070726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D72FB8">
        <w:rPr>
          <w:b/>
          <w:sz w:val="22"/>
          <w:szCs w:val="22"/>
          <w:lang w:eastAsia="pt-BR"/>
        </w:rPr>
        <w:t xml:space="preserve">1. </w:t>
      </w:r>
      <w:r w:rsidR="00C67BAC" w:rsidRPr="00D72FB8">
        <w:rPr>
          <w:b/>
          <w:color w:val="000000"/>
          <w:sz w:val="22"/>
          <w:szCs w:val="22"/>
        </w:rPr>
        <w:t>O aproveitamento de projetos de arquitetura e complementares de outra obra similar já executada (repetição de projetos) é ato discricionário da Administração, a qual, caso assim decida, deve fazer constar no processo da licitação autorização pormenorizada por parte dos respectivos autores quanto à repetição do projeto, à abrangência das adaptações e à definição de quais profissionais podem realizá-las (os próprios autores ou terceiros), atualizando-se as anotações de responsabilidade técnica (ART) correspondentes</w:t>
      </w:r>
      <w:r w:rsidR="00C67BAC" w:rsidRPr="00D72FB8">
        <w:rPr>
          <w:b/>
          <w:sz w:val="22"/>
          <w:szCs w:val="22"/>
          <w:lang w:eastAsia="pt-BR"/>
        </w:rPr>
        <w:t>.</w:t>
      </w:r>
    </w:p>
    <w:p w:rsidR="003824EB" w:rsidRPr="00D72FB8" w:rsidRDefault="00C67BAC" w:rsidP="003824EB">
      <w:pPr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</w:rPr>
      </w:pPr>
      <w:r w:rsidRPr="00D72FB8">
        <w:rPr>
          <w:sz w:val="22"/>
          <w:szCs w:val="22"/>
        </w:rPr>
        <w:t xml:space="preserve">Representação </w:t>
      </w:r>
      <w:r w:rsidR="0054613D" w:rsidRPr="00D72FB8">
        <w:rPr>
          <w:sz w:val="22"/>
          <w:szCs w:val="22"/>
        </w:rPr>
        <w:t>apresentada por</w:t>
      </w:r>
      <w:r w:rsidRPr="00D72FB8">
        <w:rPr>
          <w:sz w:val="22"/>
          <w:szCs w:val="22"/>
        </w:rPr>
        <w:t xml:space="preserve"> sociedade empresária questionara possíveis irregularidades em concorrência realizada pela Universidade Federal de Goiás (UFG) para a construção do edifício do Centro de Aulas do Campus da UFG, em Aparecida de Goiânia/GO. Dentre elas, a representante arguira o aproveitamento de projetos de arquitetura e complementares de outra obra similar já executada pela UFG, sem as necessárias ad</w:t>
      </w:r>
      <w:r w:rsidR="003A46A8">
        <w:rPr>
          <w:sz w:val="22"/>
          <w:szCs w:val="22"/>
        </w:rPr>
        <w:t>aptações. Ouvida a respeito, a u</w:t>
      </w:r>
      <w:r w:rsidRPr="00D72FB8">
        <w:rPr>
          <w:sz w:val="22"/>
          <w:szCs w:val="22"/>
        </w:rPr>
        <w:t>niversidade ponderou que nos editais de licitação para a contratação dos serviços constaria as necessárias autorizações dos autores e que as respectivas anotações de responsab</w:t>
      </w:r>
      <w:r w:rsidR="000F1583">
        <w:rPr>
          <w:sz w:val="22"/>
          <w:szCs w:val="22"/>
        </w:rPr>
        <w:t>ilidade técnica (ART) dos</w:t>
      </w:r>
      <w:r w:rsidRPr="00D72FB8">
        <w:rPr>
          <w:sz w:val="22"/>
          <w:szCs w:val="22"/>
        </w:rPr>
        <w:t xml:space="preserve"> projeto</w:t>
      </w:r>
      <w:r w:rsidR="000F1583">
        <w:rPr>
          <w:sz w:val="22"/>
          <w:szCs w:val="22"/>
        </w:rPr>
        <w:t>s</w:t>
      </w:r>
      <w:r w:rsidRPr="00D72FB8">
        <w:rPr>
          <w:sz w:val="22"/>
          <w:szCs w:val="22"/>
        </w:rPr>
        <w:t xml:space="preserve"> serviriam para todas as obras nas quais eles fossem reproduzidos, salvo se sofressem alguma alteração, ficando a cargo da universidade as taxas decorrentes de sua reutilização. Para o relator, contudo, não é possível repetir um projeto da magnitude do edifício do Centro de Aulas do Campus da UFG, com 7.930,20 m</w:t>
      </w:r>
      <w:r w:rsidRPr="00D72FB8">
        <w:rPr>
          <w:sz w:val="22"/>
          <w:szCs w:val="22"/>
          <w:vertAlign w:val="superscript"/>
        </w:rPr>
        <w:t xml:space="preserve">2 </w:t>
      </w:r>
      <w:r w:rsidRPr="00D72FB8">
        <w:rPr>
          <w:sz w:val="22"/>
          <w:szCs w:val="22"/>
        </w:rPr>
        <w:t>de área construída, sem nenhuma adaptação. Para ele</w:t>
      </w:r>
      <w:r w:rsidR="000F1583">
        <w:rPr>
          <w:sz w:val="22"/>
          <w:szCs w:val="22"/>
        </w:rPr>
        <w:t>,</w:t>
      </w:r>
      <w:r w:rsidRPr="00D72FB8">
        <w:rPr>
          <w:sz w:val="22"/>
          <w:szCs w:val="22"/>
        </w:rPr>
        <w:t xml:space="preserve"> um projeto contratado, em princípio, só deverá ser executado para os fins e locais indicados, e qualquer modificação leva à necessidade de novo registro de ART perante o Crea, uma vez que o documento serve para identificar a responsabilidade técnica pelas obras ou serviços prestados, proporcionando segurança técnica e jurídica tanto para quem contrata quanto para quem é contratado. Sob outro aspecto, o condutor do processo ressaltou que a reprodução e/ou modificação de projeto depende da autorização prévia e expressa do autor, que pode reclamar pelo uso não autorizado</w:t>
      </w:r>
      <w:r w:rsidRPr="00D72FB8">
        <w:rPr>
          <w:i/>
          <w:iCs/>
          <w:sz w:val="22"/>
          <w:szCs w:val="22"/>
        </w:rPr>
        <w:t xml:space="preserve">, </w:t>
      </w:r>
      <w:r w:rsidRPr="00D72FB8">
        <w:rPr>
          <w:iCs/>
          <w:sz w:val="22"/>
          <w:szCs w:val="22"/>
        </w:rPr>
        <w:t>“</w:t>
      </w:r>
      <w:r w:rsidRPr="00D72FB8">
        <w:rPr>
          <w:i/>
          <w:iCs/>
          <w:sz w:val="22"/>
          <w:szCs w:val="22"/>
        </w:rPr>
        <w:t>tendo o contratante que arcar com indenização por violação do direito moral e contra a honra do profissional autor</w:t>
      </w:r>
      <w:r w:rsidRPr="00D72FB8">
        <w:rPr>
          <w:sz w:val="22"/>
          <w:szCs w:val="22"/>
        </w:rPr>
        <w:t xml:space="preserve">”. O relator destacou, por fim, que a repetição de projetos é ato discricionário da Administração e caso a UFG fizesse tal opção, seria necessário que os documentos fossem previamente adaptados à nova locação da obra, o que exigiria novos registros de ART no Crea e autorização pormenorizada por parte dos respectivos autores quanto à abrangência das adaptações e à definição de quais profissionais poderiam realizá-las (os próprios autores ou terceiros), bem como o ônus para a Administração. Diante disso, e de outras irregularidades subsistentes após a instrução dos autos, votou por que fosse fixado prazo para que a UFG anulasse a licitação, bem como </w:t>
      </w:r>
      <w:r w:rsidR="00965B60" w:rsidRPr="00D72FB8">
        <w:rPr>
          <w:sz w:val="22"/>
          <w:szCs w:val="22"/>
        </w:rPr>
        <w:t>expedidas diversas determinações</w:t>
      </w:r>
      <w:r w:rsidRPr="00D72FB8">
        <w:rPr>
          <w:sz w:val="22"/>
          <w:szCs w:val="22"/>
        </w:rPr>
        <w:t xml:space="preserve"> corretivas para os futuros certames a serem promovidos pela instituição, o que foi acatado pelo Plenário. </w:t>
      </w:r>
      <w:hyperlink r:id="rId9" w:history="1">
        <w:r w:rsidR="003824EB" w:rsidRPr="008F38B2">
          <w:rPr>
            <w:rStyle w:val="Hyperlink"/>
            <w:b/>
            <w:bCs/>
            <w:i/>
            <w:iCs/>
            <w:sz w:val="22"/>
            <w:szCs w:val="22"/>
          </w:rPr>
          <w:t>Acórdão 1</w:t>
        </w:r>
        <w:r w:rsidRPr="008F38B2">
          <w:rPr>
            <w:rStyle w:val="Hyperlink"/>
            <w:b/>
            <w:bCs/>
            <w:i/>
            <w:iCs/>
            <w:sz w:val="22"/>
            <w:szCs w:val="22"/>
          </w:rPr>
          <w:t>309</w:t>
        </w:r>
        <w:r w:rsidR="003824EB" w:rsidRPr="008F38B2">
          <w:rPr>
            <w:rStyle w:val="Hyperlink"/>
            <w:b/>
            <w:bCs/>
            <w:i/>
            <w:iCs/>
            <w:sz w:val="22"/>
            <w:szCs w:val="22"/>
          </w:rPr>
          <w:t>/2014-Plenário</w:t>
        </w:r>
      </w:hyperlink>
      <w:r w:rsidR="003824EB" w:rsidRPr="00D72FB8">
        <w:rPr>
          <w:b/>
          <w:bCs/>
          <w:i/>
          <w:iCs/>
          <w:sz w:val="22"/>
          <w:szCs w:val="22"/>
        </w:rPr>
        <w:t>, TC 0</w:t>
      </w:r>
      <w:r w:rsidRPr="00D72FB8">
        <w:rPr>
          <w:b/>
          <w:bCs/>
          <w:i/>
          <w:iCs/>
          <w:sz w:val="22"/>
          <w:szCs w:val="22"/>
        </w:rPr>
        <w:t>0</w:t>
      </w:r>
      <w:r w:rsidR="003824EB" w:rsidRPr="00D72FB8">
        <w:rPr>
          <w:b/>
          <w:bCs/>
          <w:i/>
          <w:iCs/>
          <w:sz w:val="22"/>
          <w:szCs w:val="22"/>
        </w:rPr>
        <w:t>3.</w:t>
      </w:r>
      <w:r w:rsidRPr="00D72FB8">
        <w:rPr>
          <w:b/>
          <w:bCs/>
          <w:i/>
          <w:iCs/>
          <w:sz w:val="22"/>
          <w:szCs w:val="22"/>
        </w:rPr>
        <w:t>183</w:t>
      </w:r>
      <w:r w:rsidR="003824EB" w:rsidRPr="00D72FB8">
        <w:rPr>
          <w:b/>
          <w:bCs/>
          <w:i/>
          <w:iCs/>
          <w:sz w:val="22"/>
          <w:szCs w:val="22"/>
        </w:rPr>
        <w:t>/201</w:t>
      </w:r>
      <w:r w:rsidRPr="00D72FB8">
        <w:rPr>
          <w:b/>
          <w:bCs/>
          <w:i/>
          <w:iCs/>
          <w:sz w:val="22"/>
          <w:szCs w:val="22"/>
        </w:rPr>
        <w:t>4</w:t>
      </w:r>
      <w:r w:rsidR="003824EB" w:rsidRPr="00D72FB8">
        <w:rPr>
          <w:b/>
          <w:bCs/>
          <w:i/>
          <w:iCs/>
          <w:sz w:val="22"/>
          <w:szCs w:val="22"/>
        </w:rPr>
        <w:t>-</w:t>
      </w:r>
      <w:r w:rsidRPr="00D72FB8">
        <w:rPr>
          <w:b/>
          <w:bCs/>
          <w:i/>
          <w:iCs/>
          <w:sz w:val="22"/>
          <w:szCs w:val="22"/>
        </w:rPr>
        <w:t>4</w:t>
      </w:r>
      <w:r w:rsidR="003824EB" w:rsidRPr="00D72FB8">
        <w:rPr>
          <w:b/>
          <w:bCs/>
          <w:i/>
          <w:iCs/>
          <w:sz w:val="22"/>
          <w:szCs w:val="22"/>
        </w:rPr>
        <w:t xml:space="preserve">, relator Ministro </w:t>
      </w:r>
      <w:r w:rsidRPr="00D72FB8">
        <w:rPr>
          <w:b/>
          <w:bCs/>
          <w:i/>
          <w:iCs/>
          <w:sz w:val="22"/>
          <w:szCs w:val="22"/>
        </w:rPr>
        <w:t>Walton Alencar Rodrigues</w:t>
      </w:r>
      <w:r w:rsidRPr="00D72FB8">
        <w:rPr>
          <w:b/>
          <w:bCs/>
          <w:i/>
          <w:iCs/>
          <w:sz w:val="22"/>
          <w:szCs w:val="22"/>
          <w:lang w:eastAsia="pt-BR"/>
        </w:rPr>
        <w:t>, 21.5.2014</w:t>
      </w:r>
      <w:r w:rsidR="003824EB" w:rsidRPr="00D72FB8">
        <w:rPr>
          <w:b/>
          <w:bCs/>
          <w:i/>
          <w:iCs/>
          <w:sz w:val="22"/>
          <w:szCs w:val="22"/>
        </w:rPr>
        <w:t>.</w:t>
      </w:r>
    </w:p>
    <w:p w:rsidR="003824EB" w:rsidRPr="00D72FB8" w:rsidRDefault="003824EB" w:rsidP="00707265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F667C5" w:rsidRPr="00D72FB8" w:rsidRDefault="00707265" w:rsidP="00F667C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D72FB8">
        <w:rPr>
          <w:b/>
          <w:sz w:val="22"/>
          <w:szCs w:val="22"/>
        </w:rPr>
        <w:t xml:space="preserve">2.  </w:t>
      </w:r>
      <w:r w:rsidR="00F667C5" w:rsidRPr="00D72FB8">
        <w:rPr>
          <w:b/>
          <w:sz w:val="22"/>
          <w:szCs w:val="22"/>
        </w:rPr>
        <w:t>Nas aquisições de passagens aéreas com intermediação de agências de viagens, deve constar, no edital da licitação, cláusula com exigência de apresentação pela agência contratada, mês a mês, das faturas emitidas pelas companhias aéreas referentes às passagens aéreas compradas pelo órgão público, apresentação esta que deverá condicionar o pagamento da próxima fatura da agência. É irregular o pagamento efetuado com base apenas em sistemas criados e mantidos pelas agências.</w:t>
      </w:r>
    </w:p>
    <w:p w:rsidR="00086181" w:rsidRPr="00D72FB8" w:rsidRDefault="00F667C5" w:rsidP="00F667C5">
      <w:pPr>
        <w:spacing w:after="0"/>
        <w:ind w:left="0"/>
        <w:rPr>
          <w:sz w:val="22"/>
          <w:szCs w:val="22"/>
        </w:rPr>
      </w:pPr>
      <w:r w:rsidRPr="00D72FB8">
        <w:rPr>
          <w:sz w:val="22"/>
          <w:szCs w:val="22"/>
        </w:rPr>
        <w:t xml:space="preserve">Representação </w:t>
      </w:r>
      <w:r w:rsidR="0054613D">
        <w:rPr>
          <w:sz w:val="22"/>
          <w:szCs w:val="22"/>
        </w:rPr>
        <w:t xml:space="preserve">de </w:t>
      </w:r>
      <w:r w:rsidRPr="00D72FB8">
        <w:rPr>
          <w:sz w:val="22"/>
          <w:szCs w:val="22"/>
        </w:rPr>
        <w:t>sociedade empresária apontara possível irregularidade em pregão eletrônico, conduzido pel</w:t>
      </w:r>
      <w:r w:rsidR="003C1267">
        <w:rPr>
          <w:sz w:val="22"/>
          <w:szCs w:val="22"/>
        </w:rPr>
        <w:t>o</w:t>
      </w:r>
      <w:r w:rsidRPr="00D72FB8">
        <w:rPr>
          <w:sz w:val="22"/>
          <w:szCs w:val="22"/>
        </w:rPr>
        <w:t xml:space="preserve"> Ministério Público do Trabalho da União</w:t>
      </w:r>
      <w:r w:rsidR="0056665F">
        <w:rPr>
          <w:sz w:val="22"/>
          <w:szCs w:val="22"/>
        </w:rPr>
        <w:t xml:space="preserve"> (MPT)</w:t>
      </w:r>
      <w:r w:rsidRPr="00D72FB8">
        <w:rPr>
          <w:sz w:val="22"/>
          <w:szCs w:val="22"/>
        </w:rPr>
        <w:t xml:space="preserve">, para a contratação de empresa para prestação de serviços de agenciamento de viagens, incluindo a emissão de bilhetes de passagens aéreas nacionais e internacionais. A representante questionara a exequibilidade econômica da proposta de preço ofertada pela empresa contratada, a qual vencera a licitação com lance no valor de R$ 0,01 por bilhete. Realizadas as oitivas regimentais, o órgão e a empresa contratada discorreram sobre o atual modelo de contratação de passagens aéreas na </w:t>
      </w:r>
      <w:r w:rsidR="00F72E0A">
        <w:rPr>
          <w:sz w:val="22"/>
          <w:szCs w:val="22"/>
        </w:rPr>
        <w:t>A</w:t>
      </w:r>
      <w:r w:rsidRPr="00D72FB8">
        <w:rPr>
          <w:sz w:val="22"/>
          <w:szCs w:val="22"/>
        </w:rPr>
        <w:t xml:space="preserve">dministração </w:t>
      </w:r>
      <w:r w:rsidR="00F72E0A">
        <w:rPr>
          <w:sz w:val="22"/>
          <w:szCs w:val="22"/>
        </w:rPr>
        <w:t>P</w:t>
      </w:r>
      <w:r w:rsidRPr="00D72FB8">
        <w:rPr>
          <w:sz w:val="22"/>
          <w:szCs w:val="22"/>
        </w:rPr>
        <w:t>ública, citando diversos exemplos de órgãos que contrataram pelo valor de R$ 0,00 ou R$ 0,01 por bilhete. A contratada acrescentou que “</w:t>
      </w:r>
      <w:r w:rsidRPr="00D72FB8">
        <w:rPr>
          <w:i/>
          <w:iCs/>
          <w:sz w:val="22"/>
          <w:szCs w:val="22"/>
        </w:rPr>
        <w:t>as companhias aéreas retiraram o comissionamento das agências de viagens, porém instituíram o sistema de negociação comercial, agência por agência, negociações estas protegidas pela Lei de Mercado</w:t>
      </w:r>
      <w:r w:rsidRPr="00D72FB8">
        <w:rPr>
          <w:iCs/>
          <w:sz w:val="22"/>
          <w:szCs w:val="22"/>
        </w:rPr>
        <w:t>”. Assim, a remuneração das agências, “</w:t>
      </w:r>
      <w:r w:rsidRPr="00D72FB8">
        <w:rPr>
          <w:i/>
          <w:iCs/>
          <w:sz w:val="22"/>
          <w:szCs w:val="22"/>
        </w:rPr>
        <w:t>em tese, não estaria vinculada ou não resultaria da emissão de um bilhete aéreo especifico, sendo impossível mensurá-la, porque depende das negociações travadas com as companhias aéreas</w:t>
      </w:r>
      <w:r w:rsidRPr="00D72FB8">
        <w:rPr>
          <w:iCs/>
          <w:sz w:val="22"/>
          <w:szCs w:val="22"/>
        </w:rPr>
        <w:t>”. Ao analisar as justificativas apresentadas, a unidade técnica destacou a falta de transparência do modelo atual, uma vez que os serviços prestados efetivamente não são remunerados pelos órgãos contratantes, sendo ineficaz a exigência de demonstração da exequibilidade a partir da análise de planilha de custos. Ressaltou ainda que na sistemática atual as empresas aéreas não mais informam o valor da tarifa paga no cartão de embarque</w:t>
      </w:r>
      <w:r w:rsidRPr="00D72FB8">
        <w:rPr>
          <w:i/>
          <w:iCs/>
          <w:sz w:val="22"/>
          <w:szCs w:val="22"/>
        </w:rPr>
        <w:t xml:space="preserve">, </w:t>
      </w:r>
      <w:r w:rsidRPr="00D72FB8">
        <w:rPr>
          <w:iCs/>
          <w:sz w:val="22"/>
          <w:szCs w:val="22"/>
        </w:rPr>
        <w:t>o qual seria o único documento efetivamente emitido pela companhia aérea que chega ao poder do comprador, e poderia servir como um ponto de controle eficaz</w:t>
      </w:r>
      <w:r w:rsidRPr="00D72FB8">
        <w:rPr>
          <w:i/>
          <w:iCs/>
          <w:sz w:val="22"/>
          <w:szCs w:val="22"/>
        </w:rPr>
        <w:t>.</w:t>
      </w:r>
      <w:r w:rsidRPr="00D72FB8">
        <w:rPr>
          <w:iCs/>
          <w:sz w:val="22"/>
          <w:szCs w:val="22"/>
        </w:rPr>
        <w:t xml:space="preserve"> Por fim, a unidade técnica registrou que a matéria está sendo analisada pelo TCU no âmbito de outro processo, com indícios de direcionamentos n</w:t>
      </w:r>
      <w:r w:rsidR="000966CB">
        <w:rPr>
          <w:iCs/>
          <w:sz w:val="22"/>
          <w:szCs w:val="22"/>
        </w:rPr>
        <w:t>as aquisições</w:t>
      </w:r>
      <w:r w:rsidRPr="00D72FB8">
        <w:rPr>
          <w:iCs/>
          <w:sz w:val="22"/>
          <w:szCs w:val="22"/>
        </w:rPr>
        <w:t xml:space="preserve"> de passagens aéreas, em decorrência de os </w:t>
      </w:r>
      <w:r w:rsidR="000966CB" w:rsidRPr="00D72FB8">
        <w:rPr>
          <w:iCs/>
          <w:sz w:val="22"/>
          <w:szCs w:val="22"/>
        </w:rPr>
        <w:t>sistemas</w:t>
      </w:r>
      <w:r w:rsidRPr="00D72FB8">
        <w:rPr>
          <w:iCs/>
          <w:sz w:val="22"/>
          <w:szCs w:val="22"/>
        </w:rPr>
        <w:t xml:space="preserve"> de busca de voos e emissão de bilhetes utilizados para </w:t>
      </w:r>
      <w:r w:rsidR="000966CB">
        <w:rPr>
          <w:iCs/>
          <w:sz w:val="22"/>
          <w:szCs w:val="22"/>
        </w:rPr>
        <w:t>compra</w:t>
      </w:r>
      <w:r w:rsidRPr="00D72FB8">
        <w:rPr>
          <w:iCs/>
          <w:sz w:val="22"/>
          <w:szCs w:val="22"/>
        </w:rPr>
        <w:t xml:space="preserve"> de passagens serem mantidos e disponibilizados pelas agências de viagens</w:t>
      </w:r>
      <w:r w:rsidRPr="00D72FB8">
        <w:rPr>
          <w:i/>
          <w:iCs/>
          <w:sz w:val="22"/>
          <w:szCs w:val="22"/>
        </w:rPr>
        <w:t xml:space="preserve">. </w:t>
      </w:r>
      <w:r w:rsidRPr="00D72FB8">
        <w:rPr>
          <w:iCs/>
          <w:sz w:val="22"/>
          <w:szCs w:val="22"/>
        </w:rPr>
        <w:t>Em juízo de mérito, o relator considerou as justificativas apresentadas suficientes para demonstrar a exequibilidade do contrato, considerando a prática do mercado e os exemplos de contratos em outros órgãos públicos. Ressaltou, contudo, “</w:t>
      </w:r>
      <w:r w:rsidRPr="00D72FB8">
        <w:rPr>
          <w:i/>
          <w:iCs/>
          <w:sz w:val="22"/>
          <w:szCs w:val="22"/>
        </w:rPr>
        <w:t>os riscos inerentes ao procedimento de contratação de passagens aéreas com intermediação de agências de viagens, no qual a Administração Pública depende de sistemas criados e mantidos pelas agências e não tem conhecimento dos valores dos bilhetes efetivamente pagos às companhias aéreas</w:t>
      </w:r>
      <w:r w:rsidRPr="00D72FB8">
        <w:rPr>
          <w:iCs/>
          <w:sz w:val="22"/>
          <w:szCs w:val="22"/>
        </w:rPr>
        <w:t>”. Nesse sentido, seguindo a linha da unidade técnica, votou por que fosse determinado ao órgão que alterasse o contrato</w:t>
      </w:r>
      <w:r w:rsidR="006171E8">
        <w:rPr>
          <w:iCs/>
          <w:sz w:val="22"/>
          <w:szCs w:val="22"/>
        </w:rPr>
        <w:t xml:space="preserve"> para </w:t>
      </w:r>
      <w:r w:rsidRPr="00D72FB8">
        <w:rPr>
          <w:iCs/>
          <w:sz w:val="22"/>
          <w:szCs w:val="22"/>
        </w:rPr>
        <w:t>inclui</w:t>
      </w:r>
      <w:r w:rsidR="006171E8">
        <w:rPr>
          <w:iCs/>
          <w:sz w:val="22"/>
          <w:szCs w:val="22"/>
        </w:rPr>
        <w:t xml:space="preserve">r, </w:t>
      </w:r>
      <w:r w:rsidR="00F369A8">
        <w:rPr>
          <w:iCs/>
          <w:sz w:val="22"/>
          <w:szCs w:val="22"/>
        </w:rPr>
        <w:t>d</w:t>
      </w:r>
      <w:r w:rsidR="006171E8">
        <w:rPr>
          <w:iCs/>
          <w:sz w:val="22"/>
          <w:szCs w:val="22"/>
        </w:rPr>
        <w:t>entre as obrigações da</w:t>
      </w:r>
      <w:r w:rsidRPr="00D72FB8">
        <w:rPr>
          <w:iCs/>
          <w:sz w:val="22"/>
          <w:szCs w:val="22"/>
        </w:rPr>
        <w:t xml:space="preserve"> contratada</w:t>
      </w:r>
      <w:r w:rsidR="006171E8">
        <w:rPr>
          <w:iCs/>
          <w:sz w:val="22"/>
          <w:szCs w:val="22"/>
        </w:rPr>
        <w:t xml:space="preserve">, </w:t>
      </w:r>
      <w:r w:rsidRPr="00D72FB8">
        <w:rPr>
          <w:iCs/>
          <w:sz w:val="22"/>
          <w:szCs w:val="22"/>
        </w:rPr>
        <w:t>a apresenta</w:t>
      </w:r>
      <w:r w:rsidR="006171E8">
        <w:rPr>
          <w:iCs/>
          <w:sz w:val="22"/>
          <w:szCs w:val="22"/>
        </w:rPr>
        <w:t>ção</w:t>
      </w:r>
      <w:r w:rsidRPr="00D72FB8">
        <w:rPr>
          <w:iCs/>
          <w:sz w:val="22"/>
          <w:szCs w:val="22"/>
        </w:rPr>
        <w:t xml:space="preserve"> </w:t>
      </w:r>
      <w:r w:rsidR="006171E8">
        <w:rPr>
          <w:iCs/>
          <w:sz w:val="22"/>
          <w:szCs w:val="22"/>
        </w:rPr>
        <w:t>d</w:t>
      </w:r>
      <w:r w:rsidRPr="00D72FB8">
        <w:rPr>
          <w:iCs/>
          <w:sz w:val="22"/>
          <w:szCs w:val="22"/>
        </w:rPr>
        <w:t>as faturas emitidas pelas companhias aéreas</w:t>
      </w:r>
      <w:r w:rsidR="006171E8">
        <w:rPr>
          <w:iCs/>
          <w:sz w:val="22"/>
          <w:szCs w:val="22"/>
        </w:rPr>
        <w:t>,</w:t>
      </w:r>
      <w:r w:rsidRPr="00D72FB8">
        <w:rPr>
          <w:iCs/>
          <w:sz w:val="22"/>
          <w:szCs w:val="22"/>
        </w:rPr>
        <w:t xml:space="preserve"> para conferência dos valores cobrados. O Tribunal, nos termos propostos pelo relator, determinou </w:t>
      </w:r>
      <w:r w:rsidR="000A0732">
        <w:rPr>
          <w:iCs/>
          <w:sz w:val="22"/>
          <w:szCs w:val="22"/>
        </w:rPr>
        <w:t>ao MPT</w:t>
      </w:r>
      <w:r w:rsidRPr="00D72FB8">
        <w:rPr>
          <w:iCs/>
          <w:sz w:val="22"/>
          <w:szCs w:val="22"/>
        </w:rPr>
        <w:t xml:space="preserve">, dentre outras rotinas de controle: a) a adoção de providências com vistas a </w:t>
      </w:r>
      <w:proofErr w:type="spellStart"/>
      <w:r w:rsidRPr="00D72FB8">
        <w:rPr>
          <w:iCs/>
          <w:sz w:val="22"/>
          <w:szCs w:val="22"/>
        </w:rPr>
        <w:t>aditivar</w:t>
      </w:r>
      <w:proofErr w:type="spellEnd"/>
      <w:r w:rsidRPr="00D72FB8">
        <w:rPr>
          <w:iCs/>
          <w:sz w:val="22"/>
          <w:szCs w:val="22"/>
        </w:rPr>
        <w:t xml:space="preserve"> o contrato firmado com a empresa, a fim de incluir como obrigação da contratada “</w:t>
      </w:r>
      <w:r w:rsidRPr="00D72FB8">
        <w:rPr>
          <w:i/>
          <w:iCs/>
          <w:sz w:val="22"/>
          <w:szCs w:val="22"/>
        </w:rPr>
        <w:t>a apresentação mês a mês das faturas emitidas pelas companhias aéreas referentes às passagens aéreas compradas pelo órgão, apresentação esta que deverá condicionar o pagamento da próxima fatura da agência</w:t>
      </w:r>
      <w:r w:rsidRPr="00D72FB8">
        <w:rPr>
          <w:iCs/>
          <w:sz w:val="22"/>
          <w:szCs w:val="22"/>
        </w:rPr>
        <w:t xml:space="preserve">”; b) </w:t>
      </w:r>
      <w:r w:rsidR="00C813C2">
        <w:rPr>
          <w:iCs/>
          <w:sz w:val="22"/>
          <w:szCs w:val="22"/>
        </w:rPr>
        <w:t>a não renovação do contrato e a</w:t>
      </w:r>
      <w:r w:rsidRPr="00D72FB8">
        <w:rPr>
          <w:iCs/>
          <w:sz w:val="22"/>
          <w:szCs w:val="22"/>
        </w:rPr>
        <w:t xml:space="preserve"> promo</w:t>
      </w:r>
      <w:r w:rsidR="00C813C2">
        <w:rPr>
          <w:iCs/>
          <w:sz w:val="22"/>
          <w:szCs w:val="22"/>
        </w:rPr>
        <w:t>ção de</w:t>
      </w:r>
      <w:r w:rsidRPr="00D72FB8">
        <w:rPr>
          <w:iCs/>
          <w:sz w:val="22"/>
          <w:szCs w:val="22"/>
        </w:rPr>
        <w:t xml:space="preserve"> nov</w:t>
      </w:r>
      <w:r w:rsidR="00C813C2">
        <w:rPr>
          <w:iCs/>
          <w:sz w:val="22"/>
          <w:szCs w:val="22"/>
        </w:rPr>
        <w:t>o procedimento licitatório</w:t>
      </w:r>
      <w:r w:rsidRPr="00D72FB8">
        <w:rPr>
          <w:iCs/>
          <w:sz w:val="22"/>
          <w:szCs w:val="22"/>
        </w:rPr>
        <w:t xml:space="preserve"> para contratação dos respectivos serviços, incluindo em seu edital cláusula co</w:t>
      </w:r>
      <w:r w:rsidR="009C6087">
        <w:rPr>
          <w:iCs/>
          <w:sz w:val="22"/>
          <w:szCs w:val="22"/>
        </w:rPr>
        <w:t>m</w:t>
      </w:r>
      <w:r w:rsidRPr="00D72FB8">
        <w:rPr>
          <w:iCs/>
          <w:sz w:val="22"/>
          <w:szCs w:val="22"/>
        </w:rPr>
        <w:t xml:space="preserve"> </w:t>
      </w:r>
      <w:r w:rsidR="00C813C2">
        <w:rPr>
          <w:iCs/>
          <w:sz w:val="22"/>
          <w:szCs w:val="22"/>
        </w:rPr>
        <w:t>a obrigação a</w:t>
      </w:r>
      <w:r w:rsidR="00C76330">
        <w:rPr>
          <w:iCs/>
          <w:sz w:val="22"/>
          <w:szCs w:val="22"/>
        </w:rPr>
        <w:t>cima referida</w:t>
      </w:r>
      <w:r w:rsidR="0040481F">
        <w:rPr>
          <w:iCs/>
          <w:sz w:val="22"/>
          <w:szCs w:val="22"/>
        </w:rPr>
        <w:t xml:space="preserve">, </w:t>
      </w:r>
      <w:r w:rsidR="0040481F" w:rsidRPr="00D72FB8">
        <w:rPr>
          <w:iCs/>
          <w:sz w:val="22"/>
          <w:szCs w:val="22"/>
        </w:rPr>
        <w:t xml:space="preserve">caso a agência contratada </w:t>
      </w:r>
      <w:r w:rsidR="0040481F">
        <w:rPr>
          <w:iCs/>
          <w:sz w:val="22"/>
          <w:szCs w:val="22"/>
        </w:rPr>
        <w:t xml:space="preserve">não aceite </w:t>
      </w:r>
      <w:r w:rsidR="008028DA">
        <w:rPr>
          <w:iCs/>
          <w:sz w:val="22"/>
          <w:szCs w:val="22"/>
        </w:rPr>
        <w:t xml:space="preserve">celebrar </w:t>
      </w:r>
      <w:r w:rsidR="0040481F">
        <w:rPr>
          <w:iCs/>
          <w:sz w:val="22"/>
          <w:szCs w:val="22"/>
        </w:rPr>
        <w:t>o aditivo sugerido</w:t>
      </w:r>
      <w:r w:rsidRPr="00D72FB8">
        <w:rPr>
          <w:iCs/>
          <w:sz w:val="22"/>
          <w:szCs w:val="22"/>
        </w:rPr>
        <w:t xml:space="preserve">. </w:t>
      </w:r>
      <w:hyperlink r:id="rId10" w:history="1">
        <w:r w:rsidRPr="00D72FB8">
          <w:rPr>
            <w:b/>
            <w:i/>
            <w:color w:val="0000FF"/>
            <w:sz w:val="22"/>
            <w:szCs w:val="22"/>
          </w:rPr>
          <w:t>Acórdão 1314/2014-Plenário</w:t>
        </w:r>
      </w:hyperlink>
      <w:r w:rsidRPr="00D72FB8">
        <w:rPr>
          <w:b/>
          <w:i/>
          <w:sz w:val="22"/>
          <w:szCs w:val="22"/>
        </w:rPr>
        <w:t>, TC 001.043/2014-5, relator Ministro Raimundo Carreiro, 21.5.2014.</w:t>
      </w:r>
    </w:p>
    <w:p w:rsidR="00086181" w:rsidRPr="00D72FB8" w:rsidRDefault="00086181" w:rsidP="00707265">
      <w:pPr>
        <w:spacing w:after="0"/>
        <w:ind w:left="0"/>
        <w:rPr>
          <w:sz w:val="22"/>
          <w:szCs w:val="22"/>
        </w:rPr>
      </w:pPr>
    </w:p>
    <w:p w:rsidR="00F05C54" w:rsidRPr="00D72FB8" w:rsidRDefault="00F05C54" w:rsidP="00F05C54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72FB8">
        <w:rPr>
          <w:b/>
          <w:bCs/>
          <w:smallCaps/>
          <w:sz w:val="22"/>
          <w:szCs w:val="22"/>
        </w:rPr>
        <w:t>PRIMEIRA CÂMARA</w:t>
      </w:r>
    </w:p>
    <w:p w:rsidR="00F05C54" w:rsidRPr="00D72FB8" w:rsidRDefault="00F05C54" w:rsidP="00707265">
      <w:pPr>
        <w:spacing w:after="0"/>
        <w:ind w:left="0"/>
        <w:rPr>
          <w:b/>
          <w:sz w:val="22"/>
          <w:szCs w:val="22"/>
        </w:rPr>
      </w:pPr>
    </w:p>
    <w:p w:rsidR="00F667C5" w:rsidRPr="00D72FB8" w:rsidRDefault="00F667C5" w:rsidP="00E441B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D72FB8">
        <w:rPr>
          <w:b/>
          <w:sz w:val="22"/>
          <w:szCs w:val="22"/>
        </w:rPr>
        <w:t xml:space="preserve">3. </w:t>
      </w:r>
      <w:r w:rsidRPr="00D72FB8">
        <w:rPr>
          <w:rFonts w:eastAsia="Times New Roman"/>
          <w:b/>
          <w:sz w:val="22"/>
          <w:szCs w:val="22"/>
          <w:lang w:eastAsia="pt-BR"/>
        </w:rPr>
        <w:t>Os preços obtidos pela Administração na fase interna da licitação, em coletas destinadas apenas a formar o preço de referência dos bens e serviços a serem licitados, não vinculam as propostas que eventualmente os fornecedores venham a apresentar no certame. Logo, esses preços não se mostram hábeis a compor o referencial utilizado na quantificação de aparente superfaturamento de preços. A comparação para esse fim há de considerar os preços efetivamente praticados pelo mercado fornecedor em situação semelhante</w:t>
      </w:r>
      <w:r w:rsidR="00E441B5" w:rsidRPr="00D72FB8">
        <w:rPr>
          <w:rFonts w:eastAsia="Times New Roman"/>
          <w:b/>
          <w:sz w:val="22"/>
          <w:szCs w:val="22"/>
          <w:lang w:eastAsia="pt-BR"/>
        </w:rPr>
        <w:t>.</w:t>
      </w:r>
    </w:p>
    <w:p w:rsidR="00601784" w:rsidRPr="00D72FB8" w:rsidRDefault="00E441B5" w:rsidP="00E441B5">
      <w:pPr>
        <w:pStyle w:val="Default"/>
        <w:jc w:val="both"/>
        <w:rPr>
          <w:b/>
          <w:i/>
          <w:sz w:val="22"/>
          <w:szCs w:val="22"/>
        </w:rPr>
      </w:pPr>
      <w:r w:rsidRPr="00D72FB8">
        <w:rPr>
          <w:sz w:val="22"/>
          <w:szCs w:val="22"/>
        </w:rPr>
        <w:t xml:space="preserve">Representação formulada pelo Ministério Público Federal apontara irregularidades na gestão do Hospital Federal do Andaraí (HFA), relativas a contratações emergenciais para prestação de serviços continuados. Após a realização de inspeção, a unidade técnica constatara, dentre outras ocorrências, indícios de superfaturamento na execução de contrato firmado para prestação de serviços de vigilância, motivo pelo qual propôs a conversão dos autos em tomada de contas especial. Para o cálculo do superfaturamento, a unidade instrutiva utilizara, como preço de referência, a menor cotação obtida pelo </w:t>
      </w:r>
      <w:r w:rsidR="00063B83">
        <w:rPr>
          <w:sz w:val="22"/>
          <w:szCs w:val="22"/>
        </w:rPr>
        <w:t>HFA</w:t>
      </w:r>
      <w:r w:rsidRPr="00D72FB8">
        <w:rPr>
          <w:sz w:val="22"/>
          <w:szCs w:val="22"/>
        </w:rPr>
        <w:t xml:space="preserve"> no processo de consulta destinado a estipular o preço de referência do certame. O relator, ao rejeitar a proposta de conversão do processo em tomada de contas especial, destacou que “</w:t>
      </w:r>
      <w:r w:rsidRPr="00D72FB8">
        <w:rPr>
          <w:i/>
          <w:sz w:val="22"/>
          <w:szCs w:val="22"/>
        </w:rPr>
        <w:t>os preços obtidos pela Administração na fase interna da licitação, em coletas destinadas apenas a formar o preço de referência dos serviços a serem licitados, precisam ser vistos com reserva, porque o mercado fornecedor está ciente de que os valores informados naquela ocasião não vinculam as propostas que eventualmente venham a apresentar no certame licitatório</w:t>
      </w:r>
      <w:r w:rsidRPr="00D72FB8">
        <w:rPr>
          <w:sz w:val="22"/>
          <w:szCs w:val="22"/>
        </w:rPr>
        <w:t>”. Enfatizou que, nessa situação, os preços são artificialmente subestimados ou superestimados, uma vez que “</w:t>
      </w:r>
      <w:r w:rsidRPr="00D72FB8">
        <w:rPr>
          <w:i/>
          <w:sz w:val="22"/>
          <w:szCs w:val="22"/>
        </w:rPr>
        <w:t>os fornecedores de bens e serviços não desejam revelar aos seus concorrentes os preços que estão dispostos a praticar, no futuro certame licitatório</w:t>
      </w:r>
      <w:r w:rsidRPr="00D72FB8">
        <w:rPr>
          <w:sz w:val="22"/>
          <w:szCs w:val="22"/>
        </w:rPr>
        <w:t>”. Nesse sentido, concluiu o condutor do processo que esses preços não se mostram hábeis a compor o referencial usado na quantificação de aparente superfaturamento de preços. Para o relator, a comparação para esse fim deveria considerar os preços efetivamente praticados pelo mercado fornecedor em situação semelhante. O Tribunal, na linha defendida pela relatoria, decidiu acolher as razões de justificativa apresentadas pelo responsável, afastando a proposta de conversão do processo em tomada de contas especial em razão dessa ocorrência</w:t>
      </w:r>
      <w:hyperlink r:id="rId11" w:history="1">
        <w:r w:rsidRPr="00D72FB8">
          <w:rPr>
            <w:rStyle w:val="Hyperlink"/>
            <w:sz w:val="22"/>
            <w:szCs w:val="22"/>
          </w:rPr>
          <w:t xml:space="preserve">. </w:t>
        </w:r>
        <w:r w:rsidRPr="00D72FB8">
          <w:rPr>
            <w:rStyle w:val="Hyperlink"/>
            <w:b/>
            <w:i/>
            <w:sz w:val="22"/>
            <w:szCs w:val="22"/>
          </w:rPr>
          <w:t>Acórdão 2149/2014-Primeira Câmara</w:t>
        </w:r>
      </w:hyperlink>
      <w:r w:rsidRPr="00D72FB8">
        <w:rPr>
          <w:b/>
          <w:i/>
          <w:sz w:val="22"/>
          <w:szCs w:val="22"/>
        </w:rPr>
        <w:t>, TC 019.511/2011-6, relator Ministro Walton Alencar Rodrigues, 20.5.2014.</w:t>
      </w:r>
    </w:p>
    <w:p w:rsidR="00E441B5" w:rsidRPr="00D72FB8" w:rsidRDefault="00E441B5" w:rsidP="003D7B70">
      <w:pPr>
        <w:pStyle w:val="Default"/>
        <w:jc w:val="both"/>
        <w:rPr>
          <w:iCs/>
          <w:sz w:val="22"/>
          <w:szCs w:val="22"/>
        </w:rPr>
      </w:pPr>
    </w:p>
    <w:p w:rsidR="00F05C54" w:rsidRPr="00D72FB8" w:rsidRDefault="00F05C54" w:rsidP="00F05C54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72FB8">
        <w:rPr>
          <w:b/>
          <w:bCs/>
          <w:smallCaps/>
          <w:sz w:val="22"/>
          <w:szCs w:val="22"/>
        </w:rPr>
        <w:t>SEGUNDA CÂMARA</w:t>
      </w:r>
    </w:p>
    <w:p w:rsidR="00F05C54" w:rsidRPr="00D72FB8" w:rsidRDefault="00F05C54" w:rsidP="00F05C54">
      <w:pPr>
        <w:spacing w:after="0"/>
        <w:ind w:left="0"/>
        <w:rPr>
          <w:b/>
          <w:sz w:val="22"/>
          <w:szCs w:val="22"/>
        </w:rPr>
      </w:pPr>
    </w:p>
    <w:p w:rsidR="00F667C5" w:rsidRPr="00D72FB8" w:rsidRDefault="00F05C54" w:rsidP="00F667C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D72FB8">
        <w:rPr>
          <w:b/>
          <w:sz w:val="22"/>
          <w:szCs w:val="22"/>
        </w:rPr>
        <w:t>4.</w:t>
      </w:r>
      <w:r w:rsidR="00F667C5" w:rsidRPr="00D72FB8">
        <w:rPr>
          <w:b/>
          <w:sz w:val="22"/>
          <w:szCs w:val="22"/>
        </w:rPr>
        <w:t xml:space="preserve"> </w:t>
      </w:r>
      <w:r w:rsidR="00F667C5" w:rsidRPr="00D72FB8">
        <w:rPr>
          <w:rFonts w:eastAsia="Times New Roman"/>
          <w:b/>
          <w:sz w:val="22"/>
          <w:szCs w:val="22"/>
          <w:lang w:eastAsia="pt-BR"/>
        </w:rPr>
        <w:t>A exigência de atestados com limitação de época pode ser aceita nas situações em que a tecnologia envolvida só se tornou disponível a partir do período indicado. É essencial, contudo, que as exigências dessa natureza, por seu caráter excepcional, sejam especificadas e fundamentadas em estudos técnicos que constem no processo de licitação</w:t>
      </w:r>
      <w:r w:rsidR="00F667C5" w:rsidRPr="00D72FB8">
        <w:rPr>
          <w:b/>
          <w:sz w:val="22"/>
          <w:szCs w:val="22"/>
        </w:rPr>
        <w:t>.</w:t>
      </w:r>
    </w:p>
    <w:p w:rsidR="00072D55" w:rsidRPr="00D72FB8" w:rsidRDefault="00072D55" w:rsidP="00F667C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D72FB8">
        <w:rPr>
          <w:sz w:val="22"/>
          <w:szCs w:val="22"/>
          <w:lang w:eastAsia="pt-BR"/>
        </w:rPr>
        <w:t>Representação de sociedade empresária relativa ao pregão eletrônico promovido pela Secretaria de Portos da Presidência da República (SEP/PR), tendo por objeto a contratação de empresa especializada para a prestação de serviços de consultoria no desenvolvimento e implementação de melhorias na gestão portuária</w:t>
      </w:r>
      <w:r w:rsidR="001F7838">
        <w:rPr>
          <w:sz w:val="22"/>
          <w:szCs w:val="22"/>
          <w:lang w:eastAsia="pt-BR"/>
        </w:rPr>
        <w:t>,</w:t>
      </w:r>
      <w:r w:rsidRPr="00D72FB8">
        <w:rPr>
          <w:sz w:val="22"/>
          <w:szCs w:val="22"/>
          <w:lang w:eastAsia="pt-BR"/>
        </w:rPr>
        <w:t xml:space="preserve"> apontara, dentre outras irregularidades, a exigência de atestados com limitação de época. O edital estabelecera que a experiência comprovada deveria se referir a trabalhos realizados nos últimos cinco anos, o que, para a representante</w:t>
      </w:r>
      <w:r w:rsidR="00752ADC">
        <w:rPr>
          <w:sz w:val="22"/>
          <w:szCs w:val="22"/>
          <w:lang w:eastAsia="pt-BR"/>
        </w:rPr>
        <w:t>,</w:t>
      </w:r>
      <w:r w:rsidRPr="00D72FB8">
        <w:rPr>
          <w:sz w:val="22"/>
          <w:szCs w:val="22"/>
          <w:lang w:eastAsia="pt-BR"/>
        </w:rPr>
        <w:t xml:space="preserve"> seria exigência indevida, incompatível com o art. 30, § 5º, da Lei 8.666/1993. Realizadas as oitivas regimentais, a SEP</w:t>
      </w:r>
      <w:r w:rsidR="00D74895">
        <w:rPr>
          <w:sz w:val="22"/>
          <w:szCs w:val="22"/>
          <w:lang w:eastAsia="pt-BR"/>
        </w:rPr>
        <w:t>/PR</w:t>
      </w:r>
      <w:r w:rsidRPr="00D72FB8">
        <w:rPr>
          <w:sz w:val="22"/>
          <w:szCs w:val="22"/>
          <w:lang w:eastAsia="pt-BR"/>
        </w:rPr>
        <w:t xml:space="preserve"> alegara que a limitação de época teve por objetivo garantir que os interessados possuíssem experiência em lidar com as novas tecnologias desenvolvidas em diversos campos do setor portuário, conhecendo o seu funcionamento e os seus impactos na gestão desse setor. Em juízo de mérito, a relatora acolheu as justificativas apresentadas, ressaltando que a vedação à exigência de atestados com limitação de época pode ser contemporizada nas situações em que a tecnologia envolvida só se tornou disponível a partir d</w:t>
      </w:r>
      <w:r w:rsidR="00070280">
        <w:rPr>
          <w:sz w:val="22"/>
          <w:szCs w:val="22"/>
          <w:lang w:eastAsia="pt-BR"/>
        </w:rPr>
        <w:t>e determinad</w:t>
      </w:r>
      <w:r w:rsidRPr="00D72FB8">
        <w:rPr>
          <w:sz w:val="22"/>
          <w:szCs w:val="22"/>
          <w:lang w:eastAsia="pt-BR"/>
        </w:rPr>
        <w:t>o período. Ao endossar a análise da unidade instrutiva, a condutora do processo acrescentou que “</w:t>
      </w:r>
      <w:r w:rsidRPr="00D72FB8">
        <w:rPr>
          <w:i/>
          <w:sz w:val="22"/>
          <w:szCs w:val="22"/>
          <w:lang w:eastAsia="pt-BR"/>
        </w:rPr>
        <w:t xml:space="preserve">mudanças tecnológicas nos processos desenvolvidos nas áreas portuárias, a exemplo da </w:t>
      </w:r>
      <w:proofErr w:type="spellStart"/>
      <w:r w:rsidRPr="00D72FB8">
        <w:rPr>
          <w:i/>
          <w:sz w:val="22"/>
          <w:szCs w:val="22"/>
          <w:lang w:eastAsia="pt-BR"/>
        </w:rPr>
        <w:t>conteinerização</w:t>
      </w:r>
      <w:proofErr w:type="spellEnd"/>
      <w:r w:rsidRPr="00D72FB8">
        <w:rPr>
          <w:i/>
          <w:sz w:val="22"/>
          <w:szCs w:val="22"/>
          <w:lang w:eastAsia="pt-BR"/>
        </w:rPr>
        <w:t xml:space="preserve"> de produtos agrícolas, ganharam força em um passado recente, de modo que a restrição dos atestados de capacidade técnica a atividades prestadas pelos interessados nos últimos cinco anos pode ser considerada razoável</w:t>
      </w:r>
      <w:r w:rsidRPr="00D72FB8">
        <w:rPr>
          <w:sz w:val="22"/>
          <w:szCs w:val="22"/>
          <w:lang w:eastAsia="pt-BR"/>
        </w:rPr>
        <w:t>.” Demonstrada a adequação e a pertinência da exigência em relação ao objeto licitado, a relatora concluiu que não houve restrição à competitividade do certame, destacando que, no caso em exame, a empresa que ofertou o menor lance foi tecnicamente habilitada. Ponderou, contudo, que justificativas dessa natureza, por seu caráter excepcional, devem ser especificadas e fundamentadas e</w:t>
      </w:r>
      <w:r w:rsidR="00B231DE">
        <w:rPr>
          <w:sz w:val="22"/>
          <w:szCs w:val="22"/>
          <w:lang w:eastAsia="pt-BR"/>
        </w:rPr>
        <w:t>m estudos técnicos que constem n</w:t>
      </w:r>
      <w:r w:rsidRPr="00D72FB8">
        <w:rPr>
          <w:sz w:val="22"/>
          <w:szCs w:val="22"/>
          <w:lang w:eastAsia="pt-BR"/>
        </w:rPr>
        <w:t>o processo de licitação. Assim, propôs dar ciência à entidade para aprimoramento de futuros certames. O Tribunal, seguindo o voto da relatora, cientificou a entidade acerca da “</w:t>
      </w:r>
      <w:r w:rsidRPr="00D72FB8">
        <w:rPr>
          <w:i/>
          <w:sz w:val="22"/>
          <w:szCs w:val="22"/>
          <w:lang w:eastAsia="pt-BR"/>
        </w:rPr>
        <w:t>ausência de justificativas específicas e fundamentadas em estudos técnicos que constem do processo de licitação para exigência de comprovação de atividades com limitações de tempo ou de época, o que caracteriza violação do §5º do art. 30 da Lei 8.666/1993</w:t>
      </w:r>
      <w:r w:rsidRPr="00D72FB8">
        <w:rPr>
          <w:sz w:val="22"/>
          <w:szCs w:val="22"/>
          <w:lang w:eastAsia="pt-BR"/>
        </w:rPr>
        <w:t xml:space="preserve">”. </w:t>
      </w:r>
      <w:hyperlink r:id="rId12" w:history="1">
        <w:r w:rsidRPr="00D72FB8">
          <w:rPr>
            <w:rStyle w:val="Hyperlink"/>
            <w:b/>
            <w:i/>
            <w:sz w:val="22"/>
            <w:szCs w:val="22"/>
            <w:lang w:eastAsia="pt-BR"/>
          </w:rPr>
          <w:t>Acórdão 2205/2014-Segunda Câmara</w:t>
        </w:r>
      </w:hyperlink>
      <w:r w:rsidRPr="00D72FB8">
        <w:rPr>
          <w:b/>
          <w:i/>
          <w:sz w:val="22"/>
          <w:szCs w:val="22"/>
          <w:lang w:eastAsia="pt-BR"/>
        </w:rPr>
        <w:t>, TC 000.989/2014-2, relatora Ministra Ana Arraes, 20.5.2014.</w:t>
      </w:r>
    </w:p>
    <w:p w:rsidR="00F20740" w:rsidRPr="00D72FB8" w:rsidRDefault="00F20740" w:rsidP="00992968">
      <w:pPr>
        <w:spacing w:after="0"/>
        <w:ind w:left="0"/>
        <w:rPr>
          <w:sz w:val="22"/>
          <w:szCs w:val="22"/>
        </w:rPr>
      </w:pPr>
    </w:p>
    <w:p w:rsidR="00F513B1" w:rsidRPr="00D72FB8" w:rsidRDefault="00F513B1" w:rsidP="00F513B1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72FB8">
        <w:rPr>
          <w:b/>
          <w:bCs/>
          <w:smallCaps/>
          <w:sz w:val="22"/>
          <w:szCs w:val="22"/>
        </w:rPr>
        <w:t>INOVAÇÃO LEGISLATIVA</w:t>
      </w:r>
    </w:p>
    <w:p w:rsidR="00F513B1" w:rsidRPr="00D72FB8" w:rsidRDefault="00F513B1" w:rsidP="00F513B1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601784" w:rsidRPr="00601784" w:rsidRDefault="00273DE3" w:rsidP="00D27D9D">
      <w:pPr>
        <w:pStyle w:val="Default"/>
        <w:jc w:val="both"/>
        <w:rPr>
          <w:sz w:val="22"/>
          <w:szCs w:val="22"/>
        </w:rPr>
      </w:pPr>
      <w:hyperlink r:id="rId13" w:history="1">
        <w:r w:rsidR="00D27D9D" w:rsidRPr="00D72FB8">
          <w:rPr>
            <w:rStyle w:val="Hyperlink"/>
            <w:rFonts w:eastAsia="Times New Roman"/>
            <w:b/>
            <w:sz w:val="22"/>
            <w:szCs w:val="22"/>
          </w:rPr>
          <w:t>Lei nº 1</w:t>
        </w:r>
      </w:hyperlink>
      <w:hyperlink r:id="rId14" w:history="1">
        <w:r w:rsidR="00D27D9D" w:rsidRPr="00D72FB8">
          <w:rPr>
            <w:rStyle w:val="Hyperlink"/>
            <w:rFonts w:eastAsia="Times New Roman"/>
            <w:b/>
            <w:sz w:val="22"/>
            <w:szCs w:val="22"/>
          </w:rPr>
          <w:t xml:space="preserve">2.980, de 28.5.2014 </w:t>
        </w:r>
      </w:hyperlink>
      <w:r w:rsidR="00D27D9D" w:rsidRPr="00D72FB8">
        <w:rPr>
          <w:rFonts w:eastAsia="Times New Roman"/>
          <w:sz w:val="22"/>
          <w:szCs w:val="22"/>
        </w:rPr>
        <w:t>- Altera a Lei 12.462, de 4 de agosto de 2011, que institui o Regime Diferenciado de Contratações Públicas - RDC e dá outras providências.</w:t>
      </w:r>
    </w:p>
    <w:p w:rsidR="000957B7" w:rsidRPr="00601784" w:rsidRDefault="000957B7" w:rsidP="00104D93">
      <w:pPr>
        <w:pStyle w:val="Default"/>
        <w:jc w:val="both"/>
        <w:rPr>
          <w:sz w:val="22"/>
          <w:szCs w:val="22"/>
        </w:rPr>
      </w:pPr>
    </w:p>
    <w:p w:rsidR="000957B7" w:rsidRPr="00601784" w:rsidRDefault="000957B7" w:rsidP="00104D9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601784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6C7488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6C7488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6C7488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6C7488">
              <w:rPr>
                <w:b/>
                <w:i/>
                <w:sz w:val="18"/>
                <w:szCs w:val="18"/>
              </w:rPr>
              <w:t xml:space="preserve">Contato: </w:t>
            </w:r>
            <w:hyperlink r:id="rId15" w:history="1">
              <w:r w:rsidRPr="006C7488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Pr="00601784" w:rsidRDefault="002B7A02" w:rsidP="00784888">
      <w:pPr>
        <w:ind w:left="0"/>
        <w:rPr>
          <w:sz w:val="22"/>
          <w:szCs w:val="22"/>
        </w:rPr>
      </w:pPr>
    </w:p>
    <w:sectPr w:rsidR="002B7A02" w:rsidRPr="00601784" w:rsidSect="00616945">
      <w:headerReference w:type="default" r:id="rId16"/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03" w:rsidRDefault="002F7003" w:rsidP="008B0547">
      <w:pPr>
        <w:spacing w:after="0"/>
      </w:pPr>
      <w:r>
        <w:separator/>
      </w:r>
    </w:p>
  </w:endnote>
  <w:endnote w:type="continuationSeparator" w:id="0">
    <w:p w:rsidR="002F7003" w:rsidRDefault="002F700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73DE3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03" w:rsidRDefault="002F7003" w:rsidP="008B0547">
      <w:pPr>
        <w:spacing w:after="0"/>
      </w:pPr>
      <w:r>
        <w:separator/>
      </w:r>
    </w:p>
  </w:footnote>
  <w:footnote w:type="continuationSeparator" w:id="0">
    <w:p w:rsidR="002F7003" w:rsidRDefault="002F700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450"/>
    <w:rsid w:val="00025753"/>
    <w:rsid w:val="00025A32"/>
    <w:rsid w:val="00025AA0"/>
    <w:rsid w:val="00025C63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58BB"/>
    <w:rsid w:val="000858EF"/>
    <w:rsid w:val="00085F57"/>
    <w:rsid w:val="00086181"/>
    <w:rsid w:val="00086210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DB2"/>
    <w:rsid w:val="000B5DD4"/>
    <w:rsid w:val="000B6342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4E1"/>
    <w:rsid w:val="001071C7"/>
    <w:rsid w:val="001072E1"/>
    <w:rsid w:val="00107486"/>
    <w:rsid w:val="00107A34"/>
    <w:rsid w:val="00107AC8"/>
    <w:rsid w:val="0011038F"/>
    <w:rsid w:val="0011039E"/>
    <w:rsid w:val="001104BA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48D"/>
    <w:rsid w:val="001174F7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C6F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9D3"/>
    <w:rsid w:val="001A7BF5"/>
    <w:rsid w:val="001A7FC7"/>
    <w:rsid w:val="001B0615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E28"/>
    <w:rsid w:val="001E1E6E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3117"/>
    <w:rsid w:val="00233785"/>
    <w:rsid w:val="0023395B"/>
    <w:rsid w:val="00233CE3"/>
    <w:rsid w:val="002340FE"/>
    <w:rsid w:val="00234285"/>
    <w:rsid w:val="002343BF"/>
    <w:rsid w:val="002344C1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DE3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791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E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A0"/>
    <w:rsid w:val="003D4B8C"/>
    <w:rsid w:val="003D660C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810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A9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05D"/>
    <w:rsid w:val="0050625D"/>
    <w:rsid w:val="005063A0"/>
    <w:rsid w:val="005063D2"/>
    <w:rsid w:val="00506619"/>
    <w:rsid w:val="0050690E"/>
    <w:rsid w:val="00506971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5D89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13D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199"/>
    <w:rsid w:val="005B2339"/>
    <w:rsid w:val="005B2BC3"/>
    <w:rsid w:val="005B31EA"/>
    <w:rsid w:val="005B32F0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6FF4"/>
    <w:rsid w:val="00617050"/>
    <w:rsid w:val="006171E8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2D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410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733E"/>
    <w:rsid w:val="0080783D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DC"/>
    <w:rsid w:val="008D24ED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65EE"/>
    <w:rsid w:val="00946A49"/>
    <w:rsid w:val="00946D3C"/>
    <w:rsid w:val="00947AEE"/>
    <w:rsid w:val="00947F64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B5C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4307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77"/>
    <w:rsid w:val="00A55424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C22"/>
    <w:rsid w:val="00BA6DBD"/>
    <w:rsid w:val="00BA7276"/>
    <w:rsid w:val="00BA7C71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97D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43"/>
    <w:rsid w:val="00D25CC0"/>
    <w:rsid w:val="00D25E77"/>
    <w:rsid w:val="00D25F2E"/>
    <w:rsid w:val="00D2608B"/>
    <w:rsid w:val="00D2623C"/>
    <w:rsid w:val="00D26A86"/>
    <w:rsid w:val="00D274CE"/>
    <w:rsid w:val="00D2772C"/>
    <w:rsid w:val="00D27D36"/>
    <w:rsid w:val="00D27D9D"/>
    <w:rsid w:val="00D27E10"/>
    <w:rsid w:val="00D27E9B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EFB"/>
    <w:rsid w:val="00DA0F4A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73C"/>
    <w:rsid w:val="00F947A1"/>
    <w:rsid w:val="00F95119"/>
    <w:rsid w:val="00F9580B"/>
    <w:rsid w:val="00F95B0B"/>
    <w:rsid w:val="00F95F58"/>
    <w:rsid w:val="00F963E1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527"/>
    <w:rsid w:val="00FC66AD"/>
    <w:rsid w:val="00FC6AE5"/>
    <w:rsid w:val="00FC72E0"/>
    <w:rsid w:val="00FC7533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AD01CA7-FF04-455E-AC4D-401E54F3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93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_Ato2011-2014/2014/Lei/L12980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yperlink" Target="http://www.planalto.gov.br/ccivil_03/_Ato2011-2014/2014/Lei/L1298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D2452-490D-4163-B304-E782D34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2858</Words>
  <Characters>15439</Characters>
  <Application>Microsoft Office Word</Application>
  <DocSecurity>4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18261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2014-05-27T20:16:00Z</cp:lastPrinted>
  <dcterms:created xsi:type="dcterms:W3CDTF">2015-05-07T13:21:00Z</dcterms:created>
  <dcterms:modified xsi:type="dcterms:W3CDTF">2015-05-07T13:21:00Z</dcterms:modified>
</cp:coreProperties>
</file>