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Default="00AF735A" w:rsidP="00BC47C5">
      <w:pPr>
        <w:pStyle w:val="Ttulo8"/>
        <w:tabs>
          <w:tab w:val="right" w:pos="4423"/>
        </w:tabs>
        <w:spacing w:before="0" w:after="0"/>
        <w:ind w:left="0"/>
        <w:rPr>
          <w:rFonts w:ascii="Times New Roman" w:hAnsi="Times New Roman"/>
          <w:b/>
          <w:i w:val="0"/>
          <w:sz w:val="22"/>
          <w:szCs w:val="22"/>
        </w:rPr>
      </w:pPr>
      <w:bookmarkStart w:id="0" w:name="_GoBack"/>
      <w:bookmarkEnd w:id="0"/>
    </w:p>
    <w:p w:rsidR="0008246E" w:rsidRPr="004276B7" w:rsidRDefault="00C341B8" w:rsidP="002815F0">
      <w:pPr>
        <w:pStyle w:val="Ttulo8"/>
        <w:tabs>
          <w:tab w:val="right" w:pos="4423"/>
        </w:tabs>
        <w:spacing w:before="0"/>
        <w:ind w:left="0"/>
        <w:jc w:val="center"/>
        <w:rPr>
          <w:rFonts w:ascii="Times New Roman" w:hAnsi="Times New Roman"/>
          <w:b/>
          <w:i w:val="0"/>
          <w:sz w:val="22"/>
          <w:szCs w:val="22"/>
          <w:lang w:val="pt-BR"/>
        </w:rPr>
      </w:pPr>
      <w:r w:rsidRPr="004276B7">
        <w:rPr>
          <w:rFonts w:ascii="Times New Roman" w:hAnsi="Times New Roman"/>
          <w:b/>
          <w:i w:val="0"/>
          <w:sz w:val="22"/>
          <w:szCs w:val="22"/>
        </w:rPr>
        <w:t>Número 1</w:t>
      </w:r>
      <w:r w:rsidR="0078621C">
        <w:rPr>
          <w:rFonts w:ascii="Times New Roman" w:hAnsi="Times New Roman"/>
          <w:b/>
          <w:i w:val="0"/>
          <w:sz w:val="22"/>
          <w:szCs w:val="22"/>
          <w:lang w:val="pt-BR"/>
        </w:rPr>
        <w:t>8</w:t>
      </w:r>
      <w:r w:rsidR="002033AF">
        <w:rPr>
          <w:rFonts w:ascii="Times New Roman" w:hAnsi="Times New Roman"/>
          <w:b/>
          <w:i w:val="0"/>
          <w:sz w:val="22"/>
          <w:szCs w:val="22"/>
          <w:lang w:val="pt-BR"/>
        </w:rPr>
        <w:t>6</w:t>
      </w:r>
    </w:p>
    <w:p w:rsidR="00C61626" w:rsidRPr="000C5536" w:rsidRDefault="0008246E" w:rsidP="002815F0">
      <w:pPr>
        <w:pStyle w:val="Ttulo8"/>
        <w:tabs>
          <w:tab w:val="right" w:pos="4423"/>
        </w:tabs>
        <w:spacing w:before="0"/>
        <w:ind w:left="0"/>
        <w:jc w:val="center"/>
        <w:rPr>
          <w:rFonts w:ascii="Times New Roman" w:hAnsi="Times New Roman"/>
          <w:b/>
          <w:i w:val="0"/>
          <w:sz w:val="22"/>
          <w:szCs w:val="22"/>
          <w:lang w:val="pt-BR"/>
        </w:rPr>
      </w:pPr>
      <w:r w:rsidRPr="004276B7">
        <w:rPr>
          <w:rFonts w:ascii="Times New Roman" w:hAnsi="Times New Roman"/>
          <w:b/>
          <w:i w:val="0"/>
          <w:sz w:val="22"/>
          <w:szCs w:val="22"/>
        </w:rPr>
        <w:t>Sess</w:t>
      </w:r>
      <w:r w:rsidR="00377047">
        <w:rPr>
          <w:rFonts w:ascii="Times New Roman" w:hAnsi="Times New Roman"/>
          <w:b/>
          <w:i w:val="0"/>
          <w:sz w:val="22"/>
          <w:szCs w:val="22"/>
          <w:lang w:val="pt-BR"/>
        </w:rPr>
        <w:t>ões</w:t>
      </w:r>
      <w:r w:rsidRPr="004276B7">
        <w:rPr>
          <w:rFonts w:ascii="Times New Roman" w:hAnsi="Times New Roman"/>
          <w:b/>
          <w:i w:val="0"/>
          <w:sz w:val="22"/>
          <w:szCs w:val="22"/>
        </w:rPr>
        <w:t>:</w:t>
      </w:r>
      <w:r w:rsidR="00C341B8" w:rsidRPr="004276B7">
        <w:rPr>
          <w:rFonts w:ascii="Times New Roman" w:hAnsi="Times New Roman"/>
          <w:b/>
          <w:i w:val="0"/>
          <w:sz w:val="22"/>
          <w:szCs w:val="22"/>
        </w:rPr>
        <w:t xml:space="preserve"> </w:t>
      </w:r>
      <w:r w:rsidR="002033AF">
        <w:rPr>
          <w:rFonts w:ascii="Times New Roman" w:hAnsi="Times New Roman"/>
          <w:b/>
          <w:i w:val="0"/>
          <w:sz w:val="22"/>
          <w:szCs w:val="22"/>
          <w:lang w:val="pt-BR"/>
        </w:rPr>
        <w:t xml:space="preserve">18 </w:t>
      </w:r>
      <w:r w:rsidR="00377047">
        <w:rPr>
          <w:rFonts w:ascii="Times New Roman" w:hAnsi="Times New Roman"/>
          <w:b/>
          <w:i w:val="0"/>
          <w:sz w:val="22"/>
          <w:szCs w:val="22"/>
          <w:lang w:val="pt-BR"/>
        </w:rPr>
        <w:t xml:space="preserve">e </w:t>
      </w:r>
      <w:r w:rsidR="002033AF">
        <w:rPr>
          <w:rFonts w:ascii="Times New Roman" w:hAnsi="Times New Roman"/>
          <w:b/>
          <w:i w:val="0"/>
          <w:sz w:val="22"/>
          <w:szCs w:val="22"/>
          <w:lang w:val="pt-BR"/>
        </w:rPr>
        <w:t>19</w:t>
      </w:r>
      <w:r w:rsidRPr="004276B7">
        <w:rPr>
          <w:rFonts w:ascii="Times New Roman" w:hAnsi="Times New Roman"/>
          <w:b/>
          <w:i w:val="0"/>
          <w:sz w:val="22"/>
          <w:szCs w:val="22"/>
        </w:rPr>
        <w:t xml:space="preserve"> de </w:t>
      </w:r>
      <w:r w:rsidR="00073509">
        <w:rPr>
          <w:rFonts w:ascii="Times New Roman" w:hAnsi="Times New Roman"/>
          <w:b/>
          <w:i w:val="0"/>
          <w:sz w:val="22"/>
          <w:szCs w:val="22"/>
          <w:lang w:val="pt-BR"/>
        </w:rPr>
        <w:t>fever</w:t>
      </w:r>
      <w:r w:rsidR="000C5536">
        <w:rPr>
          <w:rFonts w:ascii="Times New Roman" w:hAnsi="Times New Roman"/>
          <w:b/>
          <w:i w:val="0"/>
          <w:sz w:val="22"/>
          <w:szCs w:val="22"/>
          <w:lang w:val="pt-BR"/>
        </w:rPr>
        <w:t>eiro</w:t>
      </w:r>
      <w:r w:rsidR="000C5536">
        <w:rPr>
          <w:rFonts w:ascii="Times New Roman" w:hAnsi="Times New Roman"/>
          <w:b/>
          <w:i w:val="0"/>
          <w:sz w:val="22"/>
          <w:szCs w:val="22"/>
        </w:rPr>
        <w:t xml:space="preserve"> de 201</w:t>
      </w:r>
      <w:r w:rsidR="000C5536">
        <w:rPr>
          <w:rFonts w:ascii="Times New Roman" w:hAnsi="Times New Roman"/>
          <w:b/>
          <w:i w:val="0"/>
          <w:sz w:val="22"/>
          <w:szCs w:val="22"/>
          <w:lang w:val="pt-BR"/>
        </w:rPr>
        <w:t>4</w:t>
      </w:r>
    </w:p>
    <w:p w:rsidR="0008246E" w:rsidRPr="004276B7" w:rsidRDefault="0008246E" w:rsidP="002815F0">
      <w:pPr>
        <w:pStyle w:val="Corpodetexto2"/>
        <w:spacing w:after="60" w:line="240" w:lineRule="auto"/>
        <w:ind w:left="0"/>
        <w:rPr>
          <w:sz w:val="22"/>
          <w:szCs w:val="22"/>
        </w:rPr>
      </w:pPr>
      <w:r w:rsidRPr="004276B7">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4276B7" w:rsidRDefault="0008246E" w:rsidP="0008246E">
      <w:pPr>
        <w:pStyle w:val="Corpodetexto2"/>
        <w:spacing w:after="0" w:line="240" w:lineRule="auto"/>
        <w:ind w:left="0"/>
        <w:rPr>
          <w:sz w:val="22"/>
          <w:szCs w:val="22"/>
        </w:rPr>
      </w:pPr>
    </w:p>
    <w:p w:rsidR="0008246E" w:rsidRPr="004276B7" w:rsidRDefault="0008246E" w:rsidP="0006509C">
      <w:pPr>
        <w:pBdr>
          <w:top w:val="threeDEmboss" w:sz="24" w:space="5" w:color="auto"/>
        </w:pBdr>
        <w:tabs>
          <w:tab w:val="left" w:pos="284"/>
          <w:tab w:val="left" w:pos="4172"/>
          <w:tab w:val="center" w:pos="4818"/>
        </w:tabs>
        <w:spacing w:after="60"/>
        <w:ind w:left="0"/>
        <w:jc w:val="center"/>
        <w:rPr>
          <w:b/>
          <w:bCs/>
          <w:smallCaps/>
          <w:sz w:val="22"/>
          <w:szCs w:val="22"/>
        </w:rPr>
      </w:pPr>
      <w:r w:rsidRPr="004276B7">
        <w:rPr>
          <w:b/>
          <w:bCs/>
          <w:smallCaps/>
          <w:sz w:val="22"/>
          <w:szCs w:val="22"/>
        </w:rPr>
        <w:t>SUMÁRIO</w:t>
      </w:r>
    </w:p>
    <w:p w:rsidR="00175500" w:rsidRPr="004276B7" w:rsidRDefault="0008246E" w:rsidP="00923AF8">
      <w:pPr>
        <w:autoSpaceDE w:val="0"/>
        <w:autoSpaceDN w:val="0"/>
        <w:adjustRightInd w:val="0"/>
        <w:spacing w:after="60"/>
        <w:ind w:left="0"/>
        <w:rPr>
          <w:b/>
          <w:sz w:val="22"/>
          <w:szCs w:val="22"/>
          <w:lang w:eastAsia="pt-BR"/>
        </w:rPr>
      </w:pPr>
      <w:r w:rsidRPr="004276B7">
        <w:rPr>
          <w:b/>
          <w:sz w:val="22"/>
          <w:szCs w:val="22"/>
          <w:lang w:eastAsia="pt-BR"/>
        </w:rPr>
        <w:t>Plenário</w:t>
      </w:r>
    </w:p>
    <w:p w:rsidR="00B73EC5" w:rsidRPr="00227936" w:rsidRDefault="00B73EC5" w:rsidP="00923AF8">
      <w:pPr>
        <w:pStyle w:val="Default"/>
        <w:spacing w:after="60"/>
        <w:jc w:val="both"/>
        <w:rPr>
          <w:sz w:val="22"/>
          <w:szCs w:val="22"/>
        </w:rPr>
      </w:pPr>
      <w:r w:rsidRPr="00B73EC5">
        <w:rPr>
          <w:sz w:val="22"/>
          <w:szCs w:val="22"/>
        </w:rPr>
        <w:t xml:space="preserve">1. </w:t>
      </w:r>
      <w:r w:rsidR="00227936" w:rsidRPr="00227936">
        <w:rPr>
          <w:sz w:val="22"/>
          <w:szCs w:val="22"/>
        </w:rPr>
        <w:t>Nas licitações por lote para registro de preços, mediante adjudicação por menor preço global do lote, deve-se vedar a possibilidade de aquisição individual de itens registrados para os quais a licitante vencedora não apresentou o menor preço.</w:t>
      </w:r>
    </w:p>
    <w:p w:rsidR="00B73EC5" w:rsidRDefault="00B73EC5" w:rsidP="00923AF8">
      <w:pPr>
        <w:autoSpaceDE w:val="0"/>
        <w:autoSpaceDN w:val="0"/>
        <w:adjustRightInd w:val="0"/>
        <w:spacing w:after="60"/>
        <w:ind w:left="0"/>
        <w:rPr>
          <w:color w:val="000000"/>
          <w:sz w:val="22"/>
          <w:szCs w:val="22"/>
          <w:lang w:eastAsia="pt-BR"/>
        </w:rPr>
      </w:pPr>
      <w:r w:rsidRPr="00B73EC5">
        <w:rPr>
          <w:color w:val="000000"/>
          <w:sz w:val="22"/>
          <w:szCs w:val="22"/>
          <w:lang w:eastAsia="pt-BR"/>
        </w:rPr>
        <w:t xml:space="preserve">2. </w:t>
      </w:r>
      <w:r w:rsidR="00AB434D" w:rsidRPr="00AB434D">
        <w:rPr>
          <w:sz w:val="22"/>
          <w:szCs w:val="22"/>
        </w:rPr>
        <w:t>A dispensa de licitação com base no art. 24, inciso XIII, da Lei 8.666/93 para contratar instituição que utiliza profissionais não integrantes do seu quadro funcional para a execução do objeto contratual, caracterizando intermediação da prestação dos serviços, configura burla à licitação.</w:t>
      </w:r>
    </w:p>
    <w:p w:rsidR="00D77726" w:rsidRPr="00D77726" w:rsidRDefault="00B73EC5" w:rsidP="00923AF8">
      <w:pPr>
        <w:autoSpaceDE w:val="0"/>
        <w:autoSpaceDN w:val="0"/>
        <w:adjustRightInd w:val="0"/>
        <w:spacing w:after="60"/>
        <w:ind w:left="0"/>
        <w:rPr>
          <w:color w:val="000000"/>
          <w:sz w:val="22"/>
          <w:szCs w:val="22"/>
          <w:lang w:eastAsia="pt-BR"/>
        </w:rPr>
      </w:pPr>
      <w:r w:rsidRPr="00B73EC5">
        <w:rPr>
          <w:color w:val="000000"/>
          <w:sz w:val="22"/>
          <w:szCs w:val="22"/>
          <w:lang w:eastAsia="pt-BR"/>
        </w:rPr>
        <w:t>3</w:t>
      </w:r>
      <w:r w:rsidR="00D77726">
        <w:rPr>
          <w:color w:val="000000"/>
          <w:sz w:val="22"/>
          <w:szCs w:val="22"/>
          <w:lang w:eastAsia="pt-BR"/>
        </w:rPr>
        <w:t xml:space="preserve">. </w:t>
      </w:r>
      <w:r w:rsidR="00D77726" w:rsidRPr="00D77726">
        <w:rPr>
          <w:sz w:val="22"/>
          <w:szCs w:val="22"/>
          <w:lang w:eastAsia="pt-BR"/>
        </w:rPr>
        <w:t xml:space="preserve">É incabível a compensação de eventual subpreço na planilha contratual original com </w:t>
      </w:r>
      <w:proofErr w:type="spellStart"/>
      <w:r w:rsidR="00D77726" w:rsidRPr="00D77726">
        <w:rPr>
          <w:sz w:val="22"/>
          <w:szCs w:val="22"/>
          <w:lang w:eastAsia="pt-BR"/>
        </w:rPr>
        <w:t>sobrepreços</w:t>
      </w:r>
      <w:proofErr w:type="spellEnd"/>
      <w:r w:rsidR="00D77726" w:rsidRPr="00D77726">
        <w:rPr>
          <w:sz w:val="22"/>
          <w:szCs w:val="22"/>
          <w:lang w:eastAsia="pt-BR"/>
        </w:rPr>
        <w:t xml:space="preserve"> verificados em termos aditivos, uma vez que isso implica a redução da </w:t>
      </w:r>
      <w:proofErr w:type="spellStart"/>
      <w:r w:rsidR="00D77726" w:rsidRPr="00D77726">
        <w:rPr>
          <w:sz w:val="22"/>
          <w:szCs w:val="22"/>
          <w:lang w:eastAsia="pt-BR"/>
        </w:rPr>
        <w:t>vantajosidade</w:t>
      </w:r>
      <w:proofErr w:type="spellEnd"/>
      <w:r w:rsidR="00D77726" w:rsidRPr="00D77726">
        <w:rPr>
          <w:sz w:val="22"/>
          <w:szCs w:val="22"/>
          <w:lang w:eastAsia="pt-BR"/>
        </w:rPr>
        <w:t xml:space="preserve"> inicial da avença e, portanto, a alteração do equilíbrio econômico-financeiro em desfavor da Administração.</w:t>
      </w:r>
    </w:p>
    <w:p w:rsidR="00B73EC5" w:rsidRPr="00E33576" w:rsidRDefault="00B73EC5" w:rsidP="00923AF8">
      <w:pPr>
        <w:autoSpaceDE w:val="0"/>
        <w:autoSpaceDN w:val="0"/>
        <w:adjustRightInd w:val="0"/>
        <w:spacing w:after="60"/>
        <w:ind w:left="0"/>
        <w:rPr>
          <w:color w:val="000000"/>
          <w:sz w:val="22"/>
          <w:szCs w:val="22"/>
          <w:lang w:eastAsia="pt-BR"/>
        </w:rPr>
      </w:pPr>
      <w:r w:rsidRPr="00B73EC5">
        <w:rPr>
          <w:color w:val="000000"/>
          <w:sz w:val="22"/>
          <w:szCs w:val="22"/>
          <w:lang w:eastAsia="pt-BR"/>
        </w:rPr>
        <w:t xml:space="preserve">4. </w:t>
      </w:r>
      <w:r w:rsidR="00E33576" w:rsidRPr="00E33576">
        <w:rPr>
          <w:sz w:val="22"/>
          <w:szCs w:val="22"/>
        </w:rPr>
        <w:t>Na contratação de serviços de agenciamento de viagens não é razoável exigir a instalação de postos presenciais em diversas unidades da Federação, tendo em vista que a marcação de passagens aéreas e a reserva de hotéis são usualmente feitas por meio eletrônico.</w:t>
      </w:r>
    </w:p>
    <w:p w:rsidR="00B7207F" w:rsidRPr="00CA53C6" w:rsidRDefault="00B73EC5" w:rsidP="00923AF8">
      <w:pPr>
        <w:autoSpaceDE w:val="0"/>
        <w:autoSpaceDN w:val="0"/>
        <w:adjustRightInd w:val="0"/>
        <w:spacing w:after="60"/>
        <w:ind w:left="0"/>
        <w:rPr>
          <w:b/>
          <w:sz w:val="22"/>
          <w:szCs w:val="22"/>
          <w:lang w:eastAsia="pt-BR"/>
        </w:rPr>
      </w:pPr>
      <w:r>
        <w:rPr>
          <w:b/>
          <w:sz w:val="22"/>
          <w:szCs w:val="22"/>
          <w:lang w:eastAsia="pt-BR"/>
        </w:rPr>
        <w:t>Primeira</w:t>
      </w:r>
      <w:r w:rsidR="00B7207F" w:rsidRPr="00CA53C6">
        <w:rPr>
          <w:b/>
          <w:sz w:val="22"/>
          <w:szCs w:val="22"/>
          <w:lang w:eastAsia="pt-BR"/>
        </w:rPr>
        <w:t xml:space="preserve"> Câmara</w:t>
      </w:r>
    </w:p>
    <w:p w:rsidR="00B7207F" w:rsidRDefault="00B73EC5" w:rsidP="00923AF8">
      <w:pPr>
        <w:pStyle w:val="Default"/>
        <w:spacing w:after="60"/>
        <w:jc w:val="both"/>
        <w:rPr>
          <w:sz w:val="22"/>
          <w:szCs w:val="22"/>
        </w:rPr>
      </w:pPr>
      <w:r>
        <w:rPr>
          <w:sz w:val="22"/>
          <w:szCs w:val="22"/>
        </w:rPr>
        <w:t>5</w:t>
      </w:r>
      <w:r w:rsidR="00B7207F">
        <w:rPr>
          <w:sz w:val="22"/>
          <w:szCs w:val="22"/>
        </w:rPr>
        <w:t>.</w:t>
      </w:r>
      <w:r w:rsidR="00B26902">
        <w:rPr>
          <w:b/>
          <w:color w:val="auto"/>
          <w:sz w:val="22"/>
          <w:szCs w:val="22"/>
        </w:rPr>
        <w:t xml:space="preserve"> </w:t>
      </w:r>
      <w:r w:rsidR="00923AF8" w:rsidRPr="00923AF8">
        <w:rPr>
          <w:sz w:val="22"/>
          <w:szCs w:val="22"/>
        </w:rPr>
        <w:t>Na contratação direta de artistas consagrados, com base no inciso III do art. 25 da Lei 8.666/93, por meio de intermediários ou representantes, deve ser apresentada cópia do contrato, registrado em cartório, de exclusividade dos artistas com o empresário contratado. O contrato de exclusividade difere da autorização que dá exclusividade apenas para os dias correspondentes à apresentação dos artistas e é restrita à localidade do evento, a qual não se presta para fundamentar a inexigibilidade.</w:t>
      </w:r>
    </w:p>
    <w:p w:rsidR="008B4216" w:rsidRPr="008B4216" w:rsidRDefault="008B4216" w:rsidP="008B4216">
      <w:pPr>
        <w:pStyle w:val="Default"/>
        <w:spacing w:after="60"/>
        <w:jc w:val="both"/>
        <w:rPr>
          <w:sz w:val="22"/>
          <w:szCs w:val="22"/>
        </w:rPr>
      </w:pPr>
    </w:p>
    <w:p w:rsidR="006B62B4" w:rsidRDefault="0008246E" w:rsidP="00500320">
      <w:pPr>
        <w:pBdr>
          <w:top w:val="threeDEmboss" w:sz="24" w:space="5" w:color="auto"/>
        </w:pBdr>
        <w:tabs>
          <w:tab w:val="left" w:pos="284"/>
          <w:tab w:val="left" w:pos="4172"/>
          <w:tab w:val="center" w:pos="4818"/>
        </w:tabs>
        <w:spacing w:after="0"/>
        <w:ind w:left="0"/>
        <w:jc w:val="center"/>
        <w:rPr>
          <w:b/>
          <w:bCs/>
          <w:smallCaps/>
          <w:sz w:val="22"/>
          <w:szCs w:val="22"/>
        </w:rPr>
      </w:pPr>
      <w:r w:rsidRPr="004276B7">
        <w:rPr>
          <w:b/>
          <w:bCs/>
          <w:smallCaps/>
          <w:sz w:val="22"/>
          <w:szCs w:val="22"/>
        </w:rPr>
        <w:t>PLENÁRIO</w:t>
      </w:r>
    </w:p>
    <w:p w:rsidR="0078621C" w:rsidRDefault="0078621C" w:rsidP="00500320">
      <w:pPr>
        <w:pBdr>
          <w:top w:val="threeDEmboss" w:sz="24" w:space="5" w:color="auto"/>
        </w:pBdr>
        <w:tabs>
          <w:tab w:val="left" w:pos="284"/>
          <w:tab w:val="left" w:pos="4172"/>
          <w:tab w:val="center" w:pos="4818"/>
        </w:tabs>
        <w:spacing w:after="0"/>
        <w:ind w:left="0"/>
        <w:jc w:val="center"/>
        <w:rPr>
          <w:b/>
          <w:bCs/>
          <w:smallCaps/>
          <w:sz w:val="22"/>
          <w:szCs w:val="22"/>
        </w:rPr>
      </w:pPr>
    </w:p>
    <w:p w:rsidR="002033AF" w:rsidRPr="00B73EC5" w:rsidRDefault="002033AF" w:rsidP="009B522F">
      <w:pPr>
        <w:autoSpaceDE w:val="0"/>
        <w:autoSpaceDN w:val="0"/>
        <w:adjustRightInd w:val="0"/>
        <w:spacing w:after="0"/>
        <w:ind w:left="0"/>
        <w:rPr>
          <w:b/>
          <w:color w:val="000000"/>
          <w:sz w:val="22"/>
          <w:szCs w:val="22"/>
          <w:lang w:eastAsia="pt-BR"/>
        </w:rPr>
      </w:pPr>
      <w:r w:rsidRPr="00B73EC5">
        <w:rPr>
          <w:b/>
          <w:sz w:val="22"/>
          <w:szCs w:val="22"/>
          <w:lang w:eastAsia="pt-BR"/>
        </w:rPr>
        <w:t>1.</w:t>
      </w:r>
      <w:r w:rsidRPr="00B73EC5">
        <w:rPr>
          <w:b/>
          <w:color w:val="000000"/>
          <w:sz w:val="22"/>
          <w:szCs w:val="22"/>
          <w:lang w:eastAsia="pt-BR"/>
        </w:rPr>
        <w:t xml:space="preserve"> Nas licitações por lote para registro de preços, mediante adjudicação por</w:t>
      </w:r>
      <w:r w:rsidR="00BE6106">
        <w:rPr>
          <w:b/>
          <w:color w:val="000000"/>
          <w:sz w:val="22"/>
          <w:szCs w:val="22"/>
          <w:lang w:eastAsia="pt-BR"/>
        </w:rPr>
        <w:t xml:space="preserve"> menor</w:t>
      </w:r>
      <w:r w:rsidRPr="00B73EC5">
        <w:rPr>
          <w:b/>
          <w:color w:val="000000"/>
          <w:sz w:val="22"/>
          <w:szCs w:val="22"/>
          <w:lang w:eastAsia="pt-BR"/>
        </w:rPr>
        <w:t xml:space="preserve"> preço global do lote, deve-se vedar a poss</w:t>
      </w:r>
      <w:r w:rsidR="00227936">
        <w:rPr>
          <w:b/>
          <w:color w:val="000000"/>
          <w:sz w:val="22"/>
          <w:szCs w:val="22"/>
          <w:lang w:eastAsia="pt-BR"/>
        </w:rPr>
        <w:t>ibilidade de aquisição</w:t>
      </w:r>
      <w:r w:rsidRPr="00B73EC5">
        <w:rPr>
          <w:b/>
          <w:color w:val="000000"/>
          <w:sz w:val="22"/>
          <w:szCs w:val="22"/>
          <w:lang w:eastAsia="pt-BR"/>
        </w:rPr>
        <w:t xml:space="preserve"> </w:t>
      </w:r>
      <w:r w:rsidR="00227936">
        <w:rPr>
          <w:b/>
          <w:color w:val="000000"/>
          <w:sz w:val="22"/>
          <w:szCs w:val="22"/>
          <w:lang w:eastAsia="pt-BR"/>
        </w:rPr>
        <w:t>individual de itens registrados para os quais a licitante vencedora</w:t>
      </w:r>
      <w:r w:rsidRPr="00B73EC5">
        <w:rPr>
          <w:b/>
          <w:color w:val="000000"/>
          <w:sz w:val="22"/>
          <w:szCs w:val="22"/>
          <w:lang w:eastAsia="pt-BR"/>
        </w:rPr>
        <w:t xml:space="preserve"> não apresentou o menor preço. </w:t>
      </w:r>
    </w:p>
    <w:p w:rsidR="002033AF" w:rsidRPr="004364D6" w:rsidRDefault="002033AF" w:rsidP="009B522F">
      <w:pPr>
        <w:autoSpaceDE w:val="0"/>
        <w:autoSpaceDN w:val="0"/>
        <w:adjustRightInd w:val="0"/>
        <w:spacing w:after="0"/>
        <w:ind w:left="0"/>
        <w:rPr>
          <w:sz w:val="22"/>
          <w:szCs w:val="22"/>
        </w:rPr>
      </w:pPr>
      <w:r w:rsidRPr="00B73EC5">
        <w:rPr>
          <w:sz w:val="22"/>
          <w:szCs w:val="22"/>
        </w:rPr>
        <w:t xml:space="preserve">Representação oferecida por sociedade empresária apontara possíveis irregularidades em pregão eletrônico para registro de preços conduzido pelo Instituto Federal de Educação, Ciência e Tecnologia de Brasília (IFB), destinado à contratação de serviços de impressão com fornecimento de materiais. Verificada a adoção de critério de adjudicação por menor preço por lote e a consequente </w:t>
      </w:r>
      <w:r w:rsidR="00BE6106">
        <w:rPr>
          <w:sz w:val="22"/>
          <w:szCs w:val="22"/>
        </w:rPr>
        <w:t>não inclusão, na ata,</w:t>
      </w:r>
      <w:r w:rsidRPr="00B73EC5">
        <w:rPr>
          <w:sz w:val="22"/>
          <w:szCs w:val="22"/>
        </w:rPr>
        <w:t xml:space="preserve"> de itens com menor preço individual ofertado, o relator concedeu medida cautelar suspendendo novas adesões à ata de registro de preços até a decisão de mérito pelo TCU, promovendo-se, nos termos regimentais, a oitiva da entidade e da empresa contratada. Em juízo de mérito, o relator consignou, no que respeita ao a</w:t>
      </w:r>
      <w:r w:rsidR="00516663">
        <w:rPr>
          <w:sz w:val="22"/>
          <w:szCs w:val="22"/>
        </w:rPr>
        <w:t>tendimento de demandas</w:t>
      </w:r>
      <w:r w:rsidRPr="00B73EC5">
        <w:rPr>
          <w:sz w:val="22"/>
          <w:szCs w:val="22"/>
        </w:rPr>
        <w:t xml:space="preserve"> do</w:t>
      </w:r>
      <w:r w:rsidR="004364D6">
        <w:rPr>
          <w:sz w:val="22"/>
          <w:szCs w:val="22"/>
        </w:rPr>
        <w:t xml:space="preserve"> Programa Nacional de Acesso ao Ensino Técnico e Emprego (</w:t>
      </w:r>
      <w:proofErr w:type="spellStart"/>
      <w:r w:rsidRPr="00B73EC5">
        <w:rPr>
          <w:sz w:val="22"/>
          <w:szCs w:val="22"/>
        </w:rPr>
        <w:t>Pronatec</w:t>
      </w:r>
      <w:proofErr w:type="spellEnd"/>
      <w:r w:rsidR="004364D6">
        <w:rPr>
          <w:sz w:val="22"/>
          <w:szCs w:val="22"/>
        </w:rPr>
        <w:t>)</w:t>
      </w:r>
      <w:r w:rsidRPr="00B73EC5">
        <w:rPr>
          <w:sz w:val="22"/>
          <w:szCs w:val="22"/>
        </w:rPr>
        <w:t xml:space="preserve">, não ter dúvidas do acerto do modelo de seleção adotado, já que se buscava o fornecimento de kits de material escolar. Contudo, o procedimento </w:t>
      </w:r>
      <w:r w:rsidRPr="00B73EC5">
        <w:rPr>
          <w:i/>
          <w:sz w:val="22"/>
          <w:szCs w:val="22"/>
        </w:rPr>
        <w:t>“não evitou que algumas empresas concorrentes oferecessem para os itens licitados 1, 2, 5, 7, 10, 11, 12 e 16 valores menores que a proposta vencedora”</w:t>
      </w:r>
      <w:r w:rsidRPr="00B73EC5">
        <w:rPr>
          <w:sz w:val="22"/>
          <w:szCs w:val="22"/>
        </w:rPr>
        <w:t>. Esse fato, considerando que a ata de registro de preços possibilita a aquisição individualizada de itens, tanto pelo IFB quanto por terceiros, levou o relator a considerar apropriada a expedição de determinação para que o Instituto se abstenha de adquirir, individualmente, os itens em que a licitante vencedora não apresentou os menores preços, bem como deixe de autorizar novas adesões à ata de registro de preços. Nesses termos, o Tribunal, acolhendo a proposta da relatoria, consid</w:t>
      </w:r>
      <w:r w:rsidR="004364D6">
        <w:rPr>
          <w:sz w:val="22"/>
          <w:szCs w:val="22"/>
        </w:rPr>
        <w:t>erou parcialmente procedente a R</w:t>
      </w:r>
      <w:r w:rsidRPr="00B73EC5">
        <w:rPr>
          <w:sz w:val="22"/>
          <w:szCs w:val="22"/>
        </w:rPr>
        <w:t>epresentação, revogando a cautelar concedida, e expedindo, dentre outros comandos, a determinação sugerida.</w:t>
      </w:r>
      <w:r w:rsidR="00196ADB">
        <w:rPr>
          <w:sz w:val="22"/>
          <w:szCs w:val="22"/>
        </w:rPr>
        <w:t xml:space="preserve"> </w:t>
      </w:r>
      <w:hyperlink r:id="rId8" w:history="1">
        <w:r w:rsidR="00196ADB" w:rsidRPr="00196ADB">
          <w:rPr>
            <w:rStyle w:val="Hyperlink"/>
            <w:b/>
            <w:i/>
            <w:sz w:val="22"/>
            <w:szCs w:val="22"/>
          </w:rPr>
          <w:t>Acórdão 343/2014-Plenário</w:t>
        </w:r>
      </w:hyperlink>
      <w:r w:rsidRPr="00B73EC5">
        <w:rPr>
          <w:b/>
          <w:i/>
          <w:sz w:val="22"/>
          <w:szCs w:val="22"/>
        </w:rPr>
        <w:t>, TC 033.312/2013-3, relator Ministro Valmir Campelo, 19.2.2014.</w:t>
      </w:r>
    </w:p>
    <w:p w:rsidR="002033AF" w:rsidRPr="00B73EC5" w:rsidRDefault="002033AF" w:rsidP="009B522F">
      <w:pPr>
        <w:autoSpaceDE w:val="0"/>
        <w:autoSpaceDN w:val="0"/>
        <w:adjustRightInd w:val="0"/>
        <w:spacing w:after="0"/>
        <w:ind w:left="0"/>
        <w:rPr>
          <w:b/>
          <w:i/>
          <w:sz w:val="22"/>
          <w:szCs w:val="22"/>
        </w:rPr>
      </w:pPr>
    </w:p>
    <w:p w:rsidR="002033AF" w:rsidRPr="00AB434D" w:rsidRDefault="002033AF" w:rsidP="009B522F">
      <w:pPr>
        <w:spacing w:after="0"/>
        <w:ind w:left="0"/>
        <w:rPr>
          <w:b/>
          <w:sz w:val="22"/>
          <w:szCs w:val="22"/>
        </w:rPr>
      </w:pPr>
      <w:r w:rsidRPr="00AB434D">
        <w:rPr>
          <w:b/>
          <w:sz w:val="22"/>
          <w:szCs w:val="22"/>
        </w:rPr>
        <w:t xml:space="preserve">2. </w:t>
      </w:r>
      <w:r w:rsidR="00AB434D" w:rsidRPr="00AB434D">
        <w:rPr>
          <w:b/>
          <w:sz w:val="22"/>
          <w:szCs w:val="22"/>
        </w:rPr>
        <w:t>A dispensa de licitação com base no art. 24, inciso XIII, da Lei 8.666/93 para contratar instituição que utiliza profissionais não integrantes do seu quadro funcional para a execução do objeto contratual, caracterizando intermediação da prestação dos serviços, configura burla à licitação.</w:t>
      </w:r>
    </w:p>
    <w:p w:rsidR="002033AF" w:rsidRPr="00B73EC5" w:rsidRDefault="00D307A6" w:rsidP="009B522F">
      <w:pPr>
        <w:pStyle w:val="Default"/>
        <w:jc w:val="both"/>
        <w:rPr>
          <w:b/>
          <w:i/>
          <w:sz w:val="22"/>
          <w:szCs w:val="22"/>
        </w:rPr>
      </w:pPr>
      <w:r w:rsidRPr="00AB434D">
        <w:rPr>
          <w:sz w:val="22"/>
          <w:szCs w:val="22"/>
        </w:rPr>
        <w:t>Embargos de D</w:t>
      </w:r>
      <w:r w:rsidR="002033AF" w:rsidRPr="00AB434D">
        <w:rPr>
          <w:sz w:val="22"/>
          <w:szCs w:val="22"/>
        </w:rPr>
        <w:t>eclaração opostos a decisão</w:t>
      </w:r>
      <w:r w:rsidR="000D74DF" w:rsidRPr="00AB434D">
        <w:rPr>
          <w:sz w:val="22"/>
          <w:szCs w:val="22"/>
        </w:rPr>
        <w:t xml:space="preserve"> proferida em</w:t>
      </w:r>
      <w:r w:rsidR="002033AF" w:rsidRPr="00AB434D">
        <w:rPr>
          <w:sz w:val="22"/>
          <w:szCs w:val="22"/>
        </w:rPr>
        <w:t xml:space="preserve"> relatório de auditoria realizada em Furnas Centrais Elétricas S.A apontaram possíveis omissões, contradições e obscuridades no arresto questionado. Os re</w:t>
      </w:r>
      <w:r w:rsidR="00B73EC5" w:rsidRPr="00AB434D">
        <w:rPr>
          <w:sz w:val="22"/>
          <w:szCs w:val="22"/>
        </w:rPr>
        <w:t>correntes</w:t>
      </w:r>
      <w:r w:rsidR="002033AF" w:rsidRPr="00AB434D">
        <w:rPr>
          <w:sz w:val="22"/>
          <w:szCs w:val="22"/>
        </w:rPr>
        <w:t xml:space="preserve"> foram responsabilizados, entre outros motivos, pela dispensa irregular, com fulcro no art. 24, </w:t>
      </w:r>
      <w:r w:rsidR="000D74DF" w:rsidRPr="00AB434D">
        <w:rPr>
          <w:sz w:val="22"/>
          <w:szCs w:val="22"/>
        </w:rPr>
        <w:t>inciso XIII, da Lei 8.666/</w:t>
      </w:r>
      <w:r w:rsidR="002033AF" w:rsidRPr="00AB434D">
        <w:rPr>
          <w:sz w:val="22"/>
          <w:szCs w:val="22"/>
        </w:rPr>
        <w:t>93, de licitação na contratação da Universidade do Estado do Rio de Janeiro</w:t>
      </w:r>
      <w:r w:rsidR="000D74DF" w:rsidRPr="00AB434D">
        <w:rPr>
          <w:sz w:val="22"/>
          <w:szCs w:val="22"/>
        </w:rPr>
        <w:t xml:space="preserve"> (</w:t>
      </w:r>
      <w:r w:rsidR="002033AF" w:rsidRPr="00AB434D">
        <w:rPr>
          <w:sz w:val="22"/>
          <w:szCs w:val="22"/>
        </w:rPr>
        <w:t>UERJ</w:t>
      </w:r>
      <w:r w:rsidR="000D74DF" w:rsidRPr="00AB434D">
        <w:rPr>
          <w:sz w:val="22"/>
          <w:szCs w:val="22"/>
        </w:rPr>
        <w:t>)</w:t>
      </w:r>
      <w:r w:rsidR="002033AF" w:rsidRPr="00AB434D">
        <w:rPr>
          <w:sz w:val="22"/>
          <w:szCs w:val="22"/>
        </w:rPr>
        <w:t xml:space="preserve"> para </w:t>
      </w:r>
      <w:r w:rsidR="002033AF" w:rsidRPr="00AB434D">
        <w:rPr>
          <w:i/>
          <w:sz w:val="22"/>
          <w:szCs w:val="22"/>
        </w:rPr>
        <w:t>“prestação de assessoria, consultoria e aperfeiçoamento nas áreas jurídicas e de recursos humanos”</w:t>
      </w:r>
      <w:r w:rsidR="002033AF" w:rsidRPr="00AB434D">
        <w:rPr>
          <w:sz w:val="22"/>
          <w:szCs w:val="22"/>
        </w:rPr>
        <w:t xml:space="preserve">. Sobre o ajuste, destacou o relator: (a) a amplitude e a imprecisão do objeto do contrato; (b) ausência de especificação das quantidades de cada serviço; e (c) a definição de quantitativos em atos posteriores à contratação. Nesse sentido, anotou que o contrato e a proposta da UERJ </w:t>
      </w:r>
      <w:r w:rsidR="002033AF" w:rsidRPr="00AB434D">
        <w:rPr>
          <w:i/>
          <w:sz w:val="22"/>
          <w:szCs w:val="22"/>
        </w:rPr>
        <w:t>“permitem concluir que alguns serviços contratados consistiam, na verdade, em mão de obra terceirizada, atividade que não se inclui entre as exceções à obrigatoriedade de licitar previstas no art. 24, XIII, da Lei 8.666/93”</w:t>
      </w:r>
      <w:r w:rsidR="002033AF" w:rsidRPr="00AB434D">
        <w:rPr>
          <w:sz w:val="22"/>
          <w:szCs w:val="22"/>
        </w:rPr>
        <w:t>. Ademais, restara evidenciado nos autos que a UERJ não detinha capacidade de executar, com sua própria estrutura e de acordo com suas competências, o objeto do contrato, requisitos da dispensa de licitação com fulcro no</w:t>
      </w:r>
      <w:r w:rsidR="000D74DF" w:rsidRPr="00AB434D">
        <w:rPr>
          <w:sz w:val="22"/>
          <w:szCs w:val="22"/>
        </w:rPr>
        <w:t xml:space="preserve"> citado dispositivo</w:t>
      </w:r>
      <w:r w:rsidR="002033AF" w:rsidRPr="00AB434D">
        <w:rPr>
          <w:sz w:val="22"/>
          <w:szCs w:val="22"/>
        </w:rPr>
        <w:t>, confor</w:t>
      </w:r>
      <w:r w:rsidR="000D74DF" w:rsidRPr="00AB434D">
        <w:rPr>
          <w:sz w:val="22"/>
          <w:szCs w:val="22"/>
        </w:rPr>
        <w:t>me pacífica jurisprudência da</w:t>
      </w:r>
      <w:r w:rsidR="002033AF" w:rsidRPr="00AB434D">
        <w:rPr>
          <w:sz w:val="22"/>
          <w:szCs w:val="22"/>
        </w:rPr>
        <w:t xml:space="preserve"> Corte de Contas. Nesse sentido, o relator anotou que </w:t>
      </w:r>
      <w:r w:rsidR="002033AF" w:rsidRPr="00AB434D">
        <w:rPr>
          <w:i/>
          <w:sz w:val="22"/>
          <w:szCs w:val="22"/>
        </w:rPr>
        <w:t>“como o art. 24, XIII, da Lei 8.666/93 requer contratada dotada de inquestionável reputação ético-profissional, são as suas características próprias que fundamentam a escolha da Administração, não se admitindo atuação como mera intermediária na prestação dos serviços contratados”</w:t>
      </w:r>
      <w:r w:rsidR="002033AF" w:rsidRPr="00AB434D">
        <w:rPr>
          <w:sz w:val="22"/>
          <w:szCs w:val="22"/>
        </w:rPr>
        <w:t xml:space="preserve">. E que </w:t>
      </w:r>
      <w:r w:rsidR="000D74DF" w:rsidRPr="00AB434D">
        <w:rPr>
          <w:i/>
          <w:sz w:val="22"/>
          <w:szCs w:val="22"/>
        </w:rPr>
        <w:t>“n</w:t>
      </w:r>
      <w:r w:rsidR="002033AF" w:rsidRPr="00AB434D">
        <w:rPr>
          <w:i/>
          <w:sz w:val="22"/>
          <w:szCs w:val="22"/>
        </w:rPr>
        <w:t>a hipótese de serviços realizados por profissionais não integrantes do quadro funcional da instituição dotada de inquestionável reputação ético-profissional, como no caso sob exame, deixa de haver justo motivo para a dispensa de licitação com fulcro no art. 24, XIII, haja vista que esses serviços podem ser executados por entidades que atuam no ramo de atividade, as quais também podem captar esses profissionais”</w:t>
      </w:r>
      <w:r w:rsidR="002033AF" w:rsidRPr="00AB434D">
        <w:rPr>
          <w:sz w:val="22"/>
          <w:szCs w:val="22"/>
        </w:rPr>
        <w:t xml:space="preserve">. Em tais circunstâncias, concluiu o relator, </w:t>
      </w:r>
      <w:r w:rsidR="002033AF" w:rsidRPr="00AB434D">
        <w:rPr>
          <w:i/>
          <w:sz w:val="22"/>
          <w:szCs w:val="22"/>
        </w:rPr>
        <w:t>“</w:t>
      </w:r>
      <w:r w:rsidR="000D74DF" w:rsidRPr="00AB434D">
        <w:rPr>
          <w:i/>
          <w:sz w:val="22"/>
          <w:szCs w:val="22"/>
        </w:rPr>
        <w:t>a</w:t>
      </w:r>
      <w:r w:rsidR="002033AF" w:rsidRPr="00AB434D">
        <w:rPr>
          <w:i/>
          <w:sz w:val="22"/>
          <w:szCs w:val="22"/>
        </w:rPr>
        <w:t xml:space="preserve"> dispensa de licitação para contratar intermediadora de serviços representa burla à licitação e concessão de privilégio indevido a uma instituição que, embora sem fins lucrativos, está explorando atividade de natureza econômica”</w:t>
      </w:r>
      <w:r w:rsidR="002033AF" w:rsidRPr="00AB434D">
        <w:rPr>
          <w:sz w:val="22"/>
          <w:szCs w:val="22"/>
        </w:rPr>
        <w:t>. Enfrentados esse e outros pontos arrolados no recu</w:t>
      </w:r>
      <w:r w:rsidR="007332CD">
        <w:rPr>
          <w:sz w:val="22"/>
          <w:szCs w:val="22"/>
        </w:rPr>
        <w:t xml:space="preserve">rso, o Plenário </w:t>
      </w:r>
      <w:r w:rsidR="001D7F3D">
        <w:rPr>
          <w:sz w:val="22"/>
          <w:szCs w:val="22"/>
        </w:rPr>
        <w:t>manteve os exatos</w:t>
      </w:r>
      <w:r w:rsidR="002033AF" w:rsidRPr="00AB434D">
        <w:rPr>
          <w:sz w:val="22"/>
          <w:szCs w:val="22"/>
        </w:rPr>
        <w:t xml:space="preserve"> termos da deliberação questionada.</w:t>
      </w:r>
      <w:r w:rsidR="00A51BDE" w:rsidRPr="00AB434D">
        <w:rPr>
          <w:sz w:val="22"/>
          <w:szCs w:val="22"/>
        </w:rPr>
        <w:t xml:space="preserve"> </w:t>
      </w:r>
      <w:hyperlink r:id="rId9" w:history="1">
        <w:r w:rsidR="00A51BDE" w:rsidRPr="00AB434D">
          <w:rPr>
            <w:rStyle w:val="Hyperlink"/>
            <w:b/>
            <w:i/>
            <w:sz w:val="22"/>
            <w:szCs w:val="22"/>
          </w:rPr>
          <w:t>Acórdão 344/2014-Plenário</w:t>
        </w:r>
      </w:hyperlink>
      <w:r w:rsidR="002033AF" w:rsidRPr="00B73EC5">
        <w:rPr>
          <w:b/>
          <w:i/>
          <w:sz w:val="22"/>
          <w:szCs w:val="22"/>
        </w:rPr>
        <w:t>, TC 022.849/2006-0, relator Ministro Walton Alencar Rodrigues, 19.2.2014.</w:t>
      </w:r>
    </w:p>
    <w:p w:rsidR="002033AF" w:rsidRPr="00B73EC5" w:rsidRDefault="002033AF" w:rsidP="009B522F">
      <w:pPr>
        <w:pStyle w:val="Default"/>
        <w:jc w:val="both"/>
        <w:rPr>
          <w:b/>
          <w:i/>
          <w:sz w:val="22"/>
          <w:szCs w:val="22"/>
        </w:rPr>
      </w:pPr>
    </w:p>
    <w:p w:rsidR="002033AF" w:rsidRPr="00B73EC5" w:rsidRDefault="002033AF" w:rsidP="009B522F">
      <w:pPr>
        <w:autoSpaceDE w:val="0"/>
        <w:autoSpaceDN w:val="0"/>
        <w:adjustRightInd w:val="0"/>
        <w:spacing w:after="0"/>
        <w:ind w:left="0"/>
        <w:rPr>
          <w:b/>
          <w:sz w:val="22"/>
          <w:szCs w:val="22"/>
          <w:lang w:eastAsia="pt-BR"/>
        </w:rPr>
      </w:pPr>
      <w:r w:rsidRPr="00B73EC5">
        <w:rPr>
          <w:b/>
          <w:sz w:val="22"/>
          <w:szCs w:val="22"/>
          <w:lang w:eastAsia="pt-BR"/>
        </w:rPr>
        <w:t xml:space="preserve">3. É incabível a compensação de eventual subpreço na planilha contratual original com </w:t>
      </w:r>
      <w:proofErr w:type="spellStart"/>
      <w:r w:rsidRPr="00B73EC5">
        <w:rPr>
          <w:b/>
          <w:sz w:val="22"/>
          <w:szCs w:val="22"/>
          <w:lang w:eastAsia="pt-BR"/>
        </w:rPr>
        <w:t>sobrepreços</w:t>
      </w:r>
      <w:proofErr w:type="spellEnd"/>
      <w:r w:rsidRPr="00B73EC5">
        <w:rPr>
          <w:b/>
          <w:sz w:val="22"/>
          <w:szCs w:val="22"/>
          <w:lang w:eastAsia="pt-BR"/>
        </w:rPr>
        <w:t xml:space="preserve"> verificados em term</w:t>
      </w:r>
      <w:r w:rsidR="00C939EE">
        <w:rPr>
          <w:b/>
          <w:sz w:val="22"/>
          <w:szCs w:val="22"/>
          <w:lang w:eastAsia="pt-BR"/>
        </w:rPr>
        <w:t>os aditivos, uma vez que isso implica</w:t>
      </w:r>
      <w:r w:rsidRPr="00B73EC5">
        <w:rPr>
          <w:b/>
          <w:sz w:val="22"/>
          <w:szCs w:val="22"/>
          <w:lang w:eastAsia="pt-BR"/>
        </w:rPr>
        <w:t xml:space="preserve"> a redução da </w:t>
      </w:r>
      <w:proofErr w:type="spellStart"/>
      <w:r w:rsidRPr="00B73EC5">
        <w:rPr>
          <w:b/>
          <w:sz w:val="22"/>
          <w:szCs w:val="22"/>
          <w:lang w:eastAsia="pt-BR"/>
        </w:rPr>
        <w:t>vantajosidade</w:t>
      </w:r>
      <w:proofErr w:type="spellEnd"/>
      <w:r w:rsidRPr="00B73EC5">
        <w:rPr>
          <w:b/>
          <w:sz w:val="22"/>
          <w:szCs w:val="22"/>
          <w:lang w:eastAsia="pt-BR"/>
        </w:rPr>
        <w:t xml:space="preserve"> inicial da avença e, portanto, a alteração do equilíbrio econômico-financeiro em desfavor da Administração.</w:t>
      </w:r>
    </w:p>
    <w:p w:rsidR="002033AF" w:rsidRPr="00B73EC5" w:rsidRDefault="002033AF" w:rsidP="009B522F">
      <w:pPr>
        <w:autoSpaceDE w:val="0"/>
        <w:autoSpaceDN w:val="0"/>
        <w:adjustRightInd w:val="0"/>
        <w:spacing w:after="0"/>
        <w:ind w:left="0"/>
        <w:rPr>
          <w:i/>
          <w:sz w:val="22"/>
          <w:szCs w:val="22"/>
        </w:rPr>
      </w:pPr>
      <w:r w:rsidRPr="00B73EC5">
        <w:rPr>
          <w:sz w:val="22"/>
          <w:szCs w:val="22"/>
        </w:rPr>
        <w:t>Levantamento de Auditoria reali</w:t>
      </w:r>
      <w:r w:rsidR="00C76E8A">
        <w:rPr>
          <w:sz w:val="22"/>
          <w:szCs w:val="22"/>
        </w:rPr>
        <w:t xml:space="preserve">zado </w:t>
      </w:r>
      <w:r w:rsidR="00584CE1">
        <w:rPr>
          <w:sz w:val="22"/>
          <w:szCs w:val="22"/>
        </w:rPr>
        <w:t>em</w:t>
      </w:r>
      <w:r w:rsidR="00C76E8A">
        <w:rPr>
          <w:sz w:val="22"/>
          <w:szCs w:val="22"/>
        </w:rPr>
        <w:t xml:space="preserve"> obras de restauração de</w:t>
      </w:r>
      <w:r w:rsidRPr="00B73EC5">
        <w:rPr>
          <w:sz w:val="22"/>
          <w:szCs w:val="22"/>
        </w:rPr>
        <w:t xml:space="preserve"> trecho rodoviário na</w:t>
      </w:r>
      <w:r w:rsidR="00C76E8A">
        <w:rPr>
          <w:sz w:val="22"/>
          <w:szCs w:val="22"/>
        </w:rPr>
        <w:t>s</w:t>
      </w:r>
      <w:r w:rsidRPr="00B73EC5">
        <w:rPr>
          <w:sz w:val="22"/>
          <w:szCs w:val="22"/>
        </w:rPr>
        <w:t xml:space="preserve"> BR-381 e BR-2</w:t>
      </w:r>
      <w:r w:rsidR="00C76E8A">
        <w:rPr>
          <w:sz w:val="22"/>
          <w:szCs w:val="22"/>
        </w:rPr>
        <w:t>62</w:t>
      </w:r>
      <w:r w:rsidRPr="00B73EC5">
        <w:rPr>
          <w:sz w:val="22"/>
          <w:szCs w:val="22"/>
        </w:rPr>
        <w:t xml:space="preserve"> apontara irregularidades no contrato celebrado pelo Departamento Nacional de Infraestrutura de Transportes </w:t>
      </w:r>
      <w:r w:rsidR="00584CE1">
        <w:rPr>
          <w:sz w:val="22"/>
          <w:szCs w:val="22"/>
        </w:rPr>
        <w:t>(</w:t>
      </w:r>
      <w:proofErr w:type="spellStart"/>
      <w:r w:rsidR="00584CE1">
        <w:rPr>
          <w:sz w:val="22"/>
          <w:szCs w:val="22"/>
        </w:rPr>
        <w:t>Dnit</w:t>
      </w:r>
      <w:proofErr w:type="spellEnd"/>
      <w:r w:rsidR="00584CE1">
        <w:rPr>
          <w:sz w:val="22"/>
          <w:szCs w:val="22"/>
        </w:rPr>
        <w:t>) para a execução dos serviços</w:t>
      </w:r>
      <w:r w:rsidRPr="00B73EC5">
        <w:rPr>
          <w:sz w:val="22"/>
          <w:szCs w:val="22"/>
        </w:rPr>
        <w:t>. Após a realização de inspeção, bem como d</w:t>
      </w:r>
      <w:r w:rsidR="00584CE1">
        <w:rPr>
          <w:sz w:val="22"/>
          <w:szCs w:val="22"/>
        </w:rPr>
        <w:t>e análise</w:t>
      </w:r>
      <w:r w:rsidRPr="00B73EC5">
        <w:rPr>
          <w:sz w:val="22"/>
          <w:szCs w:val="22"/>
        </w:rPr>
        <w:t xml:space="preserve"> acerca da compatibilidade dos preços</w:t>
      </w:r>
      <w:r w:rsidR="00584CE1">
        <w:rPr>
          <w:sz w:val="22"/>
          <w:szCs w:val="22"/>
        </w:rPr>
        <w:t xml:space="preserve"> contratados</w:t>
      </w:r>
      <w:r w:rsidRPr="00B73EC5">
        <w:rPr>
          <w:sz w:val="22"/>
          <w:szCs w:val="22"/>
        </w:rPr>
        <w:t xml:space="preserve"> com os parâmetros de mercado e da pertinência da alteração da solução de pavimentação de CBUQ</w:t>
      </w:r>
      <w:r w:rsidR="00C772D2">
        <w:rPr>
          <w:sz w:val="22"/>
          <w:szCs w:val="22"/>
        </w:rPr>
        <w:t xml:space="preserve"> (Concreto Betuminoso Usinado a Quente)</w:t>
      </w:r>
      <w:r w:rsidRPr="00B73EC5">
        <w:rPr>
          <w:sz w:val="22"/>
          <w:szCs w:val="22"/>
        </w:rPr>
        <w:t xml:space="preserve"> para SMA</w:t>
      </w:r>
      <w:r w:rsidR="00584CE1">
        <w:rPr>
          <w:sz w:val="22"/>
          <w:szCs w:val="22"/>
        </w:rPr>
        <w:t xml:space="preserve"> (</w:t>
      </w:r>
      <w:r w:rsidR="00584CE1" w:rsidRPr="00584CE1">
        <w:rPr>
          <w:i/>
          <w:sz w:val="22"/>
          <w:szCs w:val="22"/>
        </w:rPr>
        <w:t xml:space="preserve">Stone </w:t>
      </w:r>
      <w:proofErr w:type="spellStart"/>
      <w:r w:rsidR="00584CE1" w:rsidRPr="00584CE1">
        <w:rPr>
          <w:i/>
          <w:sz w:val="22"/>
          <w:szCs w:val="22"/>
        </w:rPr>
        <w:t>Mastic</w:t>
      </w:r>
      <w:proofErr w:type="spellEnd"/>
      <w:r w:rsidR="00584CE1" w:rsidRPr="00584CE1">
        <w:rPr>
          <w:i/>
          <w:sz w:val="22"/>
          <w:szCs w:val="22"/>
        </w:rPr>
        <w:t xml:space="preserve"> </w:t>
      </w:r>
      <w:proofErr w:type="spellStart"/>
      <w:r w:rsidR="00584CE1" w:rsidRPr="00584CE1">
        <w:rPr>
          <w:i/>
          <w:sz w:val="22"/>
          <w:szCs w:val="22"/>
        </w:rPr>
        <w:t>Asphalt</w:t>
      </w:r>
      <w:proofErr w:type="spellEnd"/>
      <w:r w:rsidR="00584CE1">
        <w:rPr>
          <w:sz w:val="22"/>
          <w:szCs w:val="22"/>
        </w:rPr>
        <w:t>)</w:t>
      </w:r>
      <w:r w:rsidRPr="00B73EC5">
        <w:rPr>
          <w:sz w:val="22"/>
          <w:szCs w:val="22"/>
        </w:rPr>
        <w:t xml:space="preserve">, o relator concluiu, em consonância com a unidade técnica, pela inexistência de </w:t>
      </w:r>
      <w:proofErr w:type="spellStart"/>
      <w:r w:rsidRPr="00B73EC5">
        <w:rPr>
          <w:sz w:val="22"/>
          <w:szCs w:val="22"/>
        </w:rPr>
        <w:t>sobrepreço</w:t>
      </w:r>
      <w:proofErr w:type="spellEnd"/>
      <w:r w:rsidRPr="00B73EC5">
        <w:rPr>
          <w:sz w:val="22"/>
          <w:szCs w:val="22"/>
        </w:rPr>
        <w:t xml:space="preserve"> no contrato original em razão da mudança da data-base dos preços referenciais. Em relação à mudança do projeto de pavimentação, concluiu pela “</w:t>
      </w:r>
      <w:r w:rsidRPr="00B73EC5">
        <w:rPr>
          <w:i/>
          <w:sz w:val="22"/>
          <w:szCs w:val="22"/>
        </w:rPr>
        <w:t xml:space="preserve">existência de </w:t>
      </w:r>
      <w:proofErr w:type="spellStart"/>
      <w:r w:rsidRPr="00B73EC5">
        <w:rPr>
          <w:i/>
          <w:sz w:val="22"/>
          <w:szCs w:val="22"/>
        </w:rPr>
        <w:t>dano</w:t>
      </w:r>
      <w:proofErr w:type="spellEnd"/>
      <w:r w:rsidRPr="00B73EC5">
        <w:rPr>
          <w:i/>
          <w:sz w:val="22"/>
          <w:szCs w:val="22"/>
        </w:rPr>
        <w:t xml:space="preserve"> ao erário decorrente de superfaturamento em serviço adicionado</w:t>
      </w:r>
      <w:r w:rsidRPr="00B73EC5">
        <w:rPr>
          <w:sz w:val="22"/>
          <w:szCs w:val="22"/>
        </w:rPr>
        <w:t xml:space="preserve"> </w:t>
      </w:r>
      <w:r w:rsidR="00584CE1">
        <w:rPr>
          <w:i/>
          <w:sz w:val="22"/>
          <w:szCs w:val="22"/>
        </w:rPr>
        <w:t>após as revisões de projeto</w:t>
      </w:r>
      <w:r w:rsidRPr="00B73EC5">
        <w:rPr>
          <w:sz w:val="22"/>
          <w:szCs w:val="22"/>
        </w:rPr>
        <w:t xml:space="preserve">”. Posteriormente, </w:t>
      </w:r>
      <w:r w:rsidR="00584CE1">
        <w:rPr>
          <w:sz w:val="22"/>
          <w:szCs w:val="22"/>
        </w:rPr>
        <w:t>a empresa contratada apresentou</w:t>
      </w:r>
      <w:r w:rsidRPr="00B73EC5">
        <w:rPr>
          <w:sz w:val="22"/>
          <w:szCs w:val="22"/>
        </w:rPr>
        <w:t xml:space="preserve"> novos questionamentos acerca das premissas utilizadas pela unidade técnica para o cálculo do débito, em especial, a “</w:t>
      </w:r>
      <w:r w:rsidRPr="00B73EC5">
        <w:rPr>
          <w:i/>
          <w:sz w:val="22"/>
          <w:szCs w:val="22"/>
        </w:rPr>
        <w:t xml:space="preserve">não compensação do valor do suposto </w:t>
      </w:r>
      <w:proofErr w:type="spellStart"/>
      <w:r w:rsidRPr="00B73EC5">
        <w:rPr>
          <w:i/>
          <w:sz w:val="22"/>
          <w:szCs w:val="22"/>
        </w:rPr>
        <w:t>sobrepreço</w:t>
      </w:r>
      <w:proofErr w:type="spellEnd"/>
      <w:r w:rsidRPr="00B73EC5">
        <w:rPr>
          <w:i/>
          <w:sz w:val="22"/>
          <w:szCs w:val="22"/>
        </w:rPr>
        <w:t xml:space="preserve"> unitário no item SMA com o subpreço verificado no contrato, após a aceitação da nova data-base para fins </w:t>
      </w:r>
      <w:r w:rsidR="00584CE1">
        <w:rPr>
          <w:i/>
          <w:sz w:val="22"/>
          <w:szCs w:val="22"/>
        </w:rPr>
        <w:t>de aferição da economicidade</w:t>
      </w:r>
      <w:r w:rsidRPr="00B73EC5">
        <w:rPr>
          <w:i/>
          <w:sz w:val="22"/>
          <w:szCs w:val="22"/>
        </w:rPr>
        <w:t>”</w:t>
      </w:r>
      <w:r w:rsidRPr="00B73EC5">
        <w:rPr>
          <w:sz w:val="22"/>
          <w:szCs w:val="22"/>
        </w:rPr>
        <w:t>. Sobre a questão, o relator considerou “</w:t>
      </w:r>
      <w:r w:rsidRPr="00B73EC5">
        <w:rPr>
          <w:i/>
          <w:sz w:val="22"/>
          <w:szCs w:val="22"/>
        </w:rPr>
        <w:t xml:space="preserve">incabível a compensação de eventual subpreço na planilha contratual original com </w:t>
      </w:r>
      <w:proofErr w:type="spellStart"/>
      <w:r w:rsidRPr="00B73EC5">
        <w:rPr>
          <w:i/>
          <w:sz w:val="22"/>
          <w:szCs w:val="22"/>
        </w:rPr>
        <w:t>sobrepreços</w:t>
      </w:r>
      <w:proofErr w:type="spellEnd"/>
      <w:r w:rsidRPr="00B73EC5">
        <w:rPr>
          <w:i/>
          <w:sz w:val="22"/>
          <w:szCs w:val="22"/>
        </w:rPr>
        <w:t xml:space="preserve"> verificados em termos aditivos, uma vez que a adoção de tal prática implica admitir a redução da </w:t>
      </w:r>
      <w:proofErr w:type="spellStart"/>
      <w:r w:rsidRPr="00B73EC5">
        <w:rPr>
          <w:i/>
          <w:sz w:val="22"/>
          <w:szCs w:val="22"/>
        </w:rPr>
        <w:t>vantajosidade</w:t>
      </w:r>
      <w:proofErr w:type="spellEnd"/>
      <w:r w:rsidRPr="00B73EC5">
        <w:rPr>
          <w:i/>
          <w:sz w:val="22"/>
          <w:szCs w:val="22"/>
        </w:rPr>
        <w:t xml:space="preserve"> inicial da avença e, portanto, a alteração do equilíbrio-econômico-financeiro em desfavor da Administração</w:t>
      </w:r>
      <w:r w:rsidRPr="00B73EC5">
        <w:rPr>
          <w:sz w:val="22"/>
          <w:szCs w:val="22"/>
        </w:rPr>
        <w:t>”. Ou seja, tal procedimento “</w:t>
      </w:r>
      <w:r w:rsidRPr="00B73EC5">
        <w:rPr>
          <w:i/>
          <w:sz w:val="22"/>
          <w:szCs w:val="22"/>
        </w:rPr>
        <w:t xml:space="preserve">significa aceitar a existência de uma espécie de crédito do contratado decorrente de um desconto ofertado por ocasião da licitação, o qual poderia ser </w:t>
      </w:r>
      <w:proofErr w:type="spellStart"/>
      <w:r w:rsidRPr="00B73EC5">
        <w:rPr>
          <w:i/>
          <w:sz w:val="22"/>
          <w:szCs w:val="22"/>
        </w:rPr>
        <w:t>usado</w:t>
      </w:r>
      <w:proofErr w:type="spellEnd"/>
      <w:r w:rsidRPr="00B73EC5">
        <w:rPr>
          <w:i/>
          <w:sz w:val="22"/>
          <w:szCs w:val="22"/>
        </w:rPr>
        <w:t xml:space="preserve"> posteriormente para a inclusão de serviços no contrato com preços nitidamente acima dos parâmetros de mercado</w:t>
      </w:r>
      <w:r w:rsidRPr="00B73EC5">
        <w:rPr>
          <w:sz w:val="22"/>
          <w:szCs w:val="22"/>
        </w:rPr>
        <w:t>”. Nesse sentido, ao rejeitar os argumentos trazidos pela contratada, “</w:t>
      </w:r>
      <w:r w:rsidRPr="00B73EC5">
        <w:rPr>
          <w:i/>
          <w:sz w:val="22"/>
          <w:szCs w:val="22"/>
        </w:rPr>
        <w:t>p</w:t>
      </w:r>
      <w:r w:rsidRPr="00B73EC5">
        <w:rPr>
          <w:i/>
          <w:sz w:val="22"/>
          <w:szCs w:val="22"/>
          <w:lang w:eastAsia="pt-BR"/>
        </w:rPr>
        <w:t>or representar a clássica situação de jogo de planilha</w:t>
      </w:r>
      <w:r w:rsidRPr="00B73EC5">
        <w:rPr>
          <w:sz w:val="22"/>
          <w:szCs w:val="22"/>
        </w:rPr>
        <w:t>”, o relator observou que a compensação defendida “</w:t>
      </w:r>
      <w:r w:rsidRPr="00B73EC5">
        <w:rPr>
          <w:i/>
          <w:sz w:val="22"/>
          <w:szCs w:val="22"/>
        </w:rPr>
        <w:t xml:space="preserve">melhor se amolda à análise de </w:t>
      </w:r>
      <w:proofErr w:type="spellStart"/>
      <w:r w:rsidRPr="00B73EC5">
        <w:rPr>
          <w:i/>
          <w:sz w:val="22"/>
          <w:szCs w:val="22"/>
        </w:rPr>
        <w:t>sobrepreço</w:t>
      </w:r>
      <w:proofErr w:type="spellEnd"/>
      <w:r w:rsidRPr="00B73EC5">
        <w:rPr>
          <w:i/>
          <w:sz w:val="22"/>
          <w:szCs w:val="22"/>
        </w:rPr>
        <w:t xml:space="preserve"> em situações em que não há quebra do equilíbrio econômico financeiro, o que absolutamente não é o caso dos autos em exame, em que houve a substituição de item de serviço com preço adequado (CBUQ) por outro cujo preço unitário encontrava-se acima dos parâmetros admissíveis de mercado (SMA)</w:t>
      </w:r>
      <w:r w:rsidRPr="00B73EC5">
        <w:rPr>
          <w:sz w:val="22"/>
          <w:szCs w:val="22"/>
        </w:rPr>
        <w:t>”.  O Tribunal, acolhendo o voto do relator, decid</w:t>
      </w:r>
      <w:r w:rsidR="00145439">
        <w:rPr>
          <w:sz w:val="22"/>
          <w:szCs w:val="22"/>
        </w:rPr>
        <w:t>iu: a) converter o processo em T</w:t>
      </w:r>
      <w:r w:rsidRPr="00B73EC5">
        <w:rPr>
          <w:sz w:val="22"/>
          <w:szCs w:val="22"/>
        </w:rPr>
        <w:t xml:space="preserve">omada </w:t>
      </w:r>
      <w:r w:rsidR="00145439">
        <w:rPr>
          <w:sz w:val="22"/>
          <w:szCs w:val="22"/>
        </w:rPr>
        <w:t>de Contas E</w:t>
      </w:r>
      <w:r w:rsidRPr="00B73EC5">
        <w:rPr>
          <w:sz w:val="22"/>
          <w:szCs w:val="22"/>
        </w:rPr>
        <w:t>special em razão do superfa</w:t>
      </w:r>
      <w:r w:rsidR="00C772D2">
        <w:rPr>
          <w:sz w:val="22"/>
          <w:szCs w:val="22"/>
        </w:rPr>
        <w:t>turamento constatado</w:t>
      </w:r>
      <w:r w:rsidR="00117178">
        <w:rPr>
          <w:sz w:val="22"/>
          <w:szCs w:val="22"/>
        </w:rPr>
        <w:t>;</w:t>
      </w:r>
      <w:r w:rsidR="00C772D2">
        <w:rPr>
          <w:sz w:val="22"/>
          <w:szCs w:val="22"/>
        </w:rPr>
        <w:t xml:space="preserve"> e b) fazer a citação</w:t>
      </w:r>
      <w:r w:rsidRPr="00B73EC5">
        <w:rPr>
          <w:sz w:val="22"/>
          <w:szCs w:val="22"/>
        </w:rPr>
        <w:t xml:space="preserve"> </w:t>
      </w:r>
      <w:r w:rsidR="00C772D2">
        <w:rPr>
          <w:sz w:val="22"/>
          <w:szCs w:val="22"/>
        </w:rPr>
        <w:t>d</w:t>
      </w:r>
      <w:r w:rsidRPr="00B73EC5">
        <w:rPr>
          <w:sz w:val="22"/>
          <w:szCs w:val="22"/>
        </w:rPr>
        <w:t>os responsáveis</w:t>
      </w:r>
      <w:r w:rsidR="00C772D2">
        <w:rPr>
          <w:sz w:val="22"/>
          <w:szCs w:val="22"/>
        </w:rPr>
        <w:t xml:space="preserve"> pel</w:t>
      </w:r>
      <w:r w:rsidRPr="00B73EC5">
        <w:rPr>
          <w:sz w:val="22"/>
          <w:szCs w:val="22"/>
        </w:rPr>
        <w:t>o débito apurado.</w:t>
      </w:r>
      <w:r w:rsidR="00117178">
        <w:rPr>
          <w:sz w:val="22"/>
          <w:szCs w:val="22"/>
        </w:rPr>
        <w:t xml:space="preserve"> </w:t>
      </w:r>
      <w:hyperlink r:id="rId10" w:history="1">
        <w:r w:rsidR="00A51BDE" w:rsidRPr="00A51BDE">
          <w:rPr>
            <w:rStyle w:val="Hyperlink"/>
            <w:b/>
            <w:i/>
            <w:sz w:val="22"/>
            <w:szCs w:val="22"/>
          </w:rPr>
          <w:t>Acórdão 349/2014-Plenário</w:t>
        </w:r>
      </w:hyperlink>
      <w:r w:rsidRPr="00B73EC5">
        <w:rPr>
          <w:b/>
          <w:i/>
          <w:sz w:val="22"/>
          <w:szCs w:val="22"/>
        </w:rPr>
        <w:t xml:space="preserve">, TC 007.702/2005-6, relator Ministro Benjamin </w:t>
      </w:r>
      <w:proofErr w:type="spellStart"/>
      <w:r w:rsidRPr="00B73EC5">
        <w:rPr>
          <w:b/>
          <w:i/>
          <w:sz w:val="22"/>
          <w:szCs w:val="22"/>
        </w:rPr>
        <w:t>Zymler</w:t>
      </w:r>
      <w:proofErr w:type="spellEnd"/>
      <w:r w:rsidRPr="00B73EC5">
        <w:rPr>
          <w:b/>
          <w:i/>
          <w:sz w:val="22"/>
          <w:szCs w:val="22"/>
        </w:rPr>
        <w:t>, 19.2.2014.</w:t>
      </w:r>
    </w:p>
    <w:p w:rsidR="002033AF" w:rsidRPr="00B73EC5" w:rsidRDefault="002033AF" w:rsidP="009B522F">
      <w:pPr>
        <w:pStyle w:val="Default"/>
        <w:jc w:val="both"/>
        <w:rPr>
          <w:b/>
          <w:i/>
          <w:sz w:val="22"/>
          <w:szCs w:val="22"/>
        </w:rPr>
      </w:pPr>
    </w:p>
    <w:p w:rsidR="002033AF" w:rsidRPr="00B73EC5" w:rsidRDefault="002033AF" w:rsidP="009B522F">
      <w:pPr>
        <w:pStyle w:val="Default"/>
        <w:jc w:val="both"/>
        <w:rPr>
          <w:b/>
          <w:sz w:val="22"/>
          <w:szCs w:val="22"/>
        </w:rPr>
      </w:pPr>
      <w:r w:rsidRPr="00B73EC5">
        <w:rPr>
          <w:b/>
          <w:sz w:val="22"/>
          <w:szCs w:val="22"/>
        </w:rPr>
        <w:t xml:space="preserve">4. </w:t>
      </w:r>
      <w:r w:rsidR="00507DD2">
        <w:rPr>
          <w:b/>
          <w:sz w:val="22"/>
          <w:szCs w:val="22"/>
        </w:rPr>
        <w:t>Na contratação</w:t>
      </w:r>
      <w:r w:rsidRPr="00B73EC5">
        <w:rPr>
          <w:b/>
          <w:sz w:val="22"/>
          <w:szCs w:val="22"/>
        </w:rPr>
        <w:t xml:space="preserve"> de serviços de agenciamento de viagens não é razoável exigir</w:t>
      </w:r>
      <w:r w:rsidR="00507DD2">
        <w:rPr>
          <w:b/>
          <w:sz w:val="22"/>
          <w:szCs w:val="22"/>
        </w:rPr>
        <w:t xml:space="preserve"> a instalação de</w:t>
      </w:r>
      <w:r w:rsidRPr="00B73EC5">
        <w:rPr>
          <w:b/>
          <w:sz w:val="22"/>
          <w:szCs w:val="22"/>
        </w:rPr>
        <w:t xml:space="preserve"> pos</w:t>
      </w:r>
      <w:r w:rsidR="00507DD2">
        <w:rPr>
          <w:b/>
          <w:sz w:val="22"/>
          <w:szCs w:val="22"/>
        </w:rPr>
        <w:t>tos presenciais em</w:t>
      </w:r>
      <w:r w:rsidR="006E220A">
        <w:rPr>
          <w:b/>
          <w:sz w:val="22"/>
          <w:szCs w:val="22"/>
        </w:rPr>
        <w:t xml:space="preserve"> diversas</w:t>
      </w:r>
      <w:r w:rsidR="00507DD2">
        <w:rPr>
          <w:b/>
          <w:sz w:val="22"/>
          <w:szCs w:val="22"/>
        </w:rPr>
        <w:t xml:space="preserve"> unidades da F</w:t>
      </w:r>
      <w:r w:rsidRPr="00B73EC5">
        <w:rPr>
          <w:b/>
          <w:sz w:val="22"/>
          <w:szCs w:val="22"/>
        </w:rPr>
        <w:t>ederação, tendo em vista que a marcação de passagens aéreas e a reserva de hotéis são usualmente feitas por meio eletrônico.</w:t>
      </w:r>
    </w:p>
    <w:p w:rsidR="002033AF" w:rsidRPr="00B73EC5" w:rsidRDefault="002033AF" w:rsidP="009B522F">
      <w:pPr>
        <w:pStyle w:val="Default"/>
        <w:jc w:val="both"/>
        <w:rPr>
          <w:b/>
          <w:i/>
          <w:sz w:val="22"/>
          <w:szCs w:val="22"/>
        </w:rPr>
      </w:pPr>
      <w:r w:rsidRPr="00B73EC5">
        <w:rPr>
          <w:sz w:val="22"/>
          <w:szCs w:val="22"/>
        </w:rPr>
        <w:t xml:space="preserve">Representação oferecida por sociedade empresária apontara possíveis irregularidades em pregão eletrônico conduzido pela </w:t>
      </w:r>
      <w:proofErr w:type="spellStart"/>
      <w:r w:rsidRPr="00B73EC5">
        <w:rPr>
          <w:sz w:val="22"/>
          <w:szCs w:val="22"/>
        </w:rPr>
        <w:t>Eletrobras</w:t>
      </w:r>
      <w:proofErr w:type="spellEnd"/>
      <w:r w:rsidRPr="00B73EC5">
        <w:rPr>
          <w:sz w:val="22"/>
          <w:szCs w:val="22"/>
        </w:rPr>
        <w:t xml:space="preserve"> Amazonas Energia S/A, destinado à contratação de serviços de agenciamento de viagens. A controvérsia principal residia em exigência constante do termo de referência para a instalação de postos de serviços da contratada nas Empresas de Distribuição de </w:t>
      </w:r>
      <w:r w:rsidR="00507DD2">
        <w:rPr>
          <w:sz w:val="22"/>
          <w:szCs w:val="22"/>
        </w:rPr>
        <w:t xml:space="preserve">Energia Elétrica da </w:t>
      </w:r>
      <w:proofErr w:type="spellStart"/>
      <w:r w:rsidR="00507DD2">
        <w:rPr>
          <w:sz w:val="22"/>
          <w:szCs w:val="22"/>
        </w:rPr>
        <w:t>Eletrobras</w:t>
      </w:r>
      <w:proofErr w:type="spellEnd"/>
      <w:r w:rsidR="00507DD2">
        <w:rPr>
          <w:sz w:val="22"/>
          <w:szCs w:val="22"/>
        </w:rPr>
        <w:t xml:space="preserve"> (EDE), três no e</w:t>
      </w:r>
      <w:r w:rsidRPr="00B73EC5">
        <w:rPr>
          <w:sz w:val="22"/>
          <w:szCs w:val="22"/>
        </w:rPr>
        <w:t xml:space="preserve">stado do Amazonas e um em Roraima, Rondônia, Acre, Alagoas e Piauí. Realizadas as oitivas regimentais, após a suspensão cautelar do certame, observou o relator que </w:t>
      </w:r>
      <w:r w:rsidRPr="00B73EC5">
        <w:rPr>
          <w:i/>
          <w:sz w:val="22"/>
          <w:szCs w:val="22"/>
        </w:rPr>
        <w:t>“a marcação de passagens aéreas e a reserva de hotéis, nos dias de hoje, é usualmente feita por meio eletrônico, não se revelando razoável exigir postos presenciais em unidades da Federação”</w:t>
      </w:r>
      <w:r w:rsidRPr="00B73EC5">
        <w:rPr>
          <w:sz w:val="22"/>
          <w:szCs w:val="22"/>
        </w:rPr>
        <w:t xml:space="preserve">. Ponderou, no que respeita à economicidade do certame, que </w:t>
      </w:r>
      <w:r w:rsidR="00C6482F">
        <w:rPr>
          <w:i/>
          <w:sz w:val="22"/>
          <w:szCs w:val="22"/>
        </w:rPr>
        <w:t>“a</w:t>
      </w:r>
      <w:r w:rsidRPr="00B73EC5">
        <w:rPr>
          <w:i/>
          <w:sz w:val="22"/>
          <w:szCs w:val="22"/>
        </w:rPr>
        <w:t xml:space="preserve"> instalação de oito postos de serviço com microcomputador, internet de banda larga, impressora, fax, linha telefônica e demais itens necessários, além de pessoal qualifi</w:t>
      </w:r>
      <w:r w:rsidR="00C6482F">
        <w:rPr>
          <w:i/>
          <w:sz w:val="22"/>
          <w:szCs w:val="22"/>
        </w:rPr>
        <w:t>cado, não pode ser considerada ‘pequeno aumento de custos’</w:t>
      </w:r>
      <w:r w:rsidRPr="00B73EC5">
        <w:rPr>
          <w:i/>
          <w:sz w:val="22"/>
          <w:szCs w:val="22"/>
        </w:rPr>
        <w:t>, como alega a empresa”</w:t>
      </w:r>
      <w:r w:rsidRPr="00B73EC5">
        <w:rPr>
          <w:sz w:val="22"/>
          <w:szCs w:val="22"/>
        </w:rPr>
        <w:t>. E acrescentou que, além do desnecessário custo adicional, o requisito iria “</w:t>
      </w:r>
      <w:r w:rsidRPr="00B73EC5">
        <w:rPr>
          <w:i/>
          <w:sz w:val="22"/>
          <w:szCs w:val="22"/>
        </w:rPr>
        <w:t>restringir a competitividade, limitando a participação a empresas com representação nacional ou, pelo menos, regional”</w:t>
      </w:r>
      <w:r w:rsidRPr="00B73EC5">
        <w:rPr>
          <w:sz w:val="22"/>
          <w:szCs w:val="22"/>
        </w:rPr>
        <w:t>. Ademais, o próprio termo de referência, pontuou o relator, prevê, de modo a assegurar a eficiência pretendida, serviços de plantão para atendimento 24</w:t>
      </w:r>
      <w:r w:rsidR="00C6482F">
        <w:rPr>
          <w:sz w:val="22"/>
          <w:szCs w:val="22"/>
        </w:rPr>
        <w:t xml:space="preserve"> </w:t>
      </w:r>
      <w:r w:rsidRPr="00B73EC5">
        <w:rPr>
          <w:sz w:val="22"/>
          <w:szCs w:val="22"/>
        </w:rPr>
        <w:t>h</w:t>
      </w:r>
      <w:r w:rsidR="00C6482F">
        <w:rPr>
          <w:sz w:val="22"/>
          <w:szCs w:val="22"/>
        </w:rPr>
        <w:t>oras</w:t>
      </w:r>
      <w:r w:rsidRPr="00B73EC5">
        <w:rPr>
          <w:sz w:val="22"/>
          <w:szCs w:val="22"/>
        </w:rPr>
        <w:t xml:space="preserve"> ao dia, mediante acesso gratuito (0800). Ressaltou ainda o relator que, eventualmente, pode a </w:t>
      </w:r>
      <w:proofErr w:type="spellStart"/>
      <w:r w:rsidRPr="00B73EC5">
        <w:rPr>
          <w:sz w:val="22"/>
          <w:szCs w:val="22"/>
        </w:rPr>
        <w:t>Eletrobrás</w:t>
      </w:r>
      <w:r w:rsidRPr="00B73EC5">
        <w:rPr>
          <w:i/>
          <w:sz w:val="22"/>
          <w:szCs w:val="22"/>
        </w:rPr>
        <w:t>“optar</w:t>
      </w:r>
      <w:proofErr w:type="spellEnd"/>
      <w:r w:rsidRPr="00B73EC5">
        <w:rPr>
          <w:i/>
          <w:sz w:val="22"/>
          <w:szCs w:val="22"/>
        </w:rPr>
        <w:t xml:space="preserve"> por realizar contratações específicas diante da demanda concentrada em determinado estado, como o Amazonas, por exemplo, onde se identifica grande fluxo de deslocamentos em áreas de difícil acesso em localidades atendidas pela Amazonas Energia”</w:t>
      </w:r>
      <w:r w:rsidRPr="00B73EC5">
        <w:rPr>
          <w:sz w:val="22"/>
          <w:szCs w:val="22"/>
        </w:rPr>
        <w:t>. Nesses termos, o Tribunal, acolhendo a proposta da relatoria, consid</w:t>
      </w:r>
      <w:r w:rsidR="00507DD2">
        <w:rPr>
          <w:sz w:val="22"/>
          <w:szCs w:val="22"/>
        </w:rPr>
        <w:t>erou parcialmente procedente a R</w:t>
      </w:r>
      <w:r w:rsidRPr="00B73EC5">
        <w:rPr>
          <w:sz w:val="22"/>
          <w:szCs w:val="22"/>
        </w:rPr>
        <w:t>epresentaç</w:t>
      </w:r>
      <w:r w:rsidR="00507DD2">
        <w:rPr>
          <w:sz w:val="22"/>
          <w:szCs w:val="22"/>
        </w:rPr>
        <w:t>ão, revogou a cautelar</w:t>
      </w:r>
      <w:r w:rsidRPr="00B73EC5">
        <w:rPr>
          <w:sz w:val="22"/>
          <w:szCs w:val="22"/>
        </w:rPr>
        <w:t xml:space="preserve"> e determinou a adoção de providências para a retirada da exigência relativa à instalaçã</w:t>
      </w:r>
      <w:r w:rsidR="00507DD2">
        <w:rPr>
          <w:sz w:val="22"/>
          <w:szCs w:val="22"/>
        </w:rPr>
        <w:t>o de postos de serviços nas EDE</w:t>
      </w:r>
      <w:r w:rsidRPr="00B73EC5">
        <w:rPr>
          <w:sz w:val="22"/>
          <w:szCs w:val="22"/>
        </w:rPr>
        <w:t xml:space="preserve">. </w:t>
      </w:r>
      <w:r w:rsidRPr="00B73EC5">
        <w:rPr>
          <w:b/>
          <w:i/>
          <w:sz w:val="22"/>
          <w:szCs w:val="22"/>
        </w:rPr>
        <w:t xml:space="preserve"> </w:t>
      </w:r>
      <w:hyperlink r:id="rId11" w:history="1">
        <w:r w:rsidR="00A51BDE" w:rsidRPr="00A51BDE">
          <w:rPr>
            <w:rStyle w:val="Hyperlink"/>
            <w:b/>
            <w:i/>
            <w:sz w:val="22"/>
            <w:szCs w:val="22"/>
          </w:rPr>
          <w:t>Acórdão 357/2014-Plenário</w:t>
        </w:r>
      </w:hyperlink>
      <w:r w:rsidRPr="00B73EC5">
        <w:rPr>
          <w:b/>
          <w:i/>
          <w:sz w:val="22"/>
          <w:szCs w:val="22"/>
        </w:rPr>
        <w:t>, TC 034.082/2013-1, relator Ministro José Jorge, 19.2.2014.</w:t>
      </w:r>
    </w:p>
    <w:p w:rsidR="002033AF" w:rsidRDefault="002033AF" w:rsidP="002033AF">
      <w:pPr>
        <w:pStyle w:val="Default"/>
        <w:jc w:val="both"/>
        <w:rPr>
          <w:b/>
          <w:i/>
          <w:sz w:val="22"/>
          <w:szCs w:val="22"/>
        </w:rPr>
      </w:pPr>
    </w:p>
    <w:p w:rsidR="00B7207F" w:rsidRDefault="002033AF" w:rsidP="00B7207F">
      <w:pPr>
        <w:pBdr>
          <w:top w:val="threeDEmboss" w:sz="24" w:space="1" w:color="auto"/>
        </w:pBdr>
        <w:tabs>
          <w:tab w:val="left" w:pos="284"/>
          <w:tab w:val="left" w:pos="4172"/>
          <w:tab w:val="center" w:pos="4818"/>
        </w:tabs>
        <w:spacing w:after="0"/>
        <w:ind w:left="0"/>
        <w:jc w:val="center"/>
        <w:rPr>
          <w:b/>
          <w:bCs/>
          <w:smallCaps/>
          <w:sz w:val="22"/>
          <w:szCs w:val="22"/>
        </w:rPr>
      </w:pPr>
      <w:r>
        <w:rPr>
          <w:b/>
          <w:bCs/>
          <w:smallCaps/>
          <w:sz w:val="22"/>
          <w:szCs w:val="22"/>
        </w:rPr>
        <w:t>PRIMEIRA</w:t>
      </w:r>
      <w:r w:rsidR="00B7207F">
        <w:rPr>
          <w:b/>
          <w:bCs/>
          <w:smallCaps/>
          <w:sz w:val="22"/>
          <w:szCs w:val="22"/>
        </w:rPr>
        <w:t xml:space="preserve"> CÂMARA</w:t>
      </w:r>
    </w:p>
    <w:p w:rsidR="002033AF" w:rsidRDefault="002033AF" w:rsidP="00B7207F">
      <w:pPr>
        <w:pBdr>
          <w:top w:val="threeDEmboss" w:sz="24" w:space="1" w:color="auto"/>
        </w:pBdr>
        <w:tabs>
          <w:tab w:val="left" w:pos="284"/>
          <w:tab w:val="left" w:pos="4172"/>
          <w:tab w:val="center" w:pos="4818"/>
        </w:tabs>
        <w:spacing w:after="0"/>
        <w:ind w:left="0"/>
        <w:jc w:val="center"/>
        <w:rPr>
          <w:b/>
          <w:bCs/>
          <w:smallCaps/>
          <w:sz w:val="22"/>
          <w:szCs w:val="22"/>
        </w:rPr>
      </w:pPr>
    </w:p>
    <w:p w:rsidR="002033AF" w:rsidRPr="006F74DC" w:rsidRDefault="00B73EC5" w:rsidP="009B522F">
      <w:pPr>
        <w:pStyle w:val="Default"/>
        <w:jc w:val="both"/>
        <w:rPr>
          <w:b/>
          <w:sz w:val="22"/>
          <w:szCs w:val="22"/>
        </w:rPr>
      </w:pPr>
      <w:r>
        <w:rPr>
          <w:b/>
          <w:color w:val="auto"/>
          <w:sz w:val="22"/>
          <w:szCs w:val="22"/>
        </w:rPr>
        <w:t>5</w:t>
      </w:r>
      <w:bookmarkStart w:id="1" w:name="Hit1"/>
      <w:r w:rsidR="002033AF">
        <w:rPr>
          <w:b/>
          <w:color w:val="auto"/>
          <w:sz w:val="22"/>
          <w:szCs w:val="22"/>
        </w:rPr>
        <w:t xml:space="preserve">. </w:t>
      </w:r>
      <w:r w:rsidR="002033AF" w:rsidRPr="006F74DC">
        <w:rPr>
          <w:b/>
          <w:sz w:val="22"/>
          <w:szCs w:val="22"/>
        </w:rPr>
        <w:t>Na contratação</w:t>
      </w:r>
      <w:r w:rsidR="008D7A0A">
        <w:rPr>
          <w:b/>
          <w:sz w:val="22"/>
          <w:szCs w:val="22"/>
        </w:rPr>
        <w:t xml:space="preserve"> direta de artistas consagrados</w:t>
      </w:r>
      <w:r w:rsidR="00A06344">
        <w:rPr>
          <w:b/>
          <w:sz w:val="22"/>
          <w:szCs w:val="22"/>
        </w:rPr>
        <w:t>, com base</w:t>
      </w:r>
      <w:r w:rsidR="00910B23">
        <w:rPr>
          <w:b/>
          <w:sz w:val="22"/>
          <w:szCs w:val="22"/>
        </w:rPr>
        <w:t xml:space="preserve"> </w:t>
      </w:r>
      <w:r w:rsidR="002033AF" w:rsidRPr="006F74DC">
        <w:rPr>
          <w:b/>
          <w:sz w:val="22"/>
          <w:szCs w:val="22"/>
        </w:rPr>
        <w:t>no inciso III do art. 25 da Lei 8.666/9</w:t>
      </w:r>
      <w:r w:rsidR="002033AF">
        <w:rPr>
          <w:b/>
          <w:sz w:val="22"/>
          <w:szCs w:val="22"/>
        </w:rPr>
        <w:t>3</w:t>
      </w:r>
      <w:r w:rsidR="00910B23">
        <w:rPr>
          <w:b/>
          <w:sz w:val="22"/>
          <w:szCs w:val="22"/>
        </w:rPr>
        <w:t>,</w:t>
      </w:r>
      <w:r w:rsidR="002033AF" w:rsidRPr="006F74DC">
        <w:rPr>
          <w:b/>
          <w:sz w:val="22"/>
          <w:szCs w:val="22"/>
        </w:rPr>
        <w:t xml:space="preserve"> por meio de intermediários ou</w:t>
      </w:r>
      <w:r w:rsidR="002033AF">
        <w:rPr>
          <w:b/>
          <w:sz w:val="22"/>
          <w:szCs w:val="22"/>
        </w:rPr>
        <w:t xml:space="preserve"> representantes, deve ser </w:t>
      </w:r>
      <w:r w:rsidR="002033AF" w:rsidRPr="006F74DC">
        <w:rPr>
          <w:b/>
          <w:sz w:val="22"/>
          <w:szCs w:val="22"/>
        </w:rPr>
        <w:t>apresentada cópia do contrato</w:t>
      </w:r>
      <w:r w:rsidR="00910B23">
        <w:rPr>
          <w:b/>
          <w:sz w:val="22"/>
          <w:szCs w:val="22"/>
        </w:rPr>
        <w:t>, registrado em cartório,</w:t>
      </w:r>
      <w:r w:rsidR="002033AF" w:rsidRPr="006F74DC">
        <w:rPr>
          <w:b/>
          <w:sz w:val="22"/>
          <w:szCs w:val="22"/>
        </w:rPr>
        <w:t xml:space="preserve"> de exclusividade dos artistas com o</w:t>
      </w:r>
      <w:r w:rsidR="002033AF">
        <w:rPr>
          <w:b/>
          <w:sz w:val="22"/>
          <w:szCs w:val="22"/>
        </w:rPr>
        <w:t xml:space="preserve"> </w:t>
      </w:r>
      <w:r w:rsidR="002033AF" w:rsidRPr="006F74DC">
        <w:rPr>
          <w:b/>
          <w:sz w:val="22"/>
          <w:szCs w:val="22"/>
        </w:rPr>
        <w:t>empresário contratado. O contrato de exclusividade difere da autorização que</w:t>
      </w:r>
      <w:r w:rsidR="002033AF">
        <w:rPr>
          <w:b/>
          <w:sz w:val="22"/>
          <w:szCs w:val="22"/>
        </w:rPr>
        <w:t xml:space="preserve"> </w:t>
      </w:r>
      <w:r w:rsidR="00A06344">
        <w:rPr>
          <w:b/>
          <w:sz w:val="22"/>
          <w:szCs w:val="22"/>
        </w:rPr>
        <w:t>dá</w:t>
      </w:r>
      <w:r w:rsidR="002033AF" w:rsidRPr="006F74DC">
        <w:rPr>
          <w:b/>
          <w:sz w:val="22"/>
          <w:szCs w:val="22"/>
        </w:rPr>
        <w:t xml:space="preserve"> exclusividade apenas para os dias correspondentes à apresentação dos artistas e</w:t>
      </w:r>
      <w:r w:rsidR="00910B23">
        <w:rPr>
          <w:b/>
          <w:sz w:val="22"/>
          <w:szCs w:val="22"/>
        </w:rPr>
        <w:t xml:space="preserve"> é</w:t>
      </w:r>
      <w:r w:rsidR="002033AF" w:rsidRPr="006F74DC">
        <w:rPr>
          <w:b/>
          <w:sz w:val="22"/>
          <w:szCs w:val="22"/>
        </w:rPr>
        <w:t xml:space="preserve"> restrita à</w:t>
      </w:r>
      <w:r w:rsidR="002033AF">
        <w:rPr>
          <w:b/>
          <w:sz w:val="22"/>
          <w:szCs w:val="22"/>
        </w:rPr>
        <w:t xml:space="preserve"> </w:t>
      </w:r>
      <w:r w:rsidR="00A06344">
        <w:rPr>
          <w:b/>
          <w:sz w:val="22"/>
          <w:szCs w:val="22"/>
        </w:rPr>
        <w:t>localidade do evento, a qual não se presta para fundamentar a inexigibilidade.</w:t>
      </w:r>
    </w:p>
    <w:p w:rsidR="002033AF" w:rsidRDefault="002033AF" w:rsidP="009B522F">
      <w:pPr>
        <w:pStyle w:val="Default"/>
        <w:jc w:val="both"/>
        <w:rPr>
          <w:b/>
          <w:i/>
          <w:sz w:val="22"/>
          <w:szCs w:val="22"/>
        </w:rPr>
      </w:pPr>
      <w:r>
        <w:rPr>
          <w:sz w:val="22"/>
          <w:szCs w:val="22"/>
        </w:rPr>
        <w:t xml:space="preserve">Em </w:t>
      </w:r>
      <w:r w:rsidRPr="00346296">
        <w:rPr>
          <w:sz w:val="22"/>
          <w:szCs w:val="22"/>
        </w:rPr>
        <w:t>Representação</w:t>
      </w:r>
      <w:bookmarkEnd w:id="1"/>
      <w:r>
        <w:rPr>
          <w:sz w:val="22"/>
          <w:szCs w:val="22"/>
        </w:rPr>
        <w:t xml:space="preserve"> relativa a</w:t>
      </w:r>
      <w:r w:rsidRPr="00346296">
        <w:rPr>
          <w:sz w:val="22"/>
          <w:szCs w:val="22"/>
        </w:rPr>
        <w:t xml:space="preserve"> </w:t>
      </w:r>
      <w:r w:rsidR="008D7A0A">
        <w:rPr>
          <w:sz w:val="22"/>
          <w:szCs w:val="22"/>
        </w:rPr>
        <w:t>contratações</w:t>
      </w:r>
      <w:r w:rsidRPr="006F74DC">
        <w:rPr>
          <w:sz w:val="22"/>
          <w:szCs w:val="22"/>
        </w:rPr>
        <w:t xml:space="preserve"> direta</w:t>
      </w:r>
      <w:r w:rsidR="008D7A0A">
        <w:rPr>
          <w:sz w:val="22"/>
          <w:szCs w:val="22"/>
        </w:rPr>
        <w:t>s</w:t>
      </w:r>
      <w:r w:rsidRPr="006F74DC">
        <w:rPr>
          <w:sz w:val="22"/>
          <w:szCs w:val="22"/>
        </w:rPr>
        <w:t xml:space="preserve"> de </w:t>
      </w:r>
      <w:r>
        <w:rPr>
          <w:sz w:val="22"/>
          <w:szCs w:val="22"/>
        </w:rPr>
        <w:t>bandas para realização de shows</w:t>
      </w:r>
      <w:r w:rsidRPr="006F74DC">
        <w:rPr>
          <w:sz w:val="22"/>
          <w:szCs w:val="22"/>
        </w:rPr>
        <w:t>, promovida</w:t>
      </w:r>
      <w:r w:rsidR="008D7A0A">
        <w:rPr>
          <w:sz w:val="22"/>
          <w:szCs w:val="22"/>
        </w:rPr>
        <w:t>s</w:t>
      </w:r>
      <w:r w:rsidRPr="006F74DC">
        <w:rPr>
          <w:sz w:val="22"/>
          <w:szCs w:val="22"/>
        </w:rPr>
        <w:t xml:space="preserve"> mediante inexigibilidade de licitação, com</w:t>
      </w:r>
      <w:r>
        <w:rPr>
          <w:sz w:val="22"/>
          <w:szCs w:val="22"/>
        </w:rPr>
        <w:t xml:space="preserve"> </w:t>
      </w:r>
      <w:r w:rsidRPr="006F74DC">
        <w:rPr>
          <w:sz w:val="22"/>
          <w:szCs w:val="22"/>
        </w:rPr>
        <w:t>recursos d</w:t>
      </w:r>
      <w:r>
        <w:rPr>
          <w:sz w:val="22"/>
          <w:szCs w:val="22"/>
        </w:rPr>
        <w:t>e c</w:t>
      </w:r>
      <w:r w:rsidRPr="006F74DC">
        <w:rPr>
          <w:sz w:val="22"/>
          <w:szCs w:val="22"/>
        </w:rPr>
        <w:t xml:space="preserve">onvênio firmado entre </w:t>
      </w:r>
      <w:r>
        <w:rPr>
          <w:sz w:val="22"/>
          <w:szCs w:val="22"/>
        </w:rPr>
        <w:t>municípi</w:t>
      </w:r>
      <w:r w:rsidRPr="006F74DC">
        <w:rPr>
          <w:sz w:val="22"/>
          <w:szCs w:val="22"/>
        </w:rPr>
        <w:t>o e o</w:t>
      </w:r>
      <w:r>
        <w:rPr>
          <w:sz w:val="22"/>
          <w:szCs w:val="22"/>
        </w:rPr>
        <w:t xml:space="preserve"> </w:t>
      </w:r>
      <w:r w:rsidRPr="006F74DC">
        <w:rPr>
          <w:sz w:val="22"/>
          <w:szCs w:val="22"/>
        </w:rPr>
        <w:t>Ministério do Turismo</w:t>
      </w:r>
      <w:r>
        <w:rPr>
          <w:sz w:val="22"/>
          <w:szCs w:val="22"/>
        </w:rPr>
        <w:t>, a unidade técnica constatara que “</w:t>
      </w:r>
      <w:r w:rsidRPr="002610EE">
        <w:rPr>
          <w:i/>
          <w:sz w:val="22"/>
          <w:szCs w:val="22"/>
        </w:rPr>
        <w:t>as cartas de exclusividade, apresentadas como exigência para ratificação do processo de inexigibilidade de licitação, conferem exclusividade apenas para as datas especificadas e para a</w:t>
      </w:r>
      <w:r>
        <w:rPr>
          <w:i/>
          <w:sz w:val="22"/>
          <w:szCs w:val="22"/>
        </w:rPr>
        <w:t xml:space="preserve"> </w:t>
      </w:r>
      <w:r w:rsidRPr="002610EE">
        <w:rPr>
          <w:i/>
          <w:sz w:val="22"/>
          <w:szCs w:val="22"/>
        </w:rPr>
        <w:t>localidade do evento</w:t>
      </w:r>
      <w:r>
        <w:rPr>
          <w:sz w:val="22"/>
          <w:szCs w:val="22"/>
        </w:rPr>
        <w:t>”, ou seja, não se prestam a atestar a exclusividade</w:t>
      </w:r>
      <w:r w:rsidR="00D442F0">
        <w:rPr>
          <w:sz w:val="22"/>
          <w:szCs w:val="22"/>
        </w:rPr>
        <w:t xml:space="preserve"> de representação</w:t>
      </w:r>
      <w:r>
        <w:rPr>
          <w:sz w:val="22"/>
          <w:szCs w:val="22"/>
        </w:rPr>
        <w:t xml:space="preserve"> dos artistas contratados</w:t>
      </w:r>
      <w:r w:rsidRPr="002610EE">
        <w:rPr>
          <w:sz w:val="22"/>
          <w:szCs w:val="22"/>
        </w:rPr>
        <w:t>.</w:t>
      </w:r>
      <w:r>
        <w:rPr>
          <w:sz w:val="22"/>
          <w:szCs w:val="22"/>
        </w:rPr>
        <w:t xml:space="preserve"> Em juízo de mérito, o relator registrou que, de fato, “</w:t>
      </w:r>
      <w:r w:rsidRPr="00842593">
        <w:rPr>
          <w:i/>
          <w:sz w:val="22"/>
          <w:szCs w:val="22"/>
        </w:rPr>
        <w:t xml:space="preserve">as cartas de exclusividade apresentadas, com especificação de </w:t>
      </w:r>
      <w:proofErr w:type="spellStart"/>
      <w:r w:rsidRPr="00842593">
        <w:rPr>
          <w:i/>
          <w:sz w:val="22"/>
          <w:szCs w:val="22"/>
        </w:rPr>
        <w:t>dias</w:t>
      </w:r>
      <w:proofErr w:type="spellEnd"/>
      <w:r w:rsidRPr="00842593">
        <w:rPr>
          <w:i/>
          <w:sz w:val="22"/>
          <w:szCs w:val="22"/>
        </w:rPr>
        <w:t xml:space="preserve"> e local dos shows, não cumprem a orientação deste Tribunal, expedida diretamente ao Ministério do Turismo, por meio do Acórdão nº 96/2008 – Plenário, no sentido de que </w:t>
      </w:r>
      <w:r>
        <w:rPr>
          <w:i/>
          <w:sz w:val="22"/>
          <w:szCs w:val="22"/>
        </w:rPr>
        <w:t>‘</w:t>
      </w:r>
      <w:r w:rsidRPr="00842593">
        <w:rPr>
          <w:i/>
          <w:sz w:val="22"/>
          <w:szCs w:val="22"/>
        </w:rPr>
        <w:t>o contrato de exclusividade difere da autorização que confere exclusividade apenas para os dias correspondentes à apresentação dos artistas e que é restrita à localidade do evento</w:t>
      </w:r>
      <w:r w:rsidR="00AA584E">
        <w:rPr>
          <w:i/>
          <w:sz w:val="22"/>
          <w:szCs w:val="22"/>
        </w:rPr>
        <w:t>’</w:t>
      </w:r>
      <w:r w:rsidRPr="00842593">
        <w:rPr>
          <w:sz w:val="22"/>
          <w:szCs w:val="22"/>
        </w:rPr>
        <w:t>”.</w:t>
      </w:r>
      <w:r>
        <w:rPr>
          <w:sz w:val="22"/>
          <w:szCs w:val="22"/>
        </w:rPr>
        <w:t xml:space="preserve"> Ainda sobre o tema, o relator destacou o Acórdão 3826/2013 - 1ª Câmara</w:t>
      </w:r>
      <w:r w:rsidR="00AA584E">
        <w:rPr>
          <w:sz w:val="22"/>
          <w:szCs w:val="22"/>
        </w:rPr>
        <w:t>,</w:t>
      </w:r>
      <w:r>
        <w:rPr>
          <w:sz w:val="22"/>
          <w:szCs w:val="22"/>
        </w:rPr>
        <w:t xml:space="preserve"> que determinara</w:t>
      </w:r>
      <w:r w:rsidR="00AA584E">
        <w:rPr>
          <w:sz w:val="22"/>
          <w:szCs w:val="22"/>
        </w:rPr>
        <w:t>,</w:t>
      </w:r>
      <w:r>
        <w:rPr>
          <w:sz w:val="22"/>
          <w:szCs w:val="22"/>
        </w:rPr>
        <w:t xml:space="preserve"> também ao Ministério do Turismo</w:t>
      </w:r>
      <w:r w:rsidR="00AA584E">
        <w:rPr>
          <w:sz w:val="22"/>
          <w:szCs w:val="22"/>
        </w:rPr>
        <w:t>,</w:t>
      </w:r>
      <w:r>
        <w:rPr>
          <w:sz w:val="22"/>
          <w:szCs w:val="22"/>
        </w:rPr>
        <w:t xml:space="preserve"> a instauração de Tomada de Contas Especial </w:t>
      </w:r>
      <w:r w:rsidRPr="00D434AA">
        <w:rPr>
          <w:sz w:val="22"/>
          <w:szCs w:val="22"/>
        </w:rPr>
        <w:t>quando no exame da prestação de contas</w:t>
      </w:r>
      <w:r>
        <w:rPr>
          <w:sz w:val="22"/>
          <w:szCs w:val="22"/>
        </w:rPr>
        <w:t xml:space="preserve"> de convênio fosse constatada especialmente a seguinte irregularidade: “</w:t>
      </w:r>
      <w:r w:rsidRPr="00BE5A2C">
        <w:rPr>
          <w:i/>
          <w:sz w:val="22"/>
          <w:szCs w:val="22"/>
        </w:rPr>
        <w:t>contratação de bandas de música, por meio de inexigibilidade de licitação, sob o fundamento da exclusividade de representação, com base na apresentação de ‘cartas’ e de ‘declarações’ que supostamente atestariam a dita exclusividade, mas na verdade não se prestam para tanto, o que só pode ser feito por meio de contrato firmado entre artistas e empresários, devendo ainda constar registro em cartóri</w:t>
      </w:r>
      <w:r w:rsidR="00AA584E">
        <w:rPr>
          <w:i/>
          <w:sz w:val="22"/>
          <w:szCs w:val="22"/>
        </w:rPr>
        <w:t>o, além de regular publicação</w:t>
      </w:r>
      <w:r w:rsidR="00AA584E">
        <w:rPr>
          <w:sz w:val="22"/>
          <w:szCs w:val="22"/>
        </w:rPr>
        <w:t xml:space="preserve">”. </w:t>
      </w:r>
      <w:r>
        <w:rPr>
          <w:sz w:val="22"/>
          <w:szCs w:val="22"/>
        </w:rPr>
        <w:t>No caso concreto, considerando que a prestação de contas do convênio em questão ainda não teria sido apresentada, o relator propôs expedir determinação ao Ministério do Turismo para que “</w:t>
      </w:r>
      <w:r w:rsidRPr="00247855">
        <w:rPr>
          <w:i/>
          <w:sz w:val="22"/>
          <w:szCs w:val="22"/>
        </w:rPr>
        <w:t xml:space="preserve">adote as providências expressamente previstas na cláusula </w:t>
      </w:r>
      <w:r>
        <w:rPr>
          <w:i/>
          <w:sz w:val="22"/>
          <w:szCs w:val="22"/>
        </w:rPr>
        <w:t>(...)</w:t>
      </w:r>
      <w:r w:rsidRPr="00247855">
        <w:rPr>
          <w:i/>
          <w:sz w:val="22"/>
          <w:szCs w:val="22"/>
        </w:rPr>
        <w:t xml:space="preserve"> do Convênio nº </w:t>
      </w:r>
      <w:r>
        <w:rPr>
          <w:i/>
          <w:sz w:val="22"/>
          <w:szCs w:val="22"/>
        </w:rPr>
        <w:t>(...)</w:t>
      </w:r>
      <w:r w:rsidRPr="00247855">
        <w:rPr>
          <w:i/>
          <w:sz w:val="22"/>
          <w:szCs w:val="22"/>
        </w:rPr>
        <w:t xml:space="preserve">, com vistas à apresentação e análise da prestação de contas referente ao mencionado ajuste, levando em consideração as irregularidades ora levantadas e as orientações expedidas por meio dos Acórdãos </w:t>
      </w:r>
      <w:proofErr w:type="spellStart"/>
      <w:r w:rsidRPr="00247855">
        <w:rPr>
          <w:i/>
          <w:sz w:val="22"/>
          <w:szCs w:val="22"/>
        </w:rPr>
        <w:t>nºs</w:t>
      </w:r>
      <w:proofErr w:type="spellEnd"/>
      <w:r w:rsidRPr="00247855">
        <w:rPr>
          <w:i/>
          <w:sz w:val="22"/>
          <w:szCs w:val="22"/>
        </w:rPr>
        <w:t xml:space="preserve"> 96/2008 – Plenário e 3826/2013 – 1ª Câmara</w:t>
      </w:r>
      <w:r>
        <w:rPr>
          <w:sz w:val="22"/>
          <w:szCs w:val="22"/>
        </w:rPr>
        <w:t xml:space="preserve">”. </w:t>
      </w:r>
      <w:r w:rsidR="00AA584E">
        <w:rPr>
          <w:sz w:val="22"/>
          <w:szCs w:val="22"/>
        </w:rPr>
        <w:t>O Tribunal julgou procedente a R</w:t>
      </w:r>
      <w:r>
        <w:rPr>
          <w:sz w:val="22"/>
          <w:szCs w:val="22"/>
        </w:rPr>
        <w:t xml:space="preserve">epresentação, expedindo a determinação proposta pela relatoria. </w:t>
      </w:r>
      <w:r>
        <w:rPr>
          <w:b/>
          <w:i/>
          <w:sz w:val="22"/>
          <w:szCs w:val="22"/>
        </w:rPr>
        <w:t xml:space="preserve"> </w:t>
      </w:r>
      <w:hyperlink r:id="rId12" w:history="1">
        <w:r w:rsidRPr="003B760B">
          <w:rPr>
            <w:rStyle w:val="Hyperlink"/>
            <w:b/>
            <w:i/>
            <w:sz w:val="22"/>
            <w:szCs w:val="22"/>
          </w:rPr>
          <w:t>Acórdão 642/2014-Primeira Câmara</w:t>
        </w:r>
      </w:hyperlink>
      <w:r w:rsidRPr="00346296">
        <w:rPr>
          <w:b/>
          <w:i/>
          <w:sz w:val="22"/>
          <w:szCs w:val="22"/>
        </w:rPr>
        <w:t>, TC 0</w:t>
      </w:r>
      <w:r>
        <w:rPr>
          <w:b/>
          <w:i/>
          <w:sz w:val="22"/>
          <w:szCs w:val="22"/>
        </w:rPr>
        <w:t>1</w:t>
      </w:r>
      <w:r w:rsidRPr="00346296">
        <w:rPr>
          <w:b/>
          <w:i/>
          <w:sz w:val="22"/>
          <w:szCs w:val="22"/>
        </w:rPr>
        <w:t>6.</w:t>
      </w:r>
      <w:r>
        <w:rPr>
          <w:b/>
          <w:i/>
          <w:sz w:val="22"/>
          <w:szCs w:val="22"/>
        </w:rPr>
        <w:t>329</w:t>
      </w:r>
      <w:r w:rsidRPr="00346296">
        <w:rPr>
          <w:b/>
          <w:i/>
          <w:sz w:val="22"/>
          <w:szCs w:val="22"/>
        </w:rPr>
        <w:t>/201</w:t>
      </w:r>
      <w:r>
        <w:rPr>
          <w:b/>
          <w:i/>
          <w:sz w:val="22"/>
          <w:szCs w:val="22"/>
        </w:rPr>
        <w:t>2</w:t>
      </w:r>
      <w:r w:rsidRPr="00346296">
        <w:rPr>
          <w:b/>
          <w:i/>
          <w:sz w:val="22"/>
          <w:szCs w:val="22"/>
        </w:rPr>
        <w:t>-</w:t>
      </w:r>
      <w:r>
        <w:rPr>
          <w:b/>
          <w:i/>
          <w:sz w:val="22"/>
          <w:szCs w:val="22"/>
        </w:rPr>
        <w:t>0</w:t>
      </w:r>
      <w:r w:rsidRPr="00346296">
        <w:rPr>
          <w:b/>
          <w:i/>
          <w:sz w:val="22"/>
          <w:szCs w:val="22"/>
        </w:rPr>
        <w:t>, relator Ministro Valmir Campelo, 1</w:t>
      </w:r>
      <w:r>
        <w:rPr>
          <w:b/>
          <w:i/>
          <w:sz w:val="22"/>
          <w:szCs w:val="22"/>
        </w:rPr>
        <w:t>8</w:t>
      </w:r>
      <w:r w:rsidRPr="00346296">
        <w:rPr>
          <w:b/>
          <w:i/>
          <w:sz w:val="22"/>
          <w:szCs w:val="22"/>
        </w:rPr>
        <w:t>.2.2014.</w:t>
      </w:r>
    </w:p>
    <w:p w:rsidR="00B73EC5" w:rsidRDefault="00B73EC5" w:rsidP="002033AF">
      <w:pPr>
        <w:pStyle w:val="Default"/>
        <w:jc w:val="both"/>
        <w:rPr>
          <w:b/>
          <w:i/>
          <w:sz w:val="22"/>
          <w:szCs w:val="22"/>
        </w:rPr>
      </w:pPr>
    </w:p>
    <w:p w:rsidR="00B73EC5" w:rsidRDefault="00B73EC5" w:rsidP="002033AF">
      <w:pPr>
        <w:pStyle w:val="Default"/>
        <w:jc w:val="both"/>
        <w:rPr>
          <w:b/>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08246E" w:rsidRPr="00993B9D" w:rsidTr="008A12E6">
        <w:trPr>
          <w:trHeight w:val="779"/>
          <w:jc w:val="center"/>
        </w:trPr>
        <w:tc>
          <w:tcPr>
            <w:tcW w:w="0" w:type="auto"/>
            <w:vAlign w:val="center"/>
          </w:tcPr>
          <w:p w:rsidR="0008246E" w:rsidRPr="009E1BEB" w:rsidRDefault="0008246E" w:rsidP="008A12E6">
            <w:pPr>
              <w:pStyle w:val="enter-3pt"/>
              <w:tabs>
                <w:tab w:val="left" w:pos="2590"/>
              </w:tabs>
              <w:spacing w:line="240" w:lineRule="auto"/>
              <w:rPr>
                <w:b/>
                <w:i/>
                <w:sz w:val="18"/>
                <w:szCs w:val="18"/>
              </w:rPr>
            </w:pPr>
            <w:r w:rsidRPr="009E1BEB">
              <w:rPr>
                <w:b/>
                <w:i/>
                <w:sz w:val="18"/>
                <w:szCs w:val="18"/>
              </w:rPr>
              <w:t>Elaboração: Secretaria das Sessões</w:t>
            </w:r>
          </w:p>
          <w:p w:rsidR="0008246E" w:rsidRPr="00993B9D" w:rsidRDefault="0008246E" w:rsidP="008A12E6">
            <w:pPr>
              <w:pStyle w:val="enter-3pt"/>
              <w:tabs>
                <w:tab w:val="left" w:pos="2590"/>
              </w:tabs>
              <w:spacing w:line="240" w:lineRule="auto"/>
              <w:rPr>
                <w:b/>
                <w:i/>
                <w:sz w:val="22"/>
                <w:szCs w:val="22"/>
              </w:rPr>
            </w:pPr>
            <w:r w:rsidRPr="009E1BEB">
              <w:rPr>
                <w:b/>
                <w:i/>
                <w:sz w:val="18"/>
                <w:szCs w:val="18"/>
              </w:rPr>
              <w:t xml:space="preserve">Contato: </w:t>
            </w:r>
            <w:hyperlink r:id="rId13" w:history="1">
              <w:r w:rsidRPr="009E1BEB">
                <w:rPr>
                  <w:rStyle w:val="Hyperlink"/>
                  <w:b/>
                  <w:i/>
                  <w:color w:val="auto"/>
                  <w:sz w:val="18"/>
                  <w:szCs w:val="18"/>
                </w:rPr>
                <w:t>infojuris@tcu.gov.br</w:t>
              </w:r>
            </w:hyperlink>
          </w:p>
        </w:tc>
      </w:tr>
    </w:tbl>
    <w:p w:rsidR="00F3058F" w:rsidRDefault="00F3058F" w:rsidP="002033AF">
      <w:pPr>
        <w:pStyle w:val="Ttulo8"/>
        <w:tabs>
          <w:tab w:val="right" w:pos="4423"/>
        </w:tabs>
        <w:spacing w:before="0" w:after="0"/>
        <w:ind w:left="0"/>
        <w:jc w:val="center"/>
        <w:rPr>
          <w:b/>
          <w:sz w:val="22"/>
          <w:lang w:val="pt-BR"/>
        </w:rPr>
      </w:pPr>
    </w:p>
    <w:p w:rsidR="00DE1F76" w:rsidRDefault="00DE1F76" w:rsidP="00DE1F76">
      <w:pPr>
        <w:pStyle w:val="Default"/>
        <w:jc w:val="both"/>
        <w:rPr>
          <w:b/>
          <w:i/>
          <w:sz w:val="22"/>
          <w:szCs w:val="22"/>
        </w:rPr>
      </w:pPr>
    </w:p>
    <w:p w:rsidR="00DE1F76" w:rsidRPr="00DE1F76" w:rsidRDefault="00DE1F76" w:rsidP="00DE1F76"/>
    <w:sectPr w:rsidR="00DE1F76" w:rsidRPr="00DE1F76" w:rsidSect="00616945">
      <w:headerReference w:type="default" r:id="rId14"/>
      <w:footerReference w:type="default" r:id="rId15"/>
      <w:headerReference w:type="first" r:id="rId16"/>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E60" w:rsidRDefault="00686E60" w:rsidP="008B0547">
      <w:pPr>
        <w:spacing w:after="0"/>
      </w:pPr>
      <w:r>
        <w:separator/>
      </w:r>
    </w:p>
  </w:endnote>
  <w:endnote w:type="continuationSeparator" w:id="0">
    <w:p w:rsidR="00686E60" w:rsidRDefault="00686E60"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Pr="00C906CD" w:rsidRDefault="0078621C"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5C194A">
      <w:rPr>
        <w:noProof/>
        <w:sz w:val="20"/>
        <w:szCs w:val="20"/>
      </w:rPr>
      <w:t>4</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E60" w:rsidRDefault="00686E60" w:rsidP="008B0547">
      <w:pPr>
        <w:spacing w:after="0"/>
      </w:pPr>
      <w:r>
        <w:separator/>
      </w:r>
    </w:p>
  </w:footnote>
  <w:footnote w:type="continuationSeparator" w:id="0">
    <w:p w:rsidR="00686E60" w:rsidRDefault="00686E60"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pPr>
      <w:pStyle w:val="Cabealho"/>
    </w:pPr>
  </w:p>
  <w:p w:rsidR="0078621C" w:rsidRDefault="0078621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2C7621" w:rsidP="009D05A4">
    <w:pPr>
      <w:pStyle w:val="Cabealho"/>
      <w:ind w:left="0"/>
    </w:pPr>
    <w:r w:rsidRPr="00DB7C03">
      <w:rPr>
        <w:b/>
        <w:i/>
        <w:noProof/>
        <w:sz w:val="22"/>
        <w:szCs w:val="22"/>
        <w:lang w:eastAsia="pt-BR"/>
      </w:rPr>
      <w:drawing>
        <wp:inline distT="0" distB="0" distL="0" distR="0">
          <wp:extent cx="6105525" cy="781050"/>
          <wp:effectExtent l="0" t="0" r="9525"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5">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9">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1">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2">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7">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
  </w:num>
  <w:num w:numId="3">
    <w:abstractNumId w:val="16"/>
    <w:lvlOverride w:ilvl="0">
      <w:startOverride w:val="1"/>
    </w:lvlOverride>
  </w:num>
  <w:num w:numId="4">
    <w:abstractNumId w:val="10"/>
  </w:num>
  <w:num w:numId="5">
    <w:abstractNumId w:val="7"/>
  </w:num>
  <w:num w:numId="6">
    <w:abstractNumId w:val="6"/>
  </w:num>
  <w:num w:numId="7">
    <w:abstractNumId w:val="9"/>
  </w:num>
  <w:num w:numId="8">
    <w:abstractNumId w:val="11"/>
  </w:num>
  <w:num w:numId="9">
    <w:abstractNumId w:val="2"/>
  </w:num>
  <w:num w:numId="10">
    <w:abstractNumId w:val="4"/>
  </w:num>
  <w:num w:numId="11">
    <w:abstractNumId w:val="12"/>
  </w:num>
  <w:num w:numId="12">
    <w:abstractNumId w:val="13"/>
  </w:num>
  <w:num w:numId="13">
    <w:abstractNumId w:val="15"/>
  </w:num>
  <w:num w:numId="14">
    <w:abstractNumId w:val="14"/>
  </w:num>
  <w:num w:numId="15">
    <w:abstractNumId w:val="17"/>
  </w:num>
  <w:num w:numId="16">
    <w:abstractNumId w:val="0"/>
  </w:num>
  <w:num w:numId="17">
    <w:abstractNumId w:val="5"/>
  </w:num>
  <w:num w:numId="1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A8B"/>
    <w:rsid w:val="0000153E"/>
    <w:rsid w:val="00001878"/>
    <w:rsid w:val="00001B4A"/>
    <w:rsid w:val="00001B69"/>
    <w:rsid w:val="000021D2"/>
    <w:rsid w:val="000023EE"/>
    <w:rsid w:val="000028E3"/>
    <w:rsid w:val="00003CEA"/>
    <w:rsid w:val="00003D44"/>
    <w:rsid w:val="000042F4"/>
    <w:rsid w:val="00004614"/>
    <w:rsid w:val="0000485C"/>
    <w:rsid w:val="00004C3B"/>
    <w:rsid w:val="00004C47"/>
    <w:rsid w:val="00004D04"/>
    <w:rsid w:val="00005142"/>
    <w:rsid w:val="00005435"/>
    <w:rsid w:val="0000560C"/>
    <w:rsid w:val="00005BA5"/>
    <w:rsid w:val="00005CA1"/>
    <w:rsid w:val="00005E1E"/>
    <w:rsid w:val="00005F57"/>
    <w:rsid w:val="00006310"/>
    <w:rsid w:val="0000636F"/>
    <w:rsid w:val="000069F3"/>
    <w:rsid w:val="00007C63"/>
    <w:rsid w:val="00007FA6"/>
    <w:rsid w:val="0001037C"/>
    <w:rsid w:val="00010A7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A1"/>
    <w:rsid w:val="00013851"/>
    <w:rsid w:val="00013941"/>
    <w:rsid w:val="00013A1F"/>
    <w:rsid w:val="00013BDC"/>
    <w:rsid w:val="00014136"/>
    <w:rsid w:val="000145F8"/>
    <w:rsid w:val="00014B20"/>
    <w:rsid w:val="00014E81"/>
    <w:rsid w:val="000161F7"/>
    <w:rsid w:val="0001636D"/>
    <w:rsid w:val="0001643A"/>
    <w:rsid w:val="00016730"/>
    <w:rsid w:val="00016A5D"/>
    <w:rsid w:val="00016B9F"/>
    <w:rsid w:val="00016BF5"/>
    <w:rsid w:val="0001776E"/>
    <w:rsid w:val="000179E2"/>
    <w:rsid w:val="00017E97"/>
    <w:rsid w:val="00017ED0"/>
    <w:rsid w:val="0002039E"/>
    <w:rsid w:val="00020C27"/>
    <w:rsid w:val="00020C75"/>
    <w:rsid w:val="00020E49"/>
    <w:rsid w:val="00020FC8"/>
    <w:rsid w:val="000214F6"/>
    <w:rsid w:val="00021532"/>
    <w:rsid w:val="0002193A"/>
    <w:rsid w:val="0002237E"/>
    <w:rsid w:val="0002238E"/>
    <w:rsid w:val="000224CB"/>
    <w:rsid w:val="000227F4"/>
    <w:rsid w:val="0002327E"/>
    <w:rsid w:val="0002374E"/>
    <w:rsid w:val="00023828"/>
    <w:rsid w:val="00023AFD"/>
    <w:rsid w:val="00023D72"/>
    <w:rsid w:val="000253D1"/>
    <w:rsid w:val="00025450"/>
    <w:rsid w:val="00025753"/>
    <w:rsid w:val="00025A32"/>
    <w:rsid w:val="00025AA0"/>
    <w:rsid w:val="000262E8"/>
    <w:rsid w:val="0002663F"/>
    <w:rsid w:val="00026CE8"/>
    <w:rsid w:val="000271FA"/>
    <w:rsid w:val="0002751C"/>
    <w:rsid w:val="00027B2E"/>
    <w:rsid w:val="00027C86"/>
    <w:rsid w:val="000300A2"/>
    <w:rsid w:val="000304BD"/>
    <w:rsid w:val="00030EC2"/>
    <w:rsid w:val="0003113F"/>
    <w:rsid w:val="00031B9D"/>
    <w:rsid w:val="00032198"/>
    <w:rsid w:val="0003282A"/>
    <w:rsid w:val="00032CA1"/>
    <w:rsid w:val="00032CE9"/>
    <w:rsid w:val="00032D47"/>
    <w:rsid w:val="000334D4"/>
    <w:rsid w:val="00033551"/>
    <w:rsid w:val="00033B3E"/>
    <w:rsid w:val="0003422F"/>
    <w:rsid w:val="00035593"/>
    <w:rsid w:val="00035A82"/>
    <w:rsid w:val="00035D4C"/>
    <w:rsid w:val="00035FBF"/>
    <w:rsid w:val="000360F1"/>
    <w:rsid w:val="00036818"/>
    <w:rsid w:val="00036F23"/>
    <w:rsid w:val="000371C1"/>
    <w:rsid w:val="00037DCE"/>
    <w:rsid w:val="00041337"/>
    <w:rsid w:val="00041450"/>
    <w:rsid w:val="000415DA"/>
    <w:rsid w:val="00042393"/>
    <w:rsid w:val="000431BD"/>
    <w:rsid w:val="000436B0"/>
    <w:rsid w:val="000438FC"/>
    <w:rsid w:val="00044536"/>
    <w:rsid w:val="00044732"/>
    <w:rsid w:val="000447EE"/>
    <w:rsid w:val="00044B21"/>
    <w:rsid w:val="00044F32"/>
    <w:rsid w:val="000455D4"/>
    <w:rsid w:val="00045C61"/>
    <w:rsid w:val="00045FC1"/>
    <w:rsid w:val="000460E4"/>
    <w:rsid w:val="00046313"/>
    <w:rsid w:val="0004660A"/>
    <w:rsid w:val="000469E6"/>
    <w:rsid w:val="00046CF7"/>
    <w:rsid w:val="00047011"/>
    <w:rsid w:val="0004791A"/>
    <w:rsid w:val="00047C67"/>
    <w:rsid w:val="00047E71"/>
    <w:rsid w:val="00050483"/>
    <w:rsid w:val="000505FB"/>
    <w:rsid w:val="00050BA0"/>
    <w:rsid w:val="0005133B"/>
    <w:rsid w:val="000513D0"/>
    <w:rsid w:val="00051698"/>
    <w:rsid w:val="00051AAB"/>
    <w:rsid w:val="00051AD2"/>
    <w:rsid w:val="00051D57"/>
    <w:rsid w:val="0005205F"/>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C16"/>
    <w:rsid w:val="00054D93"/>
    <w:rsid w:val="00054FBE"/>
    <w:rsid w:val="00055143"/>
    <w:rsid w:val="00055264"/>
    <w:rsid w:val="0005548B"/>
    <w:rsid w:val="0005584C"/>
    <w:rsid w:val="00055A5C"/>
    <w:rsid w:val="00055D4F"/>
    <w:rsid w:val="000562CD"/>
    <w:rsid w:val="0005656B"/>
    <w:rsid w:val="00056A5A"/>
    <w:rsid w:val="00056A5F"/>
    <w:rsid w:val="00056D51"/>
    <w:rsid w:val="0005724A"/>
    <w:rsid w:val="000572BB"/>
    <w:rsid w:val="0005737C"/>
    <w:rsid w:val="00057383"/>
    <w:rsid w:val="00057892"/>
    <w:rsid w:val="00057D5A"/>
    <w:rsid w:val="0006028E"/>
    <w:rsid w:val="000605A0"/>
    <w:rsid w:val="0006070E"/>
    <w:rsid w:val="00060728"/>
    <w:rsid w:val="00060856"/>
    <w:rsid w:val="00060CE3"/>
    <w:rsid w:val="00061A56"/>
    <w:rsid w:val="00061C2E"/>
    <w:rsid w:val="00061EF5"/>
    <w:rsid w:val="00062275"/>
    <w:rsid w:val="000622E0"/>
    <w:rsid w:val="000624FA"/>
    <w:rsid w:val="00062A84"/>
    <w:rsid w:val="00062B46"/>
    <w:rsid w:val="00062D0E"/>
    <w:rsid w:val="00062E75"/>
    <w:rsid w:val="00063852"/>
    <w:rsid w:val="00063C6E"/>
    <w:rsid w:val="000647B1"/>
    <w:rsid w:val="0006509C"/>
    <w:rsid w:val="0006516A"/>
    <w:rsid w:val="00065849"/>
    <w:rsid w:val="0006592B"/>
    <w:rsid w:val="00065A49"/>
    <w:rsid w:val="00065A8B"/>
    <w:rsid w:val="00065B97"/>
    <w:rsid w:val="00065E95"/>
    <w:rsid w:val="00066126"/>
    <w:rsid w:val="00066E66"/>
    <w:rsid w:val="00066F26"/>
    <w:rsid w:val="0006707B"/>
    <w:rsid w:val="000675D5"/>
    <w:rsid w:val="00067E95"/>
    <w:rsid w:val="0007073D"/>
    <w:rsid w:val="00070785"/>
    <w:rsid w:val="0007120E"/>
    <w:rsid w:val="00071457"/>
    <w:rsid w:val="000717D9"/>
    <w:rsid w:val="000717EC"/>
    <w:rsid w:val="0007190C"/>
    <w:rsid w:val="00071FB7"/>
    <w:rsid w:val="0007259B"/>
    <w:rsid w:val="0007275A"/>
    <w:rsid w:val="000727DB"/>
    <w:rsid w:val="00072916"/>
    <w:rsid w:val="00072F56"/>
    <w:rsid w:val="00073231"/>
    <w:rsid w:val="00073509"/>
    <w:rsid w:val="000735D1"/>
    <w:rsid w:val="00074384"/>
    <w:rsid w:val="00074AC5"/>
    <w:rsid w:val="000756E7"/>
    <w:rsid w:val="00075CE6"/>
    <w:rsid w:val="000761CD"/>
    <w:rsid w:val="0007670D"/>
    <w:rsid w:val="000768BB"/>
    <w:rsid w:val="00076909"/>
    <w:rsid w:val="00077346"/>
    <w:rsid w:val="00077A56"/>
    <w:rsid w:val="00077BA4"/>
    <w:rsid w:val="0008010D"/>
    <w:rsid w:val="00080148"/>
    <w:rsid w:val="00080237"/>
    <w:rsid w:val="00080245"/>
    <w:rsid w:val="000807D4"/>
    <w:rsid w:val="00080B82"/>
    <w:rsid w:val="00080CAA"/>
    <w:rsid w:val="00080D3E"/>
    <w:rsid w:val="00081635"/>
    <w:rsid w:val="00081A4D"/>
    <w:rsid w:val="00081DD6"/>
    <w:rsid w:val="00081DFB"/>
    <w:rsid w:val="0008246E"/>
    <w:rsid w:val="000824AF"/>
    <w:rsid w:val="00083289"/>
    <w:rsid w:val="0008343E"/>
    <w:rsid w:val="00083514"/>
    <w:rsid w:val="000835D8"/>
    <w:rsid w:val="0008397F"/>
    <w:rsid w:val="00084282"/>
    <w:rsid w:val="00084727"/>
    <w:rsid w:val="00084A99"/>
    <w:rsid w:val="000858BB"/>
    <w:rsid w:val="000858EF"/>
    <w:rsid w:val="00085F57"/>
    <w:rsid w:val="00086210"/>
    <w:rsid w:val="00086489"/>
    <w:rsid w:val="000867E7"/>
    <w:rsid w:val="00086836"/>
    <w:rsid w:val="00086943"/>
    <w:rsid w:val="00086A39"/>
    <w:rsid w:val="00086BAA"/>
    <w:rsid w:val="00086D52"/>
    <w:rsid w:val="00087006"/>
    <w:rsid w:val="00087431"/>
    <w:rsid w:val="00087894"/>
    <w:rsid w:val="00087C6C"/>
    <w:rsid w:val="00090377"/>
    <w:rsid w:val="0009058C"/>
    <w:rsid w:val="00090899"/>
    <w:rsid w:val="00090B8F"/>
    <w:rsid w:val="00090C97"/>
    <w:rsid w:val="00090D8A"/>
    <w:rsid w:val="00090E2E"/>
    <w:rsid w:val="0009133A"/>
    <w:rsid w:val="000916AF"/>
    <w:rsid w:val="000919D7"/>
    <w:rsid w:val="00091B42"/>
    <w:rsid w:val="00091F93"/>
    <w:rsid w:val="000923FB"/>
    <w:rsid w:val="000929ED"/>
    <w:rsid w:val="00092C2E"/>
    <w:rsid w:val="00092E24"/>
    <w:rsid w:val="00093088"/>
    <w:rsid w:val="000937B7"/>
    <w:rsid w:val="00093937"/>
    <w:rsid w:val="00093952"/>
    <w:rsid w:val="000940A9"/>
    <w:rsid w:val="00094730"/>
    <w:rsid w:val="00094981"/>
    <w:rsid w:val="00094A70"/>
    <w:rsid w:val="00094A7D"/>
    <w:rsid w:val="00094C5B"/>
    <w:rsid w:val="00094C72"/>
    <w:rsid w:val="00094EEC"/>
    <w:rsid w:val="00094F3A"/>
    <w:rsid w:val="00095069"/>
    <w:rsid w:val="00095AC0"/>
    <w:rsid w:val="00095D98"/>
    <w:rsid w:val="0009624E"/>
    <w:rsid w:val="0009649A"/>
    <w:rsid w:val="0009655D"/>
    <w:rsid w:val="00096740"/>
    <w:rsid w:val="00096899"/>
    <w:rsid w:val="000969AE"/>
    <w:rsid w:val="00096BDB"/>
    <w:rsid w:val="00096C1B"/>
    <w:rsid w:val="00096DFF"/>
    <w:rsid w:val="00097163"/>
    <w:rsid w:val="000971B8"/>
    <w:rsid w:val="0009748C"/>
    <w:rsid w:val="00097614"/>
    <w:rsid w:val="0009780B"/>
    <w:rsid w:val="00097863"/>
    <w:rsid w:val="00097ABD"/>
    <w:rsid w:val="00097BF6"/>
    <w:rsid w:val="00097DEB"/>
    <w:rsid w:val="00097FC4"/>
    <w:rsid w:val="000A0291"/>
    <w:rsid w:val="000A0412"/>
    <w:rsid w:val="000A0EA4"/>
    <w:rsid w:val="000A0EF8"/>
    <w:rsid w:val="000A152A"/>
    <w:rsid w:val="000A1EBD"/>
    <w:rsid w:val="000A246C"/>
    <w:rsid w:val="000A261A"/>
    <w:rsid w:val="000A2C56"/>
    <w:rsid w:val="000A2DF9"/>
    <w:rsid w:val="000A301D"/>
    <w:rsid w:val="000A37A7"/>
    <w:rsid w:val="000A402F"/>
    <w:rsid w:val="000A4632"/>
    <w:rsid w:val="000A47EA"/>
    <w:rsid w:val="000A4E36"/>
    <w:rsid w:val="000A504A"/>
    <w:rsid w:val="000A5457"/>
    <w:rsid w:val="000A54F5"/>
    <w:rsid w:val="000A57DA"/>
    <w:rsid w:val="000A599E"/>
    <w:rsid w:val="000A6269"/>
    <w:rsid w:val="000A62BD"/>
    <w:rsid w:val="000A6645"/>
    <w:rsid w:val="000A6CDC"/>
    <w:rsid w:val="000A75EF"/>
    <w:rsid w:val="000A77BB"/>
    <w:rsid w:val="000A78E5"/>
    <w:rsid w:val="000A79DB"/>
    <w:rsid w:val="000B0ECB"/>
    <w:rsid w:val="000B0FEA"/>
    <w:rsid w:val="000B1052"/>
    <w:rsid w:val="000B1627"/>
    <w:rsid w:val="000B1A59"/>
    <w:rsid w:val="000B1B9E"/>
    <w:rsid w:val="000B2AFA"/>
    <w:rsid w:val="000B3015"/>
    <w:rsid w:val="000B3444"/>
    <w:rsid w:val="000B395E"/>
    <w:rsid w:val="000B3C52"/>
    <w:rsid w:val="000B4439"/>
    <w:rsid w:val="000B4534"/>
    <w:rsid w:val="000B4AF2"/>
    <w:rsid w:val="000B4B33"/>
    <w:rsid w:val="000B4C5B"/>
    <w:rsid w:val="000B4EBB"/>
    <w:rsid w:val="000B5A1A"/>
    <w:rsid w:val="000B5DB2"/>
    <w:rsid w:val="000B5DD4"/>
    <w:rsid w:val="000B639F"/>
    <w:rsid w:val="000B63F3"/>
    <w:rsid w:val="000B6475"/>
    <w:rsid w:val="000B6BC1"/>
    <w:rsid w:val="000B706C"/>
    <w:rsid w:val="000B759E"/>
    <w:rsid w:val="000B775A"/>
    <w:rsid w:val="000B79DD"/>
    <w:rsid w:val="000C0013"/>
    <w:rsid w:val="000C02AD"/>
    <w:rsid w:val="000C049A"/>
    <w:rsid w:val="000C0AA8"/>
    <w:rsid w:val="000C0D07"/>
    <w:rsid w:val="000C1585"/>
    <w:rsid w:val="000C1A3E"/>
    <w:rsid w:val="000C1AFC"/>
    <w:rsid w:val="000C22BE"/>
    <w:rsid w:val="000C22C0"/>
    <w:rsid w:val="000C28CC"/>
    <w:rsid w:val="000C2CBC"/>
    <w:rsid w:val="000C3A4C"/>
    <w:rsid w:val="000C3BD5"/>
    <w:rsid w:val="000C3DAB"/>
    <w:rsid w:val="000C42A5"/>
    <w:rsid w:val="000C4611"/>
    <w:rsid w:val="000C4A10"/>
    <w:rsid w:val="000C4AC9"/>
    <w:rsid w:val="000C4BA1"/>
    <w:rsid w:val="000C4FAE"/>
    <w:rsid w:val="000C5199"/>
    <w:rsid w:val="000C51DE"/>
    <w:rsid w:val="000C5536"/>
    <w:rsid w:val="000C5799"/>
    <w:rsid w:val="000C5FDE"/>
    <w:rsid w:val="000C61FA"/>
    <w:rsid w:val="000C69B3"/>
    <w:rsid w:val="000C7281"/>
    <w:rsid w:val="000C7D11"/>
    <w:rsid w:val="000D073F"/>
    <w:rsid w:val="000D0D66"/>
    <w:rsid w:val="000D0D9A"/>
    <w:rsid w:val="000D10FB"/>
    <w:rsid w:val="000D14D9"/>
    <w:rsid w:val="000D1878"/>
    <w:rsid w:val="000D1AAE"/>
    <w:rsid w:val="000D1B91"/>
    <w:rsid w:val="000D1C53"/>
    <w:rsid w:val="000D1DC7"/>
    <w:rsid w:val="000D1EF5"/>
    <w:rsid w:val="000D1FD7"/>
    <w:rsid w:val="000D2184"/>
    <w:rsid w:val="000D2CBD"/>
    <w:rsid w:val="000D359B"/>
    <w:rsid w:val="000D37B0"/>
    <w:rsid w:val="000D3C1E"/>
    <w:rsid w:val="000D3E44"/>
    <w:rsid w:val="000D52D9"/>
    <w:rsid w:val="000D6373"/>
    <w:rsid w:val="000D6388"/>
    <w:rsid w:val="000D6418"/>
    <w:rsid w:val="000D6479"/>
    <w:rsid w:val="000D6839"/>
    <w:rsid w:val="000D6906"/>
    <w:rsid w:val="000D6C9E"/>
    <w:rsid w:val="000D74DF"/>
    <w:rsid w:val="000D7904"/>
    <w:rsid w:val="000D7BA8"/>
    <w:rsid w:val="000D7DB6"/>
    <w:rsid w:val="000D7DD6"/>
    <w:rsid w:val="000D7DED"/>
    <w:rsid w:val="000E00F0"/>
    <w:rsid w:val="000E020F"/>
    <w:rsid w:val="000E10DB"/>
    <w:rsid w:val="000E12F7"/>
    <w:rsid w:val="000E1A4B"/>
    <w:rsid w:val="000E1D37"/>
    <w:rsid w:val="000E23D2"/>
    <w:rsid w:val="000E24D9"/>
    <w:rsid w:val="000E28AC"/>
    <w:rsid w:val="000E2D47"/>
    <w:rsid w:val="000E3599"/>
    <w:rsid w:val="000E372B"/>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730B"/>
    <w:rsid w:val="000E7703"/>
    <w:rsid w:val="000E78A6"/>
    <w:rsid w:val="000E7FD4"/>
    <w:rsid w:val="000F05AC"/>
    <w:rsid w:val="000F09C6"/>
    <w:rsid w:val="000F0A64"/>
    <w:rsid w:val="000F13F3"/>
    <w:rsid w:val="000F1450"/>
    <w:rsid w:val="000F1786"/>
    <w:rsid w:val="000F2133"/>
    <w:rsid w:val="000F28B2"/>
    <w:rsid w:val="000F28E9"/>
    <w:rsid w:val="000F2975"/>
    <w:rsid w:val="000F2D05"/>
    <w:rsid w:val="000F2D48"/>
    <w:rsid w:val="000F2F92"/>
    <w:rsid w:val="000F2FD9"/>
    <w:rsid w:val="000F3282"/>
    <w:rsid w:val="000F33B5"/>
    <w:rsid w:val="000F33FD"/>
    <w:rsid w:val="000F3520"/>
    <w:rsid w:val="000F3E8F"/>
    <w:rsid w:val="000F47C1"/>
    <w:rsid w:val="000F48B1"/>
    <w:rsid w:val="000F495D"/>
    <w:rsid w:val="000F4B18"/>
    <w:rsid w:val="000F4B82"/>
    <w:rsid w:val="000F4CC1"/>
    <w:rsid w:val="000F5135"/>
    <w:rsid w:val="000F59E0"/>
    <w:rsid w:val="000F5ED7"/>
    <w:rsid w:val="000F601E"/>
    <w:rsid w:val="000F6986"/>
    <w:rsid w:val="000F69B8"/>
    <w:rsid w:val="000F6A43"/>
    <w:rsid w:val="000F6A5D"/>
    <w:rsid w:val="000F6D85"/>
    <w:rsid w:val="000F73F1"/>
    <w:rsid w:val="000F7B66"/>
    <w:rsid w:val="000F7CEE"/>
    <w:rsid w:val="000F7D84"/>
    <w:rsid w:val="001001F4"/>
    <w:rsid w:val="001003DD"/>
    <w:rsid w:val="001005A8"/>
    <w:rsid w:val="00101707"/>
    <w:rsid w:val="00101AF5"/>
    <w:rsid w:val="00101EE1"/>
    <w:rsid w:val="00101F01"/>
    <w:rsid w:val="00102031"/>
    <w:rsid w:val="00102D37"/>
    <w:rsid w:val="00102DC0"/>
    <w:rsid w:val="00103A3E"/>
    <w:rsid w:val="00103C24"/>
    <w:rsid w:val="00103E5B"/>
    <w:rsid w:val="001041ED"/>
    <w:rsid w:val="001043C0"/>
    <w:rsid w:val="00104AAD"/>
    <w:rsid w:val="00104C71"/>
    <w:rsid w:val="001052CD"/>
    <w:rsid w:val="001064E1"/>
    <w:rsid w:val="001071C7"/>
    <w:rsid w:val="001072E1"/>
    <w:rsid w:val="00107486"/>
    <w:rsid w:val="00107A34"/>
    <w:rsid w:val="00107AC8"/>
    <w:rsid w:val="0011038F"/>
    <w:rsid w:val="0011039E"/>
    <w:rsid w:val="001104BA"/>
    <w:rsid w:val="00111441"/>
    <w:rsid w:val="00111A2A"/>
    <w:rsid w:val="00111A71"/>
    <w:rsid w:val="00111B67"/>
    <w:rsid w:val="00111E00"/>
    <w:rsid w:val="001125A2"/>
    <w:rsid w:val="00112676"/>
    <w:rsid w:val="0011273C"/>
    <w:rsid w:val="00112A5F"/>
    <w:rsid w:val="0011373A"/>
    <w:rsid w:val="00113A1F"/>
    <w:rsid w:val="00113B55"/>
    <w:rsid w:val="00114137"/>
    <w:rsid w:val="0011429C"/>
    <w:rsid w:val="00114511"/>
    <w:rsid w:val="00114ABD"/>
    <w:rsid w:val="00115305"/>
    <w:rsid w:val="001156BA"/>
    <w:rsid w:val="0011582E"/>
    <w:rsid w:val="00115911"/>
    <w:rsid w:val="0011615F"/>
    <w:rsid w:val="00116706"/>
    <w:rsid w:val="0011691F"/>
    <w:rsid w:val="00116BAB"/>
    <w:rsid w:val="00117178"/>
    <w:rsid w:val="0011748D"/>
    <w:rsid w:val="001174F7"/>
    <w:rsid w:val="00117A9F"/>
    <w:rsid w:val="00117E95"/>
    <w:rsid w:val="001203BE"/>
    <w:rsid w:val="00121290"/>
    <w:rsid w:val="001212BD"/>
    <w:rsid w:val="00121782"/>
    <w:rsid w:val="001217A0"/>
    <w:rsid w:val="00121BE3"/>
    <w:rsid w:val="00121EDA"/>
    <w:rsid w:val="00122950"/>
    <w:rsid w:val="00122F63"/>
    <w:rsid w:val="0012305F"/>
    <w:rsid w:val="00123E4E"/>
    <w:rsid w:val="00123E5C"/>
    <w:rsid w:val="00123E6B"/>
    <w:rsid w:val="00125476"/>
    <w:rsid w:val="00125B0B"/>
    <w:rsid w:val="00125F9A"/>
    <w:rsid w:val="00126026"/>
    <w:rsid w:val="001260FC"/>
    <w:rsid w:val="00126198"/>
    <w:rsid w:val="001263AF"/>
    <w:rsid w:val="0012665C"/>
    <w:rsid w:val="0012676F"/>
    <w:rsid w:val="00126A9F"/>
    <w:rsid w:val="00126AB1"/>
    <w:rsid w:val="00126B84"/>
    <w:rsid w:val="001278E8"/>
    <w:rsid w:val="00127C1D"/>
    <w:rsid w:val="00130032"/>
    <w:rsid w:val="00130752"/>
    <w:rsid w:val="00130A0C"/>
    <w:rsid w:val="00130B06"/>
    <w:rsid w:val="00130EF3"/>
    <w:rsid w:val="001316FC"/>
    <w:rsid w:val="00131767"/>
    <w:rsid w:val="00132D82"/>
    <w:rsid w:val="00132E48"/>
    <w:rsid w:val="0013322B"/>
    <w:rsid w:val="0013393F"/>
    <w:rsid w:val="00133EA9"/>
    <w:rsid w:val="00133FBC"/>
    <w:rsid w:val="00133FE5"/>
    <w:rsid w:val="00134175"/>
    <w:rsid w:val="0013476D"/>
    <w:rsid w:val="00135107"/>
    <w:rsid w:val="00135139"/>
    <w:rsid w:val="001351CE"/>
    <w:rsid w:val="001351D5"/>
    <w:rsid w:val="00135548"/>
    <w:rsid w:val="00135D01"/>
    <w:rsid w:val="00135EDA"/>
    <w:rsid w:val="001360E2"/>
    <w:rsid w:val="001360FB"/>
    <w:rsid w:val="00136272"/>
    <w:rsid w:val="001365EA"/>
    <w:rsid w:val="0013714A"/>
    <w:rsid w:val="00137335"/>
    <w:rsid w:val="0013735A"/>
    <w:rsid w:val="001374E3"/>
    <w:rsid w:val="001378A3"/>
    <w:rsid w:val="00137908"/>
    <w:rsid w:val="00137A34"/>
    <w:rsid w:val="00137B22"/>
    <w:rsid w:val="00137FE3"/>
    <w:rsid w:val="00140984"/>
    <w:rsid w:val="00140C58"/>
    <w:rsid w:val="00140FED"/>
    <w:rsid w:val="0014137E"/>
    <w:rsid w:val="00141D7A"/>
    <w:rsid w:val="00141DE9"/>
    <w:rsid w:val="001420D1"/>
    <w:rsid w:val="001420FE"/>
    <w:rsid w:val="00142621"/>
    <w:rsid w:val="0014299D"/>
    <w:rsid w:val="00142A39"/>
    <w:rsid w:val="00142C16"/>
    <w:rsid w:val="001430DC"/>
    <w:rsid w:val="001438E6"/>
    <w:rsid w:val="001441C9"/>
    <w:rsid w:val="001444A2"/>
    <w:rsid w:val="00144987"/>
    <w:rsid w:val="00144EBC"/>
    <w:rsid w:val="00145439"/>
    <w:rsid w:val="00145B06"/>
    <w:rsid w:val="00145B71"/>
    <w:rsid w:val="00146C4A"/>
    <w:rsid w:val="00146F56"/>
    <w:rsid w:val="00147AE1"/>
    <w:rsid w:val="001504AD"/>
    <w:rsid w:val="001506B4"/>
    <w:rsid w:val="0015086F"/>
    <w:rsid w:val="00150CBB"/>
    <w:rsid w:val="00151660"/>
    <w:rsid w:val="00151F92"/>
    <w:rsid w:val="0015258E"/>
    <w:rsid w:val="001529CF"/>
    <w:rsid w:val="00152ECC"/>
    <w:rsid w:val="00152F0D"/>
    <w:rsid w:val="001530A6"/>
    <w:rsid w:val="00153276"/>
    <w:rsid w:val="001532E4"/>
    <w:rsid w:val="001534C8"/>
    <w:rsid w:val="00154349"/>
    <w:rsid w:val="001544AC"/>
    <w:rsid w:val="001547F6"/>
    <w:rsid w:val="00154A1A"/>
    <w:rsid w:val="00154C79"/>
    <w:rsid w:val="00154DF8"/>
    <w:rsid w:val="00155D65"/>
    <w:rsid w:val="0015648A"/>
    <w:rsid w:val="001564E5"/>
    <w:rsid w:val="00156851"/>
    <w:rsid w:val="00156908"/>
    <w:rsid w:val="0015699C"/>
    <w:rsid w:val="001569A7"/>
    <w:rsid w:val="00156A48"/>
    <w:rsid w:val="00156C90"/>
    <w:rsid w:val="00156DDB"/>
    <w:rsid w:val="00156FCC"/>
    <w:rsid w:val="00157614"/>
    <w:rsid w:val="001576E2"/>
    <w:rsid w:val="001577AF"/>
    <w:rsid w:val="00157AFE"/>
    <w:rsid w:val="00157C0F"/>
    <w:rsid w:val="00157CCE"/>
    <w:rsid w:val="00157EF2"/>
    <w:rsid w:val="001600FC"/>
    <w:rsid w:val="00160563"/>
    <w:rsid w:val="001608BD"/>
    <w:rsid w:val="0016127C"/>
    <w:rsid w:val="001612C0"/>
    <w:rsid w:val="001614AF"/>
    <w:rsid w:val="0016160E"/>
    <w:rsid w:val="001616F8"/>
    <w:rsid w:val="00161AFB"/>
    <w:rsid w:val="00161E4F"/>
    <w:rsid w:val="001623BD"/>
    <w:rsid w:val="001634AE"/>
    <w:rsid w:val="0016352E"/>
    <w:rsid w:val="00163752"/>
    <w:rsid w:val="00164355"/>
    <w:rsid w:val="00164DAA"/>
    <w:rsid w:val="0016510E"/>
    <w:rsid w:val="00165590"/>
    <w:rsid w:val="0016572F"/>
    <w:rsid w:val="001658D6"/>
    <w:rsid w:val="001665B9"/>
    <w:rsid w:val="001667C0"/>
    <w:rsid w:val="00166B40"/>
    <w:rsid w:val="00166C60"/>
    <w:rsid w:val="00167274"/>
    <w:rsid w:val="00167F39"/>
    <w:rsid w:val="00170A9D"/>
    <w:rsid w:val="00170F1A"/>
    <w:rsid w:val="0017110F"/>
    <w:rsid w:val="00171DD5"/>
    <w:rsid w:val="00171E89"/>
    <w:rsid w:val="0017217D"/>
    <w:rsid w:val="00173132"/>
    <w:rsid w:val="00173174"/>
    <w:rsid w:val="001737F7"/>
    <w:rsid w:val="00173E98"/>
    <w:rsid w:val="001744B4"/>
    <w:rsid w:val="001744E7"/>
    <w:rsid w:val="00174554"/>
    <w:rsid w:val="0017459B"/>
    <w:rsid w:val="00174651"/>
    <w:rsid w:val="001747AF"/>
    <w:rsid w:val="00174C1E"/>
    <w:rsid w:val="00174E4D"/>
    <w:rsid w:val="00175500"/>
    <w:rsid w:val="00175B3C"/>
    <w:rsid w:val="00176024"/>
    <w:rsid w:val="00176287"/>
    <w:rsid w:val="00176375"/>
    <w:rsid w:val="001766A9"/>
    <w:rsid w:val="0017753C"/>
    <w:rsid w:val="001777EF"/>
    <w:rsid w:val="0018021C"/>
    <w:rsid w:val="00180774"/>
    <w:rsid w:val="00180EAA"/>
    <w:rsid w:val="00181005"/>
    <w:rsid w:val="0018106F"/>
    <w:rsid w:val="00181339"/>
    <w:rsid w:val="00181596"/>
    <w:rsid w:val="00181680"/>
    <w:rsid w:val="00181817"/>
    <w:rsid w:val="00181848"/>
    <w:rsid w:val="00181DF3"/>
    <w:rsid w:val="001829A6"/>
    <w:rsid w:val="00183A7D"/>
    <w:rsid w:val="00183DA4"/>
    <w:rsid w:val="001841C2"/>
    <w:rsid w:val="00184202"/>
    <w:rsid w:val="00184259"/>
    <w:rsid w:val="001843DB"/>
    <w:rsid w:val="001847D6"/>
    <w:rsid w:val="0018495A"/>
    <w:rsid w:val="00184DD0"/>
    <w:rsid w:val="001855E1"/>
    <w:rsid w:val="001858EA"/>
    <w:rsid w:val="00186AF4"/>
    <w:rsid w:val="0018763E"/>
    <w:rsid w:val="0018776F"/>
    <w:rsid w:val="001900A2"/>
    <w:rsid w:val="001908DC"/>
    <w:rsid w:val="00190CCB"/>
    <w:rsid w:val="00190FE2"/>
    <w:rsid w:val="001912D8"/>
    <w:rsid w:val="00191554"/>
    <w:rsid w:val="00191CF7"/>
    <w:rsid w:val="00191FCE"/>
    <w:rsid w:val="00192052"/>
    <w:rsid w:val="001922CC"/>
    <w:rsid w:val="00192483"/>
    <w:rsid w:val="0019284D"/>
    <w:rsid w:val="00192929"/>
    <w:rsid w:val="00192DC1"/>
    <w:rsid w:val="00194053"/>
    <w:rsid w:val="001943EB"/>
    <w:rsid w:val="00194BE9"/>
    <w:rsid w:val="00194C5E"/>
    <w:rsid w:val="00194CA4"/>
    <w:rsid w:val="00194EDA"/>
    <w:rsid w:val="00195023"/>
    <w:rsid w:val="001951C9"/>
    <w:rsid w:val="001956E2"/>
    <w:rsid w:val="00195F77"/>
    <w:rsid w:val="00196098"/>
    <w:rsid w:val="00196898"/>
    <w:rsid w:val="00196ADB"/>
    <w:rsid w:val="00196E11"/>
    <w:rsid w:val="0019736D"/>
    <w:rsid w:val="001977ED"/>
    <w:rsid w:val="001979BB"/>
    <w:rsid w:val="00197C2F"/>
    <w:rsid w:val="001A052D"/>
    <w:rsid w:val="001A0725"/>
    <w:rsid w:val="001A0B42"/>
    <w:rsid w:val="001A0B5D"/>
    <w:rsid w:val="001A0CC1"/>
    <w:rsid w:val="001A0DF8"/>
    <w:rsid w:val="001A11F4"/>
    <w:rsid w:val="001A204B"/>
    <w:rsid w:val="001A2561"/>
    <w:rsid w:val="001A2A67"/>
    <w:rsid w:val="001A2B80"/>
    <w:rsid w:val="001A305A"/>
    <w:rsid w:val="001A3198"/>
    <w:rsid w:val="001A31E4"/>
    <w:rsid w:val="001A32DA"/>
    <w:rsid w:val="001A330B"/>
    <w:rsid w:val="001A335E"/>
    <w:rsid w:val="001A35BA"/>
    <w:rsid w:val="001A37F4"/>
    <w:rsid w:val="001A4287"/>
    <w:rsid w:val="001A430F"/>
    <w:rsid w:val="001A4C6F"/>
    <w:rsid w:val="001A56C7"/>
    <w:rsid w:val="001A58D8"/>
    <w:rsid w:val="001A5C45"/>
    <w:rsid w:val="001A60A2"/>
    <w:rsid w:val="001A6C2E"/>
    <w:rsid w:val="001A6F68"/>
    <w:rsid w:val="001A727F"/>
    <w:rsid w:val="001A75FE"/>
    <w:rsid w:val="001A79D3"/>
    <w:rsid w:val="001A7BF5"/>
    <w:rsid w:val="001A7FC7"/>
    <w:rsid w:val="001B0737"/>
    <w:rsid w:val="001B08E7"/>
    <w:rsid w:val="001B0C66"/>
    <w:rsid w:val="001B0EB8"/>
    <w:rsid w:val="001B1669"/>
    <w:rsid w:val="001B19FF"/>
    <w:rsid w:val="001B2506"/>
    <w:rsid w:val="001B2580"/>
    <w:rsid w:val="001B2809"/>
    <w:rsid w:val="001B2931"/>
    <w:rsid w:val="001B2A46"/>
    <w:rsid w:val="001B3729"/>
    <w:rsid w:val="001B396A"/>
    <w:rsid w:val="001B3AB2"/>
    <w:rsid w:val="001B3B42"/>
    <w:rsid w:val="001B3BEF"/>
    <w:rsid w:val="001B3E8E"/>
    <w:rsid w:val="001B4316"/>
    <w:rsid w:val="001B45FC"/>
    <w:rsid w:val="001B4F90"/>
    <w:rsid w:val="001B52A1"/>
    <w:rsid w:val="001B5333"/>
    <w:rsid w:val="001B5426"/>
    <w:rsid w:val="001B6823"/>
    <w:rsid w:val="001B7758"/>
    <w:rsid w:val="001B7EFA"/>
    <w:rsid w:val="001B7F4F"/>
    <w:rsid w:val="001C0575"/>
    <w:rsid w:val="001C0677"/>
    <w:rsid w:val="001C08D8"/>
    <w:rsid w:val="001C0A66"/>
    <w:rsid w:val="001C102A"/>
    <w:rsid w:val="001C1568"/>
    <w:rsid w:val="001C15D1"/>
    <w:rsid w:val="001C17A8"/>
    <w:rsid w:val="001C1903"/>
    <w:rsid w:val="001C1949"/>
    <w:rsid w:val="001C2397"/>
    <w:rsid w:val="001C23B5"/>
    <w:rsid w:val="001C2492"/>
    <w:rsid w:val="001C24DE"/>
    <w:rsid w:val="001C262A"/>
    <w:rsid w:val="001C2852"/>
    <w:rsid w:val="001C2950"/>
    <w:rsid w:val="001C2CD1"/>
    <w:rsid w:val="001C3470"/>
    <w:rsid w:val="001C3CF9"/>
    <w:rsid w:val="001C3FE0"/>
    <w:rsid w:val="001C412B"/>
    <w:rsid w:val="001C423E"/>
    <w:rsid w:val="001C437E"/>
    <w:rsid w:val="001C4F39"/>
    <w:rsid w:val="001C4FE9"/>
    <w:rsid w:val="001C51E4"/>
    <w:rsid w:val="001C536B"/>
    <w:rsid w:val="001C5777"/>
    <w:rsid w:val="001C5B47"/>
    <w:rsid w:val="001C5C51"/>
    <w:rsid w:val="001C5CDF"/>
    <w:rsid w:val="001C6395"/>
    <w:rsid w:val="001C641C"/>
    <w:rsid w:val="001C6509"/>
    <w:rsid w:val="001C6A2C"/>
    <w:rsid w:val="001C6D43"/>
    <w:rsid w:val="001C6E55"/>
    <w:rsid w:val="001C71E3"/>
    <w:rsid w:val="001C729A"/>
    <w:rsid w:val="001C72D6"/>
    <w:rsid w:val="001C7892"/>
    <w:rsid w:val="001C7BF3"/>
    <w:rsid w:val="001C7DC4"/>
    <w:rsid w:val="001C7FD4"/>
    <w:rsid w:val="001D0208"/>
    <w:rsid w:val="001D03C7"/>
    <w:rsid w:val="001D0A1D"/>
    <w:rsid w:val="001D0FAF"/>
    <w:rsid w:val="001D1478"/>
    <w:rsid w:val="001D1E52"/>
    <w:rsid w:val="001D1ECA"/>
    <w:rsid w:val="001D1FCD"/>
    <w:rsid w:val="001D2746"/>
    <w:rsid w:val="001D2BC5"/>
    <w:rsid w:val="001D34EB"/>
    <w:rsid w:val="001D35B4"/>
    <w:rsid w:val="001D4515"/>
    <w:rsid w:val="001D4A98"/>
    <w:rsid w:val="001D5190"/>
    <w:rsid w:val="001D5339"/>
    <w:rsid w:val="001D559E"/>
    <w:rsid w:val="001D56C3"/>
    <w:rsid w:val="001D5E38"/>
    <w:rsid w:val="001D5F66"/>
    <w:rsid w:val="001D5FB0"/>
    <w:rsid w:val="001D6198"/>
    <w:rsid w:val="001D670F"/>
    <w:rsid w:val="001D6B86"/>
    <w:rsid w:val="001D6E5D"/>
    <w:rsid w:val="001D73B6"/>
    <w:rsid w:val="001D74CE"/>
    <w:rsid w:val="001D7622"/>
    <w:rsid w:val="001D76EB"/>
    <w:rsid w:val="001D78F3"/>
    <w:rsid w:val="001D79D0"/>
    <w:rsid w:val="001D7AC7"/>
    <w:rsid w:val="001D7F3D"/>
    <w:rsid w:val="001D7F80"/>
    <w:rsid w:val="001E0BF1"/>
    <w:rsid w:val="001E1E28"/>
    <w:rsid w:val="001E1E6E"/>
    <w:rsid w:val="001E2620"/>
    <w:rsid w:val="001E2B28"/>
    <w:rsid w:val="001E3674"/>
    <w:rsid w:val="001E3D51"/>
    <w:rsid w:val="001E3D84"/>
    <w:rsid w:val="001E4147"/>
    <w:rsid w:val="001E4381"/>
    <w:rsid w:val="001E4CBA"/>
    <w:rsid w:val="001E548C"/>
    <w:rsid w:val="001E5B5B"/>
    <w:rsid w:val="001E5CBA"/>
    <w:rsid w:val="001E7019"/>
    <w:rsid w:val="001E7047"/>
    <w:rsid w:val="001E713F"/>
    <w:rsid w:val="001E71F0"/>
    <w:rsid w:val="001E71F9"/>
    <w:rsid w:val="001E725A"/>
    <w:rsid w:val="001E747D"/>
    <w:rsid w:val="001E76DA"/>
    <w:rsid w:val="001E7A00"/>
    <w:rsid w:val="001E7C3D"/>
    <w:rsid w:val="001E7F81"/>
    <w:rsid w:val="001F00DF"/>
    <w:rsid w:val="001F01E5"/>
    <w:rsid w:val="001F02E1"/>
    <w:rsid w:val="001F0951"/>
    <w:rsid w:val="001F1223"/>
    <w:rsid w:val="001F182A"/>
    <w:rsid w:val="001F1D23"/>
    <w:rsid w:val="001F1E8F"/>
    <w:rsid w:val="001F1FE2"/>
    <w:rsid w:val="001F2327"/>
    <w:rsid w:val="001F2B05"/>
    <w:rsid w:val="001F348E"/>
    <w:rsid w:val="001F4DA1"/>
    <w:rsid w:val="001F5268"/>
    <w:rsid w:val="001F553C"/>
    <w:rsid w:val="001F5E50"/>
    <w:rsid w:val="001F5EB4"/>
    <w:rsid w:val="001F6448"/>
    <w:rsid w:val="001F64D1"/>
    <w:rsid w:val="001F6932"/>
    <w:rsid w:val="001F6A27"/>
    <w:rsid w:val="001F6BB0"/>
    <w:rsid w:val="001F6D5B"/>
    <w:rsid w:val="001F6FDB"/>
    <w:rsid w:val="001F73EB"/>
    <w:rsid w:val="001F7B59"/>
    <w:rsid w:val="00200260"/>
    <w:rsid w:val="002002CE"/>
    <w:rsid w:val="0020066F"/>
    <w:rsid w:val="0020107A"/>
    <w:rsid w:val="002011BD"/>
    <w:rsid w:val="0020135D"/>
    <w:rsid w:val="00201BA3"/>
    <w:rsid w:val="00201D77"/>
    <w:rsid w:val="00201FED"/>
    <w:rsid w:val="00202061"/>
    <w:rsid w:val="00202EAD"/>
    <w:rsid w:val="0020328F"/>
    <w:rsid w:val="002033AF"/>
    <w:rsid w:val="00203A6F"/>
    <w:rsid w:val="00203D3B"/>
    <w:rsid w:val="00204511"/>
    <w:rsid w:val="002046F3"/>
    <w:rsid w:val="00204DE0"/>
    <w:rsid w:val="002056E7"/>
    <w:rsid w:val="00205BBD"/>
    <w:rsid w:val="0020621C"/>
    <w:rsid w:val="00206C2E"/>
    <w:rsid w:val="00206CDA"/>
    <w:rsid w:val="00206CDC"/>
    <w:rsid w:val="0020734D"/>
    <w:rsid w:val="00207BF8"/>
    <w:rsid w:val="00210018"/>
    <w:rsid w:val="0021001C"/>
    <w:rsid w:val="002108A7"/>
    <w:rsid w:val="00211194"/>
    <w:rsid w:val="0021149E"/>
    <w:rsid w:val="00211816"/>
    <w:rsid w:val="00211C55"/>
    <w:rsid w:val="0021238C"/>
    <w:rsid w:val="00212A4A"/>
    <w:rsid w:val="00212BA4"/>
    <w:rsid w:val="00212BDC"/>
    <w:rsid w:val="00212E2B"/>
    <w:rsid w:val="00212E42"/>
    <w:rsid w:val="0021340B"/>
    <w:rsid w:val="002139A2"/>
    <w:rsid w:val="00213B3D"/>
    <w:rsid w:val="002140F6"/>
    <w:rsid w:val="00214569"/>
    <w:rsid w:val="00215057"/>
    <w:rsid w:val="00215156"/>
    <w:rsid w:val="0021517D"/>
    <w:rsid w:val="002157BF"/>
    <w:rsid w:val="00216157"/>
    <w:rsid w:val="00217566"/>
    <w:rsid w:val="00217B1B"/>
    <w:rsid w:val="002204A9"/>
    <w:rsid w:val="00220A1F"/>
    <w:rsid w:val="00220D43"/>
    <w:rsid w:val="00220D69"/>
    <w:rsid w:val="002210F5"/>
    <w:rsid w:val="0022160D"/>
    <w:rsid w:val="00221B97"/>
    <w:rsid w:val="00221C99"/>
    <w:rsid w:val="00221D51"/>
    <w:rsid w:val="00222123"/>
    <w:rsid w:val="0022213A"/>
    <w:rsid w:val="002222A1"/>
    <w:rsid w:val="00222BDB"/>
    <w:rsid w:val="00222CF1"/>
    <w:rsid w:val="0022357F"/>
    <w:rsid w:val="002236FC"/>
    <w:rsid w:val="00223BB9"/>
    <w:rsid w:val="00223C6C"/>
    <w:rsid w:val="00224EA9"/>
    <w:rsid w:val="00224F04"/>
    <w:rsid w:val="00225155"/>
    <w:rsid w:val="00225423"/>
    <w:rsid w:val="0022552E"/>
    <w:rsid w:val="002255BA"/>
    <w:rsid w:val="00225D42"/>
    <w:rsid w:val="00225EA1"/>
    <w:rsid w:val="00226AEF"/>
    <w:rsid w:val="00226D9D"/>
    <w:rsid w:val="00227776"/>
    <w:rsid w:val="00227936"/>
    <w:rsid w:val="00230096"/>
    <w:rsid w:val="002304EE"/>
    <w:rsid w:val="002308C7"/>
    <w:rsid w:val="00230CAD"/>
    <w:rsid w:val="00232158"/>
    <w:rsid w:val="0023253B"/>
    <w:rsid w:val="0023279B"/>
    <w:rsid w:val="002328F9"/>
    <w:rsid w:val="0023395B"/>
    <w:rsid w:val="00233CE3"/>
    <w:rsid w:val="002340FE"/>
    <w:rsid w:val="00234285"/>
    <w:rsid w:val="002343BF"/>
    <w:rsid w:val="002344C1"/>
    <w:rsid w:val="00234556"/>
    <w:rsid w:val="00234634"/>
    <w:rsid w:val="0023535A"/>
    <w:rsid w:val="0023535F"/>
    <w:rsid w:val="002353E9"/>
    <w:rsid w:val="002356D3"/>
    <w:rsid w:val="00235738"/>
    <w:rsid w:val="00235B29"/>
    <w:rsid w:val="00235D4C"/>
    <w:rsid w:val="002364A9"/>
    <w:rsid w:val="002366B7"/>
    <w:rsid w:val="00236A81"/>
    <w:rsid w:val="00236E3A"/>
    <w:rsid w:val="00236F05"/>
    <w:rsid w:val="002371E3"/>
    <w:rsid w:val="00237528"/>
    <w:rsid w:val="00237789"/>
    <w:rsid w:val="002401FC"/>
    <w:rsid w:val="0024056C"/>
    <w:rsid w:val="00240D9D"/>
    <w:rsid w:val="002415A6"/>
    <w:rsid w:val="00242061"/>
    <w:rsid w:val="002421B1"/>
    <w:rsid w:val="00242E6D"/>
    <w:rsid w:val="00243011"/>
    <w:rsid w:val="002435FC"/>
    <w:rsid w:val="00243797"/>
    <w:rsid w:val="002442D9"/>
    <w:rsid w:val="00244A11"/>
    <w:rsid w:val="00244BA7"/>
    <w:rsid w:val="00244CA2"/>
    <w:rsid w:val="0024506F"/>
    <w:rsid w:val="00245351"/>
    <w:rsid w:val="00245432"/>
    <w:rsid w:val="002454B8"/>
    <w:rsid w:val="0024593F"/>
    <w:rsid w:val="00245B87"/>
    <w:rsid w:val="00245CC7"/>
    <w:rsid w:val="00246827"/>
    <w:rsid w:val="00246897"/>
    <w:rsid w:val="002468A3"/>
    <w:rsid w:val="00246C03"/>
    <w:rsid w:val="00247218"/>
    <w:rsid w:val="002476B6"/>
    <w:rsid w:val="00247E76"/>
    <w:rsid w:val="00247E8F"/>
    <w:rsid w:val="00250146"/>
    <w:rsid w:val="00250C0E"/>
    <w:rsid w:val="002510D5"/>
    <w:rsid w:val="00251572"/>
    <w:rsid w:val="0025173D"/>
    <w:rsid w:val="002523CF"/>
    <w:rsid w:val="0025280C"/>
    <w:rsid w:val="00252907"/>
    <w:rsid w:val="00252BB0"/>
    <w:rsid w:val="00252BB3"/>
    <w:rsid w:val="00253242"/>
    <w:rsid w:val="002537C5"/>
    <w:rsid w:val="00253A05"/>
    <w:rsid w:val="00253D3A"/>
    <w:rsid w:val="00254590"/>
    <w:rsid w:val="002549FC"/>
    <w:rsid w:val="00254B75"/>
    <w:rsid w:val="00254B8C"/>
    <w:rsid w:val="002551C8"/>
    <w:rsid w:val="0025529E"/>
    <w:rsid w:val="002556B1"/>
    <w:rsid w:val="00255B58"/>
    <w:rsid w:val="00255CF8"/>
    <w:rsid w:val="00255E00"/>
    <w:rsid w:val="00256044"/>
    <w:rsid w:val="0025663C"/>
    <w:rsid w:val="002568DA"/>
    <w:rsid w:val="00256A50"/>
    <w:rsid w:val="00256D8B"/>
    <w:rsid w:val="00256FE1"/>
    <w:rsid w:val="00257178"/>
    <w:rsid w:val="00257B6B"/>
    <w:rsid w:val="00257D8A"/>
    <w:rsid w:val="00257F42"/>
    <w:rsid w:val="00257F96"/>
    <w:rsid w:val="0026064B"/>
    <w:rsid w:val="00260A2D"/>
    <w:rsid w:val="00260B38"/>
    <w:rsid w:val="002612B0"/>
    <w:rsid w:val="00261488"/>
    <w:rsid w:val="002616E8"/>
    <w:rsid w:val="0026195C"/>
    <w:rsid w:val="00261BAD"/>
    <w:rsid w:val="00261DAC"/>
    <w:rsid w:val="002621B8"/>
    <w:rsid w:val="002621BD"/>
    <w:rsid w:val="0026222C"/>
    <w:rsid w:val="00262359"/>
    <w:rsid w:val="00262490"/>
    <w:rsid w:val="0026283B"/>
    <w:rsid w:val="00262969"/>
    <w:rsid w:val="002633D9"/>
    <w:rsid w:val="0026340E"/>
    <w:rsid w:val="0026362E"/>
    <w:rsid w:val="002639CA"/>
    <w:rsid w:val="002642F2"/>
    <w:rsid w:val="0026473A"/>
    <w:rsid w:val="002649A7"/>
    <w:rsid w:val="00264FC3"/>
    <w:rsid w:val="00265350"/>
    <w:rsid w:val="00265736"/>
    <w:rsid w:val="002657B3"/>
    <w:rsid w:val="00265874"/>
    <w:rsid w:val="0026589B"/>
    <w:rsid w:val="002662AF"/>
    <w:rsid w:val="002663B7"/>
    <w:rsid w:val="002666C5"/>
    <w:rsid w:val="00266B83"/>
    <w:rsid w:val="00266C8A"/>
    <w:rsid w:val="002677CD"/>
    <w:rsid w:val="00267E01"/>
    <w:rsid w:val="00270185"/>
    <w:rsid w:val="00270BFB"/>
    <w:rsid w:val="00270EAC"/>
    <w:rsid w:val="0027130B"/>
    <w:rsid w:val="0027156A"/>
    <w:rsid w:val="00271A81"/>
    <w:rsid w:val="00271CD7"/>
    <w:rsid w:val="00271CF2"/>
    <w:rsid w:val="00271D81"/>
    <w:rsid w:val="00272073"/>
    <w:rsid w:val="0027213F"/>
    <w:rsid w:val="002722BD"/>
    <w:rsid w:val="0027267D"/>
    <w:rsid w:val="002727E6"/>
    <w:rsid w:val="00272D1C"/>
    <w:rsid w:val="00273058"/>
    <w:rsid w:val="002731B9"/>
    <w:rsid w:val="00273B8D"/>
    <w:rsid w:val="00273CF0"/>
    <w:rsid w:val="00273E72"/>
    <w:rsid w:val="0027402A"/>
    <w:rsid w:val="00274068"/>
    <w:rsid w:val="0027498E"/>
    <w:rsid w:val="00274EFE"/>
    <w:rsid w:val="00275B02"/>
    <w:rsid w:val="00275FBC"/>
    <w:rsid w:val="0027638B"/>
    <w:rsid w:val="0027686D"/>
    <w:rsid w:val="00276B43"/>
    <w:rsid w:val="00276DC0"/>
    <w:rsid w:val="00276FBF"/>
    <w:rsid w:val="0027773B"/>
    <w:rsid w:val="00277A63"/>
    <w:rsid w:val="00277BC9"/>
    <w:rsid w:val="00277D5C"/>
    <w:rsid w:val="00277F47"/>
    <w:rsid w:val="00280026"/>
    <w:rsid w:val="0028064F"/>
    <w:rsid w:val="00280F3D"/>
    <w:rsid w:val="002810D9"/>
    <w:rsid w:val="002814EE"/>
    <w:rsid w:val="002815F0"/>
    <w:rsid w:val="00281830"/>
    <w:rsid w:val="0028195E"/>
    <w:rsid w:val="00281B57"/>
    <w:rsid w:val="00281D9E"/>
    <w:rsid w:val="00282593"/>
    <w:rsid w:val="002830F6"/>
    <w:rsid w:val="00283507"/>
    <w:rsid w:val="002836D4"/>
    <w:rsid w:val="002836ED"/>
    <w:rsid w:val="00283DD1"/>
    <w:rsid w:val="00283F64"/>
    <w:rsid w:val="00284442"/>
    <w:rsid w:val="00284CE8"/>
    <w:rsid w:val="00285482"/>
    <w:rsid w:val="00285886"/>
    <w:rsid w:val="00285A5E"/>
    <w:rsid w:val="00285F7B"/>
    <w:rsid w:val="002862A3"/>
    <w:rsid w:val="002864FC"/>
    <w:rsid w:val="00286C59"/>
    <w:rsid w:val="0028705C"/>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EB3"/>
    <w:rsid w:val="002920C1"/>
    <w:rsid w:val="0029211E"/>
    <w:rsid w:val="00292489"/>
    <w:rsid w:val="0029263E"/>
    <w:rsid w:val="00292A8E"/>
    <w:rsid w:val="00293198"/>
    <w:rsid w:val="002933A1"/>
    <w:rsid w:val="00293A66"/>
    <w:rsid w:val="00293B8B"/>
    <w:rsid w:val="0029450E"/>
    <w:rsid w:val="00294B1A"/>
    <w:rsid w:val="00294C0F"/>
    <w:rsid w:val="00294F77"/>
    <w:rsid w:val="0029551E"/>
    <w:rsid w:val="0029574D"/>
    <w:rsid w:val="00295922"/>
    <w:rsid w:val="002962CB"/>
    <w:rsid w:val="0029691D"/>
    <w:rsid w:val="00297206"/>
    <w:rsid w:val="002977B4"/>
    <w:rsid w:val="00297A00"/>
    <w:rsid w:val="00297BFE"/>
    <w:rsid w:val="00297F8C"/>
    <w:rsid w:val="002A0113"/>
    <w:rsid w:val="002A03ED"/>
    <w:rsid w:val="002A040F"/>
    <w:rsid w:val="002A0BC9"/>
    <w:rsid w:val="002A190F"/>
    <w:rsid w:val="002A1B25"/>
    <w:rsid w:val="002A1B2A"/>
    <w:rsid w:val="002A2129"/>
    <w:rsid w:val="002A2FA2"/>
    <w:rsid w:val="002A3215"/>
    <w:rsid w:val="002A33F4"/>
    <w:rsid w:val="002A3796"/>
    <w:rsid w:val="002A38CF"/>
    <w:rsid w:val="002A3AED"/>
    <w:rsid w:val="002A3B3F"/>
    <w:rsid w:val="002A3B90"/>
    <w:rsid w:val="002A46F7"/>
    <w:rsid w:val="002A4859"/>
    <w:rsid w:val="002A4AB8"/>
    <w:rsid w:val="002A4F74"/>
    <w:rsid w:val="002A538D"/>
    <w:rsid w:val="002A5A02"/>
    <w:rsid w:val="002A5A51"/>
    <w:rsid w:val="002A5F01"/>
    <w:rsid w:val="002A5FBE"/>
    <w:rsid w:val="002A6CE6"/>
    <w:rsid w:val="002A7DBA"/>
    <w:rsid w:val="002A7E9B"/>
    <w:rsid w:val="002B0578"/>
    <w:rsid w:val="002B059A"/>
    <w:rsid w:val="002B059F"/>
    <w:rsid w:val="002B0668"/>
    <w:rsid w:val="002B1293"/>
    <w:rsid w:val="002B1AD6"/>
    <w:rsid w:val="002B1E1C"/>
    <w:rsid w:val="002B2183"/>
    <w:rsid w:val="002B2414"/>
    <w:rsid w:val="002B295F"/>
    <w:rsid w:val="002B2B16"/>
    <w:rsid w:val="002B3035"/>
    <w:rsid w:val="002B32CA"/>
    <w:rsid w:val="002B32DD"/>
    <w:rsid w:val="002B3968"/>
    <w:rsid w:val="002B4001"/>
    <w:rsid w:val="002B409B"/>
    <w:rsid w:val="002B40EA"/>
    <w:rsid w:val="002B4392"/>
    <w:rsid w:val="002B4A50"/>
    <w:rsid w:val="002B5562"/>
    <w:rsid w:val="002B56C3"/>
    <w:rsid w:val="002B595B"/>
    <w:rsid w:val="002B5AD5"/>
    <w:rsid w:val="002B5C5A"/>
    <w:rsid w:val="002B6038"/>
    <w:rsid w:val="002B61FF"/>
    <w:rsid w:val="002B6422"/>
    <w:rsid w:val="002B6ABA"/>
    <w:rsid w:val="002B71BA"/>
    <w:rsid w:val="002B742B"/>
    <w:rsid w:val="002B782F"/>
    <w:rsid w:val="002B7843"/>
    <w:rsid w:val="002B7AE1"/>
    <w:rsid w:val="002B7B4D"/>
    <w:rsid w:val="002C0291"/>
    <w:rsid w:val="002C0625"/>
    <w:rsid w:val="002C0678"/>
    <w:rsid w:val="002C1252"/>
    <w:rsid w:val="002C15D5"/>
    <w:rsid w:val="002C171E"/>
    <w:rsid w:val="002C182C"/>
    <w:rsid w:val="002C1896"/>
    <w:rsid w:val="002C208E"/>
    <w:rsid w:val="002C2F67"/>
    <w:rsid w:val="002C3355"/>
    <w:rsid w:val="002C34A6"/>
    <w:rsid w:val="002C35FD"/>
    <w:rsid w:val="002C3609"/>
    <w:rsid w:val="002C3A60"/>
    <w:rsid w:val="002C3C63"/>
    <w:rsid w:val="002C45B6"/>
    <w:rsid w:val="002C4633"/>
    <w:rsid w:val="002C47A5"/>
    <w:rsid w:val="002C506F"/>
    <w:rsid w:val="002C51B6"/>
    <w:rsid w:val="002C5912"/>
    <w:rsid w:val="002C5970"/>
    <w:rsid w:val="002C5F03"/>
    <w:rsid w:val="002C6588"/>
    <w:rsid w:val="002C662D"/>
    <w:rsid w:val="002C6B2F"/>
    <w:rsid w:val="002C6BFB"/>
    <w:rsid w:val="002C7621"/>
    <w:rsid w:val="002C78D8"/>
    <w:rsid w:val="002C7B61"/>
    <w:rsid w:val="002C7B6D"/>
    <w:rsid w:val="002C7C2B"/>
    <w:rsid w:val="002C7C42"/>
    <w:rsid w:val="002D00FA"/>
    <w:rsid w:val="002D049F"/>
    <w:rsid w:val="002D0987"/>
    <w:rsid w:val="002D0B7C"/>
    <w:rsid w:val="002D0D1A"/>
    <w:rsid w:val="002D0E54"/>
    <w:rsid w:val="002D1359"/>
    <w:rsid w:val="002D155C"/>
    <w:rsid w:val="002D1637"/>
    <w:rsid w:val="002D1688"/>
    <w:rsid w:val="002D16B8"/>
    <w:rsid w:val="002D1819"/>
    <w:rsid w:val="002D1B69"/>
    <w:rsid w:val="002D1BA5"/>
    <w:rsid w:val="002D1C46"/>
    <w:rsid w:val="002D26EC"/>
    <w:rsid w:val="002D2BF5"/>
    <w:rsid w:val="002D2D0E"/>
    <w:rsid w:val="002D3043"/>
    <w:rsid w:val="002D35F5"/>
    <w:rsid w:val="002D3B6D"/>
    <w:rsid w:val="002D3D5A"/>
    <w:rsid w:val="002D3E5B"/>
    <w:rsid w:val="002D4510"/>
    <w:rsid w:val="002D47FE"/>
    <w:rsid w:val="002D4B1D"/>
    <w:rsid w:val="002D532D"/>
    <w:rsid w:val="002D5D7D"/>
    <w:rsid w:val="002D5F27"/>
    <w:rsid w:val="002D5FDF"/>
    <w:rsid w:val="002D607B"/>
    <w:rsid w:val="002D6582"/>
    <w:rsid w:val="002D65E2"/>
    <w:rsid w:val="002D6B7B"/>
    <w:rsid w:val="002D739A"/>
    <w:rsid w:val="002D73BD"/>
    <w:rsid w:val="002D76AB"/>
    <w:rsid w:val="002D786D"/>
    <w:rsid w:val="002D7912"/>
    <w:rsid w:val="002E0020"/>
    <w:rsid w:val="002E0042"/>
    <w:rsid w:val="002E0188"/>
    <w:rsid w:val="002E0209"/>
    <w:rsid w:val="002E070F"/>
    <w:rsid w:val="002E0C55"/>
    <w:rsid w:val="002E0CBF"/>
    <w:rsid w:val="002E1230"/>
    <w:rsid w:val="002E1545"/>
    <w:rsid w:val="002E180A"/>
    <w:rsid w:val="002E1910"/>
    <w:rsid w:val="002E1EC7"/>
    <w:rsid w:val="002E2333"/>
    <w:rsid w:val="002E2433"/>
    <w:rsid w:val="002E28BA"/>
    <w:rsid w:val="002E361B"/>
    <w:rsid w:val="002E361C"/>
    <w:rsid w:val="002E3943"/>
    <w:rsid w:val="002E3EAF"/>
    <w:rsid w:val="002E3F7C"/>
    <w:rsid w:val="002E4254"/>
    <w:rsid w:val="002E44C3"/>
    <w:rsid w:val="002E4691"/>
    <w:rsid w:val="002E4695"/>
    <w:rsid w:val="002E4F13"/>
    <w:rsid w:val="002E4FB7"/>
    <w:rsid w:val="002E5213"/>
    <w:rsid w:val="002E543D"/>
    <w:rsid w:val="002E577D"/>
    <w:rsid w:val="002E63EE"/>
    <w:rsid w:val="002E6468"/>
    <w:rsid w:val="002E6712"/>
    <w:rsid w:val="002E6FDB"/>
    <w:rsid w:val="002F0A46"/>
    <w:rsid w:val="002F0C37"/>
    <w:rsid w:val="002F104B"/>
    <w:rsid w:val="002F16B7"/>
    <w:rsid w:val="002F1C09"/>
    <w:rsid w:val="002F1CE6"/>
    <w:rsid w:val="002F1E70"/>
    <w:rsid w:val="002F2645"/>
    <w:rsid w:val="002F28F1"/>
    <w:rsid w:val="002F3510"/>
    <w:rsid w:val="002F35DF"/>
    <w:rsid w:val="002F3800"/>
    <w:rsid w:val="002F3839"/>
    <w:rsid w:val="002F3866"/>
    <w:rsid w:val="002F4613"/>
    <w:rsid w:val="002F4696"/>
    <w:rsid w:val="002F472F"/>
    <w:rsid w:val="002F556F"/>
    <w:rsid w:val="002F5678"/>
    <w:rsid w:val="002F5F3B"/>
    <w:rsid w:val="002F64E5"/>
    <w:rsid w:val="002F693C"/>
    <w:rsid w:val="002F69BB"/>
    <w:rsid w:val="002F6EC5"/>
    <w:rsid w:val="002F6FAD"/>
    <w:rsid w:val="002F797B"/>
    <w:rsid w:val="002F7A9E"/>
    <w:rsid w:val="002F7C6D"/>
    <w:rsid w:val="0030071B"/>
    <w:rsid w:val="0030120B"/>
    <w:rsid w:val="003020F4"/>
    <w:rsid w:val="003023A1"/>
    <w:rsid w:val="003025C7"/>
    <w:rsid w:val="0030360F"/>
    <w:rsid w:val="00303790"/>
    <w:rsid w:val="00303984"/>
    <w:rsid w:val="00304072"/>
    <w:rsid w:val="00304161"/>
    <w:rsid w:val="003043A7"/>
    <w:rsid w:val="00304618"/>
    <w:rsid w:val="00304643"/>
    <w:rsid w:val="0030477F"/>
    <w:rsid w:val="003047D2"/>
    <w:rsid w:val="00304A73"/>
    <w:rsid w:val="00304AFB"/>
    <w:rsid w:val="00304DFD"/>
    <w:rsid w:val="00304EFB"/>
    <w:rsid w:val="00304FE5"/>
    <w:rsid w:val="003057F7"/>
    <w:rsid w:val="00305842"/>
    <w:rsid w:val="0030597C"/>
    <w:rsid w:val="003059A3"/>
    <w:rsid w:val="00305D69"/>
    <w:rsid w:val="003063A5"/>
    <w:rsid w:val="00306864"/>
    <w:rsid w:val="003069F9"/>
    <w:rsid w:val="00306C90"/>
    <w:rsid w:val="00307669"/>
    <w:rsid w:val="00307951"/>
    <w:rsid w:val="00307AEA"/>
    <w:rsid w:val="00307DB7"/>
    <w:rsid w:val="00307F99"/>
    <w:rsid w:val="00310040"/>
    <w:rsid w:val="00310208"/>
    <w:rsid w:val="00310371"/>
    <w:rsid w:val="0031042D"/>
    <w:rsid w:val="0031058F"/>
    <w:rsid w:val="0031089E"/>
    <w:rsid w:val="00310B1D"/>
    <w:rsid w:val="00310CE6"/>
    <w:rsid w:val="00310D69"/>
    <w:rsid w:val="00310E45"/>
    <w:rsid w:val="00311663"/>
    <w:rsid w:val="00311668"/>
    <w:rsid w:val="00311C89"/>
    <w:rsid w:val="00311FB1"/>
    <w:rsid w:val="0031257A"/>
    <w:rsid w:val="003129EE"/>
    <w:rsid w:val="00313938"/>
    <w:rsid w:val="00313AEF"/>
    <w:rsid w:val="0031422F"/>
    <w:rsid w:val="0031472E"/>
    <w:rsid w:val="003147B7"/>
    <w:rsid w:val="00314844"/>
    <w:rsid w:val="003149A9"/>
    <w:rsid w:val="0031528D"/>
    <w:rsid w:val="00315535"/>
    <w:rsid w:val="00315650"/>
    <w:rsid w:val="00315675"/>
    <w:rsid w:val="00315888"/>
    <w:rsid w:val="00315EC0"/>
    <w:rsid w:val="003161E0"/>
    <w:rsid w:val="003170A7"/>
    <w:rsid w:val="003179E3"/>
    <w:rsid w:val="00317B6B"/>
    <w:rsid w:val="00317CF0"/>
    <w:rsid w:val="00317E59"/>
    <w:rsid w:val="0032040C"/>
    <w:rsid w:val="00320465"/>
    <w:rsid w:val="00320B02"/>
    <w:rsid w:val="00320B84"/>
    <w:rsid w:val="00321943"/>
    <w:rsid w:val="00321C49"/>
    <w:rsid w:val="00321D14"/>
    <w:rsid w:val="00322065"/>
    <w:rsid w:val="0032209B"/>
    <w:rsid w:val="00322440"/>
    <w:rsid w:val="00322496"/>
    <w:rsid w:val="00322AE7"/>
    <w:rsid w:val="00322D91"/>
    <w:rsid w:val="00322EEA"/>
    <w:rsid w:val="0032320A"/>
    <w:rsid w:val="00323F0D"/>
    <w:rsid w:val="00324003"/>
    <w:rsid w:val="003240EC"/>
    <w:rsid w:val="00324344"/>
    <w:rsid w:val="00324E78"/>
    <w:rsid w:val="003250C3"/>
    <w:rsid w:val="00325246"/>
    <w:rsid w:val="003253A1"/>
    <w:rsid w:val="00325869"/>
    <w:rsid w:val="00325A8A"/>
    <w:rsid w:val="00325A8C"/>
    <w:rsid w:val="00325B90"/>
    <w:rsid w:val="00325D35"/>
    <w:rsid w:val="00325D4C"/>
    <w:rsid w:val="00326448"/>
    <w:rsid w:val="0032650F"/>
    <w:rsid w:val="0032662E"/>
    <w:rsid w:val="00326854"/>
    <w:rsid w:val="00326F42"/>
    <w:rsid w:val="00327220"/>
    <w:rsid w:val="003272AF"/>
    <w:rsid w:val="003275E4"/>
    <w:rsid w:val="003278A7"/>
    <w:rsid w:val="00327F0D"/>
    <w:rsid w:val="00330069"/>
    <w:rsid w:val="00330144"/>
    <w:rsid w:val="003302D8"/>
    <w:rsid w:val="0033032C"/>
    <w:rsid w:val="003304A1"/>
    <w:rsid w:val="0033052A"/>
    <w:rsid w:val="00330999"/>
    <w:rsid w:val="00331316"/>
    <w:rsid w:val="0033133C"/>
    <w:rsid w:val="00331864"/>
    <w:rsid w:val="0033244F"/>
    <w:rsid w:val="00332C1D"/>
    <w:rsid w:val="00332EF9"/>
    <w:rsid w:val="00333005"/>
    <w:rsid w:val="00333597"/>
    <w:rsid w:val="00334500"/>
    <w:rsid w:val="00334E58"/>
    <w:rsid w:val="00335067"/>
    <w:rsid w:val="00335707"/>
    <w:rsid w:val="0033572F"/>
    <w:rsid w:val="00335C05"/>
    <w:rsid w:val="00335F31"/>
    <w:rsid w:val="0033634D"/>
    <w:rsid w:val="003370E6"/>
    <w:rsid w:val="00337740"/>
    <w:rsid w:val="00337743"/>
    <w:rsid w:val="00337E16"/>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3A6"/>
    <w:rsid w:val="003536BB"/>
    <w:rsid w:val="00353B7C"/>
    <w:rsid w:val="00353BE4"/>
    <w:rsid w:val="00353D60"/>
    <w:rsid w:val="0035402B"/>
    <w:rsid w:val="0035438E"/>
    <w:rsid w:val="003547C0"/>
    <w:rsid w:val="0035552E"/>
    <w:rsid w:val="00355796"/>
    <w:rsid w:val="003557D3"/>
    <w:rsid w:val="00355828"/>
    <w:rsid w:val="00355872"/>
    <w:rsid w:val="00355B00"/>
    <w:rsid w:val="00355C09"/>
    <w:rsid w:val="003561EE"/>
    <w:rsid w:val="00356418"/>
    <w:rsid w:val="0035689D"/>
    <w:rsid w:val="00356D90"/>
    <w:rsid w:val="00356E38"/>
    <w:rsid w:val="0035721C"/>
    <w:rsid w:val="003576DA"/>
    <w:rsid w:val="00357CBE"/>
    <w:rsid w:val="00357D66"/>
    <w:rsid w:val="003603B9"/>
    <w:rsid w:val="0036046F"/>
    <w:rsid w:val="003609A7"/>
    <w:rsid w:val="00360C13"/>
    <w:rsid w:val="00361427"/>
    <w:rsid w:val="00361487"/>
    <w:rsid w:val="00361661"/>
    <w:rsid w:val="0036199D"/>
    <w:rsid w:val="00362905"/>
    <w:rsid w:val="003629D8"/>
    <w:rsid w:val="00362D04"/>
    <w:rsid w:val="00363230"/>
    <w:rsid w:val="003644B2"/>
    <w:rsid w:val="00364B80"/>
    <w:rsid w:val="00364D53"/>
    <w:rsid w:val="00364FD8"/>
    <w:rsid w:val="003654A7"/>
    <w:rsid w:val="00365669"/>
    <w:rsid w:val="0036610E"/>
    <w:rsid w:val="00366735"/>
    <w:rsid w:val="0036674E"/>
    <w:rsid w:val="0036675B"/>
    <w:rsid w:val="00366EBB"/>
    <w:rsid w:val="0036772F"/>
    <w:rsid w:val="00367BD2"/>
    <w:rsid w:val="00370987"/>
    <w:rsid w:val="00370A1C"/>
    <w:rsid w:val="00370AD3"/>
    <w:rsid w:val="00370BC7"/>
    <w:rsid w:val="00371059"/>
    <w:rsid w:val="003715D6"/>
    <w:rsid w:val="003717C6"/>
    <w:rsid w:val="00371822"/>
    <w:rsid w:val="003719DE"/>
    <w:rsid w:val="00371A15"/>
    <w:rsid w:val="00371A33"/>
    <w:rsid w:val="00371F8F"/>
    <w:rsid w:val="0037285D"/>
    <w:rsid w:val="00372E83"/>
    <w:rsid w:val="0037314C"/>
    <w:rsid w:val="003731C2"/>
    <w:rsid w:val="00373747"/>
    <w:rsid w:val="00373860"/>
    <w:rsid w:val="00373DBC"/>
    <w:rsid w:val="00374226"/>
    <w:rsid w:val="00374B8C"/>
    <w:rsid w:val="00375080"/>
    <w:rsid w:val="0037523C"/>
    <w:rsid w:val="00375772"/>
    <w:rsid w:val="0037593A"/>
    <w:rsid w:val="00376575"/>
    <w:rsid w:val="003766A1"/>
    <w:rsid w:val="0037696B"/>
    <w:rsid w:val="00376B8B"/>
    <w:rsid w:val="00376C51"/>
    <w:rsid w:val="00376CE2"/>
    <w:rsid w:val="00376D6D"/>
    <w:rsid w:val="00377047"/>
    <w:rsid w:val="00377407"/>
    <w:rsid w:val="003775AA"/>
    <w:rsid w:val="00380026"/>
    <w:rsid w:val="0038073F"/>
    <w:rsid w:val="0038081D"/>
    <w:rsid w:val="003808DB"/>
    <w:rsid w:val="00380993"/>
    <w:rsid w:val="0038122A"/>
    <w:rsid w:val="00381332"/>
    <w:rsid w:val="00381780"/>
    <w:rsid w:val="00381B26"/>
    <w:rsid w:val="00381FDA"/>
    <w:rsid w:val="003820FF"/>
    <w:rsid w:val="003824B9"/>
    <w:rsid w:val="003824E4"/>
    <w:rsid w:val="00382610"/>
    <w:rsid w:val="003827AA"/>
    <w:rsid w:val="00382B1B"/>
    <w:rsid w:val="0038351E"/>
    <w:rsid w:val="0038370D"/>
    <w:rsid w:val="00383CFE"/>
    <w:rsid w:val="0038430C"/>
    <w:rsid w:val="0038475D"/>
    <w:rsid w:val="003849D7"/>
    <w:rsid w:val="00384BEF"/>
    <w:rsid w:val="003853FF"/>
    <w:rsid w:val="00385609"/>
    <w:rsid w:val="003856A4"/>
    <w:rsid w:val="003857DF"/>
    <w:rsid w:val="00385B5E"/>
    <w:rsid w:val="00385DAB"/>
    <w:rsid w:val="00385DE6"/>
    <w:rsid w:val="00385E54"/>
    <w:rsid w:val="003861A3"/>
    <w:rsid w:val="00386246"/>
    <w:rsid w:val="0038696B"/>
    <w:rsid w:val="003871D1"/>
    <w:rsid w:val="00387553"/>
    <w:rsid w:val="00387739"/>
    <w:rsid w:val="00387C17"/>
    <w:rsid w:val="00387CA6"/>
    <w:rsid w:val="00387CBD"/>
    <w:rsid w:val="003900C7"/>
    <w:rsid w:val="00390154"/>
    <w:rsid w:val="0039039F"/>
    <w:rsid w:val="00390480"/>
    <w:rsid w:val="00390ED6"/>
    <w:rsid w:val="00391955"/>
    <w:rsid w:val="00391B5C"/>
    <w:rsid w:val="00392509"/>
    <w:rsid w:val="003925E5"/>
    <w:rsid w:val="00392CD3"/>
    <w:rsid w:val="00392EB9"/>
    <w:rsid w:val="003930A1"/>
    <w:rsid w:val="003931DD"/>
    <w:rsid w:val="003933B2"/>
    <w:rsid w:val="003933F3"/>
    <w:rsid w:val="00393865"/>
    <w:rsid w:val="00393C76"/>
    <w:rsid w:val="00393FCC"/>
    <w:rsid w:val="003942EA"/>
    <w:rsid w:val="003943E5"/>
    <w:rsid w:val="00394793"/>
    <w:rsid w:val="003947BD"/>
    <w:rsid w:val="00394A7E"/>
    <w:rsid w:val="00394BEA"/>
    <w:rsid w:val="00394D47"/>
    <w:rsid w:val="003955E6"/>
    <w:rsid w:val="00395950"/>
    <w:rsid w:val="003961E2"/>
    <w:rsid w:val="00396FE3"/>
    <w:rsid w:val="0039763E"/>
    <w:rsid w:val="003978EA"/>
    <w:rsid w:val="0039797F"/>
    <w:rsid w:val="00397D8E"/>
    <w:rsid w:val="003A008A"/>
    <w:rsid w:val="003A05E8"/>
    <w:rsid w:val="003A08E5"/>
    <w:rsid w:val="003A105C"/>
    <w:rsid w:val="003A19D7"/>
    <w:rsid w:val="003A1E70"/>
    <w:rsid w:val="003A21CC"/>
    <w:rsid w:val="003A2222"/>
    <w:rsid w:val="003A233D"/>
    <w:rsid w:val="003A289A"/>
    <w:rsid w:val="003A2A37"/>
    <w:rsid w:val="003A2AE0"/>
    <w:rsid w:val="003A3262"/>
    <w:rsid w:val="003A39F5"/>
    <w:rsid w:val="003A434B"/>
    <w:rsid w:val="003A4371"/>
    <w:rsid w:val="003A4CC6"/>
    <w:rsid w:val="003A4F18"/>
    <w:rsid w:val="003A5479"/>
    <w:rsid w:val="003A5C1B"/>
    <w:rsid w:val="003A5F8F"/>
    <w:rsid w:val="003A60B9"/>
    <w:rsid w:val="003A6665"/>
    <w:rsid w:val="003A6CF4"/>
    <w:rsid w:val="003A7971"/>
    <w:rsid w:val="003A7C7F"/>
    <w:rsid w:val="003A7FDB"/>
    <w:rsid w:val="003B0162"/>
    <w:rsid w:val="003B023B"/>
    <w:rsid w:val="003B0304"/>
    <w:rsid w:val="003B043F"/>
    <w:rsid w:val="003B09C9"/>
    <w:rsid w:val="003B155C"/>
    <w:rsid w:val="003B16DB"/>
    <w:rsid w:val="003B1E19"/>
    <w:rsid w:val="003B20B4"/>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82"/>
    <w:rsid w:val="003B5A7E"/>
    <w:rsid w:val="003B62EA"/>
    <w:rsid w:val="003B6508"/>
    <w:rsid w:val="003B6CDF"/>
    <w:rsid w:val="003B79D6"/>
    <w:rsid w:val="003B7CC1"/>
    <w:rsid w:val="003C00C3"/>
    <w:rsid w:val="003C0338"/>
    <w:rsid w:val="003C04DA"/>
    <w:rsid w:val="003C0A82"/>
    <w:rsid w:val="003C0DAF"/>
    <w:rsid w:val="003C1074"/>
    <w:rsid w:val="003C10B2"/>
    <w:rsid w:val="003C11E9"/>
    <w:rsid w:val="003C123E"/>
    <w:rsid w:val="003C179A"/>
    <w:rsid w:val="003C1911"/>
    <w:rsid w:val="003C1B4F"/>
    <w:rsid w:val="003C1C96"/>
    <w:rsid w:val="003C1CD8"/>
    <w:rsid w:val="003C2288"/>
    <w:rsid w:val="003C2B48"/>
    <w:rsid w:val="003C2C98"/>
    <w:rsid w:val="003C31E0"/>
    <w:rsid w:val="003C331C"/>
    <w:rsid w:val="003C3336"/>
    <w:rsid w:val="003C380E"/>
    <w:rsid w:val="003C39E6"/>
    <w:rsid w:val="003C3A11"/>
    <w:rsid w:val="003C3E2C"/>
    <w:rsid w:val="003C40A3"/>
    <w:rsid w:val="003C43EB"/>
    <w:rsid w:val="003C46AE"/>
    <w:rsid w:val="003C49DA"/>
    <w:rsid w:val="003C4AFE"/>
    <w:rsid w:val="003C5187"/>
    <w:rsid w:val="003C526E"/>
    <w:rsid w:val="003C64B0"/>
    <w:rsid w:val="003C6957"/>
    <w:rsid w:val="003C6CF0"/>
    <w:rsid w:val="003C6DEB"/>
    <w:rsid w:val="003C6EFC"/>
    <w:rsid w:val="003C6FE0"/>
    <w:rsid w:val="003C73CA"/>
    <w:rsid w:val="003C748D"/>
    <w:rsid w:val="003C7585"/>
    <w:rsid w:val="003C7734"/>
    <w:rsid w:val="003C7A5C"/>
    <w:rsid w:val="003C7A6B"/>
    <w:rsid w:val="003D0153"/>
    <w:rsid w:val="003D0526"/>
    <w:rsid w:val="003D095D"/>
    <w:rsid w:val="003D0AAF"/>
    <w:rsid w:val="003D17E0"/>
    <w:rsid w:val="003D17F1"/>
    <w:rsid w:val="003D198F"/>
    <w:rsid w:val="003D201E"/>
    <w:rsid w:val="003D2665"/>
    <w:rsid w:val="003D314A"/>
    <w:rsid w:val="003D331D"/>
    <w:rsid w:val="003D3574"/>
    <w:rsid w:val="003D3857"/>
    <w:rsid w:val="003D3A0C"/>
    <w:rsid w:val="003D4149"/>
    <w:rsid w:val="003D47FD"/>
    <w:rsid w:val="003D4AA0"/>
    <w:rsid w:val="003D660C"/>
    <w:rsid w:val="003D73BD"/>
    <w:rsid w:val="003D7AF7"/>
    <w:rsid w:val="003D7CCE"/>
    <w:rsid w:val="003E040C"/>
    <w:rsid w:val="003E0481"/>
    <w:rsid w:val="003E0864"/>
    <w:rsid w:val="003E099A"/>
    <w:rsid w:val="003E09A0"/>
    <w:rsid w:val="003E0BAC"/>
    <w:rsid w:val="003E0D8C"/>
    <w:rsid w:val="003E0DCE"/>
    <w:rsid w:val="003E154A"/>
    <w:rsid w:val="003E15A3"/>
    <w:rsid w:val="003E19C7"/>
    <w:rsid w:val="003E1B68"/>
    <w:rsid w:val="003E1DE4"/>
    <w:rsid w:val="003E21AD"/>
    <w:rsid w:val="003E21C8"/>
    <w:rsid w:val="003E2417"/>
    <w:rsid w:val="003E2594"/>
    <w:rsid w:val="003E2601"/>
    <w:rsid w:val="003E2E52"/>
    <w:rsid w:val="003E3D77"/>
    <w:rsid w:val="003E4100"/>
    <w:rsid w:val="003E4408"/>
    <w:rsid w:val="003E5242"/>
    <w:rsid w:val="003E5930"/>
    <w:rsid w:val="003E5FC5"/>
    <w:rsid w:val="003E63A2"/>
    <w:rsid w:val="003E65D7"/>
    <w:rsid w:val="003E7465"/>
    <w:rsid w:val="003E7483"/>
    <w:rsid w:val="003F0515"/>
    <w:rsid w:val="003F057F"/>
    <w:rsid w:val="003F0EDC"/>
    <w:rsid w:val="003F106B"/>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13A"/>
    <w:rsid w:val="003F47B8"/>
    <w:rsid w:val="003F4A40"/>
    <w:rsid w:val="003F4B33"/>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7416"/>
    <w:rsid w:val="003F78D3"/>
    <w:rsid w:val="004000C9"/>
    <w:rsid w:val="0040048C"/>
    <w:rsid w:val="00400533"/>
    <w:rsid w:val="00400C90"/>
    <w:rsid w:val="00400F7F"/>
    <w:rsid w:val="00401930"/>
    <w:rsid w:val="00401ABD"/>
    <w:rsid w:val="00401B73"/>
    <w:rsid w:val="004023F7"/>
    <w:rsid w:val="00402C93"/>
    <w:rsid w:val="00402CED"/>
    <w:rsid w:val="0040363C"/>
    <w:rsid w:val="004036AF"/>
    <w:rsid w:val="0040371E"/>
    <w:rsid w:val="00403A0F"/>
    <w:rsid w:val="00403BE7"/>
    <w:rsid w:val="00403F52"/>
    <w:rsid w:val="0040424B"/>
    <w:rsid w:val="0040434E"/>
    <w:rsid w:val="004045DC"/>
    <w:rsid w:val="004048E5"/>
    <w:rsid w:val="00404D1E"/>
    <w:rsid w:val="00405316"/>
    <w:rsid w:val="004057B0"/>
    <w:rsid w:val="00405876"/>
    <w:rsid w:val="004065C0"/>
    <w:rsid w:val="00406623"/>
    <w:rsid w:val="004109CD"/>
    <w:rsid w:val="00410ED3"/>
    <w:rsid w:val="00411268"/>
    <w:rsid w:val="0041153E"/>
    <w:rsid w:val="004117A3"/>
    <w:rsid w:val="00411E35"/>
    <w:rsid w:val="00412149"/>
    <w:rsid w:val="00412488"/>
    <w:rsid w:val="004127C7"/>
    <w:rsid w:val="00412B7F"/>
    <w:rsid w:val="00412C6F"/>
    <w:rsid w:val="00412CEF"/>
    <w:rsid w:val="004141A8"/>
    <w:rsid w:val="004142D6"/>
    <w:rsid w:val="004145D9"/>
    <w:rsid w:val="00414D86"/>
    <w:rsid w:val="00414E59"/>
    <w:rsid w:val="004153B4"/>
    <w:rsid w:val="00415A4B"/>
    <w:rsid w:val="00415F33"/>
    <w:rsid w:val="00415F59"/>
    <w:rsid w:val="00416404"/>
    <w:rsid w:val="004165B8"/>
    <w:rsid w:val="004169D8"/>
    <w:rsid w:val="00416AE2"/>
    <w:rsid w:val="00417048"/>
    <w:rsid w:val="00417956"/>
    <w:rsid w:val="00420098"/>
    <w:rsid w:val="004201AF"/>
    <w:rsid w:val="004202C4"/>
    <w:rsid w:val="00420B07"/>
    <w:rsid w:val="00420C22"/>
    <w:rsid w:val="00420DF0"/>
    <w:rsid w:val="004213F9"/>
    <w:rsid w:val="004214FF"/>
    <w:rsid w:val="004217F1"/>
    <w:rsid w:val="0042188B"/>
    <w:rsid w:val="00421A79"/>
    <w:rsid w:val="00421E70"/>
    <w:rsid w:val="004224E7"/>
    <w:rsid w:val="004229FE"/>
    <w:rsid w:val="00422BF5"/>
    <w:rsid w:val="0042327F"/>
    <w:rsid w:val="00423B76"/>
    <w:rsid w:val="00423F07"/>
    <w:rsid w:val="004240B4"/>
    <w:rsid w:val="004242BF"/>
    <w:rsid w:val="00424303"/>
    <w:rsid w:val="004243AB"/>
    <w:rsid w:val="00424835"/>
    <w:rsid w:val="00425431"/>
    <w:rsid w:val="004254F2"/>
    <w:rsid w:val="004257A8"/>
    <w:rsid w:val="00425D34"/>
    <w:rsid w:val="00425FF9"/>
    <w:rsid w:val="00426328"/>
    <w:rsid w:val="004266DC"/>
    <w:rsid w:val="0042677E"/>
    <w:rsid w:val="00426A0F"/>
    <w:rsid w:val="0042706F"/>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CD9"/>
    <w:rsid w:val="00432FAF"/>
    <w:rsid w:val="00434EDF"/>
    <w:rsid w:val="00435149"/>
    <w:rsid w:val="00435269"/>
    <w:rsid w:val="00435769"/>
    <w:rsid w:val="00435805"/>
    <w:rsid w:val="00435EC1"/>
    <w:rsid w:val="004362AB"/>
    <w:rsid w:val="004364D6"/>
    <w:rsid w:val="004367E0"/>
    <w:rsid w:val="00437337"/>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E2"/>
    <w:rsid w:val="00442838"/>
    <w:rsid w:val="0044284D"/>
    <w:rsid w:val="00442C13"/>
    <w:rsid w:val="00442E88"/>
    <w:rsid w:val="00443050"/>
    <w:rsid w:val="0044336F"/>
    <w:rsid w:val="004438B7"/>
    <w:rsid w:val="0044417A"/>
    <w:rsid w:val="0044434A"/>
    <w:rsid w:val="0044437F"/>
    <w:rsid w:val="004446ED"/>
    <w:rsid w:val="004452BC"/>
    <w:rsid w:val="004453D0"/>
    <w:rsid w:val="004459D3"/>
    <w:rsid w:val="00445A25"/>
    <w:rsid w:val="00445AC4"/>
    <w:rsid w:val="00445C7A"/>
    <w:rsid w:val="00445E76"/>
    <w:rsid w:val="0044620A"/>
    <w:rsid w:val="0044655B"/>
    <w:rsid w:val="00446606"/>
    <w:rsid w:val="004471BC"/>
    <w:rsid w:val="00447217"/>
    <w:rsid w:val="00447508"/>
    <w:rsid w:val="004477E9"/>
    <w:rsid w:val="00447B50"/>
    <w:rsid w:val="00447EB2"/>
    <w:rsid w:val="004501F3"/>
    <w:rsid w:val="00450515"/>
    <w:rsid w:val="0045090E"/>
    <w:rsid w:val="00450AD8"/>
    <w:rsid w:val="00450F0D"/>
    <w:rsid w:val="00451450"/>
    <w:rsid w:val="00451471"/>
    <w:rsid w:val="00451B50"/>
    <w:rsid w:val="0045211C"/>
    <w:rsid w:val="00452756"/>
    <w:rsid w:val="00452C60"/>
    <w:rsid w:val="00452DBE"/>
    <w:rsid w:val="00452DFE"/>
    <w:rsid w:val="004530CC"/>
    <w:rsid w:val="004531B1"/>
    <w:rsid w:val="00453294"/>
    <w:rsid w:val="0045343E"/>
    <w:rsid w:val="00453626"/>
    <w:rsid w:val="00453704"/>
    <w:rsid w:val="00453FC2"/>
    <w:rsid w:val="0045404D"/>
    <w:rsid w:val="004544ED"/>
    <w:rsid w:val="00454D9A"/>
    <w:rsid w:val="0045665B"/>
    <w:rsid w:val="00456C61"/>
    <w:rsid w:val="00457013"/>
    <w:rsid w:val="004571D3"/>
    <w:rsid w:val="004573D3"/>
    <w:rsid w:val="004578EA"/>
    <w:rsid w:val="00457AAC"/>
    <w:rsid w:val="00457F93"/>
    <w:rsid w:val="00460326"/>
    <w:rsid w:val="00460547"/>
    <w:rsid w:val="00460682"/>
    <w:rsid w:val="00460A4F"/>
    <w:rsid w:val="00460B6C"/>
    <w:rsid w:val="00460E6C"/>
    <w:rsid w:val="00460F1B"/>
    <w:rsid w:val="0046113E"/>
    <w:rsid w:val="004617A9"/>
    <w:rsid w:val="00461B70"/>
    <w:rsid w:val="00462285"/>
    <w:rsid w:val="0046258E"/>
    <w:rsid w:val="0046291A"/>
    <w:rsid w:val="00462932"/>
    <w:rsid w:val="00462CEB"/>
    <w:rsid w:val="00462DCA"/>
    <w:rsid w:val="00462EA8"/>
    <w:rsid w:val="0046384E"/>
    <w:rsid w:val="00463F9A"/>
    <w:rsid w:val="00464BAF"/>
    <w:rsid w:val="00464C2B"/>
    <w:rsid w:val="00464CF4"/>
    <w:rsid w:val="004650F5"/>
    <w:rsid w:val="00465562"/>
    <w:rsid w:val="00465C8E"/>
    <w:rsid w:val="00465DFD"/>
    <w:rsid w:val="0046630F"/>
    <w:rsid w:val="004663C3"/>
    <w:rsid w:val="004666C7"/>
    <w:rsid w:val="00466E73"/>
    <w:rsid w:val="00466F69"/>
    <w:rsid w:val="0046706B"/>
    <w:rsid w:val="00467815"/>
    <w:rsid w:val="00467916"/>
    <w:rsid w:val="00467D9B"/>
    <w:rsid w:val="004703CF"/>
    <w:rsid w:val="004709A0"/>
    <w:rsid w:val="00470D19"/>
    <w:rsid w:val="00471284"/>
    <w:rsid w:val="004712D4"/>
    <w:rsid w:val="00472BF3"/>
    <w:rsid w:val="00472FB0"/>
    <w:rsid w:val="00473696"/>
    <w:rsid w:val="00473721"/>
    <w:rsid w:val="00473A4B"/>
    <w:rsid w:val="004741FD"/>
    <w:rsid w:val="004747C0"/>
    <w:rsid w:val="004748DC"/>
    <w:rsid w:val="0047491E"/>
    <w:rsid w:val="00474986"/>
    <w:rsid w:val="00474A6A"/>
    <w:rsid w:val="00474EF0"/>
    <w:rsid w:val="00475233"/>
    <w:rsid w:val="00475CA4"/>
    <w:rsid w:val="0047608F"/>
    <w:rsid w:val="0047658E"/>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86E"/>
    <w:rsid w:val="00480E9A"/>
    <w:rsid w:val="00480F71"/>
    <w:rsid w:val="0048213A"/>
    <w:rsid w:val="00482764"/>
    <w:rsid w:val="0048278B"/>
    <w:rsid w:val="0048285F"/>
    <w:rsid w:val="00482D16"/>
    <w:rsid w:val="00482E4C"/>
    <w:rsid w:val="00482E4F"/>
    <w:rsid w:val="004831CC"/>
    <w:rsid w:val="00483553"/>
    <w:rsid w:val="004836D8"/>
    <w:rsid w:val="004837C6"/>
    <w:rsid w:val="00483998"/>
    <w:rsid w:val="00483FC1"/>
    <w:rsid w:val="00484250"/>
    <w:rsid w:val="00484652"/>
    <w:rsid w:val="004848A8"/>
    <w:rsid w:val="00484CB7"/>
    <w:rsid w:val="00484E4C"/>
    <w:rsid w:val="00485154"/>
    <w:rsid w:val="004851F3"/>
    <w:rsid w:val="004854A3"/>
    <w:rsid w:val="00485673"/>
    <w:rsid w:val="004862BE"/>
    <w:rsid w:val="00486ABE"/>
    <w:rsid w:val="00486EF1"/>
    <w:rsid w:val="00486F3A"/>
    <w:rsid w:val="00487033"/>
    <w:rsid w:val="004873C2"/>
    <w:rsid w:val="004878ED"/>
    <w:rsid w:val="00487B7C"/>
    <w:rsid w:val="0049004B"/>
    <w:rsid w:val="004908E5"/>
    <w:rsid w:val="00490C52"/>
    <w:rsid w:val="00491039"/>
    <w:rsid w:val="00491438"/>
    <w:rsid w:val="00491AE6"/>
    <w:rsid w:val="00491B1C"/>
    <w:rsid w:val="004922BC"/>
    <w:rsid w:val="004923BD"/>
    <w:rsid w:val="00492E3F"/>
    <w:rsid w:val="004930B3"/>
    <w:rsid w:val="00493F5C"/>
    <w:rsid w:val="0049412A"/>
    <w:rsid w:val="00494269"/>
    <w:rsid w:val="004945E3"/>
    <w:rsid w:val="0049469C"/>
    <w:rsid w:val="00494A4D"/>
    <w:rsid w:val="00494D66"/>
    <w:rsid w:val="00494EB3"/>
    <w:rsid w:val="004952F2"/>
    <w:rsid w:val="0049560D"/>
    <w:rsid w:val="00495DB3"/>
    <w:rsid w:val="00495F43"/>
    <w:rsid w:val="00497F5E"/>
    <w:rsid w:val="004A00B0"/>
    <w:rsid w:val="004A16BB"/>
    <w:rsid w:val="004A171B"/>
    <w:rsid w:val="004A1C9C"/>
    <w:rsid w:val="004A207E"/>
    <w:rsid w:val="004A2148"/>
    <w:rsid w:val="004A2385"/>
    <w:rsid w:val="004A28A0"/>
    <w:rsid w:val="004A2C49"/>
    <w:rsid w:val="004A2D91"/>
    <w:rsid w:val="004A3A8F"/>
    <w:rsid w:val="004A3B95"/>
    <w:rsid w:val="004A3C91"/>
    <w:rsid w:val="004A3DEE"/>
    <w:rsid w:val="004A4457"/>
    <w:rsid w:val="004A44E6"/>
    <w:rsid w:val="004A565E"/>
    <w:rsid w:val="004A58BA"/>
    <w:rsid w:val="004A67A5"/>
    <w:rsid w:val="004A69D0"/>
    <w:rsid w:val="004A75D0"/>
    <w:rsid w:val="004A7912"/>
    <w:rsid w:val="004A7BA8"/>
    <w:rsid w:val="004A7C53"/>
    <w:rsid w:val="004B0194"/>
    <w:rsid w:val="004B0271"/>
    <w:rsid w:val="004B089F"/>
    <w:rsid w:val="004B0B94"/>
    <w:rsid w:val="004B0C8F"/>
    <w:rsid w:val="004B1113"/>
    <w:rsid w:val="004B1248"/>
    <w:rsid w:val="004B176A"/>
    <w:rsid w:val="004B1DC3"/>
    <w:rsid w:val="004B1E80"/>
    <w:rsid w:val="004B2835"/>
    <w:rsid w:val="004B28C5"/>
    <w:rsid w:val="004B326B"/>
    <w:rsid w:val="004B32F8"/>
    <w:rsid w:val="004B3476"/>
    <w:rsid w:val="004B36AE"/>
    <w:rsid w:val="004B3FAE"/>
    <w:rsid w:val="004B4672"/>
    <w:rsid w:val="004B4766"/>
    <w:rsid w:val="004B4837"/>
    <w:rsid w:val="004B5819"/>
    <w:rsid w:val="004B58F5"/>
    <w:rsid w:val="004B5B48"/>
    <w:rsid w:val="004B5E52"/>
    <w:rsid w:val="004B605A"/>
    <w:rsid w:val="004B6663"/>
    <w:rsid w:val="004B67A4"/>
    <w:rsid w:val="004B6A3D"/>
    <w:rsid w:val="004B6E89"/>
    <w:rsid w:val="004B7414"/>
    <w:rsid w:val="004B74AD"/>
    <w:rsid w:val="004B7E45"/>
    <w:rsid w:val="004B7FE2"/>
    <w:rsid w:val="004C07BD"/>
    <w:rsid w:val="004C0EF4"/>
    <w:rsid w:val="004C109F"/>
    <w:rsid w:val="004C14B1"/>
    <w:rsid w:val="004C1A46"/>
    <w:rsid w:val="004C289A"/>
    <w:rsid w:val="004C2ADF"/>
    <w:rsid w:val="004C31BF"/>
    <w:rsid w:val="004C3427"/>
    <w:rsid w:val="004C4453"/>
    <w:rsid w:val="004C4A77"/>
    <w:rsid w:val="004C4D53"/>
    <w:rsid w:val="004C5692"/>
    <w:rsid w:val="004C5A50"/>
    <w:rsid w:val="004C60F8"/>
    <w:rsid w:val="004C6173"/>
    <w:rsid w:val="004C61A3"/>
    <w:rsid w:val="004C68C2"/>
    <w:rsid w:val="004C6E03"/>
    <w:rsid w:val="004C6F47"/>
    <w:rsid w:val="004C780C"/>
    <w:rsid w:val="004C7AA2"/>
    <w:rsid w:val="004D03BA"/>
    <w:rsid w:val="004D0A75"/>
    <w:rsid w:val="004D0F17"/>
    <w:rsid w:val="004D0FAE"/>
    <w:rsid w:val="004D118A"/>
    <w:rsid w:val="004D20F4"/>
    <w:rsid w:val="004D2898"/>
    <w:rsid w:val="004D2E74"/>
    <w:rsid w:val="004D301C"/>
    <w:rsid w:val="004D3100"/>
    <w:rsid w:val="004D32EE"/>
    <w:rsid w:val="004D3441"/>
    <w:rsid w:val="004D349D"/>
    <w:rsid w:val="004D357C"/>
    <w:rsid w:val="004D3E0B"/>
    <w:rsid w:val="004D42B9"/>
    <w:rsid w:val="004D42DD"/>
    <w:rsid w:val="004D45C8"/>
    <w:rsid w:val="004D4ED8"/>
    <w:rsid w:val="004D5051"/>
    <w:rsid w:val="004D543D"/>
    <w:rsid w:val="004D5A3C"/>
    <w:rsid w:val="004D613A"/>
    <w:rsid w:val="004D63B2"/>
    <w:rsid w:val="004D63C2"/>
    <w:rsid w:val="004D6A38"/>
    <w:rsid w:val="004D6C65"/>
    <w:rsid w:val="004D6E8C"/>
    <w:rsid w:val="004D708E"/>
    <w:rsid w:val="004D760C"/>
    <w:rsid w:val="004D7C62"/>
    <w:rsid w:val="004D7C91"/>
    <w:rsid w:val="004D7D45"/>
    <w:rsid w:val="004E01D4"/>
    <w:rsid w:val="004E0F37"/>
    <w:rsid w:val="004E14AB"/>
    <w:rsid w:val="004E1622"/>
    <w:rsid w:val="004E1E98"/>
    <w:rsid w:val="004E22F6"/>
    <w:rsid w:val="004E26E4"/>
    <w:rsid w:val="004E357A"/>
    <w:rsid w:val="004E3800"/>
    <w:rsid w:val="004E3861"/>
    <w:rsid w:val="004E434A"/>
    <w:rsid w:val="004E4F6D"/>
    <w:rsid w:val="004E5000"/>
    <w:rsid w:val="004E5251"/>
    <w:rsid w:val="004E530F"/>
    <w:rsid w:val="004E5331"/>
    <w:rsid w:val="004E5599"/>
    <w:rsid w:val="004E55D4"/>
    <w:rsid w:val="004E586B"/>
    <w:rsid w:val="004E5A83"/>
    <w:rsid w:val="004E5CB8"/>
    <w:rsid w:val="004E65EB"/>
    <w:rsid w:val="004E67F2"/>
    <w:rsid w:val="004E6BE4"/>
    <w:rsid w:val="004E7114"/>
    <w:rsid w:val="004E722D"/>
    <w:rsid w:val="004E7341"/>
    <w:rsid w:val="004E7E7E"/>
    <w:rsid w:val="004F0244"/>
    <w:rsid w:val="004F0772"/>
    <w:rsid w:val="004F09A1"/>
    <w:rsid w:val="004F0A27"/>
    <w:rsid w:val="004F0A45"/>
    <w:rsid w:val="004F19B6"/>
    <w:rsid w:val="004F23B6"/>
    <w:rsid w:val="004F26FA"/>
    <w:rsid w:val="004F282C"/>
    <w:rsid w:val="004F2903"/>
    <w:rsid w:val="004F3035"/>
    <w:rsid w:val="004F368A"/>
    <w:rsid w:val="004F379F"/>
    <w:rsid w:val="004F3D4A"/>
    <w:rsid w:val="004F3E0F"/>
    <w:rsid w:val="004F401E"/>
    <w:rsid w:val="004F43AB"/>
    <w:rsid w:val="004F50EE"/>
    <w:rsid w:val="004F5614"/>
    <w:rsid w:val="004F58BE"/>
    <w:rsid w:val="004F712C"/>
    <w:rsid w:val="004F7174"/>
    <w:rsid w:val="004F7AF1"/>
    <w:rsid w:val="004F7E98"/>
    <w:rsid w:val="00500320"/>
    <w:rsid w:val="005005C8"/>
    <w:rsid w:val="00500DD0"/>
    <w:rsid w:val="00500EDC"/>
    <w:rsid w:val="00500F5E"/>
    <w:rsid w:val="005010BA"/>
    <w:rsid w:val="005010F0"/>
    <w:rsid w:val="005012AA"/>
    <w:rsid w:val="005012CF"/>
    <w:rsid w:val="005013A1"/>
    <w:rsid w:val="00501E11"/>
    <w:rsid w:val="00501F11"/>
    <w:rsid w:val="00502352"/>
    <w:rsid w:val="0050278D"/>
    <w:rsid w:val="00502A36"/>
    <w:rsid w:val="00502C10"/>
    <w:rsid w:val="0050309D"/>
    <w:rsid w:val="005032E5"/>
    <w:rsid w:val="00503326"/>
    <w:rsid w:val="0050355D"/>
    <w:rsid w:val="00503812"/>
    <w:rsid w:val="00503B43"/>
    <w:rsid w:val="00504188"/>
    <w:rsid w:val="00504345"/>
    <w:rsid w:val="00504560"/>
    <w:rsid w:val="00504655"/>
    <w:rsid w:val="00504A31"/>
    <w:rsid w:val="00504D3B"/>
    <w:rsid w:val="00504F8B"/>
    <w:rsid w:val="005055B5"/>
    <w:rsid w:val="005056AC"/>
    <w:rsid w:val="00505C75"/>
    <w:rsid w:val="005063A0"/>
    <w:rsid w:val="005063D2"/>
    <w:rsid w:val="00506619"/>
    <w:rsid w:val="0050690E"/>
    <w:rsid w:val="00506971"/>
    <w:rsid w:val="00507A54"/>
    <w:rsid w:val="00507DD2"/>
    <w:rsid w:val="00507E53"/>
    <w:rsid w:val="00510257"/>
    <w:rsid w:val="00510D1D"/>
    <w:rsid w:val="00510E99"/>
    <w:rsid w:val="00511033"/>
    <w:rsid w:val="00511104"/>
    <w:rsid w:val="00511440"/>
    <w:rsid w:val="00511938"/>
    <w:rsid w:val="00511A4E"/>
    <w:rsid w:val="00511B5E"/>
    <w:rsid w:val="00511BBF"/>
    <w:rsid w:val="00511BDC"/>
    <w:rsid w:val="00511FE7"/>
    <w:rsid w:val="00512785"/>
    <w:rsid w:val="00512E62"/>
    <w:rsid w:val="0051361B"/>
    <w:rsid w:val="0051373C"/>
    <w:rsid w:val="005138B3"/>
    <w:rsid w:val="00513D0A"/>
    <w:rsid w:val="00513EBA"/>
    <w:rsid w:val="00513F43"/>
    <w:rsid w:val="00514116"/>
    <w:rsid w:val="00514985"/>
    <w:rsid w:val="00514E64"/>
    <w:rsid w:val="00514F92"/>
    <w:rsid w:val="0051506B"/>
    <w:rsid w:val="00515A6A"/>
    <w:rsid w:val="00515D3E"/>
    <w:rsid w:val="00515E7B"/>
    <w:rsid w:val="005162FD"/>
    <w:rsid w:val="005165B0"/>
    <w:rsid w:val="00516663"/>
    <w:rsid w:val="00516F04"/>
    <w:rsid w:val="00517005"/>
    <w:rsid w:val="00517153"/>
    <w:rsid w:val="005171D1"/>
    <w:rsid w:val="005174C6"/>
    <w:rsid w:val="00517868"/>
    <w:rsid w:val="00520142"/>
    <w:rsid w:val="0052017C"/>
    <w:rsid w:val="0052072A"/>
    <w:rsid w:val="00520894"/>
    <w:rsid w:val="00520BC0"/>
    <w:rsid w:val="00520BF7"/>
    <w:rsid w:val="00520C6E"/>
    <w:rsid w:val="005215A2"/>
    <w:rsid w:val="005217F8"/>
    <w:rsid w:val="005219E0"/>
    <w:rsid w:val="00521A77"/>
    <w:rsid w:val="00521B41"/>
    <w:rsid w:val="005220A9"/>
    <w:rsid w:val="00522490"/>
    <w:rsid w:val="0052267A"/>
    <w:rsid w:val="005226D4"/>
    <w:rsid w:val="005234D4"/>
    <w:rsid w:val="0052382F"/>
    <w:rsid w:val="005239DD"/>
    <w:rsid w:val="00523BB0"/>
    <w:rsid w:val="00523CA1"/>
    <w:rsid w:val="00523EB9"/>
    <w:rsid w:val="0052417B"/>
    <w:rsid w:val="00524A9C"/>
    <w:rsid w:val="00525956"/>
    <w:rsid w:val="00525BED"/>
    <w:rsid w:val="0052633E"/>
    <w:rsid w:val="005266F4"/>
    <w:rsid w:val="0052675C"/>
    <w:rsid w:val="0052679A"/>
    <w:rsid w:val="00526931"/>
    <w:rsid w:val="00526CEC"/>
    <w:rsid w:val="00526D46"/>
    <w:rsid w:val="0052736B"/>
    <w:rsid w:val="00527C5D"/>
    <w:rsid w:val="005303B5"/>
    <w:rsid w:val="005303E3"/>
    <w:rsid w:val="00530D4E"/>
    <w:rsid w:val="00531094"/>
    <w:rsid w:val="00531143"/>
    <w:rsid w:val="0053173F"/>
    <w:rsid w:val="0053186B"/>
    <w:rsid w:val="00531C5C"/>
    <w:rsid w:val="00532578"/>
    <w:rsid w:val="005327B7"/>
    <w:rsid w:val="00532870"/>
    <w:rsid w:val="00532A23"/>
    <w:rsid w:val="00532BC3"/>
    <w:rsid w:val="005331E8"/>
    <w:rsid w:val="00533351"/>
    <w:rsid w:val="0053337C"/>
    <w:rsid w:val="005340EA"/>
    <w:rsid w:val="00534664"/>
    <w:rsid w:val="00534787"/>
    <w:rsid w:val="005348FA"/>
    <w:rsid w:val="00534A44"/>
    <w:rsid w:val="00534AA1"/>
    <w:rsid w:val="00535A9B"/>
    <w:rsid w:val="00535CE3"/>
    <w:rsid w:val="00535F4E"/>
    <w:rsid w:val="00536332"/>
    <w:rsid w:val="0053655B"/>
    <w:rsid w:val="00536601"/>
    <w:rsid w:val="00536B78"/>
    <w:rsid w:val="00536BE9"/>
    <w:rsid w:val="005373DF"/>
    <w:rsid w:val="00537433"/>
    <w:rsid w:val="005376F2"/>
    <w:rsid w:val="00537A19"/>
    <w:rsid w:val="00540D81"/>
    <w:rsid w:val="00541BF0"/>
    <w:rsid w:val="00541C34"/>
    <w:rsid w:val="00542821"/>
    <w:rsid w:val="00542CA8"/>
    <w:rsid w:val="00542E32"/>
    <w:rsid w:val="005430ED"/>
    <w:rsid w:val="00543514"/>
    <w:rsid w:val="0054368B"/>
    <w:rsid w:val="005438A1"/>
    <w:rsid w:val="005439A7"/>
    <w:rsid w:val="00543B81"/>
    <w:rsid w:val="00543C00"/>
    <w:rsid w:val="00543CEA"/>
    <w:rsid w:val="00543EB8"/>
    <w:rsid w:val="00543F41"/>
    <w:rsid w:val="005441AB"/>
    <w:rsid w:val="005444F5"/>
    <w:rsid w:val="00544550"/>
    <w:rsid w:val="00544556"/>
    <w:rsid w:val="0054482E"/>
    <w:rsid w:val="0054485E"/>
    <w:rsid w:val="00544FCF"/>
    <w:rsid w:val="005450DC"/>
    <w:rsid w:val="005452E6"/>
    <w:rsid w:val="0054533C"/>
    <w:rsid w:val="005455FC"/>
    <w:rsid w:val="00545A47"/>
    <w:rsid w:val="00545FC7"/>
    <w:rsid w:val="0054634E"/>
    <w:rsid w:val="005469B4"/>
    <w:rsid w:val="00546A4F"/>
    <w:rsid w:val="00546B67"/>
    <w:rsid w:val="00546B92"/>
    <w:rsid w:val="00547079"/>
    <w:rsid w:val="0054707A"/>
    <w:rsid w:val="0054710E"/>
    <w:rsid w:val="005474C7"/>
    <w:rsid w:val="00547B37"/>
    <w:rsid w:val="00550490"/>
    <w:rsid w:val="00550986"/>
    <w:rsid w:val="00550CBD"/>
    <w:rsid w:val="00550F71"/>
    <w:rsid w:val="00551167"/>
    <w:rsid w:val="005512D3"/>
    <w:rsid w:val="00551C0E"/>
    <w:rsid w:val="00551F46"/>
    <w:rsid w:val="005521F2"/>
    <w:rsid w:val="00552561"/>
    <w:rsid w:val="00552812"/>
    <w:rsid w:val="00552840"/>
    <w:rsid w:val="00552982"/>
    <w:rsid w:val="00552B1B"/>
    <w:rsid w:val="00552B31"/>
    <w:rsid w:val="00552B71"/>
    <w:rsid w:val="00552BB0"/>
    <w:rsid w:val="00552C14"/>
    <w:rsid w:val="005531C6"/>
    <w:rsid w:val="00553290"/>
    <w:rsid w:val="00553C45"/>
    <w:rsid w:val="005542D6"/>
    <w:rsid w:val="005544FA"/>
    <w:rsid w:val="00554723"/>
    <w:rsid w:val="00554A33"/>
    <w:rsid w:val="00554F2F"/>
    <w:rsid w:val="00554FCF"/>
    <w:rsid w:val="0055525E"/>
    <w:rsid w:val="0055588A"/>
    <w:rsid w:val="0055597A"/>
    <w:rsid w:val="00555A7F"/>
    <w:rsid w:val="00555C67"/>
    <w:rsid w:val="00556356"/>
    <w:rsid w:val="0055716D"/>
    <w:rsid w:val="005571A6"/>
    <w:rsid w:val="005572B8"/>
    <w:rsid w:val="005572CC"/>
    <w:rsid w:val="0055745F"/>
    <w:rsid w:val="00557621"/>
    <w:rsid w:val="00557953"/>
    <w:rsid w:val="00557AD3"/>
    <w:rsid w:val="00557EA9"/>
    <w:rsid w:val="00560321"/>
    <w:rsid w:val="005603F5"/>
    <w:rsid w:val="005605D3"/>
    <w:rsid w:val="005609A0"/>
    <w:rsid w:val="00560E55"/>
    <w:rsid w:val="00560E76"/>
    <w:rsid w:val="00561360"/>
    <w:rsid w:val="00561B32"/>
    <w:rsid w:val="0056275D"/>
    <w:rsid w:val="00562E8F"/>
    <w:rsid w:val="0056301A"/>
    <w:rsid w:val="005630D2"/>
    <w:rsid w:val="005635AD"/>
    <w:rsid w:val="005636B0"/>
    <w:rsid w:val="005637ED"/>
    <w:rsid w:val="00563CAB"/>
    <w:rsid w:val="00564070"/>
    <w:rsid w:val="005640E1"/>
    <w:rsid w:val="005647B6"/>
    <w:rsid w:val="00564EA1"/>
    <w:rsid w:val="0056534C"/>
    <w:rsid w:val="00566E81"/>
    <w:rsid w:val="00566F7A"/>
    <w:rsid w:val="005670FC"/>
    <w:rsid w:val="005677CF"/>
    <w:rsid w:val="00567AEE"/>
    <w:rsid w:val="00567CEE"/>
    <w:rsid w:val="00567E2C"/>
    <w:rsid w:val="00567F7D"/>
    <w:rsid w:val="005702BD"/>
    <w:rsid w:val="0057040F"/>
    <w:rsid w:val="0057096F"/>
    <w:rsid w:val="00570D57"/>
    <w:rsid w:val="005713EC"/>
    <w:rsid w:val="005713F4"/>
    <w:rsid w:val="0057154B"/>
    <w:rsid w:val="0057166D"/>
    <w:rsid w:val="00571BB1"/>
    <w:rsid w:val="00571E64"/>
    <w:rsid w:val="0057201E"/>
    <w:rsid w:val="00572B78"/>
    <w:rsid w:val="00573713"/>
    <w:rsid w:val="00573ADD"/>
    <w:rsid w:val="00573D3B"/>
    <w:rsid w:val="00573EE2"/>
    <w:rsid w:val="00573F6A"/>
    <w:rsid w:val="005742D5"/>
    <w:rsid w:val="0057432C"/>
    <w:rsid w:val="00574657"/>
    <w:rsid w:val="00574676"/>
    <w:rsid w:val="00574C41"/>
    <w:rsid w:val="00575314"/>
    <w:rsid w:val="00575CC3"/>
    <w:rsid w:val="00575D10"/>
    <w:rsid w:val="00576018"/>
    <w:rsid w:val="00576B38"/>
    <w:rsid w:val="00576D6B"/>
    <w:rsid w:val="005778E9"/>
    <w:rsid w:val="00577AAE"/>
    <w:rsid w:val="00577D2C"/>
    <w:rsid w:val="005800F7"/>
    <w:rsid w:val="005808CA"/>
    <w:rsid w:val="00580B3D"/>
    <w:rsid w:val="00580F16"/>
    <w:rsid w:val="00580F26"/>
    <w:rsid w:val="005810A9"/>
    <w:rsid w:val="00581A7C"/>
    <w:rsid w:val="00581BEF"/>
    <w:rsid w:val="005822F5"/>
    <w:rsid w:val="00582376"/>
    <w:rsid w:val="00583133"/>
    <w:rsid w:val="005834E6"/>
    <w:rsid w:val="005839B5"/>
    <w:rsid w:val="00583C0E"/>
    <w:rsid w:val="00583FDB"/>
    <w:rsid w:val="00584056"/>
    <w:rsid w:val="005841BC"/>
    <w:rsid w:val="0058427E"/>
    <w:rsid w:val="0058452A"/>
    <w:rsid w:val="005845E7"/>
    <w:rsid w:val="00584A97"/>
    <w:rsid w:val="00584CE1"/>
    <w:rsid w:val="00584FEF"/>
    <w:rsid w:val="005853EF"/>
    <w:rsid w:val="00585972"/>
    <w:rsid w:val="00585B10"/>
    <w:rsid w:val="00586045"/>
    <w:rsid w:val="005862E4"/>
    <w:rsid w:val="005864FA"/>
    <w:rsid w:val="005865AA"/>
    <w:rsid w:val="00586848"/>
    <w:rsid w:val="00586D7F"/>
    <w:rsid w:val="00587048"/>
    <w:rsid w:val="005875A3"/>
    <w:rsid w:val="00587652"/>
    <w:rsid w:val="0058773A"/>
    <w:rsid w:val="00587BD5"/>
    <w:rsid w:val="00587BD9"/>
    <w:rsid w:val="00587C5F"/>
    <w:rsid w:val="00587CCA"/>
    <w:rsid w:val="00590750"/>
    <w:rsid w:val="00590907"/>
    <w:rsid w:val="00592283"/>
    <w:rsid w:val="0059241D"/>
    <w:rsid w:val="00592491"/>
    <w:rsid w:val="0059266B"/>
    <w:rsid w:val="0059346F"/>
    <w:rsid w:val="00593875"/>
    <w:rsid w:val="00593B35"/>
    <w:rsid w:val="00593E2F"/>
    <w:rsid w:val="005943C5"/>
    <w:rsid w:val="005948C2"/>
    <w:rsid w:val="00594A7B"/>
    <w:rsid w:val="00595102"/>
    <w:rsid w:val="005952ED"/>
    <w:rsid w:val="00595529"/>
    <w:rsid w:val="00595870"/>
    <w:rsid w:val="00595F5A"/>
    <w:rsid w:val="005963CE"/>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C00"/>
    <w:rsid w:val="005A1EAB"/>
    <w:rsid w:val="005A270C"/>
    <w:rsid w:val="005A297A"/>
    <w:rsid w:val="005A2D82"/>
    <w:rsid w:val="005A30F1"/>
    <w:rsid w:val="005A323A"/>
    <w:rsid w:val="005A3789"/>
    <w:rsid w:val="005A37C5"/>
    <w:rsid w:val="005A3835"/>
    <w:rsid w:val="005A389E"/>
    <w:rsid w:val="005A3950"/>
    <w:rsid w:val="005A3AEC"/>
    <w:rsid w:val="005A3F9E"/>
    <w:rsid w:val="005A40C0"/>
    <w:rsid w:val="005A4634"/>
    <w:rsid w:val="005A46A3"/>
    <w:rsid w:val="005A47FE"/>
    <w:rsid w:val="005A4B91"/>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C06"/>
    <w:rsid w:val="005B1CDA"/>
    <w:rsid w:val="005B1E97"/>
    <w:rsid w:val="005B1F3A"/>
    <w:rsid w:val="005B2194"/>
    <w:rsid w:val="005B2339"/>
    <w:rsid w:val="005B2BC3"/>
    <w:rsid w:val="005B3447"/>
    <w:rsid w:val="005B3AC9"/>
    <w:rsid w:val="005B3BFB"/>
    <w:rsid w:val="005B42E1"/>
    <w:rsid w:val="005B4350"/>
    <w:rsid w:val="005B4621"/>
    <w:rsid w:val="005B4812"/>
    <w:rsid w:val="005B4CFA"/>
    <w:rsid w:val="005B4DEF"/>
    <w:rsid w:val="005B4ED1"/>
    <w:rsid w:val="005B50E0"/>
    <w:rsid w:val="005B5458"/>
    <w:rsid w:val="005B574D"/>
    <w:rsid w:val="005B5B3D"/>
    <w:rsid w:val="005B5CEE"/>
    <w:rsid w:val="005B5CFF"/>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4A"/>
    <w:rsid w:val="005C1960"/>
    <w:rsid w:val="005C19A6"/>
    <w:rsid w:val="005C1A79"/>
    <w:rsid w:val="005C1CD8"/>
    <w:rsid w:val="005C239B"/>
    <w:rsid w:val="005C303E"/>
    <w:rsid w:val="005C30DE"/>
    <w:rsid w:val="005C39AD"/>
    <w:rsid w:val="005C3B26"/>
    <w:rsid w:val="005C3C95"/>
    <w:rsid w:val="005C3EDF"/>
    <w:rsid w:val="005C4397"/>
    <w:rsid w:val="005C44B0"/>
    <w:rsid w:val="005C45EA"/>
    <w:rsid w:val="005C48CC"/>
    <w:rsid w:val="005C63B5"/>
    <w:rsid w:val="005C674D"/>
    <w:rsid w:val="005C6842"/>
    <w:rsid w:val="005C6C37"/>
    <w:rsid w:val="005C6F00"/>
    <w:rsid w:val="005C7356"/>
    <w:rsid w:val="005C7644"/>
    <w:rsid w:val="005C77FD"/>
    <w:rsid w:val="005C791C"/>
    <w:rsid w:val="005C7B31"/>
    <w:rsid w:val="005C7BF4"/>
    <w:rsid w:val="005D003A"/>
    <w:rsid w:val="005D029E"/>
    <w:rsid w:val="005D0574"/>
    <w:rsid w:val="005D0745"/>
    <w:rsid w:val="005D19D9"/>
    <w:rsid w:val="005D1A69"/>
    <w:rsid w:val="005D1B66"/>
    <w:rsid w:val="005D1FDF"/>
    <w:rsid w:val="005D27FF"/>
    <w:rsid w:val="005D28A0"/>
    <w:rsid w:val="005D2A1B"/>
    <w:rsid w:val="005D2B0F"/>
    <w:rsid w:val="005D30FC"/>
    <w:rsid w:val="005D323E"/>
    <w:rsid w:val="005D3352"/>
    <w:rsid w:val="005D363D"/>
    <w:rsid w:val="005D3A17"/>
    <w:rsid w:val="005D3ACE"/>
    <w:rsid w:val="005D3D1E"/>
    <w:rsid w:val="005D3E50"/>
    <w:rsid w:val="005D3ECD"/>
    <w:rsid w:val="005D4D03"/>
    <w:rsid w:val="005D50D9"/>
    <w:rsid w:val="005D529B"/>
    <w:rsid w:val="005D5E15"/>
    <w:rsid w:val="005D65AE"/>
    <w:rsid w:val="005D6A61"/>
    <w:rsid w:val="005D6D68"/>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D1"/>
    <w:rsid w:val="005E1C04"/>
    <w:rsid w:val="005E269C"/>
    <w:rsid w:val="005E2A11"/>
    <w:rsid w:val="005E2C16"/>
    <w:rsid w:val="005E34F4"/>
    <w:rsid w:val="005E3586"/>
    <w:rsid w:val="005E386D"/>
    <w:rsid w:val="005E3B7E"/>
    <w:rsid w:val="005E3D0E"/>
    <w:rsid w:val="005E3EC0"/>
    <w:rsid w:val="005E4482"/>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2FB"/>
    <w:rsid w:val="005E7F95"/>
    <w:rsid w:val="005E7FC5"/>
    <w:rsid w:val="005F01CE"/>
    <w:rsid w:val="005F0296"/>
    <w:rsid w:val="005F0906"/>
    <w:rsid w:val="005F0E46"/>
    <w:rsid w:val="005F135B"/>
    <w:rsid w:val="005F1942"/>
    <w:rsid w:val="005F1BB0"/>
    <w:rsid w:val="005F20AE"/>
    <w:rsid w:val="005F22B3"/>
    <w:rsid w:val="005F2426"/>
    <w:rsid w:val="005F24DF"/>
    <w:rsid w:val="005F335B"/>
    <w:rsid w:val="005F353B"/>
    <w:rsid w:val="005F362F"/>
    <w:rsid w:val="005F3709"/>
    <w:rsid w:val="005F3A57"/>
    <w:rsid w:val="005F3C7E"/>
    <w:rsid w:val="005F3EAB"/>
    <w:rsid w:val="005F4027"/>
    <w:rsid w:val="005F42BB"/>
    <w:rsid w:val="005F45DB"/>
    <w:rsid w:val="005F4603"/>
    <w:rsid w:val="005F4E54"/>
    <w:rsid w:val="005F4EAE"/>
    <w:rsid w:val="005F574A"/>
    <w:rsid w:val="005F5DC9"/>
    <w:rsid w:val="005F6186"/>
    <w:rsid w:val="005F676C"/>
    <w:rsid w:val="005F68BE"/>
    <w:rsid w:val="005F70B6"/>
    <w:rsid w:val="005F73B3"/>
    <w:rsid w:val="005F7518"/>
    <w:rsid w:val="005F778D"/>
    <w:rsid w:val="005F7A87"/>
    <w:rsid w:val="005F7BA0"/>
    <w:rsid w:val="005F7C34"/>
    <w:rsid w:val="005F7F41"/>
    <w:rsid w:val="00600905"/>
    <w:rsid w:val="006009D3"/>
    <w:rsid w:val="00600B1F"/>
    <w:rsid w:val="00600C85"/>
    <w:rsid w:val="00601080"/>
    <w:rsid w:val="006010E6"/>
    <w:rsid w:val="006011A3"/>
    <w:rsid w:val="006017DF"/>
    <w:rsid w:val="00601C4F"/>
    <w:rsid w:val="00601F0A"/>
    <w:rsid w:val="0060217B"/>
    <w:rsid w:val="006023B8"/>
    <w:rsid w:val="00602639"/>
    <w:rsid w:val="006030B5"/>
    <w:rsid w:val="00603630"/>
    <w:rsid w:val="0060382E"/>
    <w:rsid w:val="00603CFA"/>
    <w:rsid w:val="00603D1C"/>
    <w:rsid w:val="00604174"/>
    <w:rsid w:val="006049FB"/>
    <w:rsid w:val="00604DBE"/>
    <w:rsid w:val="0060510E"/>
    <w:rsid w:val="00605297"/>
    <w:rsid w:val="006057C2"/>
    <w:rsid w:val="006058CF"/>
    <w:rsid w:val="00605BCD"/>
    <w:rsid w:val="00605C2C"/>
    <w:rsid w:val="006061B0"/>
    <w:rsid w:val="006062EA"/>
    <w:rsid w:val="006063E1"/>
    <w:rsid w:val="006065E4"/>
    <w:rsid w:val="006066C2"/>
    <w:rsid w:val="006066D1"/>
    <w:rsid w:val="00606995"/>
    <w:rsid w:val="00606F56"/>
    <w:rsid w:val="00607982"/>
    <w:rsid w:val="00607A0E"/>
    <w:rsid w:val="00607D48"/>
    <w:rsid w:val="00610039"/>
    <w:rsid w:val="00610381"/>
    <w:rsid w:val="00610581"/>
    <w:rsid w:val="006108EE"/>
    <w:rsid w:val="00610917"/>
    <w:rsid w:val="006109E3"/>
    <w:rsid w:val="00610A2A"/>
    <w:rsid w:val="00610D2E"/>
    <w:rsid w:val="0061183C"/>
    <w:rsid w:val="00611B68"/>
    <w:rsid w:val="00611C07"/>
    <w:rsid w:val="00611C8F"/>
    <w:rsid w:val="00611E07"/>
    <w:rsid w:val="00611EFD"/>
    <w:rsid w:val="00612045"/>
    <w:rsid w:val="006120C3"/>
    <w:rsid w:val="0061286E"/>
    <w:rsid w:val="00612E91"/>
    <w:rsid w:val="00612F12"/>
    <w:rsid w:val="00612F99"/>
    <w:rsid w:val="006136FF"/>
    <w:rsid w:val="00613A47"/>
    <w:rsid w:val="00613AC9"/>
    <w:rsid w:val="00613DA3"/>
    <w:rsid w:val="00614026"/>
    <w:rsid w:val="006140E8"/>
    <w:rsid w:val="006143E2"/>
    <w:rsid w:val="00614466"/>
    <w:rsid w:val="00614490"/>
    <w:rsid w:val="006144CD"/>
    <w:rsid w:val="00614679"/>
    <w:rsid w:val="00614786"/>
    <w:rsid w:val="00614BD6"/>
    <w:rsid w:val="00614EDE"/>
    <w:rsid w:val="00615461"/>
    <w:rsid w:val="00615808"/>
    <w:rsid w:val="00615D37"/>
    <w:rsid w:val="00615E47"/>
    <w:rsid w:val="00616910"/>
    <w:rsid w:val="00616945"/>
    <w:rsid w:val="006169EE"/>
    <w:rsid w:val="006171E9"/>
    <w:rsid w:val="00617982"/>
    <w:rsid w:val="00617F7C"/>
    <w:rsid w:val="00620E86"/>
    <w:rsid w:val="00621286"/>
    <w:rsid w:val="0062155F"/>
    <w:rsid w:val="006219DD"/>
    <w:rsid w:val="00621AD4"/>
    <w:rsid w:val="00621D63"/>
    <w:rsid w:val="00622172"/>
    <w:rsid w:val="00622A16"/>
    <w:rsid w:val="00622EA7"/>
    <w:rsid w:val="00623472"/>
    <w:rsid w:val="00623940"/>
    <w:rsid w:val="00623DAF"/>
    <w:rsid w:val="006242BF"/>
    <w:rsid w:val="00624678"/>
    <w:rsid w:val="006246FE"/>
    <w:rsid w:val="00624717"/>
    <w:rsid w:val="00625136"/>
    <w:rsid w:val="0062524C"/>
    <w:rsid w:val="00625342"/>
    <w:rsid w:val="00625B38"/>
    <w:rsid w:val="00626AB6"/>
    <w:rsid w:val="00626C3D"/>
    <w:rsid w:val="00626C48"/>
    <w:rsid w:val="00626F58"/>
    <w:rsid w:val="006275F3"/>
    <w:rsid w:val="00627733"/>
    <w:rsid w:val="00627921"/>
    <w:rsid w:val="0063016C"/>
    <w:rsid w:val="00630A86"/>
    <w:rsid w:val="00630E1F"/>
    <w:rsid w:val="00631786"/>
    <w:rsid w:val="00631B1E"/>
    <w:rsid w:val="00631FE7"/>
    <w:rsid w:val="006321EA"/>
    <w:rsid w:val="006324E6"/>
    <w:rsid w:val="0063272C"/>
    <w:rsid w:val="00632ACC"/>
    <w:rsid w:val="006335C9"/>
    <w:rsid w:val="00633EB5"/>
    <w:rsid w:val="00633FF2"/>
    <w:rsid w:val="00634207"/>
    <w:rsid w:val="00634571"/>
    <w:rsid w:val="006345C1"/>
    <w:rsid w:val="006347E8"/>
    <w:rsid w:val="00634969"/>
    <w:rsid w:val="006349C0"/>
    <w:rsid w:val="00634AB3"/>
    <w:rsid w:val="00634F76"/>
    <w:rsid w:val="00635520"/>
    <w:rsid w:val="006358A3"/>
    <w:rsid w:val="00635B68"/>
    <w:rsid w:val="00635E34"/>
    <w:rsid w:val="0063608A"/>
    <w:rsid w:val="00637056"/>
    <w:rsid w:val="0063793A"/>
    <w:rsid w:val="00637AD5"/>
    <w:rsid w:val="00637E9B"/>
    <w:rsid w:val="00637FDD"/>
    <w:rsid w:val="00640129"/>
    <w:rsid w:val="006407E3"/>
    <w:rsid w:val="0064090D"/>
    <w:rsid w:val="00641E57"/>
    <w:rsid w:val="006421E9"/>
    <w:rsid w:val="0064260D"/>
    <w:rsid w:val="00642A39"/>
    <w:rsid w:val="00642DBC"/>
    <w:rsid w:val="0064307F"/>
    <w:rsid w:val="006430E6"/>
    <w:rsid w:val="006439EC"/>
    <w:rsid w:val="00643CED"/>
    <w:rsid w:val="00643D90"/>
    <w:rsid w:val="00644234"/>
    <w:rsid w:val="00644878"/>
    <w:rsid w:val="00644DE2"/>
    <w:rsid w:val="00645349"/>
    <w:rsid w:val="00645858"/>
    <w:rsid w:val="006458F4"/>
    <w:rsid w:val="00645F03"/>
    <w:rsid w:val="00646486"/>
    <w:rsid w:val="00646602"/>
    <w:rsid w:val="00646BC4"/>
    <w:rsid w:val="00646D0E"/>
    <w:rsid w:val="006471F4"/>
    <w:rsid w:val="006478E6"/>
    <w:rsid w:val="00647DB1"/>
    <w:rsid w:val="00647F58"/>
    <w:rsid w:val="00650306"/>
    <w:rsid w:val="006503A5"/>
    <w:rsid w:val="00650463"/>
    <w:rsid w:val="006507FC"/>
    <w:rsid w:val="006507FD"/>
    <w:rsid w:val="0065082F"/>
    <w:rsid w:val="006509F9"/>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E"/>
    <w:rsid w:val="00655390"/>
    <w:rsid w:val="006553D9"/>
    <w:rsid w:val="00655622"/>
    <w:rsid w:val="00655858"/>
    <w:rsid w:val="0065606D"/>
    <w:rsid w:val="00656071"/>
    <w:rsid w:val="0065646C"/>
    <w:rsid w:val="006564F2"/>
    <w:rsid w:val="00656D2E"/>
    <w:rsid w:val="0065716D"/>
    <w:rsid w:val="00657FD8"/>
    <w:rsid w:val="006600DB"/>
    <w:rsid w:val="0066016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B35"/>
    <w:rsid w:val="00663CF1"/>
    <w:rsid w:val="00663F1B"/>
    <w:rsid w:val="00663FC5"/>
    <w:rsid w:val="0066419E"/>
    <w:rsid w:val="006645AF"/>
    <w:rsid w:val="00664AB8"/>
    <w:rsid w:val="00664F18"/>
    <w:rsid w:val="0066523C"/>
    <w:rsid w:val="0066529F"/>
    <w:rsid w:val="0066571F"/>
    <w:rsid w:val="00665DA2"/>
    <w:rsid w:val="006660F5"/>
    <w:rsid w:val="00666285"/>
    <w:rsid w:val="00666443"/>
    <w:rsid w:val="00666480"/>
    <w:rsid w:val="006667CC"/>
    <w:rsid w:val="00666D34"/>
    <w:rsid w:val="0066731A"/>
    <w:rsid w:val="00667476"/>
    <w:rsid w:val="00667E3E"/>
    <w:rsid w:val="00670BE7"/>
    <w:rsid w:val="00670FEA"/>
    <w:rsid w:val="0067179C"/>
    <w:rsid w:val="00671874"/>
    <w:rsid w:val="00671CD0"/>
    <w:rsid w:val="00671DC9"/>
    <w:rsid w:val="0067252D"/>
    <w:rsid w:val="006728C2"/>
    <w:rsid w:val="00672C31"/>
    <w:rsid w:val="006730AC"/>
    <w:rsid w:val="006733E9"/>
    <w:rsid w:val="006734AA"/>
    <w:rsid w:val="006734B3"/>
    <w:rsid w:val="0067353C"/>
    <w:rsid w:val="00673735"/>
    <w:rsid w:val="00674093"/>
    <w:rsid w:val="00674BC6"/>
    <w:rsid w:val="00675403"/>
    <w:rsid w:val="00675498"/>
    <w:rsid w:val="00675BE6"/>
    <w:rsid w:val="00676163"/>
    <w:rsid w:val="00676216"/>
    <w:rsid w:val="006764C4"/>
    <w:rsid w:val="00676F76"/>
    <w:rsid w:val="006776E6"/>
    <w:rsid w:val="00677763"/>
    <w:rsid w:val="006777E4"/>
    <w:rsid w:val="00677C1A"/>
    <w:rsid w:val="00677C22"/>
    <w:rsid w:val="00677C95"/>
    <w:rsid w:val="00677FB0"/>
    <w:rsid w:val="006808CC"/>
    <w:rsid w:val="006809AA"/>
    <w:rsid w:val="00680AF4"/>
    <w:rsid w:val="00681495"/>
    <w:rsid w:val="0068171A"/>
    <w:rsid w:val="006817D4"/>
    <w:rsid w:val="00681D10"/>
    <w:rsid w:val="00681F18"/>
    <w:rsid w:val="00682369"/>
    <w:rsid w:val="006826EA"/>
    <w:rsid w:val="0068281F"/>
    <w:rsid w:val="00682A80"/>
    <w:rsid w:val="00682C7C"/>
    <w:rsid w:val="00682E20"/>
    <w:rsid w:val="00682F4C"/>
    <w:rsid w:val="00683141"/>
    <w:rsid w:val="00683825"/>
    <w:rsid w:val="006838D8"/>
    <w:rsid w:val="006838DF"/>
    <w:rsid w:val="00683F2A"/>
    <w:rsid w:val="006842B9"/>
    <w:rsid w:val="006844D4"/>
    <w:rsid w:val="00684966"/>
    <w:rsid w:val="00684BAF"/>
    <w:rsid w:val="006856FD"/>
    <w:rsid w:val="00685899"/>
    <w:rsid w:val="006859DA"/>
    <w:rsid w:val="0068662B"/>
    <w:rsid w:val="00686772"/>
    <w:rsid w:val="00686E60"/>
    <w:rsid w:val="0068727D"/>
    <w:rsid w:val="0068735F"/>
    <w:rsid w:val="00687642"/>
    <w:rsid w:val="0069023B"/>
    <w:rsid w:val="00690667"/>
    <w:rsid w:val="0069080B"/>
    <w:rsid w:val="006908E3"/>
    <w:rsid w:val="00690AAE"/>
    <w:rsid w:val="00690CBB"/>
    <w:rsid w:val="00690CC0"/>
    <w:rsid w:val="00690E50"/>
    <w:rsid w:val="00691611"/>
    <w:rsid w:val="0069172E"/>
    <w:rsid w:val="00691895"/>
    <w:rsid w:val="00691932"/>
    <w:rsid w:val="006919FB"/>
    <w:rsid w:val="0069213E"/>
    <w:rsid w:val="00692162"/>
    <w:rsid w:val="0069246E"/>
    <w:rsid w:val="0069297F"/>
    <w:rsid w:val="00692D30"/>
    <w:rsid w:val="00692E71"/>
    <w:rsid w:val="00692F53"/>
    <w:rsid w:val="00692F6A"/>
    <w:rsid w:val="006934C4"/>
    <w:rsid w:val="00694124"/>
    <w:rsid w:val="006941DC"/>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37E"/>
    <w:rsid w:val="006A1D7D"/>
    <w:rsid w:val="006A1E12"/>
    <w:rsid w:val="006A2019"/>
    <w:rsid w:val="006A21CC"/>
    <w:rsid w:val="006A294D"/>
    <w:rsid w:val="006A30E6"/>
    <w:rsid w:val="006A3D41"/>
    <w:rsid w:val="006A4022"/>
    <w:rsid w:val="006A4C19"/>
    <w:rsid w:val="006A511D"/>
    <w:rsid w:val="006A53F3"/>
    <w:rsid w:val="006A5833"/>
    <w:rsid w:val="006A5B87"/>
    <w:rsid w:val="006A6143"/>
    <w:rsid w:val="006A72F8"/>
    <w:rsid w:val="006A7354"/>
    <w:rsid w:val="006A7796"/>
    <w:rsid w:val="006A7C96"/>
    <w:rsid w:val="006A7F83"/>
    <w:rsid w:val="006B0331"/>
    <w:rsid w:val="006B0495"/>
    <w:rsid w:val="006B0DCB"/>
    <w:rsid w:val="006B0EAB"/>
    <w:rsid w:val="006B0EE5"/>
    <w:rsid w:val="006B15DB"/>
    <w:rsid w:val="006B2344"/>
    <w:rsid w:val="006B2408"/>
    <w:rsid w:val="006B299D"/>
    <w:rsid w:val="006B2F28"/>
    <w:rsid w:val="006B3325"/>
    <w:rsid w:val="006B33F7"/>
    <w:rsid w:val="006B38B3"/>
    <w:rsid w:val="006B3AF9"/>
    <w:rsid w:val="006B3C91"/>
    <w:rsid w:val="006B414C"/>
    <w:rsid w:val="006B47F4"/>
    <w:rsid w:val="006B48AB"/>
    <w:rsid w:val="006B4B0F"/>
    <w:rsid w:val="006B4BC6"/>
    <w:rsid w:val="006B5474"/>
    <w:rsid w:val="006B62A0"/>
    <w:rsid w:val="006B62B4"/>
    <w:rsid w:val="006B650F"/>
    <w:rsid w:val="006B6584"/>
    <w:rsid w:val="006B69CE"/>
    <w:rsid w:val="006C0449"/>
    <w:rsid w:val="006C0D0F"/>
    <w:rsid w:val="006C0E39"/>
    <w:rsid w:val="006C0E74"/>
    <w:rsid w:val="006C1394"/>
    <w:rsid w:val="006C1417"/>
    <w:rsid w:val="006C1721"/>
    <w:rsid w:val="006C183C"/>
    <w:rsid w:val="006C26D6"/>
    <w:rsid w:val="006C2FED"/>
    <w:rsid w:val="006C30CF"/>
    <w:rsid w:val="006C32CF"/>
    <w:rsid w:val="006C335E"/>
    <w:rsid w:val="006C37B4"/>
    <w:rsid w:val="006C3A1F"/>
    <w:rsid w:val="006C41D7"/>
    <w:rsid w:val="006C53F8"/>
    <w:rsid w:val="006C54B1"/>
    <w:rsid w:val="006C54BB"/>
    <w:rsid w:val="006C56FC"/>
    <w:rsid w:val="006C5C6C"/>
    <w:rsid w:val="006C5F8C"/>
    <w:rsid w:val="006C63EB"/>
    <w:rsid w:val="006C72C5"/>
    <w:rsid w:val="006C761F"/>
    <w:rsid w:val="006C7815"/>
    <w:rsid w:val="006C7DE0"/>
    <w:rsid w:val="006D024B"/>
    <w:rsid w:val="006D047D"/>
    <w:rsid w:val="006D0616"/>
    <w:rsid w:val="006D092B"/>
    <w:rsid w:val="006D0EDF"/>
    <w:rsid w:val="006D0F52"/>
    <w:rsid w:val="006D0FAB"/>
    <w:rsid w:val="006D1314"/>
    <w:rsid w:val="006D150C"/>
    <w:rsid w:val="006D15EE"/>
    <w:rsid w:val="006D16CA"/>
    <w:rsid w:val="006D1793"/>
    <w:rsid w:val="006D18A4"/>
    <w:rsid w:val="006D1ABE"/>
    <w:rsid w:val="006D1D06"/>
    <w:rsid w:val="006D209E"/>
    <w:rsid w:val="006D2162"/>
    <w:rsid w:val="006D23EE"/>
    <w:rsid w:val="006D252A"/>
    <w:rsid w:val="006D2AB0"/>
    <w:rsid w:val="006D364F"/>
    <w:rsid w:val="006D3693"/>
    <w:rsid w:val="006D37A4"/>
    <w:rsid w:val="006D3DC7"/>
    <w:rsid w:val="006D4161"/>
    <w:rsid w:val="006D4245"/>
    <w:rsid w:val="006D46CE"/>
    <w:rsid w:val="006D4B98"/>
    <w:rsid w:val="006D4E04"/>
    <w:rsid w:val="006D5078"/>
    <w:rsid w:val="006D54D9"/>
    <w:rsid w:val="006D5843"/>
    <w:rsid w:val="006D5DE9"/>
    <w:rsid w:val="006D6509"/>
    <w:rsid w:val="006D68AC"/>
    <w:rsid w:val="006D6DF7"/>
    <w:rsid w:val="006D7DD5"/>
    <w:rsid w:val="006D7E18"/>
    <w:rsid w:val="006E00A7"/>
    <w:rsid w:val="006E010C"/>
    <w:rsid w:val="006E0A87"/>
    <w:rsid w:val="006E0A93"/>
    <w:rsid w:val="006E1B15"/>
    <w:rsid w:val="006E1CC8"/>
    <w:rsid w:val="006E220A"/>
    <w:rsid w:val="006E346A"/>
    <w:rsid w:val="006E3C8A"/>
    <w:rsid w:val="006E3E0D"/>
    <w:rsid w:val="006E4064"/>
    <w:rsid w:val="006E4806"/>
    <w:rsid w:val="006E4C0D"/>
    <w:rsid w:val="006E58EA"/>
    <w:rsid w:val="006E5BF8"/>
    <w:rsid w:val="006E643B"/>
    <w:rsid w:val="006E65E1"/>
    <w:rsid w:val="006E67A4"/>
    <w:rsid w:val="006E6A02"/>
    <w:rsid w:val="006E6B01"/>
    <w:rsid w:val="006E6B82"/>
    <w:rsid w:val="006E6D16"/>
    <w:rsid w:val="006E6D29"/>
    <w:rsid w:val="006E783D"/>
    <w:rsid w:val="006E799D"/>
    <w:rsid w:val="006E79FB"/>
    <w:rsid w:val="006E7FA2"/>
    <w:rsid w:val="006F0036"/>
    <w:rsid w:val="006F024E"/>
    <w:rsid w:val="006F0D97"/>
    <w:rsid w:val="006F10D4"/>
    <w:rsid w:val="006F1233"/>
    <w:rsid w:val="006F1244"/>
    <w:rsid w:val="006F27E0"/>
    <w:rsid w:val="006F28D9"/>
    <w:rsid w:val="006F2F67"/>
    <w:rsid w:val="006F3CA4"/>
    <w:rsid w:val="006F4148"/>
    <w:rsid w:val="006F4986"/>
    <w:rsid w:val="006F4DE0"/>
    <w:rsid w:val="006F4FB2"/>
    <w:rsid w:val="006F515A"/>
    <w:rsid w:val="006F5BF3"/>
    <w:rsid w:val="006F5C90"/>
    <w:rsid w:val="006F5DB5"/>
    <w:rsid w:val="006F5E2D"/>
    <w:rsid w:val="006F62C5"/>
    <w:rsid w:val="006F6483"/>
    <w:rsid w:val="006F6EEB"/>
    <w:rsid w:val="006F7316"/>
    <w:rsid w:val="006F7332"/>
    <w:rsid w:val="006F7AF3"/>
    <w:rsid w:val="00700B08"/>
    <w:rsid w:val="007016DE"/>
    <w:rsid w:val="007019B8"/>
    <w:rsid w:val="00701F15"/>
    <w:rsid w:val="007025BA"/>
    <w:rsid w:val="007027C6"/>
    <w:rsid w:val="00702BB8"/>
    <w:rsid w:val="00702DE7"/>
    <w:rsid w:val="00702F4D"/>
    <w:rsid w:val="007032B5"/>
    <w:rsid w:val="0070333C"/>
    <w:rsid w:val="00703533"/>
    <w:rsid w:val="0070385B"/>
    <w:rsid w:val="0070392F"/>
    <w:rsid w:val="00703981"/>
    <w:rsid w:val="00703A33"/>
    <w:rsid w:val="00703A74"/>
    <w:rsid w:val="00703C5B"/>
    <w:rsid w:val="00703F00"/>
    <w:rsid w:val="0070407E"/>
    <w:rsid w:val="00704530"/>
    <w:rsid w:val="0070494F"/>
    <w:rsid w:val="00704969"/>
    <w:rsid w:val="00704BB0"/>
    <w:rsid w:val="00704EDF"/>
    <w:rsid w:val="00705423"/>
    <w:rsid w:val="00705758"/>
    <w:rsid w:val="00705840"/>
    <w:rsid w:val="00705E4A"/>
    <w:rsid w:val="0070688B"/>
    <w:rsid w:val="00706997"/>
    <w:rsid w:val="00706E43"/>
    <w:rsid w:val="0070707A"/>
    <w:rsid w:val="0070710A"/>
    <w:rsid w:val="0070717A"/>
    <w:rsid w:val="00707244"/>
    <w:rsid w:val="00707D82"/>
    <w:rsid w:val="00710AE5"/>
    <w:rsid w:val="007111CC"/>
    <w:rsid w:val="00711427"/>
    <w:rsid w:val="007114BF"/>
    <w:rsid w:val="0071151C"/>
    <w:rsid w:val="00711CBA"/>
    <w:rsid w:val="00712B2B"/>
    <w:rsid w:val="00712CCC"/>
    <w:rsid w:val="00712E48"/>
    <w:rsid w:val="0071303A"/>
    <w:rsid w:val="00713618"/>
    <w:rsid w:val="007136E9"/>
    <w:rsid w:val="00713739"/>
    <w:rsid w:val="0071378C"/>
    <w:rsid w:val="00713B78"/>
    <w:rsid w:val="00713DE5"/>
    <w:rsid w:val="00713ED0"/>
    <w:rsid w:val="00713F39"/>
    <w:rsid w:val="00714018"/>
    <w:rsid w:val="00714569"/>
    <w:rsid w:val="00714634"/>
    <w:rsid w:val="0071481A"/>
    <w:rsid w:val="0071533D"/>
    <w:rsid w:val="007153A5"/>
    <w:rsid w:val="007155D9"/>
    <w:rsid w:val="007157A0"/>
    <w:rsid w:val="0071607D"/>
    <w:rsid w:val="0071623B"/>
    <w:rsid w:val="00716CAD"/>
    <w:rsid w:val="007174DA"/>
    <w:rsid w:val="007178AF"/>
    <w:rsid w:val="007179F7"/>
    <w:rsid w:val="00717B0D"/>
    <w:rsid w:val="00717F41"/>
    <w:rsid w:val="00720910"/>
    <w:rsid w:val="00720F29"/>
    <w:rsid w:val="00720FF8"/>
    <w:rsid w:val="00721038"/>
    <w:rsid w:val="007210B3"/>
    <w:rsid w:val="007213A5"/>
    <w:rsid w:val="00721682"/>
    <w:rsid w:val="0072168A"/>
    <w:rsid w:val="00721B60"/>
    <w:rsid w:val="00721E12"/>
    <w:rsid w:val="00722271"/>
    <w:rsid w:val="007223C5"/>
    <w:rsid w:val="007224C2"/>
    <w:rsid w:val="00722C19"/>
    <w:rsid w:val="00722D1E"/>
    <w:rsid w:val="00722DD1"/>
    <w:rsid w:val="007235B1"/>
    <w:rsid w:val="00723840"/>
    <w:rsid w:val="00723B3D"/>
    <w:rsid w:val="0072537E"/>
    <w:rsid w:val="00726000"/>
    <w:rsid w:val="0072603B"/>
    <w:rsid w:val="007262B2"/>
    <w:rsid w:val="0072656E"/>
    <w:rsid w:val="007265DB"/>
    <w:rsid w:val="00726756"/>
    <w:rsid w:val="00726989"/>
    <w:rsid w:val="00726A30"/>
    <w:rsid w:val="00726C1E"/>
    <w:rsid w:val="00726FEB"/>
    <w:rsid w:val="0072771B"/>
    <w:rsid w:val="00727910"/>
    <w:rsid w:val="00727DC2"/>
    <w:rsid w:val="00730B71"/>
    <w:rsid w:val="00731117"/>
    <w:rsid w:val="00731409"/>
    <w:rsid w:val="00731555"/>
    <w:rsid w:val="007315FC"/>
    <w:rsid w:val="00731616"/>
    <w:rsid w:val="00731EDD"/>
    <w:rsid w:val="0073207B"/>
    <w:rsid w:val="00732843"/>
    <w:rsid w:val="007328A5"/>
    <w:rsid w:val="007329EB"/>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E65"/>
    <w:rsid w:val="00734E9B"/>
    <w:rsid w:val="00735107"/>
    <w:rsid w:val="007356BF"/>
    <w:rsid w:val="00736376"/>
    <w:rsid w:val="00737424"/>
    <w:rsid w:val="007378AD"/>
    <w:rsid w:val="00737FEC"/>
    <w:rsid w:val="00740292"/>
    <w:rsid w:val="00740D16"/>
    <w:rsid w:val="00740FB1"/>
    <w:rsid w:val="007424E5"/>
    <w:rsid w:val="0074262A"/>
    <w:rsid w:val="0074269A"/>
    <w:rsid w:val="00742B07"/>
    <w:rsid w:val="00742DB5"/>
    <w:rsid w:val="00742ECE"/>
    <w:rsid w:val="00743059"/>
    <w:rsid w:val="00743DFD"/>
    <w:rsid w:val="00744619"/>
    <w:rsid w:val="0074462C"/>
    <w:rsid w:val="0074497C"/>
    <w:rsid w:val="00744D93"/>
    <w:rsid w:val="00745DCF"/>
    <w:rsid w:val="00746BA2"/>
    <w:rsid w:val="00746E0F"/>
    <w:rsid w:val="00747B66"/>
    <w:rsid w:val="0075064C"/>
    <w:rsid w:val="00750E7E"/>
    <w:rsid w:val="00751AAF"/>
    <w:rsid w:val="00752285"/>
    <w:rsid w:val="00752721"/>
    <w:rsid w:val="00752801"/>
    <w:rsid w:val="00752B26"/>
    <w:rsid w:val="00752B96"/>
    <w:rsid w:val="00752E39"/>
    <w:rsid w:val="0075451A"/>
    <w:rsid w:val="00754E06"/>
    <w:rsid w:val="00755374"/>
    <w:rsid w:val="007556C3"/>
    <w:rsid w:val="0075580D"/>
    <w:rsid w:val="00755956"/>
    <w:rsid w:val="00756142"/>
    <w:rsid w:val="007561B4"/>
    <w:rsid w:val="007562B3"/>
    <w:rsid w:val="0075688C"/>
    <w:rsid w:val="007569D9"/>
    <w:rsid w:val="00756AA0"/>
    <w:rsid w:val="0075767D"/>
    <w:rsid w:val="0075785E"/>
    <w:rsid w:val="00757CE6"/>
    <w:rsid w:val="007607F3"/>
    <w:rsid w:val="0076151C"/>
    <w:rsid w:val="00761801"/>
    <w:rsid w:val="00761B79"/>
    <w:rsid w:val="00761E6B"/>
    <w:rsid w:val="00761FC2"/>
    <w:rsid w:val="007622F8"/>
    <w:rsid w:val="00762D4F"/>
    <w:rsid w:val="00763097"/>
    <w:rsid w:val="00763A41"/>
    <w:rsid w:val="00764C54"/>
    <w:rsid w:val="00764CB0"/>
    <w:rsid w:val="0076506C"/>
    <w:rsid w:val="007651A7"/>
    <w:rsid w:val="00765229"/>
    <w:rsid w:val="007660A1"/>
    <w:rsid w:val="0076613D"/>
    <w:rsid w:val="0076641B"/>
    <w:rsid w:val="0076651A"/>
    <w:rsid w:val="007666D8"/>
    <w:rsid w:val="00766D03"/>
    <w:rsid w:val="00766F2A"/>
    <w:rsid w:val="0076718A"/>
    <w:rsid w:val="007671B6"/>
    <w:rsid w:val="007671DA"/>
    <w:rsid w:val="0076767E"/>
    <w:rsid w:val="00767ADE"/>
    <w:rsid w:val="00767C28"/>
    <w:rsid w:val="007707EE"/>
    <w:rsid w:val="00770C72"/>
    <w:rsid w:val="00770FBF"/>
    <w:rsid w:val="007719A8"/>
    <w:rsid w:val="00771DB8"/>
    <w:rsid w:val="0077228C"/>
    <w:rsid w:val="00772BB8"/>
    <w:rsid w:val="00772F03"/>
    <w:rsid w:val="00772FA8"/>
    <w:rsid w:val="00773149"/>
    <w:rsid w:val="007737D3"/>
    <w:rsid w:val="00773A71"/>
    <w:rsid w:val="00773B74"/>
    <w:rsid w:val="00773CAE"/>
    <w:rsid w:val="00774593"/>
    <w:rsid w:val="00774725"/>
    <w:rsid w:val="00774B87"/>
    <w:rsid w:val="00774C88"/>
    <w:rsid w:val="00774D02"/>
    <w:rsid w:val="00775265"/>
    <w:rsid w:val="007753B5"/>
    <w:rsid w:val="00775AAA"/>
    <w:rsid w:val="00776EDA"/>
    <w:rsid w:val="007773AF"/>
    <w:rsid w:val="00777599"/>
    <w:rsid w:val="007779A0"/>
    <w:rsid w:val="00777A2C"/>
    <w:rsid w:val="007804CC"/>
    <w:rsid w:val="00780F1B"/>
    <w:rsid w:val="00780FEA"/>
    <w:rsid w:val="0078165D"/>
    <w:rsid w:val="00781C97"/>
    <w:rsid w:val="00782B59"/>
    <w:rsid w:val="00782D66"/>
    <w:rsid w:val="00782F57"/>
    <w:rsid w:val="00783603"/>
    <w:rsid w:val="00783786"/>
    <w:rsid w:val="00783D34"/>
    <w:rsid w:val="00784F4F"/>
    <w:rsid w:val="00785646"/>
    <w:rsid w:val="00785CF8"/>
    <w:rsid w:val="00785EA1"/>
    <w:rsid w:val="007860F9"/>
    <w:rsid w:val="0078621C"/>
    <w:rsid w:val="007862B1"/>
    <w:rsid w:val="00786628"/>
    <w:rsid w:val="00786B64"/>
    <w:rsid w:val="0078734E"/>
    <w:rsid w:val="00787700"/>
    <w:rsid w:val="00790A3E"/>
    <w:rsid w:val="00790BBC"/>
    <w:rsid w:val="00790BE6"/>
    <w:rsid w:val="00790D08"/>
    <w:rsid w:val="00790F87"/>
    <w:rsid w:val="00791119"/>
    <w:rsid w:val="0079147B"/>
    <w:rsid w:val="00791A59"/>
    <w:rsid w:val="00791B62"/>
    <w:rsid w:val="00792A24"/>
    <w:rsid w:val="0079304F"/>
    <w:rsid w:val="00793277"/>
    <w:rsid w:val="007934F1"/>
    <w:rsid w:val="007934FB"/>
    <w:rsid w:val="00793987"/>
    <w:rsid w:val="0079435F"/>
    <w:rsid w:val="00794F40"/>
    <w:rsid w:val="007951D5"/>
    <w:rsid w:val="00795A23"/>
    <w:rsid w:val="00796068"/>
    <w:rsid w:val="00796163"/>
    <w:rsid w:val="00796472"/>
    <w:rsid w:val="00796CC0"/>
    <w:rsid w:val="00796CF1"/>
    <w:rsid w:val="00797317"/>
    <w:rsid w:val="007974AF"/>
    <w:rsid w:val="007979EA"/>
    <w:rsid w:val="00797A74"/>
    <w:rsid w:val="00797ACF"/>
    <w:rsid w:val="00797C1C"/>
    <w:rsid w:val="007A1151"/>
    <w:rsid w:val="007A1397"/>
    <w:rsid w:val="007A1456"/>
    <w:rsid w:val="007A17A6"/>
    <w:rsid w:val="007A1970"/>
    <w:rsid w:val="007A19BC"/>
    <w:rsid w:val="007A1A35"/>
    <w:rsid w:val="007A1EB5"/>
    <w:rsid w:val="007A1F6E"/>
    <w:rsid w:val="007A2166"/>
    <w:rsid w:val="007A2B7F"/>
    <w:rsid w:val="007A3059"/>
    <w:rsid w:val="007A336F"/>
    <w:rsid w:val="007A33FA"/>
    <w:rsid w:val="007A3811"/>
    <w:rsid w:val="007A3A89"/>
    <w:rsid w:val="007A45A6"/>
    <w:rsid w:val="007A536B"/>
    <w:rsid w:val="007A5409"/>
    <w:rsid w:val="007A5922"/>
    <w:rsid w:val="007A5924"/>
    <w:rsid w:val="007A5969"/>
    <w:rsid w:val="007A5AAE"/>
    <w:rsid w:val="007A5EED"/>
    <w:rsid w:val="007A63D4"/>
    <w:rsid w:val="007A679D"/>
    <w:rsid w:val="007A7635"/>
    <w:rsid w:val="007A7750"/>
    <w:rsid w:val="007A77BF"/>
    <w:rsid w:val="007A7AA2"/>
    <w:rsid w:val="007A7C23"/>
    <w:rsid w:val="007B0309"/>
    <w:rsid w:val="007B035D"/>
    <w:rsid w:val="007B05AC"/>
    <w:rsid w:val="007B07A6"/>
    <w:rsid w:val="007B09E9"/>
    <w:rsid w:val="007B0A30"/>
    <w:rsid w:val="007B0BF2"/>
    <w:rsid w:val="007B100F"/>
    <w:rsid w:val="007B1ABA"/>
    <w:rsid w:val="007B2070"/>
    <w:rsid w:val="007B221D"/>
    <w:rsid w:val="007B24B8"/>
    <w:rsid w:val="007B259B"/>
    <w:rsid w:val="007B27EB"/>
    <w:rsid w:val="007B322F"/>
    <w:rsid w:val="007B38E3"/>
    <w:rsid w:val="007B3F28"/>
    <w:rsid w:val="007B3F58"/>
    <w:rsid w:val="007B434A"/>
    <w:rsid w:val="007B452C"/>
    <w:rsid w:val="007B459E"/>
    <w:rsid w:val="007B471E"/>
    <w:rsid w:val="007B4ACA"/>
    <w:rsid w:val="007B4E1A"/>
    <w:rsid w:val="007B5018"/>
    <w:rsid w:val="007B53DE"/>
    <w:rsid w:val="007B53E7"/>
    <w:rsid w:val="007B6129"/>
    <w:rsid w:val="007B65B3"/>
    <w:rsid w:val="007B66B8"/>
    <w:rsid w:val="007B6913"/>
    <w:rsid w:val="007B6A14"/>
    <w:rsid w:val="007B6DFA"/>
    <w:rsid w:val="007B7287"/>
    <w:rsid w:val="007B74C3"/>
    <w:rsid w:val="007B753A"/>
    <w:rsid w:val="007B7637"/>
    <w:rsid w:val="007B7677"/>
    <w:rsid w:val="007B7A70"/>
    <w:rsid w:val="007C0033"/>
    <w:rsid w:val="007C08AB"/>
    <w:rsid w:val="007C17CF"/>
    <w:rsid w:val="007C2208"/>
    <w:rsid w:val="007C24B9"/>
    <w:rsid w:val="007C2CBC"/>
    <w:rsid w:val="007C2EA3"/>
    <w:rsid w:val="007C3515"/>
    <w:rsid w:val="007C38F7"/>
    <w:rsid w:val="007C3908"/>
    <w:rsid w:val="007C3AA6"/>
    <w:rsid w:val="007C4290"/>
    <w:rsid w:val="007C42FB"/>
    <w:rsid w:val="007C4499"/>
    <w:rsid w:val="007C4E99"/>
    <w:rsid w:val="007C5151"/>
    <w:rsid w:val="007C546B"/>
    <w:rsid w:val="007C54B5"/>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82D"/>
    <w:rsid w:val="007C7DF2"/>
    <w:rsid w:val="007D0B2E"/>
    <w:rsid w:val="007D0C56"/>
    <w:rsid w:val="007D0CD1"/>
    <w:rsid w:val="007D0ED0"/>
    <w:rsid w:val="007D1005"/>
    <w:rsid w:val="007D1F01"/>
    <w:rsid w:val="007D246B"/>
    <w:rsid w:val="007D250D"/>
    <w:rsid w:val="007D2D2B"/>
    <w:rsid w:val="007D3500"/>
    <w:rsid w:val="007D350E"/>
    <w:rsid w:val="007D3868"/>
    <w:rsid w:val="007D3E0E"/>
    <w:rsid w:val="007D3F48"/>
    <w:rsid w:val="007D4104"/>
    <w:rsid w:val="007D420F"/>
    <w:rsid w:val="007D48CF"/>
    <w:rsid w:val="007D4A4A"/>
    <w:rsid w:val="007D4C4B"/>
    <w:rsid w:val="007D560E"/>
    <w:rsid w:val="007D5AAB"/>
    <w:rsid w:val="007D5D5F"/>
    <w:rsid w:val="007D5F85"/>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78"/>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FFA"/>
    <w:rsid w:val="007E79CB"/>
    <w:rsid w:val="007E7C33"/>
    <w:rsid w:val="007E7D7E"/>
    <w:rsid w:val="007F00D0"/>
    <w:rsid w:val="007F0546"/>
    <w:rsid w:val="007F0635"/>
    <w:rsid w:val="007F0754"/>
    <w:rsid w:val="007F09F2"/>
    <w:rsid w:val="007F1691"/>
    <w:rsid w:val="007F1AC7"/>
    <w:rsid w:val="007F1B7A"/>
    <w:rsid w:val="007F1DEB"/>
    <w:rsid w:val="007F2142"/>
    <w:rsid w:val="007F22A5"/>
    <w:rsid w:val="007F27A7"/>
    <w:rsid w:val="007F2A0B"/>
    <w:rsid w:val="007F2DC4"/>
    <w:rsid w:val="007F2E4B"/>
    <w:rsid w:val="007F367E"/>
    <w:rsid w:val="007F3B8F"/>
    <w:rsid w:val="007F3D93"/>
    <w:rsid w:val="007F413A"/>
    <w:rsid w:val="007F421D"/>
    <w:rsid w:val="007F521A"/>
    <w:rsid w:val="007F5240"/>
    <w:rsid w:val="007F532E"/>
    <w:rsid w:val="007F5688"/>
    <w:rsid w:val="007F588F"/>
    <w:rsid w:val="007F5E63"/>
    <w:rsid w:val="007F603C"/>
    <w:rsid w:val="007F617F"/>
    <w:rsid w:val="007F66A5"/>
    <w:rsid w:val="007F6947"/>
    <w:rsid w:val="007F7247"/>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807"/>
    <w:rsid w:val="00802CC5"/>
    <w:rsid w:val="00802DA0"/>
    <w:rsid w:val="00803139"/>
    <w:rsid w:val="00803CE2"/>
    <w:rsid w:val="008043A4"/>
    <w:rsid w:val="00804983"/>
    <w:rsid w:val="008051DE"/>
    <w:rsid w:val="00805350"/>
    <w:rsid w:val="00805594"/>
    <w:rsid w:val="00805656"/>
    <w:rsid w:val="00805659"/>
    <w:rsid w:val="0080593E"/>
    <w:rsid w:val="00805F9A"/>
    <w:rsid w:val="008069B2"/>
    <w:rsid w:val="0080733E"/>
    <w:rsid w:val="0080783D"/>
    <w:rsid w:val="008100B2"/>
    <w:rsid w:val="00810A71"/>
    <w:rsid w:val="00810B66"/>
    <w:rsid w:val="00810CC2"/>
    <w:rsid w:val="00811B4D"/>
    <w:rsid w:val="008124CB"/>
    <w:rsid w:val="00812C2A"/>
    <w:rsid w:val="00812FCB"/>
    <w:rsid w:val="00813052"/>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1ED"/>
    <w:rsid w:val="008203CB"/>
    <w:rsid w:val="008209BC"/>
    <w:rsid w:val="0082117C"/>
    <w:rsid w:val="00821702"/>
    <w:rsid w:val="008218ED"/>
    <w:rsid w:val="00822563"/>
    <w:rsid w:val="00823472"/>
    <w:rsid w:val="008234BD"/>
    <w:rsid w:val="00823663"/>
    <w:rsid w:val="00823997"/>
    <w:rsid w:val="00823A7E"/>
    <w:rsid w:val="00824A8C"/>
    <w:rsid w:val="00825155"/>
    <w:rsid w:val="00825D4C"/>
    <w:rsid w:val="00825EB9"/>
    <w:rsid w:val="008261E9"/>
    <w:rsid w:val="00826614"/>
    <w:rsid w:val="0082668A"/>
    <w:rsid w:val="008266D3"/>
    <w:rsid w:val="00826786"/>
    <w:rsid w:val="00827461"/>
    <w:rsid w:val="008277BF"/>
    <w:rsid w:val="00827D75"/>
    <w:rsid w:val="00830099"/>
    <w:rsid w:val="008301A9"/>
    <w:rsid w:val="008301B7"/>
    <w:rsid w:val="008303E2"/>
    <w:rsid w:val="00830537"/>
    <w:rsid w:val="00830917"/>
    <w:rsid w:val="00830D99"/>
    <w:rsid w:val="00830EB9"/>
    <w:rsid w:val="00830FFD"/>
    <w:rsid w:val="00831194"/>
    <w:rsid w:val="0083125A"/>
    <w:rsid w:val="00831589"/>
    <w:rsid w:val="0083169F"/>
    <w:rsid w:val="00831B7E"/>
    <w:rsid w:val="00832496"/>
    <w:rsid w:val="00832E0D"/>
    <w:rsid w:val="0083324B"/>
    <w:rsid w:val="00833867"/>
    <w:rsid w:val="00833A8F"/>
    <w:rsid w:val="00833C13"/>
    <w:rsid w:val="00833D53"/>
    <w:rsid w:val="00834123"/>
    <w:rsid w:val="008341F8"/>
    <w:rsid w:val="00834892"/>
    <w:rsid w:val="008359DA"/>
    <w:rsid w:val="008359F3"/>
    <w:rsid w:val="00835B16"/>
    <w:rsid w:val="00835C7F"/>
    <w:rsid w:val="00835DB6"/>
    <w:rsid w:val="00836113"/>
    <w:rsid w:val="0083654D"/>
    <w:rsid w:val="00836AC2"/>
    <w:rsid w:val="00836D7F"/>
    <w:rsid w:val="0083711B"/>
    <w:rsid w:val="00837188"/>
    <w:rsid w:val="008376FE"/>
    <w:rsid w:val="00837C00"/>
    <w:rsid w:val="00837D13"/>
    <w:rsid w:val="0084005B"/>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C8"/>
    <w:rsid w:val="00844C5B"/>
    <w:rsid w:val="00844F50"/>
    <w:rsid w:val="008451F5"/>
    <w:rsid w:val="00845856"/>
    <w:rsid w:val="00845944"/>
    <w:rsid w:val="00845DFB"/>
    <w:rsid w:val="00846833"/>
    <w:rsid w:val="008475D6"/>
    <w:rsid w:val="00847B37"/>
    <w:rsid w:val="00847CE5"/>
    <w:rsid w:val="008501A4"/>
    <w:rsid w:val="008502F2"/>
    <w:rsid w:val="008505A1"/>
    <w:rsid w:val="00850817"/>
    <w:rsid w:val="008508FD"/>
    <w:rsid w:val="00850D6A"/>
    <w:rsid w:val="00850D70"/>
    <w:rsid w:val="008511F2"/>
    <w:rsid w:val="00851AF9"/>
    <w:rsid w:val="00851D16"/>
    <w:rsid w:val="00851E54"/>
    <w:rsid w:val="00852005"/>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C76"/>
    <w:rsid w:val="008570DF"/>
    <w:rsid w:val="008571A7"/>
    <w:rsid w:val="00857554"/>
    <w:rsid w:val="00857634"/>
    <w:rsid w:val="008577C7"/>
    <w:rsid w:val="008578B7"/>
    <w:rsid w:val="0085795A"/>
    <w:rsid w:val="00857FFB"/>
    <w:rsid w:val="00860B38"/>
    <w:rsid w:val="0086124E"/>
    <w:rsid w:val="00861AF9"/>
    <w:rsid w:val="00861B74"/>
    <w:rsid w:val="00861DF4"/>
    <w:rsid w:val="00861E30"/>
    <w:rsid w:val="008625ED"/>
    <w:rsid w:val="00862DB7"/>
    <w:rsid w:val="00863C6A"/>
    <w:rsid w:val="00864A10"/>
    <w:rsid w:val="00864F86"/>
    <w:rsid w:val="00865089"/>
    <w:rsid w:val="008652C9"/>
    <w:rsid w:val="00865D8B"/>
    <w:rsid w:val="00866084"/>
    <w:rsid w:val="00866992"/>
    <w:rsid w:val="00866CA9"/>
    <w:rsid w:val="008676DF"/>
    <w:rsid w:val="00867897"/>
    <w:rsid w:val="00867AD6"/>
    <w:rsid w:val="00867C5B"/>
    <w:rsid w:val="00867E32"/>
    <w:rsid w:val="0087057E"/>
    <w:rsid w:val="00870AAD"/>
    <w:rsid w:val="00871909"/>
    <w:rsid w:val="00871EC0"/>
    <w:rsid w:val="008720A6"/>
    <w:rsid w:val="00872942"/>
    <w:rsid w:val="00872EAF"/>
    <w:rsid w:val="0087338E"/>
    <w:rsid w:val="0087354F"/>
    <w:rsid w:val="0087356A"/>
    <w:rsid w:val="0087361A"/>
    <w:rsid w:val="00873B76"/>
    <w:rsid w:val="0087469C"/>
    <w:rsid w:val="00874DB9"/>
    <w:rsid w:val="0087504D"/>
    <w:rsid w:val="008754CA"/>
    <w:rsid w:val="00875648"/>
    <w:rsid w:val="0087568C"/>
    <w:rsid w:val="0087572F"/>
    <w:rsid w:val="00875991"/>
    <w:rsid w:val="00875AF9"/>
    <w:rsid w:val="00875BB1"/>
    <w:rsid w:val="00875BB5"/>
    <w:rsid w:val="008760C3"/>
    <w:rsid w:val="00876F26"/>
    <w:rsid w:val="008770A8"/>
    <w:rsid w:val="008771B6"/>
    <w:rsid w:val="008774D0"/>
    <w:rsid w:val="00877865"/>
    <w:rsid w:val="00877D1E"/>
    <w:rsid w:val="00877E86"/>
    <w:rsid w:val="00877FDD"/>
    <w:rsid w:val="0088015B"/>
    <w:rsid w:val="00880815"/>
    <w:rsid w:val="00880FED"/>
    <w:rsid w:val="00881415"/>
    <w:rsid w:val="0088186D"/>
    <w:rsid w:val="00881987"/>
    <w:rsid w:val="00881B40"/>
    <w:rsid w:val="00882A96"/>
    <w:rsid w:val="00882C53"/>
    <w:rsid w:val="00883E30"/>
    <w:rsid w:val="008841C8"/>
    <w:rsid w:val="0088463A"/>
    <w:rsid w:val="0088469F"/>
    <w:rsid w:val="0088480B"/>
    <w:rsid w:val="00884B9A"/>
    <w:rsid w:val="00884BD3"/>
    <w:rsid w:val="00885367"/>
    <w:rsid w:val="008853CE"/>
    <w:rsid w:val="008855A4"/>
    <w:rsid w:val="00885871"/>
    <w:rsid w:val="00885989"/>
    <w:rsid w:val="00885B0B"/>
    <w:rsid w:val="00885C77"/>
    <w:rsid w:val="00885D27"/>
    <w:rsid w:val="00886050"/>
    <w:rsid w:val="008867F4"/>
    <w:rsid w:val="0088692D"/>
    <w:rsid w:val="00886EE2"/>
    <w:rsid w:val="00887082"/>
    <w:rsid w:val="0088722F"/>
    <w:rsid w:val="00887546"/>
    <w:rsid w:val="00887C8D"/>
    <w:rsid w:val="00887DBF"/>
    <w:rsid w:val="00887DC7"/>
    <w:rsid w:val="00890821"/>
    <w:rsid w:val="00890CE4"/>
    <w:rsid w:val="00890D3C"/>
    <w:rsid w:val="00891434"/>
    <w:rsid w:val="00891A0E"/>
    <w:rsid w:val="00891ADA"/>
    <w:rsid w:val="00891FCC"/>
    <w:rsid w:val="008922EB"/>
    <w:rsid w:val="00892702"/>
    <w:rsid w:val="00892841"/>
    <w:rsid w:val="008928A8"/>
    <w:rsid w:val="008928EB"/>
    <w:rsid w:val="00892ABE"/>
    <w:rsid w:val="00892BB8"/>
    <w:rsid w:val="00893014"/>
    <w:rsid w:val="008939C2"/>
    <w:rsid w:val="00893BAF"/>
    <w:rsid w:val="00894600"/>
    <w:rsid w:val="0089513A"/>
    <w:rsid w:val="008953B7"/>
    <w:rsid w:val="008954E8"/>
    <w:rsid w:val="00895D68"/>
    <w:rsid w:val="00896078"/>
    <w:rsid w:val="008961D5"/>
    <w:rsid w:val="008965FF"/>
    <w:rsid w:val="00896755"/>
    <w:rsid w:val="00896F38"/>
    <w:rsid w:val="00897A55"/>
    <w:rsid w:val="008A019D"/>
    <w:rsid w:val="008A0423"/>
    <w:rsid w:val="008A086B"/>
    <w:rsid w:val="008A0993"/>
    <w:rsid w:val="008A0F0E"/>
    <w:rsid w:val="008A12E6"/>
    <w:rsid w:val="008A140B"/>
    <w:rsid w:val="008A1565"/>
    <w:rsid w:val="008A195C"/>
    <w:rsid w:val="008A1C9E"/>
    <w:rsid w:val="008A2417"/>
    <w:rsid w:val="008A273A"/>
    <w:rsid w:val="008A2B57"/>
    <w:rsid w:val="008A2C79"/>
    <w:rsid w:val="008A344D"/>
    <w:rsid w:val="008A3976"/>
    <w:rsid w:val="008A3AB8"/>
    <w:rsid w:val="008A4647"/>
    <w:rsid w:val="008A47EC"/>
    <w:rsid w:val="008A4A7A"/>
    <w:rsid w:val="008A4D6C"/>
    <w:rsid w:val="008A4FD4"/>
    <w:rsid w:val="008A5034"/>
    <w:rsid w:val="008A553E"/>
    <w:rsid w:val="008A55C0"/>
    <w:rsid w:val="008A5937"/>
    <w:rsid w:val="008A5D49"/>
    <w:rsid w:val="008A5D4A"/>
    <w:rsid w:val="008A60C7"/>
    <w:rsid w:val="008A63CF"/>
    <w:rsid w:val="008A6414"/>
    <w:rsid w:val="008A6952"/>
    <w:rsid w:val="008A69D6"/>
    <w:rsid w:val="008A6BDC"/>
    <w:rsid w:val="008A7333"/>
    <w:rsid w:val="008A7429"/>
    <w:rsid w:val="008A751E"/>
    <w:rsid w:val="008A756C"/>
    <w:rsid w:val="008A7679"/>
    <w:rsid w:val="008A7A77"/>
    <w:rsid w:val="008B0547"/>
    <w:rsid w:val="008B05EB"/>
    <w:rsid w:val="008B0D83"/>
    <w:rsid w:val="008B113C"/>
    <w:rsid w:val="008B11A3"/>
    <w:rsid w:val="008B18B9"/>
    <w:rsid w:val="008B1CA6"/>
    <w:rsid w:val="008B1FE5"/>
    <w:rsid w:val="008B2AD7"/>
    <w:rsid w:val="008B2E7E"/>
    <w:rsid w:val="008B2FF0"/>
    <w:rsid w:val="008B302F"/>
    <w:rsid w:val="008B3675"/>
    <w:rsid w:val="008B3A74"/>
    <w:rsid w:val="008B3D72"/>
    <w:rsid w:val="008B3DF6"/>
    <w:rsid w:val="008B3ED8"/>
    <w:rsid w:val="008B411A"/>
    <w:rsid w:val="008B4216"/>
    <w:rsid w:val="008B434A"/>
    <w:rsid w:val="008B4458"/>
    <w:rsid w:val="008B4A47"/>
    <w:rsid w:val="008B50D8"/>
    <w:rsid w:val="008B510B"/>
    <w:rsid w:val="008B5688"/>
    <w:rsid w:val="008B58F9"/>
    <w:rsid w:val="008B5DA7"/>
    <w:rsid w:val="008B6640"/>
    <w:rsid w:val="008B756E"/>
    <w:rsid w:val="008B79A7"/>
    <w:rsid w:val="008B7AC2"/>
    <w:rsid w:val="008B7B55"/>
    <w:rsid w:val="008B7E1F"/>
    <w:rsid w:val="008C0339"/>
    <w:rsid w:val="008C12EF"/>
    <w:rsid w:val="008C15C2"/>
    <w:rsid w:val="008C1917"/>
    <w:rsid w:val="008C1A4A"/>
    <w:rsid w:val="008C1AFD"/>
    <w:rsid w:val="008C25D0"/>
    <w:rsid w:val="008C268B"/>
    <w:rsid w:val="008C2691"/>
    <w:rsid w:val="008C26D0"/>
    <w:rsid w:val="008C29EE"/>
    <w:rsid w:val="008C2ABC"/>
    <w:rsid w:val="008C31CD"/>
    <w:rsid w:val="008C3730"/>
    <w:rsid w:val="008C39CB"/>
    <w:rsid w:val="008C3A5B"/>
    <w:rsid w:val="008C3D50"/>
    <w:rsid w:val="008C437D"/>
    <w:rsid w:val="008C4823"/>
    <w:rsid w:val="008C4EF9"/>
    <w:rsid w:val="008C597E"/>
    <w:rsid w:val="008C5B71"/>
    <w:rsid w:val="008C5FFD"/>
    <w:rsid w:val="008C6B27"/>
    <w:rsid w:val="008C6BCE"/>
    <w:rsid w:val="008C6D01"/>
    <w:rsid w:val="008C7039"/>
    <w:rsid w:val="008C7559"/>
    <w:rsid w:val="008C7DC1"/>
    <w:rsid w:val="008D07A9"/>
    <w:rsid w:val="008D09E8"/>
    <w:rsid w:val="008D0E23"/>
    <w:rsid w:val="008D142E"/>
    <w:rsid w:val="008D1890"/>
    <w:rsid w:val="008D1A67"/>
    <w:rsid w:val="008D1FE1"/>
    <w:rsid w:val="008D2382"/>
    <w:rsid w:val="008D23DC"/>
    <w:rsid w:val="008D290D"/>
    <w:rsid w:val="008D2D76"/>
    <w:rsid w:val="008D2EB8"/>
    <w:rsid w:val="008D2F21"/>
    <w:rsid w:val="008D3521"/>
    <w:rsid w:val="008D3570"/>
    <w:rsid w:val="008D3C09"/>
    <w:rsid w:val="008D3C87"/>
    <w:rsid w:val="008D40B3"/>
    <w:rsid w:val="008D421A"/>
    <w:rsid w:val="008D4846"/>
    <w:rsid w:val="008D5667"/>
    <w:rsid w:val="008D61B7"/>
    <w:rsid w:val="008D62A6"/>
    <w:rsid w:val="008D675C"/>
    <w:rsid w:val="008D6B2F"/>
    <w:rsid w:val="008D6F5D"/>
    <w:rsid w:val="008D7A0A"/>
    <w:rsid w:val="008D7AD8"/>
    <w:rsid w:val="008D7CB3"/>
    <w:rsid w:val="008D7CB8"/>
    <w:rsid w:val="008D7F41"/>
    <w:rsid w:val="008D7F62"/>
    <w:rsid w:val="008E003A"/>
    <w:rsid w:val="008E08A4"/>
    <w:rsid w:val="008E15E3"/>
    <w:rsid w:val="008E197E"/>
    <w:rsid w:val="008E2045"/>
    <w:rsid w:val="008E20BE"/>
    <w:rsid w:val="008E28AE"/>
    <w:rsid w:val="008E2C38"/>
    <w:rsid w:val="008E3380"/>
    <w:rsid w:val="008E3AC0"/>
    <w:rsid w:val="008E3F76"/>
    <w:rsid w:val="008E4027"/>
    <w:rsid w:val="008E40B8"/>
    <w:rsid w:val="008E477B"/>
    <w:rsid w:val="008E4A1F"/>
    <w:rsid w:val="008E4C62"/>
    <w:rsid w:val="008E4E55"/>
    <w:rsid w:val="008E537D"/>
    <w:rsid w:val="008E6003"/>
    <w:rsid w:val="008E622A"/>
    <w:rsid w:val="008E6A21"/>
    <w:rsid w:val="008E6BEC"/>
    <w:rsid w:val="008E6F9F"/>
    <w:rsid w:val="008E727E"/>
    <w:rsid w:val="008E72E1"/>
    <w:rsid w:val="008E7D97"/>
    <w:rsid w:val="008F03C0"/>
    <w:rsid w:val="008F03CB"/>
    <w:rsid w:val="008F05FB"/>
    <w:rsid w:val="008F0A4B"/>
    <w:rsid w:val="008F0B17"/>
    <w:rsid w:val="008F0C2D"/>
    <w:rsid w:val="008F0F1C"/>
    <w:rsid w:val="008F136C"/>
    <w:rsid w:val="008F1E31"/>
    <w:rsid w:val="008F1FA2"/>
    <w:rsid w:val="008F2619"/>
    <w:rsid w:val="008F2902"/>
    <w:rsid w:val="008F2FAB"/>
    <w:rsid w:val="008F3912"/>
    <w:rsid w:val="008F4047"/>
    <w:rsid w:val="008F4111"/>
    <w:rsid w:val="008F4593"/>
    <w:rsid w:val="008F4FDF"/>
    <w:rsid w:val="008F50FE"/>
    <w:rsid w:val="008F5604"/>
    <w:rsid w:val="008F5AE6"/>
    <w:rsid w:val="008F60C6"/>
    <w:rsid w:val="008F6220"/>
    <w:rsid w:val="008F660B"/>
    <w:rsid w:val="008F695F"/>
    <w:rsid w:val="008F6E12"/>
    <w:rsid w:val="008F6F9E"/>
    <w:rsid w:val="008F7290"/>
    <w:rsid w:val="00900057"/>
    <w:rsid w:val="0090019D"/>
    <w:rsid w:val="00900516"/>
    <w:rsid w:val="009005CE"/>
    <w:rsid w:val="00900822"/>
    <w:rsid w:val="0090087F"/>
    <w:rsid w:val="00900C17"/>
    <w:rsid w:val="00900CF2"/>
    <w:rsid w:val="00901376"/>
    <w:rsid w:val="0090187D"/>
    <w:rsid w:val="0090188B"/>
    <w:rsid w:val="00901AF4"/>
    <w:rsid w:val="00901EE5"/>
    <w:rsid w:val="00901F83"/>
    <w:rsid w:val="009021A4"/>
    <w:rsid w:val="009027FA"/>
    <w:rsid w:val="009028C4"/>
    <w:rsid w:val="009028CD"/>
    <w:rsid w:val="00902A54"/>
    <w:rsid w:val="0090306F"/>
    <w:rsid w:val="00903309"/>
    <w:rsid w:val="009034BE"/>
    <w:rsid w:val="009039C5"/>
    <w:rsid w:val="00904305"/>
    <w:rsid w:val="00904362"/>
    <w:rsid w:val="0090441C"/>
    <w:rsid w:val="009045D3"/>
    <w:rsid w:val="009047D9"/>
    <w:rsid w:val="00904986"/>
    <w:rsid w:val="00904C5A"/>
    <w:rsid w:val="00904EC5"/>
    <w:rsid w:val="00907498"/>
    <w:rsid w:val="009104A9"/>
    <w:rsid w:val="00910550"/>
    <w:rsid w:val="00910A48"/>
    <w:rsid w:val="00910B23"/>
    <w:rsid w:val="00910C0D"/>
    <w:rsid w:val="0091159F"/>
    <w:rsid w:val="00911F81"/>
    <w:rsid w:val="0091267A"/>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779"/>
    <w:rsid w:val="00916549"/>
    <w:rsid w:val="00916A57"/>
    <w:rsid w:val="009172D7"/>
    <w:rsid w:val="009173D0"/>
    <w:rsid w:val="00917A34"/>
    <w:rsid w:val="00917AFB"/>
    <w:rsid w:val="00917B6F"/>
    <w:rsid w:val="00917D2C"/>
    <w:rsid w:val="00917E08"/>
    <w:rsid w:val="00917E84"/>
    <w:rsid w:val="00920D31"/>
    <w:rsid w:val="009211F2"/>
    <w:rsid w:val="00921A3E"/>
    <w:rsid w:val="00921A4F"/>
    <w:rsid w:val="00921B79"/>
    <w:rsid w:val="00922061"/>
    <w:rsid w:val="009226F4"/>
    <w:rsid w:val="00922CD3"/>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A0"/>
    <w:rsid w:val="00926984"/>
    <w:rsid w:val="009269E3"/>
    <w:rsid w:val="009274C7"/>
    <w:rsid w:val="00927CC9"/>
    <w:rsid w:val="00927FAA"/>
    <w:rsid w:val="00930134"/>
    <w:rsid w:val="0093097F"/>
    <w:rsid w:val="00930F0E"/>
    <w:rsid w:val="00932208"/>
    <w:rsid w:val="00932259"/>
    <w:rsid w:val="009327C5"/>
    <w:rsid w:val="00932814"/>
    <w:rsid w:val="00932973"/>
    <w:rsid w:val="00932D4D"/>
    <w:rsid w:val="00932ED6"/>
    <w:rsid w:val="00932EFE"/>
    <w:rsid w:val="009332F5"/>
    <w:rsid w:val="009336C8"/>
    <w:rsid w:val="009339EB"/>
    <w:rsid w:val="00933A1D"/>
    <w:rsid w:val="009346EA"/>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B5E"/>
    <w:rsid w:val="00936BFE"/>
    <w:rsid w:val="00936C7F"/>
    <w:rsid w:val="009373EF"/>
    <w:rsid w:val="009377EA"/>
    <w:rsid w:val="0093795C"/>
    <w:rsid w:val="00937C88"/>
    <w:rsid w:val="00937DCB"/>
    <w:rsid w:val="00937EC9"/>
    <w:rsid w:val="00937F77"/>
    <w:rsid w:val="00937F7E"/>
    <w:rsid w:val="0094001E"/>
    <w:rsid w:val="00940576"/>
    <w:rsid w:val="009405C8"/>
    <w:rsid w:val="00940DD8"/>
    <w:rsid w:val="0094104B"/>
    <w:rsid w:val="0094141F"/>
    <w:rsid w:val="00941FF5"/>
    <w:rsid w:val="00942022"/>
    <w:rsid w:val="009425D0"/>
    <w:rsid w:val="00942814"/>
    <w:rsid w:val="00943395"/>
    <w:rsid w:val="00943453"/>
    <w:rsid w:val="00943D34"/>
    <w:rsid w:val="00943F9A"/>
    <w:rsid w:val="009440DE"/>
    <w:rsid w:val="00944198"/>
    <w:rsid w:val="0094429F"/>
    <w:rsid w:val="009444E6"/>
    <w:rsid w:val="009449E0"/>
    <w:rsid w:val="00944A8E"/>
    <w:rsid w:val="009450F0"/>
    <w:rsid w:val="009453E9"/>
    <w:rsid w:val="0094541F"/>
    <w:rsid w:val="009455E6"/>
    <w:rsid w:val="0094589B"/>
    <w:rsid w:val="00946A49"/>
    <w:rsid w:val="00947AEE"/>
    <w:rsid w:val="00950775"/>
    <w:rsid w:val="009509C0"/>
    <w:rsid w:val="00950AFF"/>
    <w:rsid w:val="00951313"/>
    <w:rsid w:val="009514DE"/>
    <w:rsid w:val="00951938"/>
    <w:rsid w:val="00952A65"/>
    <w:rsid w:val="00952B9C"/>
    <w:rsid w:val="00952E93"/>
    <w:rsid w:val="009530DC"/>
    <w:rsid w:val="00953422"/>
    <w:rsid w:val="00953B70"/>
    <w:rsid w:val="00953CCB"/>
    <w:rsid w:val="00954978"/>
    <w:rsid w:val="00954C38"/>
    <w:rsid w:val="00955620"/>
    <w:rsid w:val="00955C62"/>
    <w:rsid w:val="00955E2A"/>
    <w:rsid w:val="00955F59"/>
    <w:rsid w:val="00956330"/>
    <w:rsid w:val="00956348"/>
    <w:rsid w:val="00956BA7"/>
    <w:rsid w:val="00956FD8"/>
    <w:rsid w:val="009575F7"/>
    <w:rsid w:val="009577D1"/>
    <w:rsid w:val="00957A98"/>
    <w:rsid w:val="00957B9A"/>
    <w:rsid w:val="00957E4B"/>
    <w:rsid w:val="0096021A"/>
    <w:rsid w:val="0096053C"/>
    <w:rsid w:val="00960F73"/>
    <w:rsid w:val="00961346"/>
    <w:rsid w:val="0096169A"/>
    <w:rsid w:val="00961A86"/>
    <w:rsid w:val="00961F29"/>
    <w:rsid w:val="009622D8"/>
    <w:rsid w:val="00962337"/>
    <w:rsid w:val="009624DE"/>
    <w:rsid w:val="00962C94"/>
    <w:rsid w:val="00962F11"/>
    <w:rsid w:val="00963363"/>
    <w:rsid w:val="009635FB"/>
    <w:rsid w:val="00964075"/>
    <w:rsid w:val="009642CA"/>
    <w:rsid w:val="00964559"/>
    <w:rsid w:val="00964B4C"/>
    <w:rsid w:val="00964BE5"/>
    <w:rsid w:val="00964ED5"/>
    <w:rsid w:val="00964F2B"/>
    <w:rsid w:val="009652B6"/>
    <w:rsid w:val="00965A36"/>
    <w:rsid w:val="00965CBD"/>
    <w:rsid w:val="00965D55"/>
    <w:rsid w:val="0096655D"/>
    <w:rsid w:val="009671A7"/>
    <w:rsid w:val="009675D1"/>
    <w:rsid w:val="009679CA"/>
    <w:rsid w:val="00967AB4"/>
    <w:rsid w:val="0097014D"/>
    <w:rsid w:val="009703A7"/>
    <w:rsid w:val="009705AB"/>
    <w:rsid w:val="00970664"/>
    <w:rsid w:val="009707B6"/>
    <w:rsid w:val="009709EC"/>
    <w:rsid w:val="00970E8A"/>
    <w:rsid w:val="00971139"/>
    <w:rsid w:val="009712B4"/>
    <w:rsid w:val="00971F21"/>
    <w:rsid w:val="00971F5D"/>
    <w:rsid w:val="00972288"/>
    <w:rsid w:val="00972B10"/>
    <w:rsid w:val="00973B6E"/>
    <w:rsid w:val="00973E1D"/>
    <w:rsid w:val="00973F4A"/>
    <w:rsid w:val="0097401F"/>
    <w:rsid w:val="0097465C"/>
    <w:rsid w:val="00974DB6"/>
    <w:rsid w:val="00974E53"/>
    <w:rsid w:val="009754B8"/>
    <w:rsid w:val="00975603"/>
    <w:rsid w:val="00975E28"/>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A"/>
    <w:rsid w:val="00983541"/>
    <w:rsid w:val="00983A7B"/>
    <w:rsid w:val="00984046"/>
    <w:rsid w:val="00984366"/>
    <w:rsid w:val="00984666"/>
    <w:rsid w:val="009848A7"/>
    <w:rsid w:val="00984E80"/>
    <w:rsid w:val="0098529D"/>
    <w:rsid w:val="00985656"/>
    <w:rsid w:val="00985B6F"/>
    <w:rsid w:val="009861A8"/>
    <w:rsid w:val="009861C2"/>
    <w:rsid w:val="0098634E"/>
    <w:rsid w:val="0098690F"/>
    <w:rsid w:val="00986A7E"/>
    <w:rsid w:val="00986FBE"/>
    <w:rsid w:val="0098701B"/>
    <w:rsid w:val="00987088"/>
    <w:rsid w:val="009870A0"/>
    <w:rsid w:val="0098752A"/>
    <w:rsid w:val="00987994"/>
    <w:rsid w:val="00987A84"/>
    <w:rsid w:val="00987ACF"/>
    <w:rsid w:val="00987B36"/>
    <w:rsid w:val="00987C66"/>
    <w:rsid w:val="00987D93"/>
    <w:rsid w:val="00987EE5"/>
    <w:rsid w:val="009900F0"/>
    <w:rsid w:val="00990180"/>
    <w:rsid w:val="00990C67"/>
    <w:rsid w:val="00990E8A"/>
    <w:rsid w:val="00991AA9"/>
    <w:rsid w:val="00991CD8"/>
    <w:rsid w:val="00991EBE"/>
    <w:rsid w:val="009923AC"/>
    <w:rsid w:val="00992830"/>
    <w:rsid w:val="009928B3"/>
    <w:rsid w:val="00992A4A"/>
    <w:rsid w:val="00992B6B"/>
    <w:rsid w:val="00992C88"/>
    <w:rsid w:val="00993431"/>
    <w:rsid w:val="00993495"/>
    <w:rsid w:val="009939EB"/>
    <w:rsid w:val="00993B9D"/>
    <w:rsid w:val="00993C2E"/>
    <w:rsid w:val="00993D33"/>
    <w:rsid w:val="0099454E"/>
    <w:rsid w:val="0099456D"/>
    <w:rsid w:val="00994618"/>
    <w:rsid w:val="00994948"/>
    <w:rsid w:val="00994F60"/>
    <w:rsid w:val="00995151"/>
    <w:rsid w:val="0099545F"/>
    <w:rsid w:val="00995BF1"/>
    <w:rsid w:val="00995DF2"/>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6E9"/>
    <w:rsid w:val="009A2C26"/>
    <w:rsid w:val="009A2CCC"/>
    <w:rsid w:val="009A2F68"/>
    <w:rsid w:val="009A3006"/>
    <w:rsid w:val="009A309F"/>
    <w:rsid w:val="009A3994"/>
    <w:rsid w:val="009A3BB3"/>
    <w:rsid w:val="009A4241"/>
    <w:rsid w:val="009A42F6"/>
    <w:rsid w:val="009A45C8"/>
    <w:rsid w:val="009A48A3"/>
    <w:rsid w:val="009A4EAD"/>
    <w:rsid w:val="009A50CD"/>
    <w:rsid w:val="009A52F3"/>
    <w:rsid w:val="009A532D"/>
    <w:rsid w:val="009A59FF"/>
    <w:rsid w:val="009A65F4"/>
    <w:rsid w:val="009B03E8"/>
    <w:rsid w:val="009B06C0"/>
    <w:rsid w:val="009B09BF"/>
    <w:rsid w:val="009B0B80"/>
    <w:rsid w:val="009B0E76"/>
    <w:rsid w:val="009B0F4A"/>
    <w:rsid w:val="009B1811"/>
    <w:rsid w:val="009B1B10"/>
    <w:rsid w:val="009B1D73"/>
    <w:rsid w:val="009B1DAD"/>
    <w:rsid w:val="009B2107"/>
    <w:rsid w:val="009B23FD"/>
    <w:rsid w:val="009B2839"/>
    <w:rsid w:val="009B2CAA"/>
    <w:rsid w:val="009B2FB9"/>
    <w:rsid w:val="009B3134"/>
    <w:rsid w:val="009B3668"/>
    <w:rsid w:val="009B436E"/>
    <w:rsid w:val="009B4598"/>
    <w:rsid w:val="009B45C4"/>
    <w:rsid w:val="009B4C24"/>
    <w:rsid w:val="009B4E58"/>
    <w:rsid w:val="009B522F"/>
    <w:rsid w:val="009B57F6"/>
    <w:rsid w:val="009B5B02"/>
    <w:rsid w:val="009B5B0F"/>
    <w:rsid w:val="009B5BD6"/>
    <w:rsid w:val="009B5D6F"/>
    <w:rsid w:val="009B62AF"/>
    <w:rsid w:val="009B6745"/>
    <w:rsid w:val="009B68AF"/>
    <w:rsid w:val="009B6ED3"/>
    <w:rsid w:val="009B6FAB"/>
    <w:rsid w:val="009B74EA"/>
    <w:rsid w:val="009B7549"/>
    <w:rsid w:val="009B7AB7"/>
    <w:rsid w:val="009B7AB9"/>
    <w:rsid w:val="009C0567"/>
    <w:rsid w:val="009C0894"/>
    <w:rsid w:val="009C0AF5"/>
    <w:rsid w:val="009C0C4E"/>
    <w:rsid w:val="009C1101"/>
    <w:rsid w:val="009C1647"/>
    <w:rsid w:val="009C1D47"/>
    <w:rsid w:val="009C22E6"/>
    <w:rsid w:val="009C2E9D"/>
    <w:rsid w:val="009C33CA"/>
    <w:rsid w:val="009C39AF"/>
    <w:rsid w:val="009C3EB1"/>
    <w:rsid w:val="009C4359"/>
    <w:rsid w:val="009C4B6D"/>
    <w:rsid w:val="009C57AC"/>
    <w:rsid w:val="009C5803"/>
    <w:rsid w:val="009C5B2F"/>
    <w:rsid w:val="009C5EDE"/>
    <w:rsid w:val="009C62B6"/>
    <w:rsid w:val="009C656F"/>
    <w:rsid w:val="009C6DC0"/>
    <w:rsid w:val="009C6ECD"/>
    <w:rsid w:val="009C7099"/>
    <w:rsid w:val="009C712A"/>
    <w:rsid w:val="009C725D"/>
    <w:rsid w:val="009C72E6"/>
    <w:rsid w:val="009D0105"/>
    <w:rsid w:val="009D053E"/>
    <w:rsid w:val="009D05A4"/>
    <w:rsid w:val="009D0928"/>
    <w:rsid w:val="009D0989"/>
    <w:rsid w:val="009D15F8"/>
    <w:rsid w:val="009D1941"/>
    <w:rsid w:val="009D1B99"/>
    <w:rsid w:val="009D1DD8"/>
    <w:rsid w:val="009D2884"/>
    <w:rsid w:val="009D2A4F"/>
    <w:rsid w:val="009D2E46"/>
    <w:rsid w:val="009D2F24"/>
    <w:rsid w:val="009D325B"/>
    <w:rsid w:val="009D3407"/>
    <w:rsid w:val="009D3890"/>
    <w:rsid w:val="009D3B41"/>
    <w:rsid w:val="009D4062"/>
    <w:rsid w:val="009D45C8"/>
    <w:rsid w:val="009D4D44"/>
    <w:rsid w:val="009D4FF7"/>
    <w:rsid w:val="009D51E2"/>
    <w:rsid w:val="009D5393"/>
    <w:rsid w:val="009D5445"/>
    <w:rsid w:val="009D5604"/>
    <w:rsid w:val="009D565F"/>
    <w:rsid w:val="009D6026"/>
    <w:rsid w:val="009D65B9"/>
    <w:rsid w:val="009D6C11"/>
    <w:rsid w:val="009D6C99"/>
    <w:rsid w:val="009D70EE"/>
    <w:rsid w:val="009D7194"/>
    <w:rsid w:val="009D733B"/>
    <w:rsid w:val="009D7949"/>
    <w:rsid w:val="009E0488"/>
    <w:rsid w:val="009E04DC"/>
    <w:rsid w:val="009E0931"/>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477"/>
    <w:rsid w:val="009E66EE"/>
    <w:rsid w:val="009E681A"/>
    <w:rsid w:val="009E733E"/>
    <w:rsid w:val="009E74C5"/>
    <w:rsid w:val="009F015D"/>
    <w:rsid w:val="009F01DB"/>
    <w:rsid w:val="009F1041"/>
    <w:rsid w:val="009F16B2"/>
    <w:rsid w:val="009F18E8"/>
    <w:rsid w:val="009F202B"/>
    <w:rsid w:val="009F20C6"/>
    <w:rsid w:val="009F2E7E"/>
    <w:rsid w:val="009F37BF"/>
    <w:rsid w:val="009F3DA5"/>
    <w:rsid w:val="009F4326"/>
    <w:rsid w:val="009F43AF"/>
    <w:rsid w:val="009F484C"/>
    <w:rsid w:val="009F4D5E"/>
    <w:rsid w:val="009F519F"/>
    <w:rsid w:val="009F560A"/>
    <w:rsid w:val="009F5834"/>
    <w:rsid w:val="009F5ABD"/>
    <w:rsid w:val="009F5E79"/>
    <w:rsid w:val="009F687A"/>
    <w:rsid w:val="009F6B46"/>
    <w:rsid w:val="009F7078"/>
    <w:rsid w:val="009F7379"/>
    <w:rsid w:val="009F73DA"/>
    <w:rsid w:val="009F7B0A"/>
    <w:rsid w:val="009F7BB2"/>
    <w:rsid w:val="009F7FA6"/>
    <w:rsid w:val="00A00005"/>
    <w:rsid w:val="00A00028"/>
    <w:rsid w:val="00A001C8"/>
    <w:rsid w:val="00A0032D"/>
    <w:rsid w:val="00A0082F"/>
    <w:rsid w:val="00A00AE7"/>
    <w:rsid w:val="00A00B80"/>
    <w:rsid w:val="00A01593"/>
    <w:rsid w:val="00A016AA"/>
    <w:rsid w:val="00A01B3E"/>
    <w:rsid w:val="00A0244C"/>
    <w:rsid w:val="00A02A53"/>
    <w:rsid w:val="00A02EFA"/>
    <w:rsid w:val="00A033FF"/>
    <w:rsid w:val="00A038D7"/>
    <w:rsid w:val="00A03FA4"/>
    <w:rsid w:val="00A0409E"/>
    <w:rsid w:val="00A041B4"/>
    <w:rsid w:val="00A046C7"/>
    <w:rsid w:val="00A04BDD"/>
    <w:rsid w:val="00A04E2C"/>
    <w:rsid w:val="00A04EDA"/>
    <w:rsid w:val="00A05450"/>
    <w:rsid w:val="00A05840"/>
    <w:rsid w:val="00A05843"/>
    <w:rsid w:val="00A06137"/>
    <w:rsid w:val="00A06344"/>
    <w:rsid w:val="00A063FE"/>
    <w:rsid w:val="00A06C38"/>
    <w:rsid w:val="00A06EDB"/>
    <w:rsid w:val="00A07ACC"/>
    <w:rsid w:val="00A11259"/>
    <w:rsid w:val="00A11430"/>
    <w:rsid w:val="00A1184F"/>
    <w:rsid w:val="00A11BFE"/>
    <w:rsid w:val="00A122A9"/>
    <w:rsid w:val="00A122C5"/>
    <w:rsid w:val="00A123F2"/>
    <w:rsid w:val="00A12D25"/>
    <w:rsid w:val="00A131A1"/>
    <w:rsid w:val="00A1329C"/>
    <w:rsid w:val="00A138CF"/>
    <w:rsid w:val="00A13A8C"/>
    <w:rsid w:val="00A13DEE"/>
    <w:rsid w:val="00A13E26"/>
    <w:rsid w:val="00A141DC"/>
    <w:rsid w:val="00A144F9"/>
    <w:rsid w:val="00A14503"/>
    <w:rsid w:val="00A14928"/>
    <w:rsid w:val="00A14E25"/>
    <w:rsid w:val="00A14E81"/>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20252"/>
    <w:rsid w:val="00A203C2"/>
    <w:rsid w:val="00A2062A"/>
    <w:rsid w:val="00A2065D"/>
    <w:rsid w:val="00A2066E"/>
    <w:rsid w:val="00A20765"/>
    <w:rsid w:val="00A20D96"/>
    <w:rsid w:val="00A210E7"/>
    <w:rsid w:val="00A21D7A"/>
    <w:rsid w:val="00A21E19"/>
    <w:rsid w:val="00A21EE2"/>
    <w:rsid w:val="00A22796"/>
    <w:rsid w:val="00A22B7C"/>
    <w:rsid w:val="00A22C2E"/>
    <w:rsid w:val="00A22E9D"/>
    <w:rsid w:val="00A2308C"/>
    <w:rsid w:val="00A233F6"/>
    <w:rsid w:val="00A2348F"/>
    <w:rsid w:val="00A236A1"/>
    <w:rsid w:val="00A239A8"/>
    <w:rsid w:val="00A24599"/>
    <w:rsid w:val="00A24E78"/>
    <w:rsid w:val="00A24FBC"/>
    <w:rsid w:val="00A25B79"/>
    <w:rsid w:val="00A25D7B"/>
    <w:rsid w:val="00A260A0"/>
    <w:rsid w:val="00A273A9"/>
    <w:rsid w:val="00A27E08"/>
    <w:rsid w:val="00A27FF0"/>
    <w:rsid w:val="00A30007"/>
    <w:rsid w:val="00A300CB"/>
    <w:rsid w:val="00A3064C"/>
    <w:rsid w:val="00A30683"/>
    <w:rsid w:val="00A306FC"/>
    <w:rsid w:val="00A307BD"/>
    <w:rsid w:val="00A3101A"/>
    <w:rsid w:val="00A3115F"/>
    <w:rsid w:val="00A31782"/>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991"/>
    <w:rsid w:val="00A34307"/>
    <w:rsid w:val="00A35595"/>
    <w:rsid w:val="00A35A7A"/>
    <w:rsid w:val="00A36427"/>
    <w:rsid w:val="00A36845"/>
    <w:rsid w:val="00A36BDF"/>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403"/>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C7"/>
    <w:rsid w:val="00A4568D"/>
    <w:rsid w:val="00A45893"/>
    <w:rsid w:val="00A459E6"/>
    <w:rsid w:val="00A45A7F"/>
    <w:rsid w:val="00A4679A"/>
    <w:rsid w:val="00A46E28"/>
    <w:rsid w:val="00A473D7"/>
    <w:rsid w:val="00A477C6"/>
    <w:rsid w:val="00A478FA"/>
    <w:rsid w:val="00A47D31"/>
    <w:rsid w:val="00A50BCE"/>
    <w:rsid w:val="00A51BDE"/>
    <w:rsid w:val="00A51CBF"/>
    <w:rsid w:val="00A51DF8"/>
    <w:rsid w:val="00A5205B"/>
    <w:rsid w:val="00A5219C"/>
    <w:rsid w:val="00A5256F"/>
    <w:rsid w:val="00A52D8E"/>
    <w:rsid w:val="00A52DA1"/>
    <w:rsid w:val="00A53AA9"/>
    <w:rsid w:val="00A54367"/>
    <w:rsid w:val="00A544CD"/>
    <w:rsid w:val="00A5485E"/>
    <w:rsid w:val="00A5499C"/>
    <w:rsid w:val="00A54CCB"/>
    <w:rsid w:val="00A54E77"/>
    <w:rsid w:val="00A55C52"/>
    <w:rsid w:val="00A5605D"/>
    <w:rsid w:val="00A560D5"/>
    <w:rsid w:val="00A569F9"/>
    <w:rsid w:val="00A56A2B"/>
    <w:rsid w:val="00A57301"/>
    <w:rsid w:val="00A574C8"/>
    <w:rsid w:val="00A574DE"/>
    <w:rsid w:val="00A5757E"/>
    <w:rsid w:val="00A57A93"/>
    <w:rsid w:val="00A60766"/>
    <w:rsid w:val="00A60A6E"/>
    <w:rsid w:val="00A60F52"/>
    <w:rsid w:val="00A61DFE"/>
    <w:rsid w:val="00A61F91"/>
    <w:rsid w:val="00A62AA8"/>
    <w:rsid w:val="00A62D15"/>
    <w:rsid w:val="00A63062"/>
    <w:rsid w:val="00A630D8"/>
    <w:rsid w:val="00A637A4"/>
    <w:rsid w:val="00A63B4C"/>
    <w:rsid w:val="00A63F67"/>
    <w:rsid w:val="00A64067"/>
    <w:rsid w:val="00A640B1"/>
    <w:rsid w:val="00A6508F"/>
    <w:rsid w:val="00A6526F"/>
    <w:rsid w:val="00A65284"/>
    <w:rsid w:val="00A65373"/>
    <w:rsid w:val="00A657BB"/>
    <w:rsid w:val="00A65854"/>
    <w:rsid w:val="00A6594D"/>
    <w:rsid w:val="00A6604B"/>
    <w:rsid w:val="00A6633B"/>
    <w:rsid w:val="00A664AD"/>
    <w:rsid w:val="00A664E7"/>
    <w:rsid w:val="00A66A25"/>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F19"/>
    <w:rsid w:val="00A70225"/>
    <w:rsid w:val="00A70517"/>
    <w:rsid w:val="00A708DF"/>
    <w:rsid w:val="00A70904"/>
    <w:rsid w:val="00A709BB"/>
    <w:rsid w:val="00A717CF"/>
    <w:rsid w:val="00A71BA3"/>
    <w:rsid w:val="00A72239"/>
    <w:rsid w:val="00A722E2"/>
    <w:rsid w:val="00A72D44"/>
    <w:rsid w:val="00A72EDC"/>
    <w:rsid w:val="00A72FAC"/>
    <w:rsid w:val="00A73406"/>
    <w:rsid w:val="00A735A4"/>
    <w:rsid w:val="00A7377A"/>
    <w:rsid w:val="00A740EA"/>
    <w:rsid w:val="00A7424A"/>
    <w:rsid w:val="00A74597"/>
    <w:rsid w:val="00A74A7D"/>
    <w:rsid w:val="00A7542C"/>
    <w:rsid w:val="00A756FE"/>
    <w:rsid w:val="00A757F9"/>
    <w:rsid w:val="00A759BE"/>
    <w:rsid w:val="00A75BC4"/>
    <w:rsid w:val="00A75C52"/>
    <w:rsid w:val="00A764E0"/>
    <w:rsid w:val="00A767B2"/>
    <w:rsid w:val="00A76BDD"/>
    <w:rsid w:val="00A7717C"/>
    <w:rsid w:val="00A774B2"/>
    <w:rsid w:val="00A776A9"/>
    <w:rsid w:val="00A77C30"/>
    <w:rsid w:val="00A77C6C"/>
    <w:rsid w:val="00A77CCE"/>
    <w:rsid w:val="00A80549"/>
    <w:rsid w:val="00A809BE"/>
    <w:rsid w:val="00A80B0C"/>
    <w:rsid w:val="00A81234"/>
    <w:rsid w:val="00A81367"/>
    <w:rsid w:val="00A819D7"/>
    <w:rsid w:val="00A81B11"/>
    <w:rsid w:val="00A82229"/>
    <w:rsid w:val="00A82323"/>
    <w:rsid w:val="00A8244E"/>
    <w:rsid w:val="00A82662"/>
    <w:rsid w:val="00A827FC"/>
    <w:rsid w:val="00A82B9E"/>
    <w:rsid w:val="00A82D16"/>
    <w:rsid w:val="00A82F78"/>
    <w:rsid w:val="00A8307D"/>
    <w:rsid w:val="00A831CF"/>
    <w:rsid w:val="00A831FB"/>
    <w:rsid w:val="00A833BB"/>
    <w:rsid w:val="00A8358F"/>
    <w:rsid w:val="00A83BC5"/>
    <w:rsid w:val="00A83EB5"/>
    <w:rsid w:val="00A84186"/>
    <w:rsid w:val="00A846F1"/>
    <w:rsid w:val="00A84937"/>
    <w:rsid w:val="00A857B4"/>
    <w:rsid w:val="00A85B14"/>
    <w:rsid w:val="00A85B90"/>
    <w:rsid w:val="00A8674E"/>
    <w:rsid w:val="00A875C0"/>
    <w:rsid w:val="00A87C15"/>
    <w:rsid w:val="00A90925"/>
    <w:rsid w:val="00A90DDB"/>
    <w:rsid w:val="00A925D7"/>
    <w:rsid w:val="00A92706"/>
    <w:rsid w:val="00A9280B"/>
    <w:rsid w:val="00A9281E"/>
    <w:rsid w:val="00A92939"/>
    <w:rsid w:val="00A92CF1"/>
    <w:rsid w:val="00A93190"/>
    <w:rsid w:val="00A93CB3"/>
    <w:rsid w:val="00A93DAF"/>
    <w:rsid w:val="00A93E6F"/>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4B8"/>
    <w:rsid w:val="00AA3757"/>
    <w:rsid w:val="00AA37B2"/>
    <w:rsid w:val="00AA3A4A"/>
    <w:rsid w:val="00AA3DB9"/>
    <w:rsid w:val="00AA421C"/>
    <w:rsid w:val="00AA4590"/>
    <w:rsid w:val="00AA46CC"/>
    <w:rsid w:val="00AA46CE"/>
    <w:rsid w:val="00AA49AF"/>
    <w:rsid w:val="00AA4F2F"/>
    <w:rsid w:val="00AA57CE"/>
    <w:rsid w:val="00AA584E"/>
    <w:rsid w:val="00AA5AD2"/>
    <w:rsid w:val="00AA5ADC"/>
    <w:rsid w:val="00AA5D14"/>
    <w:rsid w:val="00AA5D22"/>
    <w:rsid w:val="00AA5DF4"/>
    <w:rsid w:val="00AA5E45"/>
    <w:rsid w:val="00AA6C4B"/>
    <w:rsid w:val="00AA6CB3"/>
    <w:rsid w:val="00AA6E1B"/>
    <w:rsid w:val="00AA7078"/>
    <w:rsid w:val="00AA7211"/>
    <w:rsid w:val="00AA7285"/>
    <w:rsid w:val="00AA7540"/>
    <w:rsid w:val="00AA7779"/>
    <w:rsid w:val="00AA780F"/>
    <w:rsid w:val="00AA7B8C"/>
    <w:rsid w:val="00AB009E"/>
    <w:rsid w:val="00AB0B9C"/>
    <w:rsid w:val="00AB0EAC"/>
    <w:rsid w:val="00AB10A3"/>
    <w:rsid w:val="00AB12C8"/>
    <w:rsid w:val="00AB146D"/>
    <w:rsid w:val="00AB1BB4"/>
    <w:rsid w:val="00AB1DEB"/>
    <w:rsid w:val="00AB2769"/>
    <w:rsid w:val="00AB27AA"/>
    <w:rsid w:val="00AB2A85"/>
    <w:rsid w:val="00AB3283"/>
    <w:rsid w:val="00AB38AD"/>
    <w:rsid w:val="00AB3C8A"/>
    <w:rsid w:val="00AB3E6B"/>
    <w:rsid w:val="00AB434D"/>
    <w:rsid w:val="00AB4C48"/>
    <w:rsid w:val="00AB4D0B"/>
    <w:rsid w:val="00AB51C8"/>
    <w:rsid w:val="00AB5269"/>
    <w:rsid w:val="00AB5586"/>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26F"/>
    <w:rsid w:val="00AC13D9"/>
    <w:rsid w:val="00AC13F7"/>
    <w:rsid w:val="00AC1415"/>
    <w:rsid w:val="00AC1BD7"/>
    <w:rsid w:val="00AC1E9C"/>
    <w:rsid w:val="00AC2005"/>
    <w:rsid w:val="00AC265D"/>
    <w:rsid w:val="00AC2805"/>
    <w:rsid w:val="00AC2A1F"/>
    <w:rsid w:val="00AC2C49"/>
    <w:rsid w:val="00AC3256"/>
    <w:rsid w:val="00AC3304"/>
    <w:rsid w:val="00AC3DC0"/>
    <w:rsid w:val="00AC409D"/>
    <w:rsid w:val="00AC426D"/>
    <w:rsid w:val="00AC43D2"/>
    <w:rsid w:val="00AC47AE"/>
    <w:rsid w:val="00AC4A94"/>
    <w:rsid w:val="00AC4B34"/>
    <w:rsid w:val="00AC4E3E"/>
    <w:rsid w:val="00AC4F91"/>
    <w:rsid w:val="00AC50A6"/>
    <w:rsid w:val="00AC55C0"/>
    <w:rsid w:val="00AC5C45"/>
    <w:rsid w:val="00AC66A0"/>
    <w:rsid w:val="00AC6DE2"/>
    <w:rsid w:val="00AC6EA6"/>
    <w:rsid w:val="00AC70D4"/>
    <w:rsid w:val="00AC737D"/>
    <w:rsid w:val="00AC7655"/>
    <w:rsid w:val="00AC76A6"/>
    <w:rsid w:val="00AC7E8B"/>
    <w:rsid w:val="00AC7F43"/>
    <w:rsid w:val="00AC7F52"/>
    <w:rsid w:val="00AC7FF3"/>
    <w:rsid w:val="00AD0007"/>
    <w:rsid w:val="00AD05A6"/>
    <w:rsid w:val="00AD06AC"/>
    <w:rsid w:val="00AD0ABD"/>
    <w:rsid w:val="00AD2262"/>
    <w:rsid w:val="00AD22C5"/>
    <w:rsid w:val="00AD2519"/>
    <w:rsid w:val="00AD283D"/>
    <w:rsid w:val="00AD294A"/>
    <w:rsid w:val="00AD2E6B"/>
    <w:rsid w:val="00AD3115"/>
    <w:rsid w:val="00AD3920"/>
    <w:rsid w:val="00AD3D9F"/>
    <w:rsid w:val="00AD4D66"/>
    <w:rsid w:val="00AD516C"/>
    <w:rsid w:val="00AD5922"/>
    <w:rsid w:val="00AD5E96"/>
    <w:rsid w:val="00AD5F80"/>
    <w:rsid w:val="00AD6555"/>
    <w:rsid w:val="00AD6A0F"/>
    <w:rsid w:val="00AD6F4A"/>
    <w:rsid w:val="00AD72AF"/>
    <w:rsid w:val="00AD77E5"/>
    <w:rsid w:val="00AD791A"/>
    <w:rsid w:val="00AD7D8F"/>
    <w:rsid w:val="00AD7FA3"/>
    <w:rsid w:val="00AE0162"/>
    <w:rsid w:val="00AE05EA"/>
    <w:rsid w:val="00AE0781"/>
    <w:rsid w:val="00AE094C"/>
    <w:rsid w:val="00AE0DE1"/>
    <w:rsid w:val="00AE0E06"/>
    <w:rsid w:val="00AE0EDF"/>
    <w:rsid w:val="00AE1128"/>
    <w:rsid w:val="00AE14F4"/>
    <w:rsid w:val="00AE15D4"/>
    <w:rsid w:val="00AE1AB0"/>
    <w:rsid w:val="00AE1DF8"/>
    <w:rsid w:val="00AE1E93"/>
    <w:rsid w:val="00AE2143"/>
    <w:rsid w:val="00AE2192"/>
    <w:rsid w:val="00AE2609"/>
    <w:rsid w:val="00AE2684"/>
    <w:rsid w:val="00AE29A8"/>
    <w:rsid w:val="00AE328B"/>
    <w:rsid w:val="00AE3960"/>
    <w:rsid w:val="00AE4074"/>
    <w:rsid w:val="00AE439A"/>
    <w:rsid w:val="00AE4561"/>
    <w:rsid w:val="00AE54D5"/>
    <w:rsid w:val="00AE591D"/>
    <w:rsid w:val="00AE617A"/>
    <w:rsid w:val="00AE6778"/>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CC2"/>
    <w:rsid w:val="00AF1D86"/>
    <w:rsid w:val="00AF1FDF"/>
    <w:rsid w:val="00AF20FB"/>
    <w:rsid w:val="00AF22F8"/>
    <w:rsid w:val="00AF2FFD"/>
    <w:rsid w:val="00AF3458"/>
    <w:rsid w:val="00AF37F7"/>
    <w:rsid w:val="00AF3888"/>
    <w:rsid w:val="00AF3A05"/>
    <w:rsid w:val="00AF3DFD"/>
    <w:rsid w:val="00AF44C8"/>
    <w:rsid w:val="00AF4BF4"/>
    <w:rsid w:val="00AF4BF9"/>
    <w:rsid w:val="00AF551F"/>
    <w:rsid w:val="00AF55FA"/>
    <w:rsid w:val="00AF5706"/>
    <w:rsid w:val="00AF5967"/>
    <w:rsid w:val="00AF5A88"/>
    <w:rsid w:val="00AF5AE8"/>
    <w:rsid w:val="00AF5F84"/>
    <w:rsid w:val="00AF6EEF"/>
    <w:rsid w:val="00AF735A"/>
    <w:rsid w:val="00AF75FC"/>
    <w:rsid w:val="00AF7766"/>
    <w:rsid w:val="00B0025D"/>
    <w:rsid w:val="00B006D8"/>
    <w:rsid w:val="00B0073B"/>
    <w:rsid w:val="00B02174"/>
    <w:rsid w:val="00B02209"/>
    <w:rsid w:val="00B02238"/>
    <w:rsid w:val="00B02265"/>
    <w:rsid w:val="00B02892"/>
    <w:rsid w:val="00B0313D"/>
    <w:rsid w:val="00B03337"/>
    <w:rsid w:val="00B035B0"/>
    <w:rsid w:val="00B03D35"/>
    <w:rsid w:val="00B03DE4"/>
    <w:rsid w:val="00B0420E"/>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1792"/>
    <w:rsid w:val="00B1231B"/>
    <w:rsid w:val="00B127AF"/>
    <w:rsid w:val="00B12904"/>
    <w:rsid w:val="00B12B44"/>
    <w:rsid w:val="00B12B95"/>
    <w:rsid w:val="00B1394E"/>
    <w:rsid w:val="00B13DA6"/>
    <w:rsid w:val="00B141BB"/>
    <w:rsid w:val="00B1466C"/>
    <w:rsid w:val="00B149B2"/>
    <w:rsid w:val="00B14F7F"/>
    <w:rsid w:val="00B15074"/>
    <w:rsid w:val="00B152F4"/>
    <w:rsid w:val="00B154B3"/>
    <w:rsid w:val="00B154B5"/>
    <w:rsid w:val="00B157BA"/>
    <w:rsid w:val="00B1664E"/>
    <w:rsid w:val="00B169ED"/>
    <w:rsid w:val="00B17074"/>
    <w:rsid w:val="00B17303"/>
    <w:rsid w:val="00B1744E"/>
    <w:rsid w:val="00B17682"/>
    <w:rsid w:val="00B177D2"/>
    <w:rsid w:val="00B17BDD"/>
    <w:rsid w:val="00B17CA4"/>
    <w:rsid w:val="00B17FBB"/>
    <w:rsid w:val="00B200F2"/>
    <w:rsid w:val="00B20223"/>
    <w:rsid w:val="00B20496"/>
    <w:rsid w:val="00B20833"/>
    <w:rsid w:val="00B20BDB"/>
    <w:rsid w:val="00B21343"/>
    <w:rsid w:val="00B21776"/>
    <w:rsid w:val="00B219AA"/>
    <w:rsid w:val="00B21A5B"/>
    <w:rsid w:val="00B21D99"/>
    <w:rsid w:val="00B221C7"/>
    <w:rsid w:val="00B22260"/>
    <w:rsid w:val="00B22402"/>
    <w:rsid w:val="00B22549"/>
    <w:rsid w:val="00B2279B"/>
    <w:rsid w:val="00B22BFA"/>
    <w:rsid w:val="00B22D6E"/>
    <w:rsid w:val="00B230E1"/>
    <w:rsid w:val="00B23135"/>
    <w:rsid w:val="00B232FE"/>
    <w:rsid w:val="00B23522"/>
    <w:rsid w:val="00B2376E"/>
    <w:rsid w:val="00B2388A"/>
    <w:rsid w:val="00B23EB7"/>
    <w:rsid w:val="00B23FFE"/>
    <w:rsid w:val="00B240EE"/>
    <w:rsid w:val="00B243EB"/>
    <w:rsid w:val="00B24581"/>
    <w:rsid w:val="00B24820"/>
    <w:rsid w:val="00B24C80"/>
    <w:rsid w:val="00B24FB1"/>
    <w:rsid w:val="00B25143"/>
    <w:rsid w:val="00B251DE"/>
    <w:rsid w:val="00B25825"/>
    <w:rsid w:val="00B2585D"/>
    <w:rsid w:val="00B25962"/>
    <w:rsid w:val="00B25E57"/>
    <w:rsid w:val="00B2601B"/>
    <w:rsid w:val="00B266FA"/>
    <w:rsid w:val="00B26902"/>
    <w:rsid w:val="00B269DB"/>
    <w:rsid w:val="00B26A9C"/>
    <w:rsid w:val="00B26C40"/>
    <w:rsid w:val="00B26D82"/>
    <w:rsid w:val="00B27359"/>
    <w:rsid w:val="00B27739"/>
    <w:rsid w:val="00B30884"/>
    <w:rsid w:val="00B308E6"/>
    <w:rsid w:val="00B30B4B"/>
    <w:rsid w:val="00B30BA2"/>
    <w:rsid w:val="00B30D09"/>
    <w:rsid w:val="00B30E29"/>
    <w:rsid w:val="00B30F71"/>
    <w:rsid w:val="00B3172B"/>
    <w:rsid w:val="00B3194F"/>
    <w:rsid w:val="00B31C49"/>
    <w:rsid w:val="00B31DDF"/>
    <w:rsid w:val="00B32EB9"/>
    <w:rsid w:val="00B3312D"/>
    <w:rsid w:val="00B333F8"/>
    <w:rsid w:val="00B3374A"/>
    <w:rsid w:val="00B33974"/>
    <w:rsid w:val="00B33B47"/>
    <w:rsid w:val="00B33D16"/>
    <w:rsid w:val="00B33E1A"/>
    <w:rsid w:val="00B33F57"/>
    <w:rsid w:val="00B33FC2"/>
    <w:rsid w:val="00B3423E"/>
    <w:rsid w:val="00B347F1"/>
    <w:rsid w:val="00B348F0"/>
    <w:rsid w:val="00B34A39"/>
    <w:rsid w:val="00B34A99"/>
    <w:rsid w:val="00B34CFF"/>
    <w:rsid w:val="00B3502B"/>
    <w:rsid w:val="00B3537B"/>
    <w:rsid w:val="00B35755"/>
    <w:rsid w:val="00B35774"/>
    <w:rsid w:val="00B3599F"/>
    <w:rsid w:val="00B35C3E"/>
    <w:rsid w:val="00B3602A"/>
    <w:rsid w:val="00B36473"/>
    <w:rsid w:val="00B3656D"/>
    <w:rsid w:val="00B36577"/>
    <w:rsid w:val="00B366D2"/>
    <w:rsid w:val="00B36EBC"/>
    <w:rsid w:val="00B3796C"/>
    <w:rsid w:val="00B37B12"/>
    <w:rsid w:val="00B37ECE"/>
    <w:rsid w:val="00B40111"/>
    <w:rsid w:val="00B401F3"/>
    <w:rsid w:val="00B402DA"/>
    <w:rsid w:val="00B404B2"/>
    <w:rsid w:val="00B408FD"/>
    <w:rsid w:val="00B40A2D"/>
    <w:rsid w:val="00B40BEA"/>
    <w:rsid w:val="00B40EC3"/>
    <w:rsid w:val="00B4140A"/>
    <w:rsid w:val="00B414C9"/>
    <w:rsid w:val="00B4167C"/>
    <w:rsid w:val="00B41962"/>
    <w:rsid w:val="00B41D9D"/>
    <w:rsid w:val="00B4220C"/>
    <w:rsid w:val="00B42372"/>
    <w:rsid w:val="00B42D97"/>
    <w:rsid w:val="00B42DCD"/>
    <w:rsid w:val="00B431BA"/>
    <w:rsid w:val="00B43B2D"/>
    <w:rsid w:val="00B44029"/>
    <w:rsid w:val="00B44653"/>
    <w:rsid w:val="00B44C12"/>
    <w:rsid w:val="00B44FFA"/>
    <w:rsid w:val="00B451D8"/>
    <w:rsid w:val="00B45428"/>
    <w:rsid w:val="00B454AB"/>
    <w:rsid w:val="00B454F6"/>
    <w:rsid w:val="00B460B3"/>
    <w:rsid w:val="00B461F8"/>
    <w:rsid w:val="00B46FA5"/>
    <w:rsid w:val="00B47165"/>
    <w:rsid w:val="00B475CB"/>
    <w:rsid w:val="00B4771A"/>
    <w:rsid w:val="00B47943"/>
    <w:rsid w:val="00B47959"/>
    <w:rsid w:val="00B47DE3"/>
    <w:rsid w:val="00B50022"/>
    <w:rsid w:val="00B50446"/>
    <w:rsid w:val="00B506FA"/>
    <w:rsid w:val="00B50A6E"/>
    <w:rsid w:val="00B51207"/>
    <w:rsid w:val="00B512C8"/>
    <w:rsid w:val="00B512D2"/>
    <w:rsid w:val="00B513D2"/>
    <w:rsid w:val="00B51919"/>
    <w:rsid w:val="00B51A42"/>
    <w:rsid w:val="00B527BF"/>
    <w:rsid w:val="00B52AF7"/>
    <w:rsid w:val="00B52C0E"/>
    <w:rsid w:val="00B52DC6"/>
    <w:rsid w:val="00B52E82"/>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8FE"/>
    <w:rsid w:val="00B55D1A"/>
    <w:rsid w:val="00B55D4A"/>
    <w:rsid w:val="00B56396"/>
    <w:rsid w:val="00B5639B"/>
    <w:rsid w:val="00B563B5"/>
    <w:rsid w:val="00B5676B"/>
    <w:rsid w:val="00B5682D"/>
    <w:rsid w:val="00B5687D"/>
    <w:rsid w:val="00B5696B"/>
    <w:rsid w:val="00B56DC4"/>
    <w:rsid w:val="00B56DFF"/>
    <w:rsid w:val="00B57874"/>
    <w:rsid w:val="00B6069B"/>
    <w:rsid w:val="00B609C5"/>
    <w:rsid w:val="00B60B63"/>
    <w:rsid w:val="00B60C3E"/>
    <w:rsid w:val="00B610BA"/>
    <w:rsid w:val="00B615CB"/>
    <w:rsid w:val="00B616D8"/>
    <w:rsid w:val="00B617A9"/>
    <w:rsid w:val="00B61D95"/>
    <w:rsid w:val="00B61E41"/>
    <w:rsid w:val="00B61ED5"/>
    <w:rsid w:val="00B62AE0"/>
    <w:rsid w:val="00B63284"/>
    <w:rsid w:val="00B63709"/>
    <w:rsid w:val="00B6373D"/>
    <w:rsid w:val="00B63964"/>
    <w:rsid w:val="00B63E30"/>
    <w:rsid w:val="00B645FA"/>
    <w:rsid w:val="00B64775"/>
    <w:rsid w:val="00B64BF2"/>
    <w:rsid w:val="00B64F04"/>
    <w:rsid w:val="00B6520E"/>
    <w:rsid w:val="00B65660"/>
    <w:rsid w:val="00B65755"/>
    <w:rsid w:val="00B657AB"/>
    <w:rsid w:val="00B657E6"/>
    <w:rsid w:val="00B65AF9"/>
    <w:rsid w:val="00B65FF0"/>
    <w:rsid w:val="00B663CD"/>
    <w:rsid w:val="00B665C8"/>
    <w:rsid w:val="00B67013"/>
    <w:rsid w:val="00B67AB1"/>
    <w:rsid w:val="00B67B4F"/>
    <w:rsid w:val="00B67E6B"/>
    <w:rsid w:val="00B702CD"/>
    <w:rsid w:val="00B7041C"/>
    <w:rsid w:val="00B7070A"/>
    <w:rsid w:val="00B71A1D"/>
    <w:rsid w:val="00B71BBB"/>
    <w:rsid w:val="00B71D73"/>
    <w:rsid w:val="00B7207F"/>
    <w:rsid w:val="00B72089"/>
    <w:rsid w:val="00B726F8"/>
    <w:rsid w:val="00B7273E"/>
    <w:rsid w:val="00B727C5"/>
    <w:rsid w:val="00B72C08"/>
    <w:rsid w:val="00B72EBB"/>
    <w:rsid w:val="00B7305E"/>
    <w:rsid w:val="00B7316F"/>
    <w:rsid w:val="00B73288"/>
    <w:rsid w:val="00B7350D"/>
    <w:rsid w:val="00B73B28"/>
    <w:rsid w:val="00B73E58"/>
    <w:rsid w:val="00B73EC5"/>
    <w:rsid w:val="00B74251"/>
    <w:rsid w:val="00B74308"/>
    <w:rsid w:val="00B74E5B"/>
    <w:rsid w:val="00B74FE2"/>
    <w:rsid w:val="00B75317"/>
    <w:rsid w:val="00B763BE"/>
    <w:rsid w:val="00B76FCB"/>
    <w:rsid w:val="00B7749A"/>
    <w:rsid w:val="00B77582"/>
    <w:rsid w:val="00B779BB"/>
    <w:rsid w:val="00B77A5A"/>
    <w:rsid w:val="00B77B07"/>
    <w:rsid w:val="00B77BB8"/>
    <w:rsid w:val="00B77E78"/>
    <w:rsid w:val="00B77FDF"/>
    <w:rsid w:val="00B800EC"/>
    <w:rsid w:val="00B80561"/>
    <w:rsid w:val="00B8103D"/>
    <w:rsid w:val="00B81718"/>
    <w:rsid w:val="00B8179E"/>
    <w:rsid w:val="00B81A37"/>
    <w:rsid w:val="00B82652"/>
    <w:rsid w:val="00B8314D"/>
    <w:rsid w:val="00B8325B"/>
    <w:rsid w:val="00B83972"/>
    <w:rsid w:val="00B84245"/>
    <w:rsid w:val="00B8518B"/>
    <w:rsid w:val="00B8556E"/>
    <w:rsid w:val="00B85845"/>
    <w:rsid w:val="00B8586E"/>
    <w:rsid w:val="00B858B1"/>
    <w:rsid w:val="00B85A97"/>
    <w:rsid w:val="00B85C3D"/>
    <w:rsid w:val="00B8600B"/>
    <w:rsid w:val="00B86278"/>
    <w:rsid w:val="00B86AF6"/>
    <w:rsid w:val="00B86E2A"/>
    <w:rsid w:val="00B86EF3"/>
    <w:rsid w:val="00B86F73"/>
    <w:rsid w:val="00B877AA"/>
    <w:rsid w:val="00B87B44"/>
    <w:rsid w:val="00B87C87"/>
    <w:rsid w:val="00B87E3D"/>
    <w:rsid w:val="00B87FCD"/>
    <w:rsid w:val="00B903F3"/>
    <w:rsid w:val="00B90556"/>
    <w:rsid w:val="00B909D7"/>
    <w:rsid w:val="00B909E7"/>
    <w:rsid w:val="00B9121D"/>
    <w:rsid w:val="00B915C5"/>
    <w:rsid w:val="00B91A5D"/>
    <w:rsid w:val="00B91C52"/>
    <w:rsid w:val="00B91F21"/>
    <w:rsid w:val="00B92713"/>
    <w:rsid w:val="00B9279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F6F"/>
    <w:rsid w:val="00B95FC8"/>
    <w:rsid w:val="00B965DC"/>
    <w:rsid w:val="00B966FB"/>
    <w:rsid w:val="00B96D19"/>
    <w:rsid w:val="00B96EA4"/>
    <w:rsid w:val="00B97282"/>
    <w:rsid w:val="00B975D7"/>
    <w:rsid w:val="00B976BF"/>
    <w:rsid w:val="00B97A3E"/>
    <w:rsid w:val="00B97A65"/>
    <w:rsid w:val="00B97D3D"/>
    <w:rsid w:val="00B97DE9"/>
    <w:rsid w:val="00BA07B1"/>
    <w:rsid w:val="00BA091C"/>
    <w:rsid w:val="00BA101D"/>
    <w:rsid w:val="00BA14BA"/>
    <w:rsid w:val="00BA1FFF"/>
    <w:rsid w:val="00BA2089"/>
    <w:rsid w:val="00BA267F"/>
    <w:rsid w:val="00BA2F02"/>
    <w:rsid w:val="00BA2FFD"/>
    <w:rsid w:val="00BA3254"/>
    <w:rsid w:val="00BA3491"/>
    <w:rsid w:val="00BA3492"/>
    <w:rsid w:val="00BA3608"/>
    <w:rsid w:val="00BA428A"/>
    <w:rsid w:val="00BA4ED9"/>
    <w:rsid w:val="00BA5023"/>
    <w:rsid w:val="00BA5365"/>
    <w:rsid w:val="00BA56EB"/>
    <w:rsid w:val="00BA58B6"/>
    <w:rsid w:val="00BA5B30"/>
    <w:rsid w:val="00BA5B72"/>
    <w:rsid w:val="00BA62AD"/>
    <w:rsid w:val="00BA6495"/>
    <w:rsid w:val="00BA664A"/>
    <w:rsid w:val="00BA678B"/>
    <w:rsid w:val="00BA6C22"/>
    <w:rsid w:val="00BA6DBD"/>
    <w:rsid w:val="00BA7276"/>
    <w:rsid w:val="00BB0267"/>
    <w:rsid w:val="00BB02EA"/>
    <w:rsid w:val="00BB078B"/>
    <w:rsid w:val="00BB0C7E"/>
    <w:rsid w:val="00BB0DE7"/>
    <w:rsid w:val="00BB0E0C"/>
    <w:rsid w:val="00BB112C"/>
    <w:rsid w:val="00BB135F"/>
    <w:rsid w:val="00BB209C"/>
    <w:rsid w:val="00BB2B25"/>
    <w:rsid w:val="00BB2ED7"/>
    <w:rsid w:val="00BB30EA"/>
    <w:rsid w:val="00BB35B6"/>
    <w:rsid w:val="00BB37AF"/>
    <w:rsid w:val="00BB3BBC"/>
    <w:rsid w:val="00BB4011"/>
    <w:rsid w:val="00BB4769"/>
    <w:rsid w:val="00BB49D4"/>
    <w:rsid w:val="00BB4AF9"/>
    <w:rsid w:val="00BB4B2D"/>
    <w:rsid w:val="00BB4B37"/>
    <w:rsid w:val="00BB4C08"/>
    <w:rsid w:val="00BB4FDA"/>
    <w:rsid w:val="00BB5053"/>
    <w:rsid w:val="00BB5EC1"/>
    <w:rsid w:val="00BB61BE"/>
    <w:rsid w:val="00BB66B2"/>
    <w:rsid w:val="00BB6891"/>
    <w:rsid w:val="00BB6AC3"/>
    <w:rsid w:val="00BB6C49"/>
    <w:rsid w:val="00BB7373"/>
    <w:rsid w:val="00BB779D"/>
    <w:rsid w:val="00BB7C9F"/>
    <w:rsid w:val="00BC050A"/>
    <w:rsid w:val="00BC066A"/>
    <w:rsid w:val="00BC072F"/>
    <w:rsid w:val="00BC122C"/>
    <w:rsid w:val="00BC15CC"/>
    <w:rsid w:val="00BC174B"/>
    <w:rsid w:val="00BC17A9"/>
    <w:rsid w:val="00BC1866"/>
    <w:rsid w:val="00BC1DBD"/>
    <w:rsid w:val="00BC220C"/>
    <w:rsid w:val="00BC2414"/>
    <w:rsid w:val="00BC2A25"/>
    <w:rsid w:val="00BC322A"/>
    <w:rsid w:val="00BC40C5"/>
    <w:rsid w:val="00BC438A"/>
    <w:rsid w:val="00BC45D9"/>
    <w:rsid w:val="00BC4728"/>
    <w:rsid w:val="00BC47C5"/>
    <w:rsid w:val="00BC4A4E"/>
    <w:rsid w:val="00BC4B4A"/>
    <w:rsid w:val="00BC4D16"/>
    <w:rsid w:val="00BC4F00"/>
    <w:rsid w:val="00BC5092"/>
    <w:rsid w:val="00BC50F1"/>
    <w:rsid w:val="00BC526B"/>
    <w:rsid w:val="00BC5737"/>
    <w:rsid w:val="00BC5EB0"/>
    <w:rsid w:val="00BC6274"/>
    <w:rsid w:val="00BC64D9"/>
    <w:rsid w:val="00BC65A7"/>
    <w:rsid w:val="00BC6782"/>
    <w:rsid w:val="00BC6D81"/>
    <w:rsid w:val="00BC70A9"/>
    <w:rsid w:val="00BD032B"/>
    <w:rsid w:val="00BD043C"/>
    <w:rsid w:val="00BD045B"/>
    <w:rsid w:val="00BD0DA1"/>
    <w:rsid w:val="00BD11FF"/>
    <w:rsid w:val="00BD1200"/>
    <w:rsid w:val="00BD151C"/>
    <w:rsid w:val="00BD1747"/>
    <w:rsid w:val="00BD386A"/>
    <w:rsid w:val="00BD3A51"/>
    <w:rsid w:val="00BD3C1A"/>
    <w:rsid w:val="00BD3C68"/>
    <w:rsid w:val="00BD421D"/>
    <w:rsid w:val="00BD4267"/>
    <w:rsid w:val="00BD4493"/>
    <w:rsid w:val="00BD47E6"/>
    <w:rsid w:val="00BD5052"/>
    <w:rsid w:val="00BD5160"/>
    <w:rsid w:val="00BD521E"/>
    <w:rsid w:val="00BD5413"/>
    <w:rsid w:val="00BD58AC"/>
    <w:rsid w:val="00BD5918"/>
    <w:rsid w:val="00BD5CFC"/>
    <w:rsid w:val="00BD5F35"/>
    <w:rsid w:val="00BD6B87"/>
    <w:rsid w:val="00BD6CFA"/>
    <w:rsid w:val="00BD6EF4"/>
    <w:rsid w:val="00BD73FC"/>
    <w:rsid w:val="00BD79B1"/>
    <w:rsid w:val="00BE00E2"/>
    <w:rsid w:val="00BE03D0"/>
    <w:rsid w:val="00BE04D9"/>
    <w:rsid w:val="00BE08EF"/>
    <w:rsid w:val="00BE0BCC"/>
    <w:rsid w:val="00BE1722"/>
    <w:rsid w:val="00BE1FEF"/>
    <w:rsid w:val="00BE28AB"/>
    <w:rsid w:val="00BE29B0"/>
    <w:rsid w:val="00BE2B81"/>
    <w:rsid w:val="00BE348F"/>
    <w:rsid w:val="00BE3C9C"/>
    <w:rsid w:val="00BE3F6E"/>
    <w:rsid w:val="00BE4614"/>
    <w:rsid w:val="00BE4B58"/>
    <w:rsid w:val="00BE4E6F"/>
    <w:rsid w:val="00BE5100"/>
    <w:rsid w:val="00BE529D"/>
    <w:rsid w:val="00BE53DD"/>
    <w:rsid w:val="00BE573E"/>
    <w:rsid w:val="00BE59E2"/>
    <w:rsid w:val="00BE5D1B"/>
    <w:rsid w:val="00BE6106"/>
    <w:rsid w:val="00BE6584"/>
    <w:rsid w:val="00BE6637"/>
    <w:rsid w:val="00BE6690"/>
    <w:rsid w:val="00BE6953"/>
    <w:rsid w:val="00BE6F2B"/>
    <w:rsid w:val="00BE6FD4"/>
    <w:rsid w:val="00BE7090"/>
    <w:rsid w:val="00BE749B"/>
    <w:rsid w:val="00BE7D8D"/>
    <w:rsid w:val="00BF05CA"/>
    <w:rsid w:val="00BF10E8"/>
    <w:rsid w:val="00BF1376"/>
    <w:rsid w:val="00BF1B38"/>
    <w:rsid w:val="00BF1B73"/>
    <w:rsid w:val="00BF1D1B"/>
    <w:rsid w:val="00BF2033"/>
    <w:rsid w:val="00BF2320"/>
    <w:rsid w:val="00BF2C93"/>
    <w:rsid w:val="00BF3158"/>
    <w:rsid w:val="00BF3169"/>
    <w:rsid w:val="00BF34E0"/>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B60"/>
    <w:rsid w:val="00BF7BD9"/>
    <w:rsid w:val="00BF7F14"/>
    <w:rsid w:val="00C004DD"/>
    <w:rsid w:val="00C00723"/>
    <w:rsid w:val="00C00953"/>
    <w:rsid w:val="00C00C95"/>
    <w:rsid w:val="00C00EBB"/>
    <w:rsid w:val="00C00F38"/>
    <w:rsid w:val="00C01B1D"/>
    <w:rsid w:val="00C021B2"/>
    <w:rsid w:val="00C02307"/>
    <w:rsid w:val="00C02493"/>
    <w:rsid w:val="00C02802"/>
    <w:rsid w:val="00C0314D"/>
    <w:rsid w:val="00C0327E"/>
    <w:rsid w:val="00C03312"/>
    <w:rsid w:val="00C03532"/>
    <w:rsid w:val="00C03605"/>
    <w:rsid w:val="00C039A5"/>
    <w:rsid w:val="00C03A04"/>
    <w:rsid w:val="00C03C67"/>
    <w:rsid w:val="00C0441D"/>
    <w:rsid w:val="00C046F7"/>
    <w:rsid w:val="00C062B9"/>
    <w:rsid w:val="00C06374"/>
    <w:rsid w:val="00C064FE"/>
    <w:rsid w:val="00C066AB"/>
    <w:rsid w:val="00C067CE"/>
    <w:rsid w:val="00C06EA1"/>
    <w:rsid w:val="00C070F7"/>
    <w:rsid w:val="00C071E1"/>
    <w:rsid w:val="00C07795"/>
    <w:rsid w:val="00C079DE"/>
    <w:rsid w:val="00C07A1D"/>
    <w:rsid w:val="00C07A9D"/>
    <w:rsid w:val="00C07B5B"/>
    <w:rsid w:val="00C07D9B"/>
    <w:rsid w:val="00C104D1"/>
    <w:rsid w:val="00C10C0B"/>
    <w:rsid w:val="00C10DD5"/>
    <w:rsid w:val="00C10F51"/>
    <w:rsid w:val="00C1122F"/>
    <w:rsid w:val="00C116FB"/>
    <w:rsid w:val="00C11A6C"/>
    <w:rsid w:val="00C11F76"/>
    <w:rsid w:val="00C12197"/>
    <w:rsid w:val="00C124A6"/>
    <w:rsid w:val="00C12944"/>
    <w:rsid w:val="00C12989"/>
    <w:rsid w:val="00C13567"/>
    <w:rsid w:val="00C13C61"/>
    <w:rsid w:val="00C1421F"/>
    <w:rsid w:val="00C145C0"/>
    <w:rsid w:val="00C14D9F"/>
    <w:rsid w:val="00C156A5"/>
    <w:rsid w:val="00C15A27"/>
    <w:rsid w:val="00C15FEF"/>
    <w:rsid w:val="00C165A1"/>
    <w:rsid w:val="00C16765"/>
    <w:rsid w:val="00C16A2F"/>
    <w:rsid w:val="00C16F1F"/>
    <w:rsid w:val="00C176A9"/>
    <w:rsid w:val="00C1776A"/>
    <w:rsid w:val="00C20301"/>
    <w:rsid w:val="00C20BBA"/>
    <w:rsid w:val="00C20FFB"/>
    <w:rsid w:val="00C21442"/>
    <w:rsid w:val="00C21BF1"/>
    <w:rsid w:val="00C21D92"/>
    <w:rsid w:val="00C22275"/>
    <w:rsid w:val="00C22519"/>
    <w:rsid w:val="00C22725"/>
    <w:rsid w:val="00C22950"/>
    <w:rsid w:val="00C229D9"/>
    <w:rsid w:val="00C22C7B"/>
    <w:rsid w:val="00C22F12"/>
    <w:rsid w:val="00C2305C"/>
    <w:rsid w:val="00C233D0"/>
    <w:rsid w:val="00C234A2"/>
    <w:rsid w:val="00C2380D"/>
    <w:rsid w:val="00C23EEE"/>
    <w:rsid w:val="00C23F25"/>
    <w:rsid w:val="00C240E7"/>
    <w:rsid w:val="00C24162"/>
    <w:rsid w:val="00C24569"/>
    <w:rsid w:val="00C24C34"/>
    <w:rsid w:val="00C24CF8"/>
    <w:rsid w:val="00C24E5C"/>
    <w:rsid w:val="00C24E78"/>
    <w:rsid w:val="00C2509D"/>
    <w:rsid w:val="00C2514A"/>
    <w:rsid w:val="00C25769"/>
    <w:rsid w:val="00C25816"/>
    <w:rsid w:val="00C25854"/>
    <w:rsid w:val="00C25AD4"/>
    <w:rsid w:val="00C25C99"/>
    <w:rsid w:val="00C25DA4"/>
    <w:rsid w:val="00C26BEC"/>
    <w:rsid w:val="00C26C06"/>
    <w:rsid w:val="00C27175"/>
    <w:rsid w:val="00C271AE"/>
    <w:rsid w:val="00C2796E"/>
    <w:rsid w:val="00C27A2E"/>
    <w:rsid w:val="00C30008"/>
    <w:rsid w:val="00C302BD"/>
    <w:rsid w:val="00C305DD"/>
    <w:rsid w:val="00C30BF7"/>
    <w:rsid w:val="00C31013"/>
    <w:rsid w:val="00C3140F"/>
    <w:rsid w:val="00C31921"/>
    <w:rsid w:val="00C31A5B"/>
    <w:rsid w:val="00C31AB7"/>
    <w:rsid w:val="00C31EC5"/>
    <w:rsid w:val="00C32176"/>
    <w:rsid w:val="00C32A02"/>
    <w:rsid w:val="00C32A16"/>
    <w:rsid w:val="00C32EA6"/>
    <w:rsid w:val="00C33356"/>
    <w:rsid w:val="00C33E55"/>
    <w:rsid w:val="00C33F76"/>
    <w:rsid w:val="00C341B8"/>
    <w:rsid w:val="00C344DC"/>
    <w:rsid w:val="00C34ABD"/>
    <w:rsid w:val="00C351DF"/>
    <w:rsid w:val="00C353CF"/>
    <w:rsid w:val="00C35F0A"/>
    <w:rsid w:val="00C35F43"/>
    <w:rsid w:val="00C360CA"/>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B09"/>
    <w:rsid w:val="00C430EE"/>
    <w:rsid w:val="00C432EC"/>
    <w:rsid w:val="00C43801"/>
    <w:rsid w:val="00C4383F"/>
    <w:rsid w:val="00C438BB"/>
    <w:rsid w:val="00C43A90"/>
    <w:rsid w:val="00C43AD9"/>
    <w:rsid w:val="00C440B0"/>
    <w:rsid w:val="00C44372"/>
    <w:rsid w:val="00C4467E"/>
    <w:rsid w:val="00C44A07"/>
    <w:rsid w:val="00C44BDC"/>
    <w:rsid w:val="00C450A5"/>
    <w:rsid w:val="00C45BFB"/>
    <w:rsid w:val="00C45DCE"/>
    <w:rsid w:val="00C46085"/>
    <w:rsid w:val="00C460FC"/>
    <w:rsid w:val="00C46D15"/>
    <w:rsid w:val="00C46F6E"/>
    <w:rsid w:val="00C47127"/>
    <w:rsid w:val="00C4768C"/>
    <w:rsid w:val="00C47AA0"/>
    <w:rsid w:val="00C47ED0"/>
    <w:rsid w:val="00C500A8"/>
    <w:rsid w:val="00C503C8"/>
    <w:rsid w:val="00C50C7D"/>
    <w:rsid w:val="00C50FF9"/>
    <w:rsid w:val="00C5116D"/>
    <w:rsid w:val="00C511CC"/>
    <w:rsid w:val="00C520A5"/>
    <w:rsid w:val="00C521F4"/>
    <w:rsid w:val="00C52889"/>
    <w:rsid w:val="00C528D2"/>
    <w:rsid w:val="00C52D5A"/>
    <w:rsid w:val="00C52E8B"/>
    <w:rsid w:val="00C53CA1"/>
    <w:rsid w:val="00C53CFC"/>
    <w:rsid w:val="00C53DE5"/>
    <w:rsid w:val="00C54518"/>
    <w:rsid w:val="00C54B14"/>
    <w:rsid w:val="00C55455"/>
    <w:rsid w:val="00C55E15"/>
    <w:rsid w:val="00C55F0F"/>
    <w:rsid w:val="00C56C58"/>
    <w:rsid w:val="00C56CCC"/>
    <w:rsid w:val="00C56F6D"/>
    <w:rsid w:val="00C574AE"/>
    <w:rsid w:val="00C57B3F"/>
    <w:rsid w:val="00C60320"/>
    <w:rsid w:val="00C60A94"/>
    <w:rsid w:val="00C60ED3"/>
    <w:rsid w:val="00C61626"/>
    <w:rsid w:val="00C617D3"/>
    <w:rsid w:val="00C61BB0"/>
    <w:rsid w:val="00C624FC"/>
    <w:rsid w:val="00C62B48"/>
    <w:rsid w:val="00C62BAA"/>
    <w:rsid w:val="00C6352A"/>
    <w:rsid w:val="00C635CC"/>
    <w:rsid w:val="00C63B29"/>
    <w:rsid w:val="00C63D29"/>
    <w:rsid w:val="00C63E6A"/>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BDD"/>
    <w:rsid w:val="00C66C03"/>
    <w:rsid w:val="00C67057"/>
    <w:rsid w:val="00C67158"/>
    <w:rsid w:val="00C6724A"/>
    <w:rsid w:val="00C67C38"/>
    <w:rsid w:val="00C70383"/>
    <w:rsid w:val="00C70731"/>
    <w:rsid w:val="00C70E47"/>
    <w:rsid w:val="00C71104"/>
    <w:rsid w:val="00C711E5"/>
    <w:rsid w:val="00C716F1"/>
    <w:rsid w:val="00C71DF2"/>
    <w:rsid w:val="00C72816"/>
    <w:rsid w:val="00C729C9"/>
    <w:rsid w:val="00C72B1D"/>
    <w:rsid w:val="00C730CB"/>
    <w:rsid w:val="00C731FC"/>
    <w:rsid w:val="00C7329F"/>
    <w:rsid w:val="00C73586"/>
    <w:rsid w:val="00C73782"/>
    <w:rsid w:val="00C73B8D"/>
    <w:rsid w:val="00C73F9C"/>
    <w:rsid w:val="00C74107"/>
    <w:rsid w:val="00C74430"/>
    <w:rsid w:val="00C745E5"/>
    <w:rsid w:val="00C75031"/>
    <w:rsid w:val="00C752ED"/>
    <w:rsid w:val="00C754A0"/>
    <w:rsid w:val="00C754FF"/>
    <w:rsid w:val="00C7593A"/>
    <w:rsid w:val="00C76932"/>
    <w:rsid w:val="00C76976"/>
    <w:rsid w:val="00C76D32"/>
    <w:rsid w:val="00C76E8A"/>
    <w:rsid w:val="00C772D2"/>
    <w:rsid w:val="00C778A2"/>
    <w:rsid w:val="00C77E68"/>
    <w:rsid w:val="00C80C77"/>
    <w:rsid w:val="00C80D90"/>
    <w:rsid w:val="00C8104E"/>
    <w:rsid w:val="00C8117A"/>
    <w:rsid w:val="00C81245"/>
    <w:rsid w:val="00C815D0"/>
    <w:rsid w:val="00C81B05"/>
    <w:rsid w:val="00C82179"/>
    <w:rsid w:val="00C8228A"/>
    <w:rsid w:val="00C824E1"/>
    <w:rsid w:val="00C83607"/>
    <w:rsid w:val="00C836EE"/>
    <w:rsid w:val="00C839F2"/>
    <w:rsid w:val="00C83ADF"/>
    <w:rsid w:val="00C83AEE"/>
    <w:rsid w:val="00C83B2A"/>
    <w:rsid w:val="00C83D33"/>
    <w:rsid w:val="00C842BA"/>
    <w:rsid w:val="00C84A7D"/>
    <w:rsid w:val="00C84B88"/>
    <w:rsid w:val="00C84CAA"/>
    <w:rsid w:val="00C84F1F"/>
    <w:rsid w:val="00C853B8"/>
    <w:rsid w:val="00C85531"/>
    <w:rsid w:val="00C85563"/>
    <w:rsid w:val="00C85AC7"/>
    <w:rsid w:val="00C85B0B"/>
    <w:rsid w:val="00C85DAD"/>
    <w:rsid w:val="00C8628E"/>
    <w:rsid w:val="00C86DDF"/>
    <w:rsid w:val="00C874D1"/>
    <w:rsid w:val="00C87BA6"/>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840"/>
    <w:rsid w:val="00C9309C"/>
    <w:rsid w:val="00C93301"/>
    <w:rsid w:val="00C934E0"/>
    <w:rsid w:val="00C939EE"/>
    <w:rsid w:val="00C94A2F"/>
    <w:rsid w:val="00C94BDC"/>
    <w:rsid w:val="00C94BF9"/>
    <w:rsid w:val="00C94CF0"/>
    <w:rsid w:val="00C95005"/>
    <w:rsid w:val="00C9557C"/>
    <w:rsid w:val="00C9579D"/>
    <w:rsid w:val="00C961CA"/>
    <w:rsid w:val="00C96242"/>
    <w:rsid w:val="00C9644D"/>
    <w:rsid w:val="00C96454"/>
    <w:rsid w:val="00C96501"/>
    <w:rsid w:val="00C96747"/>
    <w:rsid w:val="00C96897"/>
    <w:rsid w:val="00C97075"/>
    <w:rsid w:val="00C97276"/>
    <w:rsid w:val="00C97C47"/>
    <w:rsid w:val="00CA0704"/>
    <w:rsid w:val="00CA08DA"/>
    <w:rsid w:val="00CA0CE8"/>
    <w:rsid w:val="00CA0FB8"/>
    <w:rsid w:val="00CA107A"/>
    <w:rsid w:val="00CA10BE"/>
    <w:rsid w:val="00CA15F3"/>
    <w:rsid w:val="00CA2056"/>
    <w:rsid w:val="00CA2680"/>
    <w:rsid w:val="00CA3312"/>
    <w:rsid w:val="00CA4C2D"/>
    <w:rsid w:val="00CA4C35"/>
    <w:rsid w:val="00CA4D23"/>
    <w:rsid w:val="00CA4FA9"/>
    <w:rsid w:val="00CA50CD"/>
    <w:rsid w:val="00CA522F"/>
    <w:rsid w:val="00CA5262"/>
    <w:rsid w:val="00CA52D2"/>
    <w:rsid w:val="00CA563C"/>
    <w:rsid w:val="00CA567B"/>
    <w:rsid w:val="00CA5B9D"/>
    <w:rsid w:val="00CA6716"/>
    <w:rsid w:val="00CA6B37"/>
    <w:rsid w:val="00CA73D4"/>
    <w:rsid w:val="00CA7483"/>
    <w:rsid w:val="00CA7FB2"/>
    <w:rsid w:val="00CB031D"/>
    <w:rsid w:val="00CB036A"/>
    <w:rsid w:val="00CB040C"/>
    <w:rsid w:val="00CB072B"/>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7E9"/>
    <w:rsid w:val="00CC091B"/>
    <w:rsid w:val="00CC18C0"/>
    <w:rsid w:val="00CC1939"/>
    <w:rsid w:val="00CC1F80"/>
    <w:rsid w:val="00CC1FD7"/>
    <w:rsid w:val="00CC23EB"/>
    <w:rsid w:val="00CC2A2C"/>
    <w:rsid w:val="00CC42D4"/>
    <w:rsid w:val="00CC4364"/>
    <w:rsid w:val="00CC472C"/>
    <w:rsid w:val="00CC4E16"/>
    <w:rsid w:val="00CC5628"/>
    <w:rsid w:val="00CC5ABF"/>
    <w:rsid w:val="00CC64E3"/>
    <w:rsid w:val="00CC727E"/>
    <w:rsid w:val="00CC7712"/>
    <w:rsid w:val="00CC774A"/>
    <w:rsid w:val="00CC7DDA"/>
    <w:rsid w:val="00CD054D"/>
    <w:rsid w:val="00CD16A5"/>
    <w:rsid w:val="00CD179A"/>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347"/>
    <w:rsid w:val="00CD634D"/>
    <w:rsid w:val="00CD6784"/>
    <w:rsid w:val="00CD684E"/>
    <w:rsid w:val="00CD69E9"/>
    <w:rsid w:val="00CD6E49"/>
    <w:rsid w:val="00CD704E"/>
    <w:rsid w:val="00CD7420"/>
    <w:rsid w:val="00CD799F"/>
    <w:rsid w:val="00CD7A68"/>
    <w:rsid w:val="00CE0118"/>
    <w:rsid w:val="00CE0137"/>
    <w:rsid w:val="00CE057D"/>
    <w:rsid w:val="00CE0BA7"/>
    <w:rsid w:val="00CE107A"/>
    <w:rsid w:val="00CE15A4"/>
    <w:rsid w:val="00CE16B9"/>
    <w:rsid w:val="00CE19D0"/>
    <w:rsid w:val="00CE1D09"/>
    <w:rsid w:val="00CE27DA"/>
    <w:rsid w:val="00CE2942"/>
    <w:rsid w:val="00CE2DFC"/>
    <w:rsid w:val="00CE2FAA"/>
    <w:rsid w:val="00CE36EF"/>
    <w:rsid w:val="00CE3783"/>
    <w:rsid w:val="00CE3839"/>
    <w:rsid w:val="00CE3B18"/>
    <w:rsid w:val="00CE3BBB"/>
    <w:rsid w:val="00CE3FC3"/>
    <w:rsid w:val="00CE45BD"/>
    <w:rsid w:val="00CE4C13"/>
    <w:rsid w:val="00CE552B"/>
    <w:rsid w:val="00CE570B"/>
    <w:rsid w:val="00CE572E"/>
    <w:rsid w:val="00CE5F95"/>
    <w:rsid w:val="00CE631A"/>
    <w:rsid w:val="00CE65F6"/>
    <w:rsid w:val="00CE6822"/>
    <w:rsid w:val="00CE6ACB"/>
    <w:rsid w:val="00CE6D09"/>
    <w:rsid w:val="00CE72DC"/>
    <w:rsid w:val="00CE757F"/>
    <w:rsid w:val="00CE79AB"/>
    <w:rsid w:val="00CE7A3C"/>
    <w:rsid w:val="00CF0105"/>
    <w:rsid w:val="00CF099B"/>
    <w:rsid w:val="00CF0E4D"/>
    <w:rsid w:val="00CF1081"/>
    <w:rsid w:val="00CF109E"/>
    <w:rsid w:val="00CF17F0"/>
    <w:rsid w:val="00CF180F"/>
    <w:rsid w:val="00CF19C6"/>
    <w:rsid w:val="00CF1E9A"/>
    <w:rsid w:val="00CF230D"/>
    <w:rsid w:val="00CF2A98"/>
    <w:rsid w:val="00CF4349"/>
    <w:rsid w:val="00CF43C6"/>
    <w:rsid w:val="00CF454F"/>
    <w:rsid w:val="00CF48A5"/>
    <w:rsid w:val="00CF4B22"/>
    <w:rsid w:val="00CF4ED1"/>
    <w:rsid w:val="00CF5489"/>
    <w:rsid w:val="00CF6B84"/>
    <w:rsid w:val="00CF6DDB"/>
    <w:rsid w:val="00CF7111"/>
    <w:rsid w:val="00CF7452"/>
    <w:rsid w:val="00CF7615"/>
    <w:rsid w:val="00CF7796"/>
    <w:rsid w:val="00CF7823"/>
    <w:rsid w:val="00CF78DA"/>
    <w:rsid w:val="00CF7A96"/>
    <w:rsid w:val="00D003F8"/>
    <w:rsid w:val="00D0052C"/>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45B"/>
    <w:rsid w:val="00D035D9"/>
    <w:rsid w:val="00D03823"/>
    <w:rsid w:val="00D040CD"/>
    <w:rsid w:val="00D04613"/>
    <w:rsid w:val="00D04AF3"/>
    <w:rsid w:val="00D04C4B"/>
    <w:rsid w:val="00D04CB3"/>
    <w:rsid w:val="00D04D9F"/>
    <w:rsid w:val="00D05C77"/>
    <w:rsid w:val="00D05CDE"/>
    <w:rsid w:val="00D06784"/>
    <w:rsid w:val="00D067C5"/>
    <w:rsid w:val="00D06827"/>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450"/>
    <w:rsid w:val="00D12514"/>
    <w:rsid w:val="00D12E60"/>
    <w:rsid w:val="00D137EC"/>
    <w:rsid w:val="00D137F5"/>
    <w:rsid w:val="00D13AC5"/>
    <w:rsid w:val="00D13C39"/>
    <w:rsid w:val="00D13D2F"/>
    <w:rsid w:val="00D13E32"/>
    <w:rsid w:val="00D13FC1"/>
    <w:rsid w:val="00D14237"/>
    <w:rsid w:val="00D142C5"/>
    <w:rsid w:val="00D148EB"/>
    <w:rsid w:val="00D149CF"/>
    <w:rsid w:val="00D14A15"/>
    <w:rsid w:val="00D14C59"/>
    <w:rsid w:val="00D14E5F"/>
    <w:rsid w:val="00D14F7D"/>
    <w:rsid w:val="00D14FA3"/>
    <w:rsid w:val="00D14FB2"/>
    <w:rsid w:val="00D1563D"/>
    <w:rsid w:val="00D157A1"/>
    <w:rsid w:val="00D15B6C"/>
    <w:rsid w:val="00D15C72"/>
    <w:rsid w:val="00D164EA"/>
    <w:rsid w:val="00D164FD"/>
    <w:rsid w:val="00D16754"/>
    <w:rsid w:val="00D16827"/>
    <w:rsid w:val="00D16AE5"/>
    <w:rsid w:val="00D16E89"/>
    <w:rsid w:val="00D17548"/>
    <w:rsid w:val="00D17604"/>
    <w:rsid w:val="00D17A20"/>
    <w:rsid w:val="00D17A85"/>
    <w:rsid w:val="00D17BED"/>
    <w:rsid w:val="00D17CC6"/>
    <w:rsid w:val="00D17E0C"/>
    <w:rsid w:val="00D17E48"/>
    <w:rsid w:val="00D2041E"/>
    <w:rsid w:val="00D20454"/>
    <w:rsid w:val="00D2058E"/>
    <w:rsid w:val="00D206CA"/>
    <w:rsid w:val="00D20B8F"/>
    <w:rsid w:val="00D20D10"/>
    <w:rsid w:val="00D20D1D"/>
    <w:rsid w:val="00D20FEA"/>
    <w:rsid w:val="00D2153B"/>
    <w:rsid w:val="00D216BC"/>
    <w:rsid w:val="00D219FB"/>
    <w:rsid w:val="00D21ADC"/>
    <w:rsid w:val="00D21EFF"/>
    <w:rsid w:val="00D228C8"/>
    <w:rsid w:val="00D22DD2"/>
    <w:rsid w:val="00D23380"/>
    <w:rsid w:val="00D23801"/>
    <w:rsid w:val="00D24035"/>
    <w:rsid w:val="00D24CA3"/>
    <w:rsid w:val="00D24DAB"/>
    <w:rsid w:val="00D24F45"/>
    <w:rsid w:val="00D2516D"/>
    <w:rsid w:val="00D251AC"/>
    <w:rsid w:val="00D257FD"/>
    <w:rsid w:val="00D25AEC"/>
    <w:rsid w:val="00D25B2F"/>
    <w:rsid w:val="00D25CC0"/>
    <w:rsid w:val="00D25F2E"/>
    <w:rsid w:val="00D2608B"/>
    <w:rsid w:val="00D26A86"/>
    <w:rsid w:val="00D274CE"/>
    <w:rsid w:val="00D2772C"/>
    <w:rsid w:val="00D27D36"/>
    <w:rsid w:val="00D27E10"/>
    <w:rsid w:val="00D27E9B"/>
    <w:rsid w:val="00D3037E"/>
    <w:rsid w:val="00D30454"/>
    <w:rsid w:val="00D305AC"/>
    <w:rsid w:val="00D3067A"/>
    <w:rsid w:val="00D30789"/>
    <w:rsid w:val="00D307A6"/>
    <w:rsid w:val="00D30BF9"/>
    <w:rsid w:val="00D314BD"/>
    <w:rsid w:val="00D31FFD"/>
    <w:rsid w:val="00D32074"/>
    <w:rsid w:val="00D3210D"/>
    <w:rsid w:val="00D32376"/>
    <w:rsid w:val="00D323B1"/>
    <w:rsid w:val="00D326DD"/>
    <w:rsid w:val="00D32DD5"/>
    <w:rsid w:val="00D32E91"/>
    <w:rsid w:val="00D33635"/>
    <w:rsid w:val="00D33A40"/>
    <w:rsid w:val="00D33DBD"/>
    <w:rsid w:val="00D341C9"/>
    <w:rsid w:val="00D3447D"/>
    <w:rsid w:val="00D3488B"/>
    <w:rsid w:val="00D34A20"/>
    <w:rsid w:val="00D34A8C"/>
    <w:rsid w:val="00D34AF6"/>
    <w:rsid w:val="00D35127"/>
    <w:rsid w:val="00D35F32"/>
    <w:rsid w:val="00D361DE"/>
    <w:rsid w:val="00D3683D"/>
    <w:rsid w:val="00D369D6"/>
    <w:rsid w:val="00D369DE"/>
    <w:rsid w:val="00D36A99"/>
    <w:rsid w:val="00D36BBA"/>
    <w:rsid w:val="00D36F56"/>
    <w:rsid w:val="00D37427"/>
    <w:rsid w:val="00D3793E"/>
    <w:rsid w:val="00D37E78"/>
    <w:rsid w:val="00D37FB2"/>
    <w:rsid w:val="00D4024B"/>
    <w:rsid w:val="00D404C7"/>
    <w:rsid w:val="00D415A5"/>
    <w:rsid w:val="00D41A6A"/>
    <w:rsid w:val="00D41D1F"/>
    <w:rsid w:val="00D42027"/>
    <w:rsid w:val="00D420E0"/>
    <w:rsid w:val="00D4233A"/>
    <w:rsid w:val="00D423E8"/>
    <w:rsid w:val="00D42A1E"/>
    <w:rsid w:val="00D43015"/>
    <w:rsid w:val="00D438C4"/>
    <w:rsid w:val="00D43B76"/>
    <w:rsid w:val="00D43DDA"/>
    <w:rsid w:val="00D43E3F"/>
    <w:rsid w:val="00D442F0"/>
    <w:rsid w:val="00D4446B"/>
    <w:rsid w:val="00D44B3D"/>
    <w:rsid w:val="00D44DF3"/>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F18"/>
    <w:rsid w:val="00D520B5"/>
    <w:rsid w:val="00D526F3"/>
    <w:rsid w:val="00D52DA3"/>
    <w:rsid w:val="00D52E44"/>
    <w:rsid w:val="00D52E5A"/>
    <w:rsid w:val="00D53537"/>
    <w:rsid w:val="00D5360E"/>
    <w:rsid w:val="00D53B2D"/>
    <w:rsid w:val="00D542DB"/>
    <w:rsid w:val="00D546CE"/>
    <w:rsid w:val="00D54E49"/>
    <w:rsid w:val="00D54E9E"/>
    <w:rsid w:val="00D54EBF"/>
    <w:rsid w:val="00D551C8"/>
    <w:rsid w:val="00D552EB"/>
    <w:rsid w:val="00D55972"/>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31C"/>
    <w:rsid w:val="00D654B4"/>
    <w:rsid w:val="00D65A49"/>
    <w:rsid w:val="00D65C19"/>
    <w:rsid w:val="00D66008"/>
    <w:rsid w:val="00D662FC"/>
    <w:rsid w:val="00D66381"/>
    <w:rsid w:val="00D66410"/>
    <w:rsid w:val="00D66472"/>
    <w:rsid w:val="00D6679A"/>
    <w:rsid w:val="00D66D20"/>
    <w:rsid w:val="00D66F17"/>
    <w:rsid w:val="00D66F26"/>
    <w:rsid w:val="00D672A3"/>
    <w:rsid w:val="00D6744F"/>
    <w:rsid w:val="00D67827"/>
    <w:rsid w:val="00D67B55"/>
    <w:rsid w:val="00D700E5"/>
    <w:rsid w:val="00D70900"/>
    <w:rsid w:val="00D70E28"/>
    <w:rsid w:val="00D71B77"/>
    <w:rsid w:val="00D7200D"/>
    <w:rsid w:val="00D725CA"/>
    <w:rsid w:val="00D7374B"/>
    <w:rsid w:val="00D738C4"/>
    <w:rsid w:val="00D741F4"/>
    <w:rsid w:val="00D74420"/>
    <w:rsid w:val="00D74A87"/>
    <w:rsid w:val="00D74C14"/>
    <w:rsid w:val="00D7517B"/>
    <w:rsid w:val="00D755DE"/>
    <w:rsid w:val="00D7587B"/>
    <w:rsid w:val="00D75ADC"/>
    <w:rsid w:val="00D75B80"/>
    <w:rsid w:val="00D75CE3"/>
    <w:rsid w:val="00D76186"/>
    <w:rsid w:val="00D76320"/>
    <w:rsid w:val="00D76513"/>
    <w:rsid w:val="00D7678D"/>
    <w:rsid w:val="00D768A4"/>
    <w:rsid w:val="00D76AB6"/>
    <w:rsid w:val="00D76BE7"/>
    <w:rsid w:val="00D76C33"/>
    <w:rsid w:val="00D771E9"/>
    <w:rsid w:val="00D7771F"/>
    <w:rsid w:val="00D77726"/>
    <w:rsid w:val="00D77800"/>
    <w:rsid w:val="00D77DB1"/>
    <w:rsid w:val="00D8081F"/>
    <w:rsid w:val="00D80898"/>
    <w:rsid w:val="00D80DF6"/>
    <w:rsid w:val="00D8114A"/>
    <w:rsid w:val="00D817F1"/>
    <w:rsid w:val="00D81833"/>
    <w:rsid w:val="00D818F2"/>
    <w:rsid w:val="00D825BC"/>
    <w:rsid w:val="00D82676"/>
    <w:rsid w:val="00D82706"/>
    <w:rsid w:val="00D8312E"/>
    <w:rsid w:val="00D83A9F"/>
    <w:rsid w:val="00D8414C"/>
    <w:rsid w:val="00D841A5"/>
    <w:rsid w:val="00D844B1"/>
    <w:rsid w:val="00D8469F"/>
    <w:rsid w:val="00D84E4D"/>
    <w:rsid w:val="00D8603D"/>
    <w:rsid w:val="00D865D1"/>
    <w:rsid w:val="00D86C20"/>
    <w:rsid w:val="00D86DD4"/>
    <w:rsid w:val="00D90046"/>
    <w:rsid w:val="00D9038D"/>
    <w:rsid w:val="00D90898"/>
    <w:rsid w:val="00D90998"/>
    <w:rsid w:val="00D909BB"/>
    <w:rsid w:val="00D9111B"/>
    <w:rsid w:val="00D91D92"/>
    <w:rsid w:val="00D92529"/>
    <w:rsid w:val="00D92870"/>
    <w:rsid w:val="00D92A2B"/>
    <w:rsid w:val="00D92B67"/>
    <w:rsid w:val="00D92F08"/>
    <w:rsid w:val="00D93743"/>
    <w:rsid w:val="00D93A59"/>
    <w:rsid w:val="00D9420E"/>
    <w:rsid w:val="00D94BD0"/>
    <w:rsid w:val="00D9558B"/>
    <w:rsid w:val="00D95F5F"/>
    <w:rsid w:val="00D95FDA"/>
    <w:rsid w:val="00D96398"/>
    <w:rsid w:val="00D966E1"/>
    <w:rsid w:val="00D9680D"/>
    <w:rsid w:val="00D96917"/>
    <w:rsid w:val="00D96BC9"/>
    <w:rsid w:val="00D96F24"/>
    <w:rsid w:val="00D973C9"/>
    <w:rsid w:val="00D9781A"/>
    <w:rsid w:val="00D97883"/>
    <w:rsid w:val="00D979C9"/>
    <w:rsid w:val="00DA0067"/>
    <w:rsid w:val="00DA041C"/>
    <w:rsid w:val="00DA06F9"/>
    <w:rsid w:val="00DA1342"/>
    <w:rsid w:val="00DA1613"/>
    <w:rsid w:val="00DA1868"/>
    <w:rsid w:val="00DA18EE"/>
    <w:rsid w:val="00DA1A4B"/>
    <w:rsid w:val="00DA2074"/>
    <w:rsid w:val="00DA240D"/>
    <w:rsid w:val="00DA2675"/>
    <w:rsid w:val="00DA26BA"/>
    <w:rsid w:val="00DA27D7"/>
    <w:rsid w:val="00DA29C5"/>
    <w:rsid w:val="00DA2AEB"/>
    <w:rsid w:val="00DA301E"/>
    <w:rsid w:val="00DA330A"/>
    <w:rsid w:val="00DA36EF"/>
    <w:rsid w:val="00DA3922"/>
    <w:rsid w:val="00DA4300"/>
    <w:rsid w:val="00DA453C"/>
    <w:rsid w:val="00DA51E1"/>
    <w:rsid w:val="00DA5AAB"/>
    <w:rsid w:val="00DA5B18"/>
    <w:rsid w:val="00DA5E80"/>
    <w:rsid w:val="00DA5F70"/>
    <w:rsid w:val="00DA663C"/>
    <w:rsid w:val="00DA671A"/>
    <w:rsid w:val="00DA6858"/>
    <w:rsid w:val="00DA7233"/>
    <w:rsid w:val="00DA7266"/>
    <w:rsid w:val="00DA7496"/>
    <w:rsid w:val="00DA7904"/>
    <w:rsid w:val="00DA7A9F"/>
    <w:rsid w:val="00DA7AFF"/>
    <w:rsid w:val="00DA7CBB"/>
    <w:rsid w:val="00DA7EC2"/>
    <w:rsid w:val="00DA7F06"/>
    <w:rsid w:val="00DB0380"/>
    <w:rsid w:val="00DB0862"/>
    <w:rsid w:val="00DB08FA"/>
    <w:rsid w:val="00DB1495"/>
    <w:rsid w:val="00DB14BD"/>
    <w:rsid w:val="00DB1637"/>
    <w:rsid w:val="00DB1CD7"/>
    <w:rsid w:val="00DB2086"/>
    <w:rsid w:val="00DB24A2"/>
    <w:rsid w:val="00DB2651"/>
    <w:rsid w:val="00DB2768"/>
    <w:rsid w:val="00DB28B4"/>
    <w:rsid w:val="00DB2A1C"/>
    <w:rsid w:val="00DB30B1"/>
    <w:rsid w:val="00DB31FF"/>
    <w:rsid w:val="00DB33C7"/>
    <w:rsid w:val="00DB39BE"/>
    <w:rsid w:val="00DB3AD0"/>
    <w:rsid w:val="00DB3DC6"/>
    <w:rsid w:val="00DB3ECD"/>
    <w:rsid w:val="00DB4717"/>
    <w:rsid w:val="00DB4BC2"/>
    <w:rsid w:val="00DB4BD4"/>
    <w:rsid w:val="00DB59DB"/>
    <w:rsid w:val="00DB5B0F"/>
    <w:rsid w:val="00DB5B94"/>
    <w:rsid w:val="00DB60A0"/>
    <w:rsid w:val="00DB6278"/>
    <w:rsid w:val="00DB6D7D"/>
    <w:rsid w:val="00DB7087"/>
    <w:rsid w:val="00DB7178"/>
    <w:rsid w:val="00DB7320"/>
    <w:rsid w:val="00DB75E7"/>
    <w:rsid w:val="00DB777B"/>
    <w:rsid w:val="00DB78E8"/>
    <w:rsid w:val="00DB79D5"/>
    <w:rsid w:val="00DB7C03"/>
    <w:rsid w:val="00DB7F7B"/>
    <w:rsid w:val="00DB7F8E"/>
    <w:rsid w:val="00DC00E8"/>
    <w:rsid w:val="00DC0CC3"/>
    <w:rsid w:val="00DC0F8C"/>
    <w:rsid w:val="00DC12C8"/>
    <w:rsid w:val="00DC1C61"/>
    <w:rsid w:val="00DC2232"/>
    <w:rsid w:val="00DC2611"/>
    <w:rsid w:val="00DC343C"/>
    <w:rsid w:val="00DC3597"/>
    <w:rsid w:val="00DC36E8"/>
    <w:rsid w:val="00DC3B0F"/>
    <w:rsid w:val="00DC3F3D"/>
    <w:rsid w:val="00DC4508"/>
    <w:rsid w:val="00DC4AC6"/>
    <w:rsid w:val="00DC56F0"/>
    <w:rsid w:val="00DC570A"/>
    <w:rsid w:val="00DC5C68"/>
    <w:rsid w:val="00DC5D8F"/>
    <w:rsid w:val="00DC6AB5"/>
    <w:rsid w:val="00DC6CD0"/>
    <w:rsid w:val="00DC6F31"/>
    <w:rsid w:val="00DC7004"/>
    <w:rsid w:val="00DC703A"/>
    <w:rsid w:val="00DC7070"/>
    <w:rsid w:val="00DC72FE"/>
    <w:rsid w:val="00DC7BF7"/>
    <w:rsid w:val="00DC7FFD"/>
    <w:rsid w:val="00DD0277"/>
    <w:rsid w:val="00DD0698"/>
    <w:rsid w:val="00DD096E"/>
    <w:rsid w:val="00DD1129"/>
    <w:rsid w:val="00DD15C7"/>
    <w:rsid w:val="00DD1B11"/>
    <w:rsid w:val="00DD1B33"/>
    <w:rsid w:val="00DD1B59"/>
    <w:rsid w:val="00DD1CE2"/>
    <w:rsid w:val="00DD2F5E"/>
    <w:rsid w:val="00DD371B"/>
    <w:rsid w:val="00DD4238"/>
    <w:rsid w:val="00DD4AE9"/>
    <w:rsid w:val="00DD4F6E"/>
    <w:rsid w:val="00DD575B"/>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E"/>
    <w:rsid w:val="00DE074F"/>
    <w:rsid w:val="00DE0772"/>
    <w:rsid w:val="00DE1064"/>
    <w:rsid w:val="00DE1240"/>
    <w:rsid w:val="00DE1258"/>
    <w:rsid w:val="00DE1852"/>
    <w:rsid w:val="00DE1AA5"/>
    <w:rsid w:val="00DE1C68"/>
    <w:rsid w:val="00DE1E1F"/>
    <w:rsid w:val="00DE1F76"/>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567"/>
    <w:rsid w:val="00DE4978"/>
    <w:rsid w:val="00DE4A0A"/>
    <w:rsid w:val="00DE4A94"/>
    <w:rsid w:val="00DE4AA0"/>
    <w:rsid w:val="00DE4CAF"/>
    <w:rsid w:val="00DE5039"/>
    <w:rsid w:val="00DE5414"/>
    <w:rsid w:val="00DE563D"/>
    <w:rsid w:val="00DE5B1E"/>
    <w:rsid w:val="00DE5BAE"/>
    <w:rsid w:val="00DE7267"/>
    <w:rsid w:val="00DE74A8"/>
    <w:rsid w:val="00DE74F5"/>
    <w:rsid w:val="00DE7566"/>
    <w:rsid w:val="00DE7BA3"/>
    <w:rsid w:val="00DE7D4D"/>
    <w:rsid w:val="00DE7E46"/>
    <w:rsid w:val="00DF0577"/>
    <w:rsid w:val="00DF066D"/>
    <w:rsid w:val="00DF0737"/>
    <w:rsid w:val="00DF0C37"/>
    <w:rsid w:val="00DF0C88"/>
    <w:rsid w:val="00DF10A6"/>
    <w:rsid w:val="00DF135C"/>
    <w:rsid w:val="00DF18FC"/>
    <w:rsid w:val="00DF2234"/>
    <w:rsid w:val="00DF22B4"/>
    <w:rsid w:val="00DF2435"/>
    <w:rsid w:val="00DF24FD"/>
    <w:rsid w:val="00DF2506"/>
    <w:rsid w:val="00DF27E3"/>
    <w:rsid w:val="00DF2F26"/>
    <w:rsid w:val="00DF301A"/>
    <w:rsid w:val="00DF3123"/>
    <w:rsid w:val="00DF3469"/>
    <w:rsid w:val="00DF3693"/>
    <w:rsid w:val="00DF3BE2"/>
    <w:rsid w:val="00DF3C3B"/>
    <w:rsid w:val="00DF4023"/>
    <w:rsid w:val="00DF404D"/>
    <w:rsid w:val="00DF4364"/>
    <w:rsid w:val="00DF4E2C"/>
    <w:rsid w:val="00DF4E34"/>
    <w:rsid w:val="00DF4F1B"/>
    <w:rsid w:val="00DF51A8"/>
    <w:rsid w:val="00DF5ACC"/>
    <w:rsid w:val="00DF5CAC"/>
    <w:rsid w:val="00DF5CF7"/>
    <w:rsid w:val="00DF5DC3"/>
    <w:rsid w:val="00DF6022"/>
    <w:rsid w:val="00DF6A93"/>
    <w:rsid w:val="00DF6AC3"/>
    <w:rsid w:val="00DF744D"/>
    <w:rsid w:val="00DF75EC"/>
    <w:rsid w:val="00DF770C"/>
    <w:rsid w:val="00DF78E1"/>
    <w:rsid w:val="00DF798F"/>
    <w:rsid w:val="00DF7D56"/>
    <w:rsid w:val="00DF7DBE"/>
    <w:rsid w:val="00E002D6"/>
    <w:rsid w:val="00E00A7C"/>
    <w:rsid w:val="00E00E96"/>
    <w:rsid w:val="00E0133D"/>
    <w:rsid w:val="00E0199E"/>
    <w:rsid w:val="00E019ED"/>
    <w:rsid w:val="00E01B31"/>
    <w:rsid w:val="00E01E09"/>
    <w:rsid w:val="00E0231C"/>
    <w:rsid w:val="00E02392"/>
    <w:rsid w:val="00E025BF"/>
    <w:rsid w:val="00E0312F"/>
    <w:rsid w:val="00E03889"/>
    <w:rsid w:val="00E03BA3"/>
    <w:rsid w:val="00E03BA8"/>
    <w:rsid w:val="00E0429D"/>
    <w:rsid w:val="00E04C48"/>
    <w:rsid w:val="00E0584B"/>
    <w:rsid w:val="00E058F4"/>
    <w:rsid w:val="00E05C97"/>
    <w:rsid w:val="00E05DA6"/>
    <w:rsid w:val="00E05F35"/>
    <w:rsid w:val="00E06065"/>
    <w:rsid w:val="00E0668C"/>
    <w:rsid w:val="00E066F2"/>
    <w:rsid w:val="00E06A81"/>
    <w:rsid w:val="00E06B51"/>
    <w:rsid w:val="00E07772"/>
    <w:rsid w:val="00E07901"/>
    <w:rsid w:val="00E079C6"/>
    <w:rsid w:val="00E10AE7"/>
    <w:rsid w:val="00E10BFA"/>
    <w:rsid w:val="00E1133A"/>
    <w:rsid w:val="00E11428"/>
    <w:rsid w:val="00E116C6"/>
    <w:rsid w:val="00E12030"/>
    <w:rsid w:val="00E1239C"/>
    <w:rsid w:val="00E1262D"/>
    <w:rsid w:val="00E1273C"/>
    <w:rsid w:val="00E128A2"/>
    <w:rsid w:val="00E12AD1"/>
    <w:rsid w:val="00E13137"/>
    <w:rsid w:val="00E13207"/>
    <w:rsid w:val="00E134FE"/>
    <w:rsid w:val="00E13958"/>
    <w:rsid w:val="00E1434A"/>
    <w:rsid w:val="00E14600"/>
    <w:rsid w:val="00E146CF"/>
    <w:rsid w:val="00E1488A"/>
    <w:rsid w:val="00E14BED"/>
    <w:rsid w:val="00E15048"/>
    <w:rsid w:val="00E15606"/>
    <w:rsid w:val="00E15893"/>
    <w:rsid w:val="00E15ACE"/>
    <w:rsid w:val="00E15BA6"/>
    <w:rsid w:val="00E15C2B"/>
    <w:rsid w:val="00E15F9F"/>
    <w:rsid w:val="00E15FFB"/>
    <w:rsid w:val="00E16406"/>
    <w:rsid w:val="00E1687E"/>
    <w:rsid w:val="00E16BAF"/>
    <w:rsid w:val="00E1734B"/>
    <w:rsid w:val="00E17711"/>
    <w:rsid w:val="00E17CD3"/>
    <w:rsid w:val="00E17D0F"/>
    <w:rsid w:val="00E20112"/>
    <w:rsid w:val="00E20504"/>
    <w:rsid w:val="00E20528"/>
    <w:rsid w:val="00E20D6C"/>
    <w:rsid w:val="00E20FA3"/>
    <w:rsid w:val="00E210C4"/>
    <w:rsid w:val="00E211F7"/>
    <w:rsid w:val="00E21488"/>
    <w:rsid w:val="00E217A2"/>
    <w:rsid w:val="00E21B26"/>
    <w:rsid w:val="00E2207F"/>
    <w:rsid w:val="00E220B0"/>
    <w:rsid w:val="00E22126"/>
    <w:rsid w:val="00E23501"/>
    <w:rsid w:val="00E23C05"/>
    <w:rsid w:val="00E23C20"/>
    <w:rsid w:val="00E2407B"/>
    <w:rsid w:val="00E241F5"/>
    <w:rsid w:val="00E2425F"/>
    <w:rsid w:val="00E242F0"/>
    <w:rsid w:val="00E245B0"/>
    <w:rsid w:val="00E2461C"/>
    <w:rsid w:val="00E247E2"/>
    <w:rsid w:val="00E24B86"/>
    <w:rsid w:val="00E24E01"/>
    <w:rsid w:val="00E24EF9"/>
    <w:rsid w:val="00E25B7C"/>
    <w:rsid w:val="00E25DDB"/>
    <w:rsid w:val="00E262C5"/>
    <w:rsid w:val="00E26325"/>
    <w:rsid w:val="00E267BF"/>
    <w:rsid w:val="00E26F14"/>
    <w:rsid w:val="00E26FAD"/>
    <w:rsid w:val="00E271DE"/>
    <w:rsid w:val="00E27664"/>
    <w:rsid w:val="00E27927"/>
    <w:rsid w:val="00E27EBF"/>
    <w:rsid w:val="00E27F00"/>
    <w:rsid w:val="00E27F70"/>
    <w:rsid w:val="00E301A0"/>
    <w:rsid w:val="00E3021E"/>
    <w:rsid w:val="00E302AD"/>
    <w:rsid w:val="00E30431"/>
    <w:rsid w:val="00E304D8"/>
    <w:rsid w:val="00E304EB"/>
    <w:rsid w:val="00E30EF7"/>
    <w:rsid w:val="00E3187A"/>
    <w:rsid w:val="00E31FA1"/>
    <w:rsid w:val="00E32086"/>
    <w:rsid w:val="00E321C2"/>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80"/>
    <w:rsid w:val="00E34CC9"/>
    <w:rsid w:val="00E34DDA"/>
    <w:rsid w:val="00E34EE9"/>
    <w:rsid w:val="00E3590B"/>
    <w:rsid w:val="00E36ADF"/>
    <w:rsid w:val="00E36B53"/>
    <w:rsid w:val="00E3705A"/>
    <w:rsid w:val="00E37585"/>
    <w:rsid w:val="00E4050C"/>
    <w:rsid w:val="00E40652"/>
    <w:rsid w:val="00E40942"/>
    <w:rsid w:val="00E40A18"/>
    <w:rsid w:val="00E40C48"/>
    <w:rsid w:val="00E4159F"/>
    <w:rsid w:val="00E419F3"/>
    <w:rsid w:val="00E41B64"/>
    <w:rsid w:val="00E41E78"/>
    <w:rsid w:val="00E41F4B"/>
    <w:rsid w:val="00E4203F"/>
    <w:rsid w:val="00E422B5"/>
    <w:rsid w:val="00E428F6"/>
    <w:rsid w:val="00E42C35"/>
    <w:rsid w:val="00E42E41"/>
    <w:rsid w:val="00E42EE0"/>
    <w:rsid w:val="00E432D2"/>
    <w:rsid w:val="00E4384C"/>
    <w:rsid w:val="00E43ACE"/>
    <w:rsid w:val="00E43E70"/>
    <w:rsid w:val="00E447D5"/>
    <w:rsid w:val="00E4492C"/>
    <w:rsid w:val="00E44995"/>
    <w:rsid w:val="00E45452"/>
    <w:rsid w:val="00E4557B"/>
    <w:rsid w:val="00E45816"/>
    <w:rsid w:val="00E460C8"/>
    <w:rsid w:val="00E463D1"/>
    <w:rsid w:val="00E469D5"/>
    <w:rsid w:val="00E46B25"/>
    <w:rsid w:val="00E46CD5"/>
    <w:rsid w:val="00E46EF3"/>
    <w:rsid w:val="00E471D6"/>
    <w:rsid w:val="00E473F4"/>
    <w:rsid w:val="00E47502"/>
    <w:rsid w:val="00E500D9"/>
    <w:rsid w:val="00E504BE"/>
    <w:rsid w:val="00E505F4"/>
    <w:rsid w:val="00E505FC"/>
    <w:rsid w:val="00E50778"/>
    <w:rsid w:val="00E50FBC"/>
    <w:rsid w:val="00E518D0"/>
    <w:rsid w:val="00E51AB5"/>
    <w:rsid w:val="00E51C9F"/>
    <w:rsid w:val="00E51DFD"/>
    <w:rsid w:val="00E52345"/>
    <w:rsid w:val="00E52763"/>
    <w:rsid w:val="00E53948"/>
    <w:rsid w:val="00E53DED"/>
    <w:rsid w:val="00E5411A"/>
    <w:rsid w:val="00E54129"/>
    <w:rsid w:val="00E553BC"/>
    <w:rsid w:val="00E55509"/>
    <w:rsid w:val="00E55B9C"/>
    <w:rsid w:val="00E55EC9"/>
    <w:rsid w:val="00E5619A"/>
    <w:rsid w:val="00E5629F"/>
    <w:rsid w:val="00E563AE"/>
    <w:rsid w:val="00E56582"/>
    <w:rsid w:val="00E565DD"/>
    <w:rsid w:val="00E565F4"/>
    <w:rsid w:val="00E568D9"/>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21D5"/>
    <w:rsid w:val="00E62BF6"/>
    <w:rsid w:val="00E62F89"/>
    <w:rsid w:val="00E6376A"/>
    <w:rsid w:val="00E638B2"/>
    <w:rsid w:val="00E63D29"/>
    <w:rsid w:val="00E647AB"/>
    <w:rsid w:val="00E64877"/>
    <w:rsid w:val="00E64A96"/>
    <w:rsid w:val="00E64D8F"/>
    <w:rsid w:val="00E64ED0"/>
    <w:rsid w:val="00E64F86"/>
    <w:rsid w:val="00E6575A"/>
    <w:rsid w:val="00E6594B"/>
    <w:rsid w:val="00E65B70"/>
    <w:rsid w:val="00E65F7E"/>
    <w:rsid w:val="00E660D8"/>
    <w:rsid w:val="00E66288"/>
    <w:rsid w:val="00E662CD"/>
    <w:rsid w:val="00E664AE"/>
    <w:rsid w:val="00E66827"/>
    <w:rsid w:val="00E669AB"/>
    <w:rsid w:val="00E66FCC"/>
    <w:rsid w:val="00E67427"/>
    <w:rsid w:val="00E676F1"/>
    <w:rsid w:val="00E67860"/>
    <w:rsid w:val="00E70088"/>
    <w:rsid w:val="00E705FE"/>
    <w:rsid w:val="00E7064C"/>
    <w:rsid w:val="00E7074B"/>
    <w:rsid w:val="00E70C7F"/>
    <w:rsid w:val="00E70D14"/>
    <w:rsid w:val="00E70EA0"/>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77A57"/>
    <w:rsid w:val="00E80278"/>
    <w:rsid w:val="00E80499"/>
    <w:rsid w:val="00E80724"/>
    <w:rsid w:val="00E807BC"/>
    <w:rsid w:val="00E80A85"/>
    <w:rsid w:val="00E80E3F"/>
    <w:rsid w:val="00E814F5"/>
    <w:rsid w:val="00E81B70"/>
    <w:rsid w:val="00E82322"/>
    <w:rsid w:val="00E82556"/>
    <w:rsid w:val="00E82D19"/>
    <w:rsid w:val="00E830E2"/>
    <w:rsid w:val="00E832D1"/>
    <w:rsid w:val="00E836CF"/>
    <w:rsid w:val="00E83809"/>
    <w:rsid w:val="00E83A40"/>
    <w:rsid w:val="00E84688"/>
    <w:rsid w:val="00E8470D"/>
    <w:rsid w:val="00E8475C"/>
    <w:rsid w:val="00E847C9"/>
    <w:rsid w:val="00E84908"/>
    <w:rsid w:val="00E84EB8"/>
    <w:rsid w:val="00E85288"/>
    <w:rsid w:val="00E852EC"/>
    <w:rsid w:val="00E859B8"/>
    <w:rsid w:val="00E85A95"/>
    <w:rsid w:val="00E85CBE"/>
    <w:rsid w:val="00E85EE6"/>
    <w:rsid w:val="00E85F06"/>
    <w:rsid w:val="00E86146"/>
    <w:rsid w:val="00E861C4"/>
    <w:rsid w:val="00E86503"/>
    <w:rsid w:val="00E86566"/>
    <w:rsid w:val="00E86641"/>
    <w:rsid w:val="00E866C4"/>
    <w:rsid w:val="00E871CE"/>
    <w:rsid w:val="00E875F5"/>
    <w:rsid w:val="00E903F5"/>
    <w:rsid w:val="00E905D8"/>
    <w:rsid w:val="00E906F6"/>
    <w:rsid w:val="00E90724"/>
    <w:rsid w:val="00E90988"/>
    <w:rsid w:val="00E90A23"/>
    <w:rsid w:val="00E91B1C"/>
    <w:rsid w:val="00E91BC3"/>
    <w:rsid w:val="00E91BF5"/>
    <w:rsid w:val="00E91EDB"/>
    <w:rsid w:val="00E92527"/>
    <w:rsid w:val="00E927A6"/>
    <w:rsid w:val="00E92A93"/>
    <w:rsid w:val="00E93620"/>
    <w:rsid w:val="00E93ACF"/>
    <w:rsid w:val="00E93E4F"/>
    <w:rsid w:val="00E941E0"/>
    <w:rsid w:val="00E951D5"/>
    <w:rsid w:val="00E9567F"/>
    <w:rsid w:val="00E95761"/>
    <w:rsid w:val="00E959A0"/>
    <w:rsid w:val="00E95A69"/>
    <w:rsid w:val="00E95A73"/>
    <w:rsid w:val="00E965C3"/>
    <w:rsid w:val="00E96897"/>
    <w:rsid w:val="00E969FC"/>
    <w:rsid w:val="00E96DE6"/>
    <w:rsid w:val="00E97045"/>
    <w:rsid w:val="00E973CF"/>
    <w:rsid w:val="00E976A8"/>
    <w:rsid w:val="00E97B8E"/>
    <w:rsid w:val="00E97DA3"/>
    <w:rsid w:val="00E97E70"/>
    <w:rsid w:val="00EA0038"/>
    <w:rsid w:val="00EA0AE7"/>
    <w:rsid w:val="00EA0CE1"/>
    <w:rsid w:val="00EA1086"/>
    <w:rsid w:val="00EA10B1"/>
    <w:rsid w:val="00EA1BA6"/>
    <w:rsid w:val="00EA20D4"/>
    <w:rsid w:val="00EA270C"/>
    <w:rsid w:val="00EA2AE4"/>
    <w:rsid w:val="00EA2ECB"/>
    <w:rsid w:val="00EA2ED7"/>
    <w:rsid w:val="00EA3185"/>
    <w:rsid w:val="00EA36EA"/>
    <w:rsid w:val="00EA413E"/>
    <w:rsid w:val="00EA443F"/>
    <w:rsid w:val="00EA4645"/>
    <w:rsid w:val="00EA466B"/>
    <w:rsid w:val="00EA4A82"/>
    <w:rsid w:val="00EA4FEE"/>
    <w:rsid w:val="00EA5CB5"/>
    <w:rsid w:val="00EA5CF4"/>
    <w:rsid w:val="00EA6351"/>
    <w:rsid w:val="00EA6548"/>
    <w:rsid w:val="00EA67AD"/>
    <w:rsid w:val="00EA6CF3"/>
    <w:rsid w:val="00EA72D8"/>
    <w:rsid w:val="00EA72FC"/>
    <w:rsid w:val="00EA7303"/>
    <w:rsid w:val="00EA7ACC"/>
    <w:rsid w:val="00EA7E45"/>
    <w:rsid w:val="00EB09B9"/>
    <w:rsid w:val="00EB0C2C"/>
    <w:rsid w:val="00EB1714"/>
    <w:rsid w:val="00EB2310"/>
    <w:rsid w:val="00EB2721"/>
    <w:rsid w:val="00EB30BE"/>
    <w:rsid w:val="00EB3404"/>
    <w:rsid w:val="00EB3599"/>
    <w:rsid w:val="00EB3934"/>
    <w:rsid w:val="00EB3BA9"/>
    <w:rsid w:val="00EB3C52"/>
    <w:rsid w:val="00EB3F79"/>
    <w:rsid w:val="00EB41F5"/>
    <w:rsid w:val="00EB45F6"/>
    <w:rsid w:val="00EB4992"/>
    <w:rsid w:val="00EB4F1A"/>
    <w:rsid w:val="00EB50B2"/>
    <w:rsid w:val="00EB5799"/>
    <w:rsid w:val="00EB659F"/>
    <w:rsid w:val="00EB65AE"/>
    <w:rsid w:val="00EB76F7"/>
    <w:rsid w:val="00EB77B7"/>
    <w:rsid w:val="00EB793B"/>
    <w:rsid w:val="00EB7C5B"/>
    <w:rsid w:val="00EB7CB1"/>
    <w:rsid w:val="00EC01B9"/>
    <w:rsid w:val="00EC04E1"/>
    <w:rsid w:val="00EC0569"/>
    <w:rsid w:val="00EC0614"/>
    <w:rsid w:val="00EC0715"/>
    <w:rsid w:val="00EC084D"/>
    <w:rsid w:val="00EC0C7B"/>
    <w:rsid w:val="00EC0D1F"/>
    <w:rsid w:val="00EC1658"/>
    <w:rsid w:val="00EC1877"/>
    <w:rsid w:val="00EC195F"/>
    <w:rsid w:val="00EC1C35"/>
    <w:rsid w:val="00EC1DA5"/>
    <w:rsid w:val="00EC1F63"/>
    <w:rsid w:val="00EC22A5"/>
    <w:rsid w:val="00EC358F"/>
    <w:rsid w:val="00EC3CFC"/>
    <w:rsid w:val="00EC3F0C"/>
    <w:rsid w:val="00EC4347"/>
    <w:rsid w:val="00EC498D"/>
    <w:rsid w:val="00EC52C3"/>
    <w:rsid w:val="00EC5C49"/>
    <w:rsid w:val="00EC5E45"/>
    <w:rsid w:val="00EC5ED6"/>
    <w:rsid w:val="00EC608C"/>
    <w:rsid w:val="00EC61C2"/>
    <w:rsid w:val="00EC61FC"/>
    <w:rsid w:val="00EC69B8"/>
    <w:rsid w:val="00EC6A5C"/>
    <w:rsid w:val="00EC6DE5"/>
    <w:rsid w:val="00ED0557"/>
    <w:rsid w:val="00ED0CF0"/>
    <w:rsid w:val="00ED0D6E"/>
    <w:rsid w:val="00ED0DA8"/>
    <w:rsid w:val="00ED10FA"/>
    <w:rsid w:val="00ED1407"/>
    <w:rsid w:val="00ED1A74"/>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E6C"/>
    <w:rsid w:val="00ED747F"/>
    <w:rsid w:val="00ED74FB"/>
    <w:rsid w:val="00ED766C"/>
    <w:rsid w:val="00ED76FB"/>
    <w:rsid w:val="00ED78A3"/>
    <w:rsid w:val="00ED7C00"/>
    <w:rsid w:val="00EE05C2"/>
    <w:rsid w:val="00EE06A6"/>
    <w:rsid w:val="00EE0D01"/>
    <w:rsid w:val="00EE0EA6"/>
    <w:rsid w:val="00EE11DC"/>
    <w:rsid w:val="00EE124D"/>
    <w:rsid w:val="00EE1C02"/>
    <w:rsid w:val="00EE2358"/>
    <w:rsid w:val="00EE2793"/>
    <w:rsid w:val="00EE27F6"/>
    <w:rsid w:val="00EE296D"/>
    <w:rsid w:val="00EE2A6C"/>
    <w:rsid w:val="00EE2A79"/>
    <w:rsid w:val="00EE30EE"/>
    <w:rsid w:val="00EE3121"/>
    <w:rsid w:val="00EE349C"/>
    <w:rsid w:val="00EE3C6D"/>
    <w:rsid w:val="00EE3DE2"/>
    <w:rsid w:val="00EE4028"/>
    <w:rsid w:val="00EE4551"/>
    <w:rsid w:val="00EE4999"/>
    <w:rsid w:val="00EE4C6E"/>
    <w:rsid w:val="00EE4E97"/>
    <w:rsid w:val="00EE4F89"/>
    <w:rsid w:val="00EE5135"/>
    <w:rsid w:val="00EE53A9"/>
    <w:rsid w:val="00EE558C"/>
    <w:rsid w:val="00EE5783"/>
    <w:rsid w:val="00EE6019"/>
    <w:rsid w:val="00EE61BE"/>
    <w:rsid w:val="00EE696B"/>
    <w:rsid w:val="00EE6DE6"/>
    <w:rsid w:val="00EE7904"/>
    <w:rsid w:val="00EE790F"/>
    <w:rsid w:val="00EE7CCF"/>
    <w:rsid w:val="00EF057C"/>
    <w:rsid w:val="00EF1D14"/>
    <w:rsid w:val="00EF23A1"/>
    <w:rsid w:val="00EF2627"/>
    <w:rsid w:val="00EF2755"/>
    <w:rsid w:val="00EF3218"/>
    <w:rsid w:val="00EF334E"/>
    <w:rsid w:val="00EF34D2"/>
    <w:rsid w:val="00EF359E"/>
    <w:rsid w:val="00EF3B45"/>
    <w:rsid w:val="00EF42FB"/>
    <w:rsid w:val="00EF4668"/>
    <w:rsid w:val="00EF4685"/>
    <w:rsid w:val="00EF4799"/>
    <w:rsid w:val="00EF4852"/>
    <w:rsid w:val="00EF4AEB"/>
    <w:rsid w:val="00EF4FEE"/>
    <w:rsid w:val="00EF542B"/>
    <w:rsid w:val="00EF57DA"/>
    <w:rsid w:val="00EF6873"/>
    <w:rsid w:val="00EF6902"/>
    <w:rsid w:val="00EF6F24"/>
    <w:rsid w:val="00EF7132"/>
    <w:rsid w:val="00EF7143"/>
    <w:rsid w:val="00EF78DB"/>
    <w:rsid w:val="00EF7C7D"/>
    <w:rsid w:val="00F0055F"/>
    <w:rsid w:val="00F0080B"/>
    <w:rsid w:val="00F00BE1"/>
    <w:rsid w:val="00F00DF6"/>
    <w:rsid w:val="00F01122"/>
    <w:rsid w:val="00F01572"/>
    <w:rsid w:val="00F015B1"/>
    <w:rsid w:val="00F01B31"/>
    <w:rsid w:val="00F02322"/>
    <w:rsid w:val="00F02D9C"/>
    <w:rsid w:val="00F037D5"/>
    <w:rsid w:val="00F038D5"/>
    <w:rsid w:val="00F03AB6"/>
    <w:rsid w:val="00F03AB9"/>
    <w:rsid w:val="00F03CD6"/>
    <w:rsid w:val="00F03F08"/>
    <w:rsid w:val="00F03F4E"/>
    <w:rsid w:val="00F03FB7"/>
    <w:rsid w:val="00F0439A"/>
    <w:rsid w:val="00F048EF"/>
    <w:rsid w:val="00F04DF5"/>
    <w:rsid w:val="00F06479"/>
    <w:rsid w:val="00F066CF"/>
    <w:rsid w:val="00F06958"/>
    <w:rsid w:val="00F07241"/>
    <w:rsid w:val="00F07571"/>
    <w:rsid w:val="00F076C5"/>
    <w:rsid w:val="00F07E96"/>
    <w:rsid w:val="00F10B0A"/>
    <w:rsid w:val="00F11537"/>
    <w:rsid w:val="00F120D9"/>
    <w:rsid w:val="00F124BE"/>
    <w:rsid w:val="00F125DE"/>
    <w:rsid w:val="00F12638"/>
    <w:rsid w:val="00F12A36"/>
    <w:rsid w:val="00F12A9F"/>
    <w:rsid w:val="00F13137"/>
    <w:rsid w:val="00F1339B"/>
    <w:rsid w:val="00F14C13"/>
    <w:rsid w:val="00F14CE8"/>
    <w:rsid w:val="00F15FBF"/>
    <w:rsid w:val="00F17174"/>
    <w:rsid w:val="00F172D0"/>
    <w:rsid w:val="00F17DD6"/>
    <w:rsid w:val="00F211DE"/>
    <w:rsid w:val="00F21A9F"/>
    <w:rsid w:val="00F21CEA"/>
    <w:rsid w:val="00F21D2A"/>
    <w:rsid w:val="00F21E63"/>
    <w:rsid w:val="00F21E86"/>
    <w:rsid w:val="00F2254A"/>
    <w:rsid w:val="00F2276D"/>
    <w:rsid w:val="00F22B7B"/>
    <w:rsid w:val="00F22C15"/>
    <w:rsid w:val="00F22DC5"/>
    <w:rsid w:val="00F22EDB"/>
    <w:rsid w:val="00F2303B"/>
    <w:rsid w:val="00F2304F"/>
    <w:rsid w:val="00F23124"/>
    <w:rsid w:val="00F23423"/>
    <w:rsid w:val="00F23570"/>
    <w:rsid w:val="00F23F06"/>
    <w:rsid w:val="00F23F7D"/>
    <w:rsid w:val="00F2421D"/>
    <w:rsid w:val="00F24232"/>
    <w:rsid w:val="00F2486E"/>
    <w:rsid w:val="00F24D30"/>
    <w:rsid w:val="00F24E8D"/>
    <w:rsid w:val="00F25177"/>
    <w:rsid w:val="00F2526C"/>
    <w:rsid w:val="00F25420"/>
    <w:rsid w:val="00F256A5"/>
    <w:rsid w:val="00F2586C"/>
    <w:rsid w:val="00F2604B"/>
    <w:rsid w:val="00F261F0"/>
    <w:rsid w:val="00F2659D"/>
    <w:rsid w:val="00F265C5"/>
    <w:rsid w:val="00F27170"/>
    <w:rsid w:val="00F27319"/>
    <w:rsid w:val="00F274A5"/>
    <w:rsid w:val="00F27BB8"/>
    <w:rsid w:val="00F30016"/>
    <w:rsid w:val="00F300F4"/>
    <w:rsid w:val="00F3013E"/>
    <w:rsid w:val="00F3058F"/>
    <w:rsid w:val="00F30A3E"/>
    <w:rsid w:val="00F30C02"/>
    <w:rsid w:val="00F30CE5"/>
    <w:rsid w:val="00F30E85"/>
    <w:rsid w:val="00F30FDC"/>
    <w:rsid w:val="00F313D1"/>
    <w:rsid w:val="00F3144A"/>
    <w:rsid w:val="00F318A7"/>
    <w:rsid w:val="00F31C75"/>
    <w:rsid w:val="00F31F4C"/>
    <w:rsid w:val="00F31FA1"/>
    <w:rsid w:val="00F32543"/>
    <w:rsid w:val="00F33050"/>
    <w:rsid w:val="00F33277"/>
    <w:rsid w:val="00F33286"/>
    <w:rsid w:val="00F333D8"/>
    <w:rsid w:val="00F339D7"/>
    <w:rsid w:val="00F33CE0"/>
    <w:rsid w:val="00F33EF9"/>
    <w:rsid w:val="00F3402A"/>
    <w:rsid w:val="00F340CD"/>
    <w:rsid w:val="00F3417F"/>
    <w:rsid w:val="00F341B5"/>
    <w:rsid w:val="00F341CC"/>
    <w:rsid w:val="00F342DC"/>
    <w:rsid w:val="00F3481A"/>
    <w:rsid w:val="00F34A3B"/>
    <w:rsid w:val="00F34E67"/>
    <w:rsid w:val="00F35095"/>
    <w:rsid w:val="00F35664"/>
    <w:rsid w:val="00F35C54"/>
    <w:rsid w:val="00F35E63"/>
    <w:rsid w:val="00F35FC7"/>
    <w:rsid w:val="00F364CF"/>
    <w:rsid w:val="00F368CB"/>
    <w:rsid w:val="00F36AE4"/>
    <w:rsid w:val="00F36B6C"/>
    <w:rsid w:val="00F36BCA"/>
    <w:rsid w:val="00F36D10"/>
    <w:rsid w:val="00F36DE3"/>
    <w:rsid w:val="00F370DC"/>
    <w:rsid w:val="00F37487"/>
    <w:rsid w:val="00F37566"/>
    <w:rsid w:val="00F377FC"/>
    <w:rsid w:val="00F37C18"/>
    <w:rsid w:val="00F37E5B"/>
    <w:rsid w:val="00F40508"/>
    <w:rsid w:val="00F406D5"/>
    <w:rsid w:val="00F409C2"/>
    <w:rsid w:val="00F40CAB"/>
    <w:rsid w:val="00F40D09"/>
    <w:rsid w:val="00F41968"/>
    <w:rsid w:val="00F4272C"/>
    <w:rsid w:val="00F42739"/>
    <w:rsid w:val="00F429E5"/>
    <w:rsid w:val="00F432C6"/>
    <w:rsid w:val="00F4352E"/>
    <w:rsid w:val="00F43960"/>
    <w:rsid w:val="00F43C3C"/>
    <w:rsid w:val="00F4470C"/>
    <w:rsid w:val="00F44B59"/>
    <w:rsid w:val="00F44BB8"/>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51A"/>
    <w:rsid w:val="00F5068E"/>
    <w:rsid w:val="00F50A8A"/>
    <w:rsid w:val="00F50BFA"/>
    <w:rsid w:val="00F510A6"/>
    <w:rsid w:val="00F515CA"/>
    <w:rsid w:val="00F51D20"/>
    <w:rsid w:val="00F52BF1"/>
    <w:rsid w:val="00F530D0"/>
    <w:rsid w:val="00F53166"/>
    <w:rsid w:val="00F5335D"/>
    <w:rsid w:val="00F53A12"/>
    <w:rsid w:val="00F53C60"/>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C7C"/>
    <w:rsid w:val="00F56CB9"/>
    <w:rsid w:val="00F572E1"/>
    <w:rsid w:val="00F57650"/>
    <w:rsid w:val="00F579FC"/>
    <w:rsid w:val="00F57FD9"/>
    <w:rsid w:val="00F601CA"/>
    <w:rsid w:val="00F60277"/>
    <w:rsid w:val="00F6089D"/>
    <w:rsid w:val="00F60C74"/>
    <w:rsid w:val="00F61342"/>
    <w:rsid w:val="00F61602"/>
    <w:rsid w:val="00F6161C"/>
    <w:rsid w:val="00F61841"/>
    <w:rsid w:val="00F61E93"/>
    <w:rsid w:val="00F623EC"/>
    <w:rsid w:val="00F62773"/>
    <w:rsid w:val="00F62B95"/>
    <w:rsid w:val="00F62FE5"/>
    <w:rsid w:val="00F6359C"/>
    <w:rsid w:val="00F637C9"/>
    <w:rsid w:val="00F63B7A"/>
    <w:rsid w:val="00F63DDA"/>
    <w:rsid w:val="00F64243"/>
    <w:rsid w:val="00F644C7"/>
    <w:rsid w:val="00F648B2"/>
    <w:rsid w:val="00F64CF8"/>
    <w:rsid w:val="00F64DD3"/>
    <w:rsid w:val="00F64F51"/>
    <w:rsid w:val="00F654E8"/>
    <w:rsid w:val="00F6607F"/>
    <w:rsid w:val="00F66122"/>
    <w:rsid w:val="00F665D5"/>
    <w:rsid w:val="00F666FD"/>
    <w:rsid w:val="00F66EC1"/>
    <w:rsid w:val="00F67099"/>
    <w:rsid w:val="00F672F1"/>
    <w:rsid w:val="00F67302"/>
    <w:rsid w:val="00F677AF"/>
    <w:rsid w:val="00F67A35"/>
    <w:rsid w:val="00F67B7D"/>
    <w:rsid w:val="00F67FC4"/>
    <w:rsid w:val="00F71419"/>
    <w:rsid w:val="00F721D8"/>
    <w:rsid w:val="00F72357"/>
    <w:rsid w:val="00F72620"/>
    <w:rsid w:val="00F733CC"/>
    <w:rsid w:val="00F73930"/>
    <w:rsid w:val="00F73B70"/>
    <w:rsid w:val="00F74088"/>
    <w:rsid w:val="00F74118"/>
    <w:rsid w:val="00F74217"/>
    <w:rsid w:val="00F746A3"/>
    <w:rsid w:val="00F74BBB"/>
    <w:rsid w:val="00F759AD"/>
    <w:rsid w:val="00F75BDF"/>
    <w:rsid w:val="00F765E8"/>
    <w:rsid w:val="00F76851"/>
    <w:rsid w:val="00F769C0"/>
    <w:rsid w:val="00F76EE1"/>
    <w:rsid w:val="00F77084"/>
    <w:rsid w:val="00F772AD"/>
    <w:rsid w:val="00F7768D"/>
    <w:rsid w:val="00F77E2A"/>
    <w:rsid w:val="00F80A71"/>
    <w:rsid w:val="00F80F3C"/>
    <w:rsid w:val="00F8124E"/>
    <w:rsid w:val="00F81526"/>
    <w:rsid w:val="00F81886"/>
    <w:rsid w:val="00F81A8E"/>
    <w:rsid w:val="00F81EF6"/>
    <w:rsid w:val="00F8200C"/>
    <w:rsid w:val="00F823C1"/>
    <w:rsid w:val="00F82B09"/>
    <w:rsid w:val="00F82F09"/>
    <w:rsid w:val="00F834BC"/>
    <w:rsid w:val="00F83841"/>
    <w:rsid w:val="00F839E0"/>
    <w:rsid w:val="00F83A6F"/>
    <w:rsid w:val="00F84393"/>
    <w:rsid w:val="00F844B0"/>
    <w:rsid w:val="00F84B88"/>
    <w:rsid w:val="00F85244"/>
    <w:rsid w:val="00F855AA"/>
    <w:rsid w:val="00F856F0"/>
    <w:rsid w:val="00F85AF0"/>
    <w:rsid w:val="00F85D77"/>
    <w:rsid w:val="00F863C8"/>
    <w:rsid w:val="00F86A5E"/>
    <w:rsid w:val="00F86D88"/>
    <w:rsid w:val="00F87A92"/>
    <w:rsid w:val="00F87FA5"/>
    <w:rsid w:val="00F87FA7"/>
    <w:rsid w:val="00F9002C"/>
    <w:rsid w:val="00F90255"/>
    <w:rsid w:val="00F90898"/>
    <w:rsid w:val="00F911DD"/>
    <w:rsid w:val="00F914C8"/>
    <w:rsid w:val="00F914EA"/>
    <w:rsid w:val="00F91839"/>
    <w:rsid w:val="00F91CC0"/>
    <w:rsid w:val="00F91F34"/>
    <w:rsid w:val="00F928CE"/>
    <w:rsid w:val="00F92EAE"/>
    <w:rsid w:val="00F92EEE"/>
    <w:rsid w:val="00F936B8"/>
    <w:rsid w:val="00F94205"/>
    <w:rsid w:val="00F945B2"/>
    <w:rsid w:val="00F9473C"/>
    <w:rsid w:val="00F947A1"/>
    <w:rsid w:val="00F95119"/>
    <w:rsid w:val="00F9580B"/>
    <w:rsid w:val="00F95B0B"/>
    <w:rsid w:val="00F95F58"/>
    <w:rsid w:val="00F963E1"/>
    <w:rsid w:val="00F9721B"/>
    <w:rsid w:val="00F972C8"/>
    <w:rsid w:val="00F9754A"/>
    <w:rsid w:val="00F977CB"/>
    <w:rsid w:val="00F97854"/>
    <w:rsid w:val="00F97C49"/>
    <w:rsid w:val="00FA0942"/>
    <w:rsid w:val="00FA0AC9"/>
    <w:rsid w:val="00FA12CC"/>
    <w:rsid w:val="00FA188C"/>
    <w:rsid w:val="00FA1FF2"/>
    <w:rsid w:val="00FA2910"/>
    <w:rsid w:val="00FA2948"/>
    <w:rsid w:val="00FA29F4"/>
    <w:rsid w:val="00FA2B04"/>
    <w:rsid w:val="00FA362D"/>
    <w:rsid w:val="00FA3D8C"/>
    <w:rsid w:val="00FA3E51"/>
    <w:rsid w:val="00FA403D"/>
    <w:rsid w:val="00FA40A3"/>
    <w:rsid w:val="00FA427F"/>
    <w:rsid w:val="00FA45CD"/>
    <w:rsid w:val="00FA4810"/>
    <w:rsid w:val="00FA4C3B"/>
    <w:rsid w:val="00FA4D76"/>
    <w:rsid w:val="00FA52BF"/>
    <w:rsid w:val="00FA5989"/>
    <w:rsid w:val="00FA5A62"/>
    <w:rsid w:val="00FA5B17"/>
    <w:rsid w:val="00FA6330"/>
    <w:rsid w:val="00FA6410"/>
    <w:rsid w:val="00FA6924"/>
    <w:rsid w:val="00FA69D3"/>
    <w:rsid w:val="00FA6C90"/>
    <w:rsid w:val="00FA7125"/>
    <w:rsid w:val="00FA7131"/>
    <w:rsid w:val="00FA7DF7"/>
    <w:rsid w:val="00FB01CC"/>
    <w:rsid w:val="00FB08F9"/>
    <w:rsid w:val="00FB1350"/>
    <w:rsid w:val="00FB16CA"/>
    <w:rsid w:val="00FB2203"/>
    <w:rsid w:val="00FB26BD"/>
    <w:rsid w:val="00FB2C23"/>
    <w:rsid w:val="00FB2DE1"/>
    <w:rsid w:val="00FB3325"/>
    <w:rsid w:val="00FB33FA"/>
    <w:rsid w:val="00FB35CC"/>
    <w:rsid w:val="00FB3866"/>
    <w:rsid w:val="00FB386A"/>
    <w:rsid w:val="00FB3966"/>
    <w:rsid w:val="00FB3B56"/>
    <w:rsid w:val="00FB3BA6"/>
    <w:rsid w:val="00FB3E00"/>
    <w:rsid w:val="00FB4411"/>
    <w:rsid w:val="00FB4D65"/>
    <w:rsid w:val="00FB5001"/>
    <w:rsid w:val="00FB56CA"/>
    <w:rsid w:val="00FB5954"/>
    <w:rsid w:val="00FB5B4B"/>
    <w:rsid w:val="00FB5BD1"/>
    <w:rsid w:val="00FB60A1"/>
    <w:rsid w:val="00FB6695"/>
    <w:rsid w:val="00FB6963"/>
    <w:rsid w:val="00FB7222"/>
    <w:rsid w:val="00FB7397"/>
    <w:rsid w:val="00FB7B35"/>
    <w:rsid w:val="00FC012F"/>
    <w:rsid w:val="00FC0253"/>
    <w:rsid w:val="00FC060B"/>
    <w:rsid w:val="00FC085C"/>
    <w:rsid w:val="00FC0CDF"/>
    <w:rsid w:val="00FC0D7C"/>
    <w:rsid w:val="00FC1337"/>
    <w:rsid w:val="00FC1411"/>
    <w:rsid w:val="00FC163A"/>
    <w:rsid w:val="00FC16FB"/>
    <w:rsid w:val="00FC17D5"/>
    <w:rsid w:val="00FC183A"/>
    <w:rsid w:val="00FC19F5"/>
    <w:rsid w:val="00FC28D1"/>
    <w:rsid w:val="00FC2C28"/>
    <w:rsid w:val="00FC2C37"/>
    <w:rsid w:val="00FC2EA2"/>
    <w:rsid w:val="00FC330D"/>
    <w:rsid w:val="00FC333B"/>
    <w:rsid w:val="00FC35A0"/>
    <w:rsid w:val="00FC3D1C"/>
    <w:rsid w:val="00FC50EA"/>
    <w:rsid w:val="00FC51C4"/>
    <w:rsid w:val="00FC51D7"/>
    <w:rsid w:val="00FC5656"/>
    <w:rsid w:val="00FC5661"/>
    <w:rsid w:val="00FC5964"/>
    <w:rsid w:val="00FC5B5D"/>
    <w:rsid w:val="00FC5BAE"/>
    <w:rsid w:val="00FC5F90"/>
    <w:rsid w:val="00FC64F3"/>
    <w:rsid w:val="00FC66AD"/>
    <w:rsid w:val="00FC72E0"/>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3792"/>
    <w:rsid w:val="00FD4073"/>
    <w:rsid w:val="00FD40CF"/>
    <w:rsid w:val="00FD5043"/>
    <w:rsid w:val="00FD510B"/>
    <w:rsid w:val="00FD52F8"/>
    <w:rsid w:val="00FD5328"/>
    <w:rsid w:val="00FD5360"/>
    <w:rsid w:val="00FD54CC"/>
    <w:rsid w:val="00FD5914"/>
    <w:rsid w:val="00FD5F6C"/>
    <w:rsid w:val="00FD65AD"/>
    <w:rsid w:val="00FD6B34"/>
    <w:rsid w:val="00FD6C6D"/>
    <w:rsid w:val="00FD6C8C"/>
    <w:rsid w:val="00FD6DBB"/>
    <w:rsid w:val="00FD7529"/>
    <w:rsid w:val="00FD795C"/>
    <w:rsid w:val="00FD7A8D"/>
    <w:rsid w:val="00FE06A2"/>
    <w:rsid w:val="00FE0CE6"/>
    <w:rsid w:val="00FE0E39"/>
    <w:rsid w:val="00FE0FBC"/>
    <w:rsid w:val="00FE1630"/>
    <w:rsid w:val="00FE169D"/>
    <w:rsid w:val="00FE190A"/>
    <w:rsid w:val="00FE1B04"/>
    <w:rsid w:val="00FE1FCA"/>
    <w:rsid w:val="00FE20BE"/>
    <w:rsid w:val="00FE2739"/>
    <w:rsid w:val="00FE28C8"/>
    <w:rsid w:val="00FE2C3A"/>
    <w:rsid w:val="00FE2E81"/>
    <w:rsid w:val="00FE33B0"/>
    <w:rsid w:val="00FE36BA"/>
    <w:rsid w:val="00FE378C"/>
    <w:rsid w:val="00FE39E1"/>
    <w:rsid w:val="00FE422E"/>
    <w:rsid w:val="00FE4CFC"/>
    <w:rsid w:val="00FE5751"/>
    <w:rsid w:val="00FE5E92"/>
    <w:rsid w:val="00FE5F93"/>
    <w:rsid w:val="00FE62CD"/>
    <w:rsid w:val="00FE6871"/>
    <w:rsid w:val="00FE6D96"/>
    <w:rsid w:val="00FE6F3B"/>
    <w:rsid w:val="00FE71CB"/>
    <w:rsid w:val="00FE777C"/>
    <w:rsid w:val="00FE792B"/>
    <w:rsid w:val="00FE79EF"/>
    <w:rsid w:val="00FE7BC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E46"/>
    <w:rsid w:val="00FF209F"/>
    <w:rsid w:val="00FF2151"/>
    <w:rsid w:val="00FF2237"/>
    <w:rsid w:val="00FF22C2"/>
    <w:rsid w:val="00FF23FB"/>
    <w:rsid w:val="00FF2C03"/>
    <w:rsid w:val="00FF30BA"/>
    <w:rsid w:val="00FF3298"/>
    <w:rsid w:val="00FF334E"/>
    <w:rsid w:val="00FF34C8"/>
    <w:rsid w:val="00FF3880"/>
    <w:rsid w:val="00FF394B"/>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DFC3A7F4-188B-4350-9BC2-8EEB12B9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basedOn w:val="Fontepargpadro"/>
    <w:rsid w:val="00431367"/>
    <w:rPr>
      <w:color w:val="6666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juris/SvlHighLight?key=ACORDAO-LEGADO-118804&amp;texto=2b2532384e554d41434f5244414f2533413334332b4f522b4e554d52454c4143414f253341333433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20%20" TargetMode="External"/><Relationship Id="rId13" Type="http://schemas.openxmlformats.org/officeDocument/2006/relationships/hyperlink" Target="mailto:infojuris@tcu.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juris/SvlHighLight?key=ACORDAO-LEGADO-118708&amp;texto=2b2532384e554d41434f5244414f2533413634322b4f522b4e554d52454c4143414f253341363432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HighLight?key=ACORDAO-LEGADO-118795&amp;texto=2b2532384e554d41434f5244414f2533413335372b4f522b4e554d52454c4143414f253341333537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2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tas.tcu.gov.br/juris/SvlHighLight?key=ACORDAO-LEGADO-118800&amp;texto=2b2532384e554d41434f5244414f2533413334392b4f522b4e554d52454c4143414f2533413334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20%20%20" TargetMode="External"/><Relationship Id="rId4" Type="http://schemas.openxmlformats.org/officeDocument/2006/relationships/settings" Target="settings.xml"/><Relationship Id="rId9" Type="http://schemas.openxmlformats.org/officeDocument/2006/relationships/hyperlink" Target="https://contas.tcu.gov.br/juris/SvlHighLight?key=ACORDAO-LEGADO-118767&amp;texto=2b2532384e554d41434f5244414f2533413334342b4f522b4e554d52454c4143414f2533413334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20%2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AFA5D-AF58-4367-8642-C4179739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2874</Words>
  <Characters>15524</Characters>
  <Application>Microsoft Office Word</Application>
  <DocSecurity>4</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18362</CharactersWithSpaces>
  <SharedDoc>false</SharedDoc>
  <HLinks>
    <vt:vector size="36" baseType="variant">
      <vt:variant>
        <vt:i4>7602203</vt:i4>
      </vt:variant>
      <vt:variant>
        <vt:i4>15</vt:i4>
      </vt:variant>
      <vt:variant>
        <vt:i4>0</vt:i4>
      </vt:variant>
      <vt:variant>
        <vt:i4>5</vt:i4>
      </vt:variant>
      <vt:variant>
        <vt:lpwstr>mailto:infojuris@tcu.gov.br</vt:lpwstr>
      </vt:variant>
      <vt:variant>
        <vt:lpwstr/>
      </vt:variant>
      <vt:variant>
        <vt:i4>2752610</vt:i4>
      </vt:variant>
      <vt:variant>
        <vt:i4>12</vt:i4>
      </vt:variant>
      <vt:variant>
        <vt:i4>0</vt:i4>
      </vt:variant>
      <vt:variant>
        <vt:i4>5</vt:i4>
      </vt:variant>
      <vt:variant>
        <vt:lpwstr>https://contas.tcu.gov.br/juris/SvlHighLight?key=ACORDAO-LEGADO-118708&amp;texto=2b2532384e554d41434f5244414f2533413634322b4f522b4e554d52454c4143414f2533413634322532392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20%20</vt:lpwstr>
      </vt:variant>
      <vt:variant>
        <vt:lpwstr/>
      </vt:variant>
      <vt:variant>
        <vt:i4>2556011</vt:i4>
      </vt:variant>
      <vt:variant>
        <vt:i4>9</vt:i4>
      </vt:variant>
      <vt:variant>
        <vt:i4>0</vt:i4>
      </vt:variant>
      <vt:variant>
        <vt:i4>5</vt:i4>
      </vt:variant>
      <vt:variant>
        <vt:lpwstr>https://contas.tcu.gov.br/juris/SvlHighLight?key=ACORDAO-LEGADO-118795&amp;texto=2b2532384e554d41434f5244414f2533413335372b4f522b4e554d52454c4143414f2533413335372532392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20%20</vt:lpwstr>
      </vt:variant>
      <vt:variant>
        <vt:lpwstr/>
      </vt:variant>
      <vt:variant>
        <vt:i4>2949218</vt:i4>
      </vt:variant>
      <vt:variant>
        <vt:i4>6</vt:i4>
      </vt:variant>
      <vt:variant>
        <vt:i4>0</vt:i4>
      </vt:variant>
      <vt:variant>
        <vt:i4>5</vt:i4>
      </vt:variant>
      <vt:variant>
        <vt:lpwstr>https://contas.tcu.gov.br/juris/SvlHighLight?key=ACORDAO-LEGADO-118800&amp;texto=2b2532384e554d41434f5244414f2533413334392b4f522b4e554d52454c4143414f2533413334392532392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20%20%20</vt:lpwstr>
      </vt:variant>
      <vt:variant>
        <vt:lpwstr/>
      </vt:variant>
      <vt:variant>
        <vt:i4>2424932</vt:i4>
      </vt:variant>
      <vt:variant>
        <vt:i4>3</vt:i4>
      </vt:variant>
      <vt:variant>
        <vt:i4>0</vt:i4>
      </vt:variant>
      <vt:variant>
        <vt:i4>5</vt:i4>
      </vt:variant>
      <vt:variant>
        <vt:lpwstr>https://contas.tcu.gov.br/juris/SvlHighLight?key=ACORDAO-LEGADO-118767&amp;texto=2b2532384e554d41434f5244414f2533413334342b4f522b4e554d52454c4143414f2533413334342532392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20%20</vt:lpwstr>
      </vt:variant>
      <vt:variant>
        <vt:lpwstr/>
      </vt:variant>
      <vt:variant>
        <vt:i4>2687074</vt:i4>
      </vt:variant>
      <vt:variant>
        <vt:i4>0</vt:i4>
      </vt:variant>
      <vt:variant>
        <vt:i4>0</vt:i4>
      </vt:variant>
      <vt:variant>
        <vt:i4>5</vt:i4>
      </vt:variant>
      <vt:variant>
        <vt:lpwstr>https://contas.tcu.gov.br/juris/SvlHighLight?key=ACORDAO-LEGADO-118804&amp;texto=2b2532384e554d41434f5244414f2533413334332b4f522b4e554d52454c4143414f2533413334332532392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20%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2013-11-05T14:59:00Z</cp:lastPrinted>
  <dcterms:created xsi:type="dcterms:W3CDTF">2015-05-07T13:14:00Z</dcterms:created>
  <dcterms:modified xsi:type="dcterms:W3CDTF">2015-05-07T13:14:00Z</dcterms:modified>
</cp:coreProperties>
</file>