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B976BF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78621C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="00377047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</w:p>
    <w:p w:rsidR="00C61626" w:rsidRPr="000C5536" w:rsidRDefault="0008246E" w:rsidP="00B976BF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77047">
        <w:rPr>
          <w:rFonts w:ascii="Times New Roman" w:hAnsi="Times New Roman"/>
          <w:b/>
          <w:i w:val="0"/>
          <w:sz w:val="22"/>
          <w:szCs w:val="22"/>
          <w:lang w:val="pt-BR"/>
        </w:rPr>
        <w:t>28 e 29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janeiro</w:t>
      </w:r>
      <w:r w:rsidR="000C5536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4276B7" w:rsidRDefault="0008246E" w:rsidP="00B976BF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Pr="004276B7" w:rsidRDefault="0008246E" w:rsidP="00B976BF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>Plenário</w:t>
      </w:r>
    </w:p>
    <w:p w:rsidR="0035552E" w:rsidRPr="0035552E" w:rsidRDefault="000455D4" w:rsidP="00B976BF">
      <w:pPr>
        <w:pStyle w:val="Default"/>
        <w:spacing w:after="60"/>
        <w:jc w:val="both"/>
        <w:rPr>
          <w:sz w:val="22"/>
          <w:szCs w:val="22"/>
        </w:rPr>
      </w:pPr>
      <w:r w:rsidRPr="0035552E">
        <w:rPr>
          <w:sz w:val="22"/>
          <w:szCs w:val="22"/>
        </w:rPr>
        <w:t>1</w:t>
      </w:r>
      <w:r w:rsidR="00BD5CFC" w:rsidRPr="0035552E">
        <w:rPr>
          <w:sz w:val="22"/>
          <w:szCs w:val="22"/>
        </w:rPr>
        <w:t>.</w:t>
      </w:r>
      <w:r w:rsidR="0035552E">
        <w:rPr>
          <w:sz w:val="22"/>
          <w:szCs w:val="22"/>
        </w:rPr>
        <w:t xml:space="preserve"> </w:t>
      </w:r>
      <w:r w:rsidR="0035552E" w:rsidRPr="0035552E">
        <w:rPr>
          <w:sz w:val="22"/>
          <w:szCs w:val="22"/>
        </w:rPr>
        <w:t>O regime jurídico-administrativo a que estão sujeitos os particulares contratantes com a Administração não lhes dá direito adquirido à manutenção de erros observados nas composições de preços unitários, precipuamente quando em razão de tais falhas estiver ocorrendo o pagamento de serviços acima dos custos necessários e realmente incorridos para a sua realização.</w:t>
      </w:r>
    </w:p>
    <w:p w:rsidR="0035552E" w:rsidRDefault="0035552E" w:rsidP="00B976BF">
      <w:pPr>
        <w:pStyle w:val="Default"/>
        <w:spacing w:after="60"/>
        <w:jc w:val="both"/>
        <w:rPr>
          <w:sz w:val="22"/>
          <w:szCs w:val="22"/>
        </w:rPr>
      </w:pPr>
      <w:r w:rsidRPr="0035552E">
        <w:rPr>
          <w:sz w:val="22"/>
          <w:szCs w:val="22"/>
        </w:rPr>
        <w:t>2. É obrigatória, nas licitações cujo objeto seja divisível, a adjudicação por item e não por preço global, de forma a permitir uma maior participação de licitantes que, embora não dispondo de capacidade para o fornecimento da totalidade do objeto, possam fazê-lo com relação a itens ou unidades autônomas.</w:t>
      </w:r>
    </w:p>
    <w:p w:rsidR="0035552E" w:rsidRDefault="0035552E" w:rsidP="00E836CF">
      <w:pPr>
        <w:pStyle w:val="Default"/>
        <w:spacing w:after="60"/>
        <w:jc w:val="both"/>
        <w:rPr>
          <w:sz w:val="22"/>
          <w:szCs w:val="22"/>
        </w:rPr>
      </w:pPr>
      <w:r w:rsidRPr="0035552E">
        <w:rPr>
          <w:sz w:val="22"/>
          <w:szCs w:val="22"/>
        </w:rPr>
        <w:t>3.</w:t>
      </w:r>
      <w:r w:rsidR="00E836CF">
        <w:rPr>
          <w:sz w:val="22"/>
          <w:szCs w:val="22"/>
        </w:rPr>
        <w:t xml:space="preserve"> </w:t>
      </w:r>
      <w:r w:rsidR="00970664" w:rsidRPr="00970664">
        <w:rPr>
          <w:sz w:val="22"/>
          <w:szCs w:val="22"/>
        </w:rPr>
        <w:t xml:space="preserve">A adoção de critério de julgamento distinto daqueles constantes no edital, ainda que próprio das rotinas do </w:t>
      </w:r>
      <w:proofErr w:type="spellStart"/>
      <w:r w:rsidR="00970664" w:rsidRPr="00970664">
        <w:rPr>
          <w:sz w:val="22"/>
          <w:szCs w:val="22"/>
        </w:rPr>
        <w:t>Comprasnet</w:t>
      </w:r>
      <w:proofErr w:type="spellEnd"/>
      <w:r w:rsidR="00970664" w:rsidRPr="00970664">
        <w:rPr>
          <w:sz w:val="22"/>
          <w:szCs w:val="22"/>
        </w:rPr>
        <w:t>, macula o certame.</w:t>
      </w:r>
    </w:p>
    <w:p w:rsidR="00970664" w:rsidRPr="0035552E" w:rsidRDefault="00970664" w:rsidP="00E836CF">
      <w:pPr>
        <w:pStyle w:val="Default"/>
        <w:spacing w:after="60"/>
        <w:jc w:val="both"/>
        <w:rPr>
          <w:sz w:val="22"/>
          <w:szCs w:val="22"/>
        </w:rPr>
      </w:pPr>
    </w:p>
    <w:p w:rsidR="006B62B4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PLENÁRIO</w:t>
      </w:r>
    </w:p>
    <w:p w:rsidR="0078621C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35552E" w:rsidRPr="00E45E57" w:rsidRDefault="00B976BF" w:rsidP="00B976B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5552E" w:rsidRPr="00E45E57">
        <w:rPr>
          <w:b/>
          <w:sz w:val="22"/>
          <w:szCs w:val="22"/>
        </w:rPr>
        <w:t>O regime jurídico-administrativo a que estão sujeitos os particulares contratantes com a Administração não lhes dá direito adquirido à manutenção de erros observados nas composições de preços unitários, precipuamente quando em razão de tais falhas estiver ocorrendo o pagamento de serviços acima dos custos necessários e realmente incorridos para a sua realização.</w:t>
      </w:r>
    </w:p>
    <w:p w:rsidR="0035552E" w:rsidRPr="00076349" w:rsidRDefault="0035552E" w:rsidP="00B976BF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Embargos de Declaração apontaram omissão e contradição em decisão que determinara ao </w:t>
      </w:r>
      <w:r w:rsidRPr="000836BE">
        <w:rPr>
          <w:iCs/>
          <w:sz w:val="22"/>
          <w:szCs w:val="22"/>
        </w:rPr>
        <w:t xml:space="preserve">Departamento Nacional de </w:t>
      </w:r>
      <w:r w:rsidR="00B976BF">
        <w:rPr>
          <w:iCs/>
          <w:sz w:val="22"/>
          <w:szCs w:val="22"/>
        </w:rPr>
        <w:t>Infraestrutura de Transportes (</w:t>
      </w:r>
      <w:r w:rsidRPr="000836BE">
        <w:rPr>
          <w:iCs/>
          <w:sz w:val="22"/>
          <w:szCs w:val="22"/>
        </w:rPr>
        <w:t>DNIT</w:t>
      </w:r>
      <w:r w:rsidR="00B976BF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 xml:space="preserve"> a repactuação de contrato para execução de obras de restauração de rodovias, bem como a devolução de valores pagos a maior. O recorrente alegara, em síntese, que "</w:t>
      </w:r>
      <w:r w:rsidRPr="0085796D">
        <w:rPr>
          <w:i/>
          <w:iCs/>
          <w:sz w:val="22"/>
          <w:szCs w:val="22"/>
        </w:rPr>
        <w:t xml:space="preserve">não era cabível a retroação da tabela </w:t>
      </w:r>
      <w:proofErr w:type="spellStart"/>
      <w:r w:rsidRPr="0085796D">
        <w:rPr>
          <w:i/>
          <w:iCs/>
          <w:sz w:val="22"/>
          <w:szCs w:val="22"/>
        </w:rPr>
        <w:t>Sicro</w:t>
      </w:r>
      <w:proofErr w:type="spellEnd"/>
      <w:r w:rsidRPr="0085796D">
        <w:rPr>
          <w:i/>
          <w:iCs/>
          <w:sz w:val="22"/>
          <w:szCs w:val="22"/>
        </w:rPr>
        <w:t xml:space="preserve"> para alcançar atos já praticados, consoante o princípio da segurança jurídica e o entendimento jurisprudencial consolidado desta Corte de Contas ...</w:t>
      </w:r>
      <w:r>
        <w:rPr>
          <w:iCs/>
          <w:sz w:val="22"/>
          <w:szCs w:val="22"/>
        </w:rPr>
        <w:t xml:space="preserve">". Alegara ainda que </w:t>
      </w:r>
      <w:r>
        <w:rPr>
          <w:sz w:val="22"/>
          <w:szCs w:val="22"/>
        </w:rPr>
        <w:t>"</w:t>
      </w:r>
      <w:r w:rsidRPr="0085796D">
        <w:rPr>
          <w:i/>
          <w:sz w:val="22"/>
          <w:szCs w:val="22"/>
        </w:rPr>
        <w:t>os serviços relativos aos referenciais modificados já haviam sido executados, sendo incabível a correção determinada</w:t>
      </w:r>
      <w:r>
        <w:rPr>
          <w:i/>
          <w:sz w:val="22"/>
          <w:szCs w:val="22"/>
        </w:rPr>
        <w:t xml:space="preserve"> </w:t>
      </w:r>
      <w:r w:rsidRPr="0085796D">
        <w:rPr>
          <w:i/>
          <w:sz w:val="22"/>
          <w:szCs w:val="22"/>
        </w:rPr>
        <w:t>..</w:t>
      </w:r>
      <w:r w:rsidR="00B976BF">
        <w:rPr>
          <w:sz w:val="22"/>
          <w:szCs w:val="22"/>
        </w:rPr>
        <w:t>.",</w:t>
      </w:r>
      <w:r>
        <w:rPr>
          <w:sz w:val="22"/>
          <w:szCs w:val="22"/>
        </w:rPr>
        <w:t xml:space="preserve"> e que o preço oferecido pela contratada baseou-se "</w:t>
      </w:r>
      <w:r w:rsidRPr="005A3137">
        <w:rPr>
          <w:i/>
          <w:sz w:val="22"/>
          <w:szCs w:val="22"/>
        </w:rPr>
        <w:t>nos referenciais disponíveis à época</w:t>
      </w:r>
      <w:r>
        <w:rPr>
          <w:sz w:val="22"/>
          <w:szCs w:val="22"/>
        </w:rPr>
        <w:t xml:space="preserve">". O relator entendeu não haver a omissão e a contradição alegadas, destacando entendimento consubstanciado no Acórdão 3393/2013-Plenário, de sua relatoria: "... </w:t>
      </w:r>
      <w:r w:rsidRPr="00CD5B5A">
        <w:rPr>
          <w:i/>
          <w:iCs/>
          <w:sz w:val="22"/>
          <w:szCs w:val="22"/>
        </w:rPr>
        <w:t>não há que</w:t>
      </w:r>
      <w:r>
        <w:rPr>
          <w:i/>
          <w:iCs/>
          <w:sz w:val="22"/>
          <w:szCs w:val="22"/>
        </w:rPr>
        <w:t xml:space="preserve"> </w:t>
      </w:r>
      <w:r w:rsidRPr="00CD5B5A">
        <w:rPr>
          <w:i/>
          <w:iCs/>
          <w:sz w:val="22"/>
          <w:szCs w:val="22"/>
        </w:rPr>
        <w:t xml:space="preserve">se falar em violação do princípio da segurança jurídica em face da contratação com </w:t>
      </w:r>
      <w:proofErr w:type="spellStart"/>
      <w:r w:rsidRPr="00CD5B5A">
        <w:rPr>
          <w:i/>
          <w:iCs/>
          <w:sz w:val="22"/>
          <w:szCs w:val="22"/>
        </w:rPr>
        <w:t>sobrepreço</w:t>
      </w:r>
      <w:proofErr w:type="spellEnd"/>
      <w:r w:rsidRPr="00CD5B5A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 w:rsidRPr="00CD5B5A">
        <w:rPr>
          <w:i/>
          <w:iCs/>
          <w:sz w:val="22"/>
          <w:szCs w:val="22"/>
        </w:rPr>
        <w:t>Constatada a sua presença no ajuste, o controle deve incidir para promover a adequação necessária.</w:t>
      </w:r>
      <w:r>
        <w:rPr>
          <w:i/>
          <w:iCs/>
          <w:sz w:val="22"/>
          <w:szCs w:val="22"/>
        </w:rPr>
        <w:t xml:space="preserve"> </w:t>
      </w:r>
      <w:r w:rsidRPr="00CD5B5A">
        <w:rPr>
          <w:i/>
          <w:iCs/>
          <w:sz w:val="22"/>
          <w:szCs w:val="22"/>
        </w:rPr>
        <w:t>Sendo materializado o enriquecimento sem causa da contratada, a saída é a devolução dos valores</w:t>
      </w:r>
      <w:r>
        <w:rPr>
          <w:i/>
          <w:iCs/>
          <w:sz w:val="22"/>
          <w:szCs w:val="22"/>
        </w:rPr>
        <w:t xml:space="preserve"> </w:t>
      </w:r>
      <w:r w:rsidRPr="00CD5B5A">
        <w:rPr>
          <w:i/>
          <w:iCs/>
          <w:sz w:val="22"/>
          <w:szCs w:val="22"/>
        </w:rPr>
        <w:t>pactuados em excesso, conforme jurisprudência desta Corte (Acórdãos 570/2013-TCU-Plenário,</w:t>
      </w:r>
      <w:r>
        <w:rPr>
          <w:i/>
          <w:iCs/>
          <w:sz w:val="22"/>
          <w:szCs w:val="22"/>
        </w:rPr>
        <w:t xml:space="preserve"> </w:t>
      </w:r>
      <w:r w:rsidRPr="00CD5B5A">
        <w:rPr>
          <w:i/>
          <w:iCs/>
          <w:sz w:val="22"/>
          <w:szCs w:val="22"/>
        </w:rPr>
        <w:t>2.069/2008-TCU-Plenário e 1.767/2008-TCU-Plenário e Decisão 680/2000-TCU-Plenário)”</w:t>
      </w:r>
      <w:r>
        <w:rPr>
          <w:i/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Observou que, no caso concreto, não se trata de "</w:t>
      </w:r>
      <w:r w:rsidRPr="00CD5B5A">
        <w:rPr>
          <w:i/>
          <w:iCs/>
          <w:sz w:val="22"/>
          <w:szCs w:val="22"/>
        </w:rPr>
        <w:t>aplicação retroativa de nova composição de custo unitário</w:t>
      </w:r>
      <w:r>
        <w:rPr>
          <w:iCs/>
          <w:sz w:val="22"/>
          <w:szCs w:val="22"/>
        </w:rPr>
        <w:t xml:space="preserve">", mas sim </w:t>
      </w:r>
      <w:r w:rsidRPr="00812A2E">
        <w:rPr>
          <w:iCs/>
          <w:sz w:val="22"/>
          <w:szCs w:val="22"/>
        </w:rPr>
        <w:t xml:space="preserve">de </w:t>
      </w:r>
      <w:r>
        <w:rPr>
          <w:iCs/>
          <w:sz w:val="22"/>
          <w:szCs w:val="22"/>
        </w:rPr>
        <w:t>"</w:t>
      </w:r>
      <w:r w:rsidRPr="00812A2E">
        <w:rPr>
          <w:i/>
          <w:iCs/>
          <w:sz w:val="22"/>
          <w:szCs w:val="22"/>
        </w:rPr>
        <w:t>mera correção de composição vigente, cuja aplicação aos contratos em andamento tem como objetivo evitar o enriquecimento sem causa do particular em detrimento da Administração, nos termos dos princípios da boa-fé contratual e probidade administrativa</w:t>
      </w:r>
      <w:r>
        <w:rPr>
          <w:iCs/>
          <w:sz w:val="22"/>
          <w:szCs w:val="22"/>
        </w:rPr>
        <w:t>"</w:t>
      </w:r>
      <w:r w:rsidRPr="00812A2E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Por fim, ressaltou que "</w:t>
      </w:r>
      <w:r w:rsidRPr="0036640C">
        <w:rPr>
          <w:i/>
          <w:sz w:val="22"/>
          <w:szCs w:val="22"/>
        </w:rPr>
        <w:t>o regime jurídico-administrativo a que estão sujeitos</w:t>
      </w:r>
      <w:r>
        <w:rPr>
          <w:i/>
          <w:sz w:val="22"/>
          <w:szCs w:val="22"/>
        </w:rPr>
        <w:t xml:space="preserve"> </w:t>
      </w:r>
      <w:r w:rsidRPr="0036640C">
        <w:rPr>
          <w:i/>
          <w:sz w:val="22"/>
          <w:szCs w:val="22"/>
        </w:rPr>
        <w:t>os particulares contratantes com a Administração não lhes dá direito adquirido à manutenção de erros observados nas composições de preços unitários, precipuamente quando em razão de tais falhas estiver ocorrendo o pagamento de serviços acima dos custos necessários e realmente incorridos para a sua realização</w:t>
      </w:r>
      <w:r>
        <w:rPr>
          <w:sz w:val="22"/>
          <w:szCs w:val="22"/>
        </w:rPr>
        <w:t>"</w:t>
      </w:r>
      <w:r w:rsidRPr="0036640C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36640C">
        <w:rPr>
          <w:sz w:val="22"/>
          <w:szCs w:val="22"/>
        </w:rPr>
        <w:t xml:space="preserve">O Tribunal, ao acolher </w:t>
      </w:r>
      <w:r w:rsidR="00B976BF">
        <w:rPr>
          <w:sz w:val="22"/>
          <w:szCs w:val="22"/>
        </w:rPr>
        <w:t xml:space="preserve">a </w:t>
      </w:r>
      <w:r w:rsidRPr="0036640C">
        <w:rPr>
          <w:sz w:val="22"/>
          <w:szCs w:val="22"/>
        </w:rPr>
        <w:t>proposta do relator, negou provimento ao recurso.</w:t>
      </w:r>
      <w:r>
        <w:rPr>
          <w:sz w:val="22"/>
          <w:szCs w:val="22"/>
        </w:rPr>
        <w:t xml:space="preserve"> </w:t>
      </w:r>
      <w:hyperlink r:id="rId8" w:history="1">
        <w:r w:rsidRPr="009E535C">
          <w:rPr>
            <w:rStyle w:val="Hyperlink"/>
            <w:b/>
            <w:i/>
            <w:sz w:val="22"/>
            <w:szCs w:val="22"/>
          </w:rPr>
          <w:t>Acórdão 117/2014-Plenário</w:t>
        </w:r>
      </w:hyperlink>
      <w:r w:rsidRPr="00BB5053">
        <w:rPr>
          <w:b/>
          <w:i/>
          <w:sz w:val="22"/>
          <w:szCs w:val="22"/>
        </w:rPr>
        <w:t>, TC 0</w:t>
      </w:r>
      <w:r>
        <w:rPr>
          <w:b/>
          <w:i/>
          <w:sz w:val="22"/>
          <w:szCs w:val="22"/>
        </w:rPr>
        <w:t>04</w:t>
      </w:r>
      <w:r w:rsidRPr="00BB505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993</w:t>
      </w:r>
      <w:r w:rsidRPr="00BB5053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1</w:t>
      </w:r>
      <w:r w:rsidRPr="00BB5053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3</w:t>
      </w:r>
      <w:r w:rsidRPr="00BB5053">
        <w:rPr>
          <w:b/>
          <w:i/>
          <w:sz w:val="22"/>
          <w:szCs w:val="22"/>
        </w:rPr>
        <w:t xml:space="preserve">, relator Ministro </w:t>
      </w:r>
      <w:r>
        <w:rPr>
          <w:b/>
          <w:i/>
          <w:sz w:val="22"/>
          <w:szCs w:val="22"/>
        </w:rPr>
        <w:t xml:space="preserve">Benjamin </w:t>
      </w:r>
      <w:proofErr w:type="spellStart"/>
      <w:r>
        <w:rPr>
          <w:b/>
          <w:i/>
          <w:sz w:val="22"/>
          <w:szCs w:val="22"/>
        </w:rPr>
        <w:t>Zymler</w:t>
      </w:r>
      <w:proofErr w:type="spellEnd"/>
      <w:r w:rsidRPr="00BB505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29</w:t>
      </w:r>
      <w:r w:rsidRPr="00BB5053">
        <w:rPr>
          <w:b/>
          <w:i/>
          <w:sz w:val="22"/>
          <w:szCs w:val="22"/>
        </w:rPr>
        <w:t>.1.201</w:t>
      </w:r>
      <w:r>
        <w:rPr>
          <w:b/>
          <w:i/>
          <w:sz w:val="22"/>
          <w:szCs w:val="22"/>
        </w:rPr>
        <w:t>4</w:t>
      </w:r>
      <w:r w:rsidRPr="00BB5053">
        <w:rPr>
          <w:b/>
          <w:i/>
          <w:sz w:val="22"/>
          <w:szCs w:val="22"/>
        </w:rPr>
        <w:t>.</w:t>
      </w:r>
    </w:p>
    <w:p w:rsidR="0035552E" w:rsidRDefault="0035552E" w:rsidP="00B976BF">
      <w:pPr>
        <w:pStyle w:val="Default"/>
        <w:jc w:val="both"/>
        <w:rPr>
          <w:sz w:val="22"/>
          <w:szCs w:val="22"/>
        </w:rPr>
      </w:pPr>
    </w:p>
    <w:p w:rsidR="0035552E" w:rsidRDefault="0035552E" w:rsidP="00B976BF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  <w:lang w:eastAsia="pt-BR"/>
        </w:rPr>
      </w:pPr>
      <w:r>
        <w:rPr>
          <w:b/>
          <w:color w:val="000000"/>
          <w:sz w:val="22"/>
          <w:szCs w:val="22"/>
          <w:lang w:eastAsia="pt-BR"/>
        </w:rPr>
        <w:t>2. É</w:t>
      </w:r>
      <w:r w:rsidRPr="00EA2E46">
        <w:rPr>
          <w:b/>
          <w:color w:val="000000"/>
          <w:sz w:val="22"/>
          <w:szCs w:val="22"/>
          <w:lang w:eastAsia="pt-BR"/>
        </w:rPr>
        <w:t xml:space="preserve"> obrigatória, nas</w:t>
      </w:r>
      <w:r>
        <w:rPr>
          <w:b/>
          <w:color w:val="000000"/>
          <w:sz w:val="22"/>
          <w:szCs w:val="22"/>
          <w:lang w:eastAsia="pt-BR"/>
        </w:rPr>
        <w:t xml:space="preserve"> </w:t>
      </w:r>
      <w:r w:rsidRPr="00EA2E46">
        <w:rPr>
          <w:b/>
          <w:color w:val="000000"/>
          <w:sz w:val="22"/>
          <w:szCs w:val="22"/>
          <w:lang w:eastAsia="pt-BR"/>
        </w:rPr>
        <w:t>licitações cujo objeto seja divisível, a adjudicação por item e não por preço global, de forma a permitir</w:t>
      </w:r>
      <w:r>
        <w:rPr>
          <w:b/>
          <w:color w:val="000000"/>
          <w:sz w:val="22"/>
          <w:szCs w:val="22"/>
          <w:lang w:eastAsia="pt-BR"/>
        </w:rPr>
        <w:t xml:space="preserve"> </w:t>
      </w:r>
      <w:r w:rsidRPr="00EA2E46">
        <w:rPr>
          <w:b/>
          <w:color w:val="000000"/>
          <w:sz w:val="22"/>
          <w:szCs w:val="22"/>
          <w:lang w:eastAsia="pt-BR"/>
        </w:rPr>
        <w:t>uma maior participação de licitantes que, embora não dispondo de capacidade para o fornecimento da</w:t>
      </w:r>
      <w:r>
        <w:rPr>
          <w:b/>
          <w:color w:val="000000"/>
          <w:sz w:val="22"/>
          <w:szCs w:val="22"/>
          <w:lang w:eastAsia="pt-BR"/>
        </w:rPr>
        <w:t xml:space="preserve"> </w:t>
      </w:r>
      <w:r w:rsidRPr="00EA2E46">
        <w:rPr>
          <w:b/>
          <w:color w:val="000000"/>
          <w:sz w:val="22"/>
          <w:szCs w:val="22"/>
          <w:lang w:eastAsia="pt-BR"/>
        </w:rPr>
        <w:t>totalidade do objeto, possam fazê-lo com relação a itens ou unidades autônomas.</w:t>
      </w:r>
    </w:p>
    <w:p w:rsidR="0035552E" w:rsidRPr="00015B86" w:rsidRDefault="0035552E" w:rsidP="00B976BF">
      <w:pPr>
        <w:autoSpaceDE w:val="0"/>
        <w:autoSpaceDN w:val="0"/>
        <w:adjustRightInd w:val="0"/>
        <w:spacing w:after="0"/>
        <w:ind w:left="0"/>
        <w:rPr>
          <w:i/>
          <w:sz w:val="22"/>
          <w:szCs w:val="22"/>
        </w:rPr>
      </w:pPr>
      <w:r>
        <w:rPr>
          <w:sz w:val="22"/>
          <w:szCs w:val="22"/>
        </w:rPr>
        <w:t>R</w:t>
      </w:r>
      <w:r w:rsidRPr="00C552B2">
        <w:rPr>
          <w:sz w:val="22"/>
          <w:szCs w:val="22"/>
        </w:rPr>
        <w:t xml:space="preserve">epresentação </w:t>
      </w:r>
      <w:r w:rsidR="00714018">
        <w:rPr>
          <w:sz w:val="22"/>
          <w:szCs w:val="22"/>
        </w:rPr>
        <w:t>relativa a</w:t>
      </w:r>
      <w:r>
        <w:rPr>
          <w:sz w:val="22"/>
          <w:szCs w:val="22"/>
        </w:rPr>
        <w:t xml:space="preserve"> pre</w:t>
      </w:r>
      <w:r w:rsidRPr="00C552B2">
        <w:rPr>
          <w:sz w:val="22"/>
          <w:szCs w:val="22"/>
        </w:rPr>
        <w:t xml:space="preserve">gão </w:t>
      </w:r>
      <w:r>
        <w:rPr>
          <w:sz w:val="22"/>
          <w:szCs w:val="22"/>
        </w:rPr>
        <w:t>e</w:t>
      </w:r>
      <w:r w:rsidRPr="00C552B2">
        <w:rPr>
          <w:sz w:val="22"/>
          <w:szCs w:val="22"/>
        </w:rPr>
        <w:t>letrônico</w:t>
      </w:r>
      <w:r>
        <w:rPr>
          <w:sz w:val="22"/>
          <w:szCs w:val="22"/>
        </w:rPr>
        <w:t xml:space="preserve"> </w:t>
      </w:r>
      <w:r w:rsidRPr="00C552B2">
        <w:rPr>
          <w:sz w:val="22"/>
          <w:szCs w:val="22"/>
        </w:rPr>
        <w:t>promovido pelo Hospital Fed</w:t>
      </w:r>
      <w:r w:rsidR="00714018">
        <w:rPr>
          <w:sz w:val="22"/>
          <w:szCs w:val="22"/>
        </w:rPr>
        <w:t>eral dos Servidores do Estado (</w:t>
      </w:r>
      <w:r w:rsidRPr="00C552B2">
        <w:rPr>
          <w:sz w:val="22"/>
          <w:szCs w:val="22"/>
        </w:rPr>
        <w:t>HFSE</w:t>
      </w:r>
      <w:r w:rsidR="00714018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C552B2">
        <w:rPr>
          <w:sz w:val="22"/>
          <w:szCs w:val="22"/>
        </w:rPr>
        <w:t xml:space="preserve"> para aquisição de insumos para serviço de cirurgia bariátrica por meio de sistema de registro de preços, </w:t>
      </w:r>
      <w:r>
        <w:rPr>
          <w:sz w:val="22"/>
          <w:szCs w:val="22"/>
        </w:rPr>
        <w:t>apontara, dentre outras irregularidades, a "</w:t>
      </w:r>
      <w:r w:rsidRPr="00015B86">
        <w:rPr>
          <w:i/>
          <w:sz w:val="22"/>
          <w:szCs w:val="22"/>
        </w:rPr>
        <w:t>inobservância do art. 15, inciso IV, e art. 23, §1º, da Lei</w:t>
      </w:r>
    </w:p>
    <w:p w:rsidR="0035552E" w:rsidRPr="00076349" w:rsidRDefault="0035552E" w:rsidP="00B976BF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015B86">
        <w:rPr>
          <w:i/>
          <w:sz w:val="22"/>
          <w:szCs w:val="22"/>
        </w:rPr>
        <w:t>8.666/1993, em razão do agrupamento de diversos itens em apenas um lote</w:t>
      </w:r>
      <w:r>
        <w:rPr>
          <w:sz w:val="22"/>
          <w:szCs w:val="22"/>
        </w:rPr>
        <w:t>". Realizadas as oitivas regimentais e a suspensão cautelar do certame, o relator observou que "</w:t>
      </w:r>
      <w:r w:rsidRPr="00513862">
        <w:rPr>
          <w:i/>
          <w:sz w:val="22"/>
          <w:szCs w:val="22"/>
        </w:rPr>
        <w:t>o agrupamento de alguns itens no mesmo lote mostra-se pertinente, por exemplo, para os itens 1, 2 e 3 (grampeador cirúrgico, grampos para tecido normal e grampos para tecido vascular); e itens 4, 5, 6, 7 e 8 (</w:t>
      </w:r>
      <w:proofErr w:type="spellStart"/>
      <w:r w:rsidRPr="00513862">
        <w:rPr>
          <w:i/>
          <w:sz w:val="22"/>
          <w:szCs w:val="22"/>
        </w:rPr>
        <w:t>trocater</w:t>
      </w:r>
      <w:proofErr w:type="spellEnd"/>
      <w:r w:rsidRPr="00513862">
        <w:rPr>
          <w:i/>
          <w:sz w:val="22"/>
          <w:szCs w:val="22"/>
        </w:rPr>
        <w:t xml:space="preserve"> descartável de 5mm, cânula para</w:t>
      </w:r>
      <w:r>
        <w:rPr>
          <w:i/>
          <w:sz w:val="22"/>
          <w:szCs w:val="22"/>
        </w:rPr>
        <w:t xml:space="preserve"> </w:t>
      </w:r>
      <w:proofErr w:type="spellStart"/>
      <w:r w:rsidRPr="00513862">
        <w:rPr>
          <w:i/>
          <w:sz w:val="22"/>
          <w:szCs w:val="22"/>
        </w:rPr>
        <w:t>trocater</w:t>
      </w:r>
      <w:proofErr w:type="spellEnd"/>
      <w:r w:rsidRPr="00513862">
        <w:rPr>
          <w:i/>
          <w:sz w:val="22"/>
          <w:szCs w:val="22"/>
        </w:rPr>
        <w:t xml:space="preserve"> de 5 mm, </w:t>
      </w:r>
      <w:proofErr w:type="spellStart"/>
      <w:r w:rsidRPr="00513862">
        <w:rPr>
          <w:i/>
          <w:sz w:val="22"/>
          <w:szCs w:val="22"/>
        </w:rPr>
        <w:t>trocater</w:t>
      </w:r>
      <w:proofErr w:type="spellEnd"/>
      <w:r w:rsidRPr="00513862">
        <w:rPr>
          <w:i/>
          <w:sz w:val="22"/>
          <w:szCs w:val="22"/>
        </w:rPr>
        <w:t xml:space="preserve"> descartável de 11mm, </w:t>
      </w:r>
      <w:proofErr w:type="spellStart"/>
      <w:r w:rsidRPr="00513862">
        <w:rPr>
          <w:i/>
          <w:sz w:val="22"/>
          <w:szCs w:val="22"/>
        </w:rPr>
        <w:t>trocater</w:t>
      </w:r>
      <w:proofErr w:type="spellEnd"/>
      <w:r w:rsidRPr="00513862">
        <w:rPr>
          <w:i/>
          <w:sz w:val="22"/>
          <w:szCs w:val="22"/>
        </w:rPr>
        <w:t xml:space="preserve"> descartável de 12 mm e cânula para </w:t>
      </w:r>
      <w:proofErr w:type="spellStart"/>
      <w:r w:rsidRPr="00513862">
        <w:rPr>
          <w:i/>
          <w:sz w:val="22"/>
          <w:szCs w:val="22"/>
        </w:rPr>
        <w:t>trocater</w:t>
      </w:r>
      <w:proofErr w:type="spellEnd"/>
      <w:r w:rsidRPr="00513862">
        <w:rPr>
          <w:i/>
          <w:sz w:val="22"/>
          <w:szCs w:val="22"/>
        </w:rPr>
        <w:t xml:space="preserve"> de 12 mm). Desse modo, conforme a natureza, os itens poderiam ser divididos, a princípio, em pelo menos três lotes distintos</w:t>
      </w:r>
      <w:r>
        <w:rPr>
          <w:sz w:val="22"/>
          <w:szCs w:val="22"/>
        </w:rPr>
        <w:t>"</w:t>
      </w:r>
      <w:r w:rsidRPr="00513862">
        <w:rPr>
          <w:sz w:val="22"/>
          <w:szCs w:val="22"/>
        </w:rPr>
        <w:t>.</w:t>
      </w:r>
      <w:r>
        <w:rPr>
          <w:sz w:val="22"/>
          <w:szCs w:val="22"/>
        </w:rPr>
        <w:t xml:space="preserve"> Ressaltou, contudo, que a entidade não apresentou "</w:t>
      </w:r>
      <w:r w:rsidRPr="00214EF3">
        <w:rPr>
          <w:i/>
          <w:sz w:val="22"/>
          <w:szCs w:val="22"/>
        </w:rPr>
        <w:t>justificativas técnicas razoáveis para que os materiais que compõem os nove itens sejam licitados em um único lote</w:t>
      </w:r>
      <w:r>
        <w:rPr>
          <w:sz w:val="22"/>
          <w:szCs w:val="22"/>
        </w:rPr>
        <w:t>"</w:t>
      </w:r>
      <w:r w:rsidRPr="00214EF3">
        <w:rPr>
          <w:sz w:val="22"/>
          <w:szCs w:val="22"/>
        </w:rPr>
        <w:t>.</w:t>
      </w:r>
      <w:r w:rsidR="00714018">
        <w:rPr>
          <w:sz w:val="22"/>
          <w:szCs w:val="22"/>
        </w:rPr>
        <w:t xml:space="preserve"> Em relação ao aspecto competitivo</w:t>
      </w:r>
      <w:r>
        <w:rPr>
          <w:sz w:val="22"/>
          <w:szCs w:val="22"/>
        </w:rPr>
        <w:t>, registrou que a modelagem da licitação em lote único permitiu a participação de apenas duas lici</w:t>
      </w:r>
      <w:r w:rsidR="00E664AE">
        <w:rPr>
          <w:sz w:val="22"/>
          <w:szCs w:val="22"/>
        </w:rPr>
        <w:t xml:space="preserve">tantes </w:t>
      </w:r>
      <w:r>
        <w:rPr>
          <w:sz w:val="22"/>
          <w:szCs w:val="22"/>
        </w:rPr>
        <w:t>. Além disso, "</w:t>
      </w:r>
      <w:r w:rsidRPr="00376350">
        <w:rPr>
          <w:i/>
          <w:sz w:val="22"/>
          <w:szCs w:val="22"/>
        </w:rPr>
        <w:t>foram identificadas outras licitações realizadas por órgãos públicos que obtiveram preços próximos a 1/3 do valor obtido no pregão em questão para os itens 1 a 3 e até 26% menor para o item 9</w:t>
      </w:r>
      <w:r>
        <w:rPr>
          <w:sz w:val="22"/>
          <w:szCs w:val="22"/>
        </w:rPr>
        <w:t>"</w:t>
      </w:r>
      <w:r w:rsidRPr="00376350">
        <w:rPr>
          <w:sz w:val="22"/>
          <w:szCs w:val="22"/>
        </w:rPr>
        <w:t>.</w:t>
      </w:r>
      <w:r>
        <w:rPr>
          <w:sz w:val="22"/>
          <w:szCs w:val="22"/>
        </w:rPr>
        <w:t xml:space="preserve"> Ao concluir que a ausência de competitividade no certame não permitiu a seleção da melhor proposta, destacou que "</w:t>
      </w:r>
      <w:r w:rsidRPr="00190AA7">
        <w:rPr>
          <w:i/>
          <w:sz w:val="22"/>
          <w:szCs w:val="22"/>
        </w:rPr>
        <w:t xml:space="preserve">a jurisprudência desta Corte é pacífica no sentido de que é obrigatória, nas licitações cujo objeto seja divisível, a adjudicação por item e não por preço global, de forma a permitir uma maior participação de licitantes que, embora não dispondo de capacidade para o fornecimento da totalidade do objeto, possam </w:t>
      </w:r>
      <w:proofErr w:type="spellStart"/>
      <w:r w:rsidRPr="00190AA7">
        <w:rPr>
          <w:i/>
          <w:sz w:val="22"/>
          <w:szCs w:val="22"/>
        </w:rPr>
        <w:t>fazê</w:t>
      </w:r>
      <w:proofErr w:type="spellEnd"/>
      <w:r w:rsidRPr="00190AA7">
        <w:rPr>
          <w:i/>
          <w:sz w:val="22"/>
          <w:szCs w:val="22"/>
        </w:rPr>
        <w:t xml:space="preserve">- </w:t>
      </w:r>
      <w:proofErr w:type="spellStart"/>
      <w:r w:rsidRPr="00190AA7">
        <w:rPr>
          <w:i/>
          <w:sz w:val="22"/>
          <w:szCs w:val="22"/>
        </w:rPr>
        <w:t>lo</w:t>
      </w:r>
      <w:proofErr w:type="spellEnd"/>
      <w:r w:rsidRPr="00190AA7">
        <w:rPr>
          <w:i/>
          <w:sz w:val="22"/>
          <w:szCs w:val="22"/>
        </w:rPr>
        <w:t xml:space="preserve"> com relação a itens ou unidades autônomas</w:t>
      </w:r>
      <w:r>
        <w:rPr>
          <w:sz w:val="22"/>
          <w:szCs w:val="22"/>
        </w:rPr>
        <w:t>"</w:t>
      </w:r>
      <w:r w:rsidRPr="00190AA7">
        <w:rPr>
          <w:sz w:val="22"/>
          <w:szCs w:val="22"/>
        </w:rPr>
        <w:t>.</w:t>
      </w:r>
      <w:r>
        <w:rPr>
          <w:sz w:val="22"/>
          <w:szCs w:val="22"/>
        </w:rPr>
        <w:t xml:space="preserve"> O Tribunal, ao acolher a proposta do relator, ju</w:t>
      </w:r>
      <w:r w:rsidR="00E664AE">
        <w:rPr>
          <w:sz w:val="22"/>
          <w:szCs w:val="22"/>
        </w:rPr>
        <w:t>lgou parcialmente procedente a R</w:t>
      </w:r>
      <w:r>
        <w:rPr>
          <w:sz w:val="22"/>
          <w:szCs w:val="22"/>
        </w:rPr>
        <w:t xml:space="preserve">epresentação e fixou prazo para a anulação do certame. </w:t>
      </w:r>
      <w:hyperlink r:id="rId9" w:history="1">
        <w:r w:rsidRPr="000B36C7">
          <w:rPr>
            <w:rStyle w:val="Hyperlink"/>
            <w:b/>
            <w:i/>
            <w:sz w:val="22"/>
            <w:szCs w:val="22"/>
          </w:rPr>
          <w:t>Acórdão 122/2014-Plenário</w:t>
        </w:r>
      </w:hyperlink>
      <w:r w:rsidRPr="00BB5053">
        <w:rPr>
          <w:b/>
          <w:i/>
          <w:sz w:val="22"/>
          <w:szCs w:val="22"/>
        </w:rPr>
        <w:t>, TC 0</w:t>
      </w:r>
      <w:r>
        <w:rPr>
          <w:b/>
          <w:i/>
          <w:sz w:val="22"/>
          <w:szCs w:val="22"/>
        </w:rPr>
        <w:t>31</w:t>
      </w:r>
      <w:r w:rsidRPr="00BB505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937</w:t>
      </w:r>
      <w:r w:rsidRPr="00BB5053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3</w:t>
      </w:r>
      <w:r w:rsidRPr="00BB5053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6</w:t>
      </w:r>
      <w:r w:rsidRPr="00BB5053">
        <w:rPr>
          <w:b/>
          <w:i/>
          <w:sz w:val="22"/>
          <w:szCs w:val="22"/>
        </w:rPr>
        <w:t xml:space="preserve">, relator Ministro </w:t>
      </w:r>
      <w:r>
        <w:rPr>
          <w:b/>
          <w:i/>
          <w:sz w:val="22"/>
          <w:szCs w:val="22"/>
        </w:rPr>
        <w:t xml:space="preserve">Benjamin </w:t>
      </w:r>
      <w:proofErr w:type="spellStart"/>
      <w:r>
        <w:rPr>
          <w:b/>
          <w:i/>
          <w:sz w:val="22"/>
          <w:szCs w:val="22"/>
        </w:rPr>
        <w:t>Zymler</w:t>
      </w:r>
      <w:proofErr w:type="spellEnd"/>
      <w:r w:rsidRPr="00BB505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29</w:t>
      </w:r>
      <w:r w:rsidRPr="00BB5053">
        <w:rPr>
          <w:b/>
          <w:i/>
          <w:sz w:val="22"/>
          <w:szCs w:val="22"/>
        </w:rPr>
        <w:t>.1.201</w:t>
      </w:r>
      <w:r>
        <w:rPr>
          <w:b/>
          <w:i/>
          <w:sz w:val="22"/>
          <w:szCs w:val="22"/>
        </w:rPr>
        <w:t>4</w:t>
      </w:r>
      <w:r w:rsidRPr="00BB5053">
        <w:rPr>
          <w:b/>
          <w:i/>
          <w:sz w:val="22"/>
          <w:szCs w:val="22"/>
        </w:rPr>
        <w:t>.</w:t>
      </w:r>
    </w:p>
    <w:p w:rsidR="0035552E" w:rsidRDefault="0035552E" w:rsidP="00B976BF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970664" w:rsidRDefault="0035552E" w:rsidP="00B976B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B27EB">
        <w:rPr>
          <w:b/>
          <w:sz w:val="22"/>
          <w:szCs w:val="22"/>
        </w:rPr>
        <w:t xml:space="preserve">. </w:t>
      </w:r>
      <w:r w:rsidR="00970664">
        <w:rPr>
          <w:b/>
          <w:sz w:val="22"/>
          <w:szCs w:val="22"/>
        </w:rPr>
        <w:t xml:space="preserve">A adoção de critério de julgamento distinto daqueles constantes no edital, ainda que próprio das rotinas do </w:t>
      </w:r>
      <w:proofErr w:type="spellStart"/>
      <w:r w:rsidR="00970664">
        <w:rPr>
          <w:b/>
          <w:sz w:val="22"/>
          <w:szCs w:val="22"/>
        </w:rPr>
        <w:t>Comprasnet</w:t>
      </w:r>
      <w:proofErr w:type="spellEnd"/>
      <w:r w:rsidR="00970664">
        <w:rPr>
          <w:b/>
          <w:sz w:val="22"/>
          <w:szCs w:val="22"/>
        </w:rPr>
        <w:t xml:space="preserve">, macula o certame. </w:t>
      </w:r>
    </w:p>
    <w:p w:rsidR="00A00B80" w:rsidRPr="00970664" w:rsidRDefault="008A7679" w:rsidP="00DF436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5552E" w:rsidRPr="004922BC">
        <w:rPr>
          <w:sz w:val="22"/>
          <w:szCs w:val="22"/>
        </w:rPr>
        <w:t xml:space="preserve">Agravo interposto </w:t>
      </w:r>
      <w:r w:rsidR="0035552E">
        <w:rPr>
          <w:sz w:val="22"/>
          <w:szCs w:val="22"/>
        </w:rPr>
        <w:t>por socied</w:t>
      </w:r>
      <w:r w:rsidR="00090899">
        <w:rPr>
          <w:sz w:val="22"/>
          <w:szCs w:val="22"/>
        </w:rPr>
        <w:t>ade empresária, em processo de Representação, contestou</w:t>
      </w:r>
      <w:r w:rsidR="0035552E" w:rsidRPr="004922BC">
        <w:rPr>
          <w:sz w:val="22"/>
          <w:szCs w:val="22"/>
        </w:rPr>
        <w:t xml:space="preserve"> despacho</w:t>
      </w:r>
      <w:r w:rsidR="0035552E">
        <w:rPr>
          <w:sz w:val="22"/>
          <w:szCs w:val="22"/>
        </w:rPr>
        <w:t xml:space="preserve"> concessivo de medida cautelar para obstar </w:t>
      </w:r>
      <w:r w:rsidR="0035552E" w:rsidRPr="00BA3491">
        <w:rPr>
          <w:sz w:val="22"/>
          <w:szCs w:val="22"/>
        </w:rPr>
        <w:t>o início da execução de eventual contrato derivado</w:t>
      </w:r>
      <w:r w:rsidR="0035552E">
        <w:rPr>
          <w:sz w:val="22"/>
          <w:szCs w:val="22"/>
        </w:rPr>
        <w:t xml:space="preserve"> de</w:t>
      </w:r>
      <w:r w:rsidR="0035552E" w:rsidRPr="004922BC">
        <w:rPr>
          <w:sz w:val="22"/>
          <w:szCs w:val="22"/>
        </w:rPr>
        <w:t xml:space="preserve"> </w:t>
      </w:r>
      <w:r w:rsidR="0035552E">
        <w:rPr>
          <w:sz w:val="22"/>
          <w:szCs w:val="22"/>
        </w:rPr>
        <w:t>pregão eletrônico</w:t>
      </w:r>
      <w:r w:rsidR="0035552E" w:rsidRPr="004922BC">
        <w:rPr>
          <w:sz w:val="22"/>
          <w:szCs w:val="22"/>
        </w:rPr>
        <w:t xml:space="preserve"> conduzido pelo Tribunal Regional Eleitoral do Estado do Rio Grande do Norte (TRE/RN), </w:t>
      </w:r>
      <w:r w:rsidR="0035552E">
        <w:rPr>
          <w:sz w:val="22"/>
          <w:szCs w:val="22"/>
        </w:rPr>
        <w:t>destinado à</w:t>
      </w:r>
      <w:r w:rsidR="0035552E" w:rsidRPr="004922BC">
        <w:rPr>
          <w:sz w:val="22"/>
          <w:szCs w:val="22"/>
        </w:rPr>
        <w:t xml:space="preserve"> contratação de serviços de rede de comunicação multimídia </w:t>
      </w:r>
      <w:r w:rsidR="0035552E">
        <w:rPr>
          <w:sz w:val="22"/>
          <w:szCs w:val="22"/>
        </w:rPr>
        <w:t>para interligação dos cartórios eleitorais e de outras unidades da Justiça Eleitoral</w:t>
      </w:r>
      <w:r w:rsidR="0035552E" w:rsidRPr="004922BC">
        <w:rPr>
          <w:sz w:val="22"/>
          <w:szCs w:val="22"/>
        </w:rPr>
        <w:t xml:space="preserve"> </w:t>
      </w:r>
      <w:r w:rsidR="0035552E">
        <w:rPr>
          <w:sz w:val="22"/>
          <w:szCs w:val="22"/>
        </w:rPr>
        <w:t>à s</w:t>
      </w:r>
      <w:r w:rsidR="0035552E" w:rsidRPr="004922BC">
        <w:rPr>
          <w:sz w:val="22"/>
          <w:szCs w:val="22"/>
        </w:rPr>
        <w:t xml:space="preserve">ede do </w:t>
      </w:r>
      <w:r w:rsidR="0035552E">
        <w:rPr>
          <w:sz w:val="22"/>
          <w:szCs w:val="22"/>
        </w:rPr>
        <w:t>Tribunal</w:t>
      </w:r>
      <w:r w:rsidR="0035552E" w:rsidRPr="004922BC">
        <w:rPr>
          <w:sz w:val="22"/>
          <w:szCs w:val="22"/>
        </w:rPr>
        <w:t>.</w:t>
      </w:r>
      <w:r w:rsidR="0035552E">
        <w:rPr>
          <w:sz w:val="22"/>
          <w:szCs w:val="22"/>
        </w:rPr>
        <w:t xml:space="preserve"> A medida acautelatória fora motivada, dentre outros aspectos, por</w:t>
      </w:r>
      <w:r w:rsidR="0035552E" w:rsidRPr="00A72EDC">
        <w:rPr>
          <w:sz w:val="22"/>
          <w:szCs w:val="22"/>
        </w:rPr>
        <w:t xml:space="preserve"> alteração do critério de julgamento das propostas no momento dos lances.</w:t>
      </w:r>
      <w:r w:rsidR="0035552E">
        <w:rPr>
          <w:sz w:val="22"/>
          <w:szCs w:val="22"/>
        </w:rPr>
        <w:t xml:space="preserve"> Sobre esse aspecto, apontou o relator que </w:t>
      </w:r>
      <w:r w:rsidR="00090899">
        <w:rPr>
          <w:i/>
          <w:sz w:val="22"/>
          <w:szCs w:val="22"/>
        </w:rPr>
        <w:t>“a</w:t>
      </w:r>
      <w:r w:rsidR="0035552E" w:rsidRPr="00A72EDC">
        <w:rPr>
          <w:i/>
          <w:sz w:val="22"/>
          <w:szCs w:val="22"/>
        </w:rPr>
        <w:t xml:space="preserve"> alteração do critério de julgamento das propostas dos licitantes no momento dos lances não se reveste em impropriedade formal, sendo indício grave o bastante para embasar a medida adotada e provocar o exame mais acurado do certame”</w:t>
      </w:r>
      <w:r w:rsidR="0035552E">
        <w:rPr>
          <w:sz w:val="22"/>
          <w:szCs w:val="22"/>
        </w:rPr>
        <w:t xml:space="preserve">. Relembrou o relator que o edital consignara que o julgamento adotaria o critério de </w:t>
      </w:r>
      <w:r w:rsidR="0035552E" w:rsidRPr="000A79DB">
        <w:rPr>
          <w:i/>
          <w:sz w:val="22"/>
          <w:szCs w:val="22"/>
        </w:rPr>
        <w:t>“menor preço unitário por lote</w:t>
      </w:r>
      <w:r w:rsidR="0035552E">
        <w:rPr>
          <w:i/>
          <w:sz w:val="22"/>
          <w:szCs w:val="22"/>
        </w:rPr>
        <w:t>”</w:t>
      </w:r>
      <w:r w:rsidR="0035552E">
        <w:rPr>
          <w:sz w:val="22"/>
          <w:szCs w:val="22"/>
        </w:rPr>
        <w:t xml:space="preserve">, declarando-se vencedora </w:t>
      </w:r>
      <w:r w:rsidR="0035552E" w:rsidRPr="000A79DB">
        <w:rPr>
          <w:i/>
          <w:sz w:val="22"/>
          <w:szCs w:val="22"/>
        </w:rPr>
        <w:t>“aquela que apresentar o menor preço por lote”</w:t>
      </w:r>
      <w:r w:rsidR="0035552E">
        <w:rPr>
          <w:sz w:val="22"/>
          <w:szCs w:val="22"/>
        </w:rPr>
        <w:t xml:space="preserve">. E que, provocado pela representante, o pregoeiro esclarecera que </w:t>
      </w:r>
      <w:r w:rsidR="0035552E" w:rsidRPr="000A79DB">
        <w:rPr>
          <w:i/>
          <w:sz w:val="22"/>
          <w:szCs w:val="22"/>
        </w:rPr>
        <w:t xml:space="preserve">“o critério seria a </w:t>
      </w:r>
      <w:r w:rsidR="0035552E" w:rsidRPr="00205BBD">
        <w:rPr>
          <w:i/>
          <w:sz w:val="22"/>
          <w:szCs w:val="22"/>
        </w:rPr>
        <w:t>‘menor soma de todos os preços unitários de determinado lote’</w:t>
      </w:r>
      <w:r w:rsidR="0035552E" w:rsidRPr="000A79DB">
        <w:rPr>
          <w:i/>
          <w:sz w:val="22"/>
          <w:szCs w:val="22"/>
        </w:rPr>
        <w:t>”</w:t>
      </w:r>
      <w:r w:rsidR="0035552E">
        <w:rPr>
          <w:i/>
          <w:sz w:val="22"/>
          <w:szCs w:val="22"/>
        </w:rPr>
        <w:t>.</w:t>
      </w:r>
      <w:r w:rsidR="00205BBD">
        <w:rPr>
          <w:sz w:val="22"/>
          <w:szCs w:val="22"/>
        </w:rPr>
        <w:t xml:space="preserve"> No entanto, constata</w:t>
      </w:r>
      <w:r w:rsidR="0035552E">
        <w:rPr>
          <w:sz w:val="22"/>
          <w:szCs w:val="22"/>
        </w:rPr>
        <w:t xml:space="preserve">do que o sistema </w:t>
      </w:r>
      <w:proofErr w:type="spellStart"/>
      <w:r w:rsidR="0035552E">
        <w:rPr>
          <w:sz w:val="22"/>
          <w:szCs w:val="22"/>
        </w:rPr>
        <w:t>Comprasnet</w:t>
      </w:r>
      <w:proofErr w:type="spellEnd"/>
      <w:r w:rsidR="0035552E">
        <w:rPr>
          <w:sz w:val="22"/>
          <w:szCs w:val="22"/>
        </w:rPr>
        <w:t xml:space="preserve"> não permitiria a utilização do critério adotado no edital – admitindo apenas o</w:t>
      </w:r>
      <w:r w:rsidR="00205BBD">
        <w:rPr>
          <w:sz w:val="22"/>
          <w:szCs w:val="22"/>
        </w:rPr>
        <w:t xml:space="preserve"> “menor preço global do lote” –, </w:t>
      </w:r>
      <w:r w:rsidR="0035552E">
        <w:rPr>
          <w:sz w:val="22"/>
          <w:szCs w:val="22"/>
        </w:rPr>
        <w:t>inclinou-se o pregoeiro pela revogação do certame. A</w:t>
      </w:r>
      <w:r w:rsidR="00205BBD">
        <w:rPr>
          <w:sz w:val="22"/>
          <w:szCs w:val="22"/>
        </w:rPr>
        <w:t xml:space="preserve"> Diretora-Geral do TRE</w:t>
      </w:r>
      <w:r w:rsidR="0035552E" w:rsidRPr="00A31782">
        <w:rPr>
          <w:sz w:val="22"/>
          <w:szCs w:val="22"/>
        </w:rPr>
        <w:t>/RN</w:t>
      </w:r>
      <w:r w:rsidR="0035552E">
        <w:rPr>
          <w:sz w:val="22"/>
          <w:szCs w:val="22"/>
        </w:rPr>
        <w:t>, contudo,</w:t>
      </w:r>
      <w:r w:rsidR="0035552E" w:rsidRPr="00A31782">
        <w:rPr>
          <w:sz w:val="22"/>
          <w:szCs w:val="22"/>
        </w:rPr>
        <w:t xml:space="preserve"> decidiu pelo prosseguimento do </w:t>
      </w:r>
      <w:r w:rsidR="0035552E">
        <w:rPr>
          <w:sz w:val="22"/>
          <w:szCs w:val="22"/>
        </w:rPr>
        <w:t>pregão</w:t>
      </w:r>
      <w:r w:rsidR="0035552E" w:rsidRPr="00A31782">
        <w:rPr>
          <w:sz w:val="22"/>
          <w:szCs w:val="22"/>
        </w:rPr>
        <w:t>.</w:t>
      </w:r>
      <w:r w:rsidR="0035552E">
        <w:rPr>
          <w:sz w:val="22"/>
          <w:szCs w:val="22"/>
        </w:rPr>
        <w:t xml:space="preserve"> Analisando o mérito, consignou o relator que </w:t>
      </w:r>
      <w:r w:rsidR="00205BBD">
        <w:rPr>
          <w:i/>
          <w:sz w:val="22"/>
          <w:szCs w:val="22"/>
        </w:rPr>
        <w:t>“a</w:t>
      </w:r>
      <w:r w:rsidR="0035552E" w:rsidRPr="00FB7B35">
        <w:rPr>
          <w:i/>
          <w:sz w:val="22"/>
          <w:szCs w:val="22"/>
        </w:rPr>
        <w:t xml:space="preserve">inda que a agravante possa ter razão quanto a eventual ausência de dubiedade na presença da palavra </w:t>
      </w:r>
      <w:r w:rsidR="0035552E">
        <w:rPr>
          <w:i/>
          <w:sz w:val="22"/>
          <w:szCs w:val="22"/>
        </w:rPr>
        <w:t>‘</w:t>
      </w:r>
      <w:r w:rsidR="0035552E" w:rsidRPr="00FB7B35">
        <w:rPr>
          <w:i/>
          <w:sz w:val="22"/>
          <w:szCs w:val="22"/>
        </w:rPr>
        <w:t>unitário</w:t>
      </w:r>
      <w:r w:rsidR="0035552E">
        <w:rPr>
          <w:i/>
          <w:sz w:val="22"/>
          <w:szCs w:val="22"/>
        </w:rPr>
        <w:t>’</w:t>
      </w:r>
      <w:r w:rsidR="0035552E" w:rsidRPr="00FB7B35">
        <w:rPr>
          <w:i/>
          <w:sz w:val="22"/>
          <w:szCs w:val="22"/>
        </w:rPr>
        <w:t xml:space="preserve"> no subitem 6.1 do edital, o esclarecimento do pregoeiro concedeu ao fato outra dimensão”</w:t>
      </w:r>
      <w:r w:rsidR="0035552E">
        <w:rPr>
          <w:sz w:val="22"/>
          <w:szCs w:val="22"/>
        </w:rPr>
        <w:t xml:space="preserve">. Em tais condições, o relator entendeu que </w:t>
      </w:r>
      <w:r w:rsidR="0035552E" w:rsidRPr="00940DD8">
        <w:rPr>
          <w:i/>
          <w:sz w:val="22"/>
          <w:szCs w:val="22"/>
        </w:rPr>
        <w:t xml:space="preserve">“ao concretizar o julgamento pelo critério disponibilizado pelo </w:t>
      </w:r>
      <w:proofErr w:type="spellStart"/>
      <w:r w:rsidR="0035552E" w:rsidRPr="00940DD8">
        <w:rPr>
          <w:i/>
          <w:sz w:val="22"/>
          <w:szCs w:val="22"/>
        </w:rPr>
        <w:t>Comprasnet</w:t>
      </w:r>
      <w:proofErr w:type="spellEnd"/>
      <w:r w:rsidR="0035552E" w:rsidRPr="00940DD8">
        <w:rPr>
          <w:i/>
          <w:sz w:val="22"/>
          <w:szCs w:val="22"/>
        </w:rPr>
        <w:t>, diferente daquele constante no edital e reforçado pelo pregoeiro, o certame foi maculado”</w:t>
      </w:r>
      <w:r w:rsidR="0035552E">
        <w:rPr>
          <w:sz w:val="22"/>
          <w:szCs w:val="22"/>
        </w:rPr>
        <w:t xml:space="preserve"> e que tal alteração </w:t>
      </w:r>
      <w:r w:rsidR="0035552E" w:rsidRPr="00940DD8">
        <w:rPr>
          <w:i/>
          <w:sz w:val="22"/>
          <w:szCs w:val="22"/>
        </w:rPr>
        <w:t>“efetivamente afetou o resultado da licitação”</w:t>
      </w:r>
      <w:r w:rsidR="0035552E">
        <w:rPr>
          <w:sz w:val="22"/>
          <w:szCs w:val="22"/>
        </w:rPr>
        <w:t xml:space="preserve">. </w:t>
      </w:r>
      <w:r w:rsidR="0035552E" w:rsidRPr="007B27EB">
        <w:rPr>
          <w:sz w:val="22"/>
          <w:szCs w:val="22"/>
        </w:rPr>
        <w:t xml:space="preserve">Nesse sentido, </w:t>
      </w:r>
      <w:r w:rsidR="0035552E">
        <w:rPr>
          <w:sz w:val="22"/>
          <w:szCs w:val="22"/>
        </w:rPr>
        <w:t xml:space="preserve">não afastados o </w:t>
      </w:r>
      <w:r w:rsidR="0035552E" w:rsidRPr="00A66A25">
        <w:rPr>
          <w:i/>
          <w:sz w:val="22"/>
          <w:szCs w:val="22"/>
        </w:rPr>
        <w:t>fumus boni iuris</w:t>
      </w:r>
      <w:r w:rsidR="0035552E" w:rsidRPr="00A66A25">
        <w:rPr>
          <w:sz w:val="22"/>
          <w:szCs w:val="22"/>
        </w:rPr>
        <w:t xml:space="preserve"> e o </w:t>
      </w:r>
      <w:r w:rsidR="0035552E" w:rsidRPr="00A66A25">
        <w:rPr>
          <w:i/>
          <w:sz w:val="22"/>
          <w:szCs w:val="22"/>
        </w:rPr>
        <w:t>periculum in mora</w:t>
      </w:r>
      <w:r w:rsidR="0035552E" w:rsidRPr="00A66A25">
        <w:rPr>
          <w:sz w:val="22"/>
          <w:szCs w:val="22"/>
        </w:rPr>
        <w:t xml:space="preserve"> motivadores</w:t>
      </w:r>
      <w:r w:rsidR="0035552E">
        <w:rPr>
          <w:sz w:val="22"/>
          <w:szCs w:val="22"/>
        </w:rPr>
        <w:t xml:space="preserve"> da cautelar concedida</w:t>
      </w:r>
      <w:r w:rsidR="0035552E" w:rsidRPr="007B27EB">
        <w:rPr>
          <w:sz w:val="22"/>
          <w:szCs w:val="22"/>
        </w:rPr>
        <w:t xml:space="preserve">, o Plenário acatou a proposta da relatoria, </w:t>
      </w:r>
      <w:r w:rsidR="00205BBD">
        <w:rPr>
          <w:sz w:val="22"/>
          <w:szCs w:val="22"/>
        </w:rPr>
        <w:t>negando provimento ao A</w:t>
      </w:r>
      <w:r w:rsidR="0035552E">
        <w:rPr>
          <w:sz w:val="22"/>
          <w:szCs w:val="22"/>
        </w:rPr>
        <w:t>gravo e adotando as demais medidas destinadas ao saneamento dos autos</w:t>
      </w:r>
      <w:r w:rsidR="0035552E" w:rsidRPr="007B27EB">
        <w:rPr>
          <w:sz w:val="22"/>
          <w:szCs w:val="22"/>
        </w:rPr>
        <w:t>.</w:t>
      </w:r>
      <w:r w:rsidR="00205BBD">
        <w:rPr>
          <w:sz w:val="22"/>
          <w:szCs w:val="22"/>
        </w:rPr>
        <w:t xml:space="preserve"> </w:t>
      </w:r>
      <w:hyperlink r:id="rId10" w:history="1">
        <w:r w:rsidR="0035552E" w:rsidRPr="0035552E">
          <w:rPr>
            <w:rStyle w:val="Hyperlink"/>
            <w:b/>
            <w:i/>
            <w:sz w:val="22"/>
            <w:szCs w:val="22"/>
          </w:rPr>
          <w:t>Acórdão 130/2014-Plenário</w:t>
        </w:r>
      </w:hyperlink>
      <w:r w:rsidR="0035552E" w:rsidRPr="00C67C38">
        <w:rPr>
          <w:b/>
          <w:i/>
          <w:sz w:val="22"/>
          <w:szCs w:val="22"/>
        </w:rPr>
        <w:t xml:space="preserve">, TC 031.114/2013-0, relator Ministro </w:t>
      </w:r>
      <w:r w:rsidR="0035552E">
        <w:rPr>
          <w:b/>
          <w:i/>
          <w:sz w:val="22"/>
          <w:szCs w:val="22"/>
        </w:rPr>
        <w:t>José Jorge</w:t>
      </w:r>
      <w:r w:rsidR="0035552E" w:rsidRPr="00C67C38">
        <w:rPr>
          <w:b/>
          <w:i/>
          <w:sz w:val="22"/>
          <w:szCs w:val="22"/>
        </w:rPr>
        <w:t>, 2</w:t>
      </w:r>
      <w:r w:rsidR="0035552E">
        <w:rPr>
          <w:b/>
          <w:i/>
          <w:sz w:val="22"/>
          <w:szCs w:val="22"/>
        </w:rPr>
        <w:t>9</w:t>
      </w:r>
      <w:r w:rsidR="0035552E" w:rsidRPr="00C67C38">
        <w:rPr>
          <w:b/>
          <w:i/>
          <w:sz w:val="22"/>
          <w:szCs w:val="22"/>
        </w:rPr>
        <w:t>.1.2014.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1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6E65E1" w:rsidRDefault="00F3058F" w:rsidP="006E65E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6E65E1" w:rsidSect="00616945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95" w:rsidRDefault="00DB1495" w:rsidP="008B0547">
      <w:pPr>
        <w:spacing w:after="0"/>
      </w:pPr>
      <w:r>
        <w:separator/>
      </w:r>
    </w:p>
  </w:endnote>
  <w:endnote w:type="continuationSeparator" w:id="0">
    <w:p w:rsidR="00DB1495" w:rsidRDefault="00DB149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42781E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95" w:rsidRDefault="00DB1495" w:rsidP="008B0547">
      <w:pPr>
        <w:spacing w:after="0"/>
      </w:pPr>
      <w:r>
        <w:separator/>
      </w:r>
    </w:p>
  </w:footnote>
  <w:footnote w:type="continuationSeparator" w:id="0">
    <w:p w:rsidR="00DB1495" w:rsidRDefault="00DB149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AB1831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5F57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632"/>
    <w:rsid w:val="000A47EA"/>
    <w:rsid w:val="000A4E36"/>
    <w:rsid w:val="000A504A"/>
    <w:rsid w:val="000A5457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A79DB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C1E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32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0EB8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D7F80"/>
    <w:rsid w:val="001E0BF1"/>
    <w:rsid w:val="001E1E28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5BBD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0FE"/>
    <w:rsid w:val="00234285"/>
    <w:rsid w:val="002343BF"/>
    <w:rsid w:val="002344C1"/>
    <w:rsid w:val="0023455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2BB3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987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8EA"/>
    <w:rsid w:val="0039797F"/>
    <w:rsid w:val="00397D8E"/>
    <w:rsid w:val="003A008A"/>
    <w:rsid w:val="003A05E8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CC6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A82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7FD"/>
    <w:rsid w:val="003D4AA0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81E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0C8F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6971"/>
    <w:rsid w:val="00507A54"/>
    <w:rsid w:val="00507E53"/>
    <w:rsid w:val="00510257"/>
    <w:rsid w:val="00510D1D"/>
    <w:rsid w:val="00510E99"/>
    <w:rsid w:val="00511033"/>
    <w:rsid w:val="00511104"/>
    <w:rsid w:val="00511440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21"/>
    <w:rsid w:val="005603F5"/>
    <w:rsid w:val="005605D3"/>
    <w:rsid w:val="005609A0"/>
    <w:rsid w:val="00560E55"/>
    <w:rsid w:val="00560E76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63B5"/>
    <w:rsid w:val="005C674D"/>
    <w:rsid w:val="005C6842"/>
    <w:rsid w:val="005C6C37"/>
    <w:rsid w:val="005C6F00"/>
    <w:rsid w:val="005C7356"/>
    <w:rsid w:val="005C7644"/>
    <w:rsid w:val="005C77FD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8C2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D10"/>
    <w:rsid w:val="00681F18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4D4"/>
    <w:rsid w:val="00684966"/>
    <w:rsid w:val="00684BAF"/>
    <w:rsid w:val="006856FD"/>
    <w:rsid w:val="00685899"/>
    <w:rsid w:val="006859DA"/>
    <w:rsid w:val="0068662B"/>
    <w:rsid w:val="00686772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47D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1F15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B66"/>
    <w:rsid w:val="0075064C"/>
    <w:rsid w:val="00750E7E"/>
    <w:rsid w:val="00751AAF"/>
    <w:rsid w:val="00752285"/>
    <w:rsid w:val="00752721"/>
    <w:rsid w:val="00752801"/>
    <w:rsid w:val="00752B26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67E"/>
    <w:rsid w:val="00767ADE"/>
    <w:rsid w:val="00767C28"/>
    <w:rsid w:val="007707EE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77"/>
    <w:rsid w:val="007934F1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635"/>
    <w:rsid w:val="007A7750"/>
    <w:rsid w:val="007A77BF"/>
    <w:rsid w:val="007A7AA2"/>
    <w:rsid w:val="007A7C23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2C53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458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D8"/>
    <w:rsid w:val="008D7CB3"/>
    <w:rsid w:val="008D7CB8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1F81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ED6"/>
    <w:rsid w:val="00932EFE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EDC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07D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831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269"/>
    <w:rsid w:val="00AB5586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8B"/>
    <w:rsid w:val="00AE3960"/>
    <w:rsid w:val="00AE4074"/>
    <w:rsid w:val="00AE439A"/>
    <w:rsid w:val="00AE4561"/>
    <w:rsid w:val="00AE54D5"/>
    <w:rsid w:val="00AE591D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AF7766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27739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EBC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BF2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89"/>
    <w:rsid w:val="00B726F8"/>
    <w:rsid w:val="00B7273E"/>
    <w:rsid w:val="00B72C08"/>
    <w:rsid w:val="00B72EBB"/>
    <w:rsid w:val="00B7305E"/>
    <w:rsid w:val="00B7316F"/>
    <w:rsid w:val="00B73288"/>
    <w:rsid w:val="00B7350D"/>
    <w:rsid w:val="00B73B28"/>
    <w:rsid w:val="00B73E58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A7276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B48"/>
    <w:rsid w:val="00C62BAA"/>
    <w:rsid w:val="00C6352A"/>
    <w:rsid w:val="00C635CC"/>
    <w:rsid w:val="00C63B29"/>
    <w:rsid w:val="00C63D29"/>
    <w:rsid w:val="00C63E6A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C38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932"/>
    <w:rsid w:val="00C76976"/>
    <w:rsid w:val="00C76D32"/>
    <w:rsid w:val="00C778A2"/>
    <w:rsid w:val="00C77E68"/>
    <w:rsid w:val="00C80C77"/>
    <w:rsid w:val="00C80D90"/>
    <w:rsid w:val="00C8104E"/>
    <w:rsid w:val="00C81245"/>
    <w:rsid w:val="00C815D0"/>
    <w:rsid w:val="00C81B05"/>
    <w:rsid w:val="00C82179"/>
    <w:rsid w:val="00C8228A"/>
    <w:rsid w:val="00C824E1"/>
    <w:rsid w:val="00C83607"/>
    <w:rsid w:val="00C836EE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1D1F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5CA"/>
    <w:rsid w:val="00D7374B"/>
    <w:rsid w:val="00D741F4"/>
    <w:rsid w:val="00D74420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1C2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50C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4AE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7A57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EF"/>
    <w:rsid w:val="00F04DF5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DD6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72C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1D8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2C8"/>
    <w:rsid w:val="00F9754A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902581B-34E1-45A2-ADC5-F345B8BD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8315&amp;texto=2b2532384e554d41434f5244414f2533413131372b4f522b4e554d52454c4143414f2533413131372532392b414e442b2b2532384e554d414e4f41434f5244414f253341323031342b4f522b4e554d414e4f52454c4143414f25334132303134253239&amp;sort=DTRELEVANCIA&amp;ordem=DESC&amp;bases=ACORDAO-LEGADO;DECISAO-LEGADO;RELACAO-LEGADO;ACORDAO-RELACAO-LEGADO;&amp;highlight=&amp;posicaoDocumento=0%20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8298&amp;texto=2b2532384e554d41434f5244414f2533413133302b4f522b4e554d52454c4143414f2533413133302532392b414e442b2b2532384e554d414e4f41434f5244414f253341323031342b4f522b4e554d414e4f52454c4143414f25334132303134253239&amp;sort=DTRELEVANCIA&amp;ordem=DESC&amp;bases=ACORDAO-LEGADO;DECISAO-LEGADO;RELACAO-LEGADO;ACORDAO-RELACAO-LEGADO;&amp;highlight=&amp;posicaoDocumento=0%20%20%20%20%20%20%20%20%20%20%20%20%20%20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8307&amp;texto=2b2532384e554d41434f5244414f2533413132322b4f522b4e554d52454c4143414f2533413132322532392b414e442b2b2532384e554d414e4f41434f5244414f253341323031342b4f522b4e554d414e4f52454c4143414f25334132303134253239&amp;sort=DTRELEVANCIA&amp;ordem=DESC&amp;bases=ACORDAO-LEGADO;DECISAO-LEGADO;RELACAO-LEGADO;ACORDAO-RELACAO-LEGADO;&amp;highlight=&amp;posicaoDocumento=0%20%20%20%2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E18F-2A83-436F-894F-2DC69231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1699</Words>
  <Characters>9180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10858</CharactersWithSpaces>
  <SharedDoc>false</SharedDoc>
  <HLinks>
    <vt:vector size="24" baseType="variant"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3080299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-118298&amp;texto=2b2532384e554d41434f5244414f2533413133302b4f522b4e554d52454c4143414f2533413133302532392b414e442b2b2532384e554d414e4f41434f5244414f253341323031342b4f522b4e554d414e4f52454c4143414f25334132303134253239&amp;sort=DTRELEVANCIA&amp;ordem=DESC&amp;bases=ACORDAO-LEGADO;DECISAO-LEGADO;RELACAO-LEGADO;ACORDAO-RELACAO-LEGADO;&amp;highlight=&amp;posicaoDocumento=0%20%20%20%20%20%20%20%20%20%20%20%20%20%20%20%20%20%20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-118307&amp;texto=2b2532384e554d41434f5244414f2533413132322b4f522b4e554d52454c4143414f2533413132322532392b414e442b2b2532384e554d414e4f41434f5244414f253341323031342b4f522b4e554d414e4f52454c4143414f25334132303134253239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-118315&amp;texto=2b2532384e554d41434f5244414f2533413131372b4f522b4e554d52454c4143414f2533413131372532392b414e442b2b2532384e554d414e4f41434f5244414f253341323031342b4f522b4e554d414e4f52454c4143414f25334132303134253239&amp;sort=DTRELEVANCIA&amp;ordem=DESC&amp;bases=ACORDAO-LEGADO;DECISAO-LEGADO;RELACAO-LEGADO;ACORDAO-RELACAO-LEGADO;&amp;highlight=&amp;posicaoDocumento=0%20%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2015-05-07T13:14:00Z</dcterms:created>
  <dcterms:modified xsi:type="dcterms:W3CDTF">2015-05-07T13:14:00Z</dcterms:modified>
</cp:coreProperties>
</file>