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314B9F" w:rsidRDefault="00C341B8" w:rsidP="00C6162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</w:t>
      </w:r>
      <w:r w:rsidR="00314B9F">
        <w:rPr>
          <w:rFonts w:ascii="Times New Roman" w:hAnsi="Times New Roman"/>
          <w:b/>
          <w:i w:val="0"/>
          <w:sz w:val="22"/>
          <w:szCs w:val="22"/>
          <w:lang w:val="pt-BR"/>
        </w:rPr>
        <w:t>70</w:t>
      </w:r>
    </w:p>
    <w:p w:rsidR="00C61626" w:rsidRPr="00C61626" w:rsidRDefault="0008246E" w:rsidP="00C6162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14B9F">
        <w:rPr>
          <w:rFonts w:ascii="Times New Roman" w:hAnsi="Times New Roman"/>
          <w:b/>
          <w:i w:val="0"/>
          <w:sz w:val="22"/>
          <w:szCs w:val="22"/>
          <w:lang w:val="pt-BR"/>
        </w:rPr>
        <w:t>24</w:t>
      </w:r>
      <w:r w:rsidR="00E852EC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314B9F">
        <w:rPr>
          <w:rFonts w:ascii="Times New Roman" w:hAnsi="Times New Roman"/>
          <w:b/>
          <w:i w:val="0"/>
          <w:sz w:val="22"/>
          <w:szCs w:val="22"/>
          <w:lang w:val="pt-BR"/>
        </w:rPr>
        <w:t>25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411268">
        <w:rPr>
          <w:rFonts w:ascii="Times New Roman" w:hAnsi="Times New Roman"/>
          <w:b/>
          <w:i w:val="0"/>
          <w:sz w:val="22"/>
          <w:szCs w:val="22"/>
        </w:rPr>
        <w:t>setembro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542E32" w:rsidRDefault="0008246E" w:rsidP="00C6162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542E32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542E32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542E32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542E32">
        <w:rPr>
          <w:b/>
          <w:bCs/>
          <w:smallCaps/>
          <w:sz w:val="22"/>
          <w:szCs w:val="22"/>
        </w:rPr>
        <w:t>SUMÁRIO</w:t>
      </w:r>
    </w:p>
    <w:p w:rsidR="00175500" w:rsidRPr="00542E32" w:rsidRDefault="0008246E" w:rsidP="00E93A09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42E32">
        <w:rPr>
          <w:b/>
          <w:sz w:val="22"/>
          <w:szCs w:val="22"/>
          <w:lang w:eastAsia="pt-BR"/>
        </w:rPr>
        <w:t>Plenário</w:t>
      </w:r>
    </w:p>
    <w:p w:rsidR="003C3874" w:rsidRDefault="003C3874" w:rsidP="003C3874">
      <w:pPr>
        <w:spacing w:after="60"/>
        <w:ind w:left="0"/>
        <w:rPr>
          <w:sz w:val="22"/>
          <w:szCs w:val="22"/>
        </w:rPr>
      </w:pPr>
      <w:r w:rsidRPr="003C3874">
        <w:rPr>
          <w:sz w:val="22"/>
          <w:szCs w:val="22"/>
        </w:rPr>
        <w:t>1. É possível a adoção do registro de preços nas licitações de obras, sob o regime do RDC, em que seja demonstrada a viabilidade de se estabelecer a padronização do objeto e das propostas, de modo que se permitam a obtenção da melhor proposta e contratações adequadas e vantajosas às necessidades dos interessados.</w:t>
      </w:r>
    </w:p>
    <w:p w:rsidR="004808EA" w:rsidRDefault="008F54FD" w:rsidP="003C3874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 w:rsidR="004808EA" w:rsidRPr="004808EA">
        <w:rPr>
          <w:sz w:val="22"/>
          <w:szCs w:val="22"/>
        </w:rPr>
        <w:t xml:space="preserve">. Nas licitações para registro de preços direcionadas apenas para aderentes, é obrigatório aos vencedores do certame contratar a integralidade dos quantitativos registrados na ata, conforme o </w:t>
      </w:r>
      <w:r w:rsidR="004808EA" w:rsidRPr="004808EA">
        <w:rPr>
          <w:i/>
          <w:sz w:val="22"/>
          <w:szCs w:val="22"/>
        </w:rPr>
        <w:t>mens legis</w:t>
      </w:r>
      <w:r w:rsidR="004808EA" w:rsidRPr="004808EA">
        <w:rPr>
          <w:sz w:val="22"/>
          <w:szCs w:val="22"/>
        </w:rPr>
        <w:t xml:space="preserve"> estabelecido no art. 96 c/c o art. 99 do Decreto 7.581/11. </w:t>
      </w:r>
    </w:p>
    <w:p w:rsidR="004808EA" w:rsidRDefault="008F54FD" w:rsidP="003C3874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B31096" w:rsidRPr="00B31096">
        <w:rPr>
          <w:sz w:val="22"/>
          <w:szCs w:val="22"/>
        </w:rPr>
        <w:t>. É indevida a inabilitação de licitante em razão da apresentação de atestado de capacidade técnica com data posterior à da abertura do certame, uma vez que tal documento tem natureza declaratória - e não constitutiva – de uma condição preexistente.</w:t>
      </w:r>
    </w:p>
    <w:p w:rsidR="00CA0C28" w:rsidRDefault="008F54FD" w:rsidP="003C3874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="00CA0C28" w:rsidRPr="00CA0C28">
        <w:rPr>
          <w:sz w:val="22"/>
          <w:szCs w:val="22"/>
        </w:rPr>
        <w:t>. Em sede de pregão eletrônico ou presencial, o juízo de admissibilidade das intenções de recurso deve avaliar tão-somente a presença dos pressupostos recursais (sucumbência, tempestividade, legitimidade, interesse e motivação), constituindo afronta à jurisprudência do TCU a denegação fundada em exame prévio do mérito do pedido.</w:t>
      </w:r>
    </w:p>
    <w:p w:rsidR="00036B23" w:rsidRDefault="00CA0BA2" w:rsidP="003C3874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5</w:t>
      </w:r>
      <w:r w:rsidR="00036B23" w:rsidRPr="0070392F">
        <w:rPr>
          <w:sz w:val="22"/>
          <w:szCs w:val="22"/>
        </w:rPr>
        <w:t xml:space="preserve">. </w:t>
      </w:r>
      <w:r w:rsidR="00036B23" w:rsidRPr="00C51663">
        <w:rPr>
          <w:sz w:val="22"/>
          <w:szCs w:val="22"/>
        </w:rPr>
        <w:t xml:space="preserve">A licitação para aquisição de cartuchos de </w:t>
      </w:r>
      <w:r w:rsidR="00036B23" w:rsidRPr="00C51663">
        <w:rPr>
          <w:i/>
          <w:sz w:val="22"/>
          <w:szCs w:val="22"/>
        </w:rPr>
        <w:t>toner</w:t>
      </w:r>
      <w:r w:rsidR="00036B23" w:rsidRPr="00C51663">
        <w:rPr>
          <w:sz w:val="22"/>
          <w:szCs w:val="22"/>
        </w:rPr>
        <w:t>, por se tratar de bem de informática, está sujeita à disciplina da Lei 8.248/91 e dos Decretos 5.906/06 e 7.174/10, inclusive no tocante ao direito de preferência aos bens e serviços produzidos com tecnologia desenvolvida no País e/ou de acordo com processo produtivo básico.</w:t>
      </w:r>
      <w:r w:rsidR="00036B23">
        <w:rPr>
          <w:b/>
          <w:sz w:val="22"/>
          <w:szCs w:val="22"/>
        </w:rPr>
        <w:t xml:space="preserve">  </w:t>
      </w:r>
    </w:p>
    <w:p w:rsidR="00BD5918" w:rsidRPr="001B1647" w:rsidRDefault="00CA0BA2" w:rsidP="003C3874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6</w:t>
      </w:r>
      <w:r w:rsidR="00261BAD" w:rsidRPr="00F4233F">
        <w:rPr>
          <w:sz w:val="22"/>
          <w:szCs w:val="22"/>
        </w:rPr>
        <w:t>.</w:t>
      </w:r>
      <w:r w:rsidR="009C0AF5" w:rsidRPr="00F4233F">
        <w:rPr>
          <w:sz w:val="22"/>
          <w:szCs w:val="22"/>
        </w:rPr>
        <w:t xml:space="preserve"> </w:t>
      </w:r>
      <w:r w:rsidR="00F4233F" w:rsidRPr="00F4233F">
        <w:rPr>
          <w:sz w:val="22"/>
          <w:szCs w:val="22"/>
        </w:rPr>
        <w:t>A taxa de BDI deve ser formada pelos componentes</w:t>
      </w:r>
      <w:r w:rsidR="00E314F3">
        <w:rPr>
          <w:sz w:val="22"/>
          <w:szCs w:val="22"/>
        </w:rPr>
        <w:t>:</w:t>
      </w:r>
      <w:r w:rsidR="00F4233F" w:rsidRPr="00F4233F">
        <w:rPr>
          <w:sz w:val="22"/>
          <w:szCs w:val="22"/>
        </w:rPr>
        <w:t xml:space="preserve"> administração central, riscos, seguros, garantias, despesas financeiras, remuneração do particular e tributos incidentes sobre a receita auferida pela execução da obra. Custos diretamente relacionados com o objeto da obra, passíveis de identificação, quantificação e mensuração na planilha de custos diretos (administração local, canteiro de obras, mobilização e desmobilização, dentre outros)</w:t>
      </w:r>
      <w:r w:rsidR="00E314F3">
        <w:rPr>
          <w:sz w:val="22"/>
          <w:szCs w:val="22"/>
        </w:rPr>
        <w:t>,</w:t>
      </w:r>
      <w:r w:rsidR="00F4233F" w:rsidRPr="00F4233F">
        <w:rPr>
          <w:sz w:val="22"/>
          <w:szCs w:val="22"/>
        </w:rPr>
        <w:t xml:space="preserve"> não devem integrar a taxa de BDI.</w:t>
      </w:r>
    </w:p>
    <w:p w:rsidR="00B53C88" w:rsidRPr="00542E32" w:rsidRDefault="00B53C88" w:rsidP="00270185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C978DB" w:rsidRPr="00F2433E" w:rsidRDefault="0008246E" w:rsidP="00F2433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542E32">
        <w:rPr>
          <w:b/>
          <w:bCs/>
          <w:smallCaps/>
          <w:sz w:val="22"/>
          <w:szCs w:val="22"/>
        </w:rPr>
        <w:t>PLENÁRIO</w:t>
      </w:r>
    </w:p>
    <w:p w:rsidR="004808EA" w:rsidRDefault="004808EA" w:rsidP="004808EA">
      <w:pPr>
        <w:spacing w:after="0"/>
        <w:ind w:left="0"/>
        <w:rPr>
          <w:b/>
          <w:sz w:val="22"/>
          <w:szCs w:val="22"/>
        </w:rPr>
      </w:pPr>
    </w:p>
    <w:p w:rsidR="008F54FD" w:rsidRPr="00040F67" w:rsidRDefault="008F54FD" w:rsidP="00040F67">
      <w:pPr>
        <w:spacing w:after="0"/>
        <w:ind w:left="0"/>
        <w:rPr>
          <w:b/>
          <w:sz w:val="22"/>
          <w:szCs w:val="22"/>
        </w:rPr>
      </w:pPr>
      <w:r w:rsidRPr="00040F67">
        <w:rPr>
          <w:b/>
          <w:sz w:val="22"/>
          <w:szCs w:val="22"/>
        </w:rPr>
        <w:t>1. É possível a adoção do registro de preços nas licitações de obras</w:t>
      </w:r>
      <w:r w:rsidR="003D611B" w:rsidRPr="00040F67">
        <w:rPr>
          <w:b/>
          <w:sz w:val="22"/>
          <w:szCs w:val="22"/>
        </w:rPr>
        <w:t>,</w:t>
      </w:r>
      <w:r w:rsidRPr="00040F67">
        <w:rPr>
          <w:b/>
          <w:sz w:val="22"/>
          <w:szCs w:val="22"/>
        </w:rPr>
        <w:t xml:space="preserve"> sob o regime do RDC</w:t>
      </w:r>
      <w:r w:rsidR="003D611B" w:rsidRPr="00040F67">
        <w:rPr>
          <w:b/>
          <w:sz w:val="22"/>
          <w:szCs w:val="22"/>
        </w:rPr>
        <w:t>,</w:t>
      </w:r>
      <w:r w:rsidRPr="00040F67">
        <w:rPr>
          <w:b/>
          <w:sz w:val="22"/>
          <w:szCs w:val="22"/>
        </w:rPr>
        <w:t xml:space="preserve"> em que seja demonstrada </w:t>
      </w:r>
      <w:r w:rsidR="000F3887" w:rsidRPr="00040F67">
        <w:rPr>
          <w:b/>
          <w:sz w:val="22"/>
          <w:szCs w:val="22"/>
        </w:rPr>
        <w:t>a viabilidade de se estabelecer a</w:t>
      </w:r>
      <w:r w:rsidRPr="00040F67">
        <w:rPr>
          <w:b/>
          <w:sz w:val="22"/>
          <w:szCs w:val="22"/>
        </w:rPr>
        <w:t xml:space="preserve"> padro</w:t>
      </w:r>
      <w:r w:rsidR="003D611B" w:rsidRPr="00040F67">
        <w:rPr>
          <w:b/>
          <w:sz w:val="22"/>
          <w:szCs w:val="22"/>
        </w:rPr>
        <w:t>nização do objeto e das propostas, de modo que</w:t>
      </w:r>
      <w:r w:rsidR="000F3887" w:rsidRPr="00040F67">
        <w:rPr>
          <w:b/>
          <w:sz w:val="22"/>
          <w:szCs w:val="22"/>
        </w:rPr>
        <w:t xml:space="preserve"> se</w:t>
      </w:r>
      <w:r w:rsidR="003D611B" w:rsidRPr="00040F67">
        <w:rPr>
          <w:b/>
          <w:sz w:val="22"/>
          <w:szCs w:val="22"/>
        </w:rPr>
        <w:t xml:space="preserve"> permita</w:t>
      </w:r>
      <w:r w:rsidR="000F3887" w:rsidRPr="00040F67">
        <w:rPr>
          <w:b/>
          <w:sz w:val="22"/>
          <w:szCs w:val="22"/>
        </w:rPr>
        <w:t xml:space="preserve">m a obtenção da melhor proposta </w:t>
      </w:r>
      <w:r w:rsidR="003C3874" w:rsidRPr="00040F67">
        <w:rPr>
          <w:b/>
          <w:sz w:val="22"/>
          <w:szCs w:val="22"/>
        </w:rPr>
        <w:t>e</w:t>
      </w:r>
      <w:r w:rsidR="003D611B" w:rsidRPr="00040F67">
        <w:rPr>
          <w:b/>
          <w:sz w:val="22"/>
          <w:szCs w:val="22"/>
        </w:rPr>
        <w:t xml:space="preserve"> contratações</w:t>
      </w:r>
      <w:r w:rsidR="003C3874" w:rsidRPr="00040F67">
        <w:rPr>
          <w:b/>
          <w:sz w:val="22"/>
          <w:szCs w:val="22"/>
        </w:rPr>
        <w:t xml:space="preserve"> adequadas e</w:t>
      </w:r>
      <w:r w:rsidR="003D611B" w:rsidRPr="00040F67">
        <w:rPr>
          <w:b/>
          <w:sz w:val="22"/>
          <w:szCs w:val="22"/>
        </w:rPr>
        <w:t xml:space="preserve"> vantajosas</w:t>
      </w:r>
      <w:r w:rsidR="000F3887" w:rsidRPr="00040F67">
        <w:rPr>
          <w:b/>
          <w:sz w:val="22"/>
          <w:szCs w:val="22"/>
        </w:rPr>
        <w:t xml:space="preserve"> às necessidades dos</w:t>
      </w:r>
      <w:r w:rsidR="003D611B" w:rsidRPr="00040F67">
        <w:rPr>
          <w:b/>
          <w:sz w:val="22"/>
          <w:szCs w:val="22"/>
        </w:rPr>
        <w:t xml:space="preserve"> interessados</w:t>
      </w:r>
      <w:r w:rsidRPr="00040F67">
        <w:rPr>
          <w:b/>
          <w:sz w:val="22"/>
          <w:szCs w:val="22"/>
        </w:rPr>
        <w:t>.</w:t>
      </w:r>
    </w:p>
    <w:p w:rsidR="008F54FD" w:rsidRPr="00040F67" w:rsidRDefault="008F54FD" w:rsidP="00040F67">
      <w:pPr>
        <w:spacing w:after="0"/>
        <w:ind w:left="0"/>
        <w:rPr>
          <w:sz w:val="22"/>
          <w:szCs w:val="22"/>
          <w:lang w:eastAsia="pt-BR"/>
        </w:rPr>
      </w:pPr>
      <w:r w:rsidRPr="00040F67">
        <w:rPr>
          <w:sz w:val="22"/>
          <w:szCs w:val="22"/>
          <w:lang w:eastAsia="pt-BR"/>
        </w:rPr>
        <w:t>Representação formulada por equipe de fiscalização do Tribunal acerca de possíveis irregularidades em editais de registro de preços lançados pelo FNDE apontara “</w:t>
      </w:r>
      <w:r w:rsidRPr="00040F67">
        <w:rPr>
          <w:i/>
          <w:sz w:val="22"/>
          <w:szCs w:val="22"/>
          <w:lang w:eastAsia="pt-BR"/>
        </w:rPr>
        <w:t>ilegalidade da aplicação do Sistema de Registro de Preços (SRP) para obras</w:t>
      </w:r>
      <w:r w:rsidRPr="00040F67">
        <w:rPr>
          <w:sz w:val="22"/>
          <w:szCs w:val="22"/>
          <w:lang w:eastAsia="pt-BR"/>
        </w:rPr>
        <w:t>”. As licitações em questão, realizadas mediante Regime Diferenciado de Contratação (RDC), tiveram por objeto a “</w:t>
      </w:r>
      <w:r w:rsidRPr="00040F67">
        <w:rPr>
          <w:i/>
          <w:sz w:val="22"/>
          <w:szCs w:val="22"/>
          <w:lang w:eastAsia="pt-BR"/>
        </w:rPr>
        <w:t>eventual construção de escolas-padrão</w:t>
      </w:r>
      <w:r w:rsidRPr="00040F67">
        <w:rPr>
          <w:sz w:val="22"/>
          <w:szCs w:val="22"/>
          <w:lang w:eastAsia="pt-BR"/>
        </w:rPr>
        <w:t xml:space="preserve">” no âmbito do Programa </w:t>
      </w:r>
      <w:proofErr w:type="spellStart"/>
      <w:r w:rsidRPr="00040F67">
        <w:rPr>
          <w:sz w:val="22"/>
          <w:szCs w:val="22"/>
          <w:lang w:eastAsia="pt-BR"/>
        </w:rPr>
        <w:t>Proinfância</w:t>
      </w:r>
      <w:proofErr w:type="spellEnd"/>
      <w:r w:rsidRPr="00040F67">
        <w:rPr>
          <w:sz w:val="22"/>
          <w:szCs w:val="22"/>
          <w:lang w:eastAsia="pt-BR"/>
        </w:rPr>
        <w:t>, obedecendo às tipologias dos Projetos-Padrão definidos pelo FNDE. Após a oitiva do órgão, o relator destacou que o</w:t>
      </w:r>
      <w:r w:rsidRPr="00040F67">
        <w:rPr>
          <w:sz w:val="22"/>
          <w:szCs w:val="22"/>
        </w:rPr>
        <w:t xml:space="preserve"> </w:t>
      </w:r>
      <w:r w:rsidRPr="00040F67">
        <w:rPr>
          <w:sz w:val="22"/>
          <w:szCs w:val="22"/>
          <w:lang w:eastAsia="pt-BR"/>
        </w:rPr>
        <w:t>Decreto 7.581/11, que regulamenta o RDC, bem como o Decreto 7.892/13, que regulamenta o SRP, não contemplavam previsão para a utilização do instituto do registro de preços para obras. Ponderou</w:t>
      </w:r>
      <w:r w:rsidR="00123B49" w:rsidRPr="00040F67">
        <w:rPr>
          <w:sz w:val="22"/>
          <w:szCs w:val="22"/>
          <w:lang w:eastAsia="pt-BR"/>
        </w:rPr>
        <w:t>,</w:t>
      </w:r>
      <w:r w:rsidRPr="00040F67">
        <w:rPr>
          <w:sz w:val="22"/>
          <w:szCs w:val="22"/>
          <w:lang w:eastAsia="pt-BR"/>
        </w:rPr>
        <w:t xml:space="preserve"> contudo, diante da situação fática evidenciada nos autos, que a anulação do certame não seria cabível em razão dos prejuízos sociais decorrentes da paralisação do programa, destacando que a “</w:t>
      </w:r>
      <w:r w:rsidRPr="00040F67">
        <w:rPr>
          <w:i/>
          <w:sz w:val="22"/>
          <w:szCs w:val="22"/>
          <w:lang w:eastAsia="pt-BR"/>
        </w:rPr>
        <w:t>visão teleológica da lei</w:t>
      </w:r>
      <w:r w:rsidRPr="00040F67">
        <w:rPr>
          <w:sz w:val="22"/>
          <w:szCs w:val="22"/>
          <w:lang w:eastAsia="pt-BR"/>
        </w:rPr>
        <w:t>” e a publicaç</w:t>
      </w:r>
      <w:r w:rsidR="00123B49" w:rsidRPr="00040F67">
        <w:rPr>
          <w:sz w:val="22"/>
          <w:szCs w:val="22"/>
          <w:lang w:eastAsia="pt-BR"/>
        </w:rPr>
        <w:t>ão posterior do Decreto 8.080/</w:t>
      </w:r>
      <w:r w:rsidRPr="00040F67">
        <w:rPr>
          <w:sz w:val="22"/>
          <w:szCs w:val="22"/>
          <w:lang w:eastAsia="pt-BR"/>
        </w:rPr>
        <w:t>13 (que alte</w:t>
      </w:r>
      <w:r w:rsidR="00123B49" w:rsidRPr="00040F67">
        <w:rPr>
          <w:sz w:val="22"/>
          <w:szCs w:val="22"/>
          <w:lang w:eastAsia="pt-BR"/>
        </w:rPr>
        <w:t>rou o Decreto 7.581/11) são</w:t>
      </w:r>
      <w:r w:rsidRPr="00040F67">
        <w:rPr>
          <w:sz w:val="22"/>
          <w:szCs w:val="22"/>
          <w:lang w:eastAsia="pt-BR"/>
        </w:rPr>
        <w:t xml:space="preserve"> decisivos na análise da questão. Sobre o mencionado decreto, ressaltou que, ao autorizar, de forma literal, a utilização do SRP para obras, não t</w:t>
      </w:r>
      <w:r w:rsidR="00DF73C5" w:rsidRPr="00040F67">
        <w:rPr>
          <w:sz w:val="22"/>
          <w:szCs w:val="22"/>
          <w:lang w:eastAsia="pt-BR"/>
        </w:rPr>
        <w:t>eria extrapolado a Lei 12.462/</w:t>
      </w:r>
      <w:r w:rsidRPr="00040F67">
        <w:rPr>
          <w:sz w:val="22"/>
          <w:szCs w:val="22"/>
          <w:lang w:eastAsia="pt-BR"/>
        </w:rPr>
        <w:t>1</w:t>
      </w:r>
      <w:r w:rsidR="00D87498">
        <w:rPr>
          <w:sz w:val="22"/>
          <w:szCs w:val="22"/>
          <w:lang w:eastAsia="pt-BR"/>
        </w:rPr>
        <w:t>1 (RDC). Explicou que em um SRP</w:t>
      </w:r>
      <w:r w:rsidRPr="00040F67">
        <w:rPr>
          <w:sz w:val="22"/>
          <w:szCs w:val="22"/>
          <w:lang w:eastAsia="pt-BR"/>
        </w:rPr>
        <w:t xml:space="preserve"> os objetos devem ser padronizáveis</w:t>
      </w:r>
      <w:r w:rsidR="00DF73C5" w:rsidRPr="00040F67">
        <w:rPr>
          <w:sz w:val="22"/>
          <w:szCs w:val="22"/>
          <w:lang w:eastAsia="pt-BR"/>
        </w:rPr>
        <w:t>,</w:t>
      </w:r>
      <w:r w:rsidRPr="00040F67">
        <w:rPr>
          <w:sz w:val="22"/>
          <w:szCs w:val="22"/>
          <w:lang w:eastAsia="pt-BR"/>
        </w:rPr>
        <w:t xml:space="preserve"> sob pena de não oferecer uma contratação vantajosa, e como as obras, em geral, não são padronizáveis, a Lei não dispôs sobre elas de forma direta. No caso concreto, contudo, </w:t>
      </w:r>
      <w:r w:rsidRPr="00040F67">
        <w:rPr>
          <w:sz w:val="22"/>
          <w:szCs w:val="22"/>
        </w:rPr>
        <w:t>“</w:t>
      </w:r>
      <w:r w:rsidRPr="00040F67">
        <w:rPr>
          <w:i/>
          <w:sz w:val="22"/>
          <w:szCs w:val="22"/>
          <w:lang w:eastAsia="pt-BR"/>
        </w:rPr>
        <w:t>a modelagem da licitação foi engenhosamente concebida</w:t>
      </w:r>
      <w:r w:rsidRPr="00040F67">
        <w:rPr>
          <w:sz w:val="22"/>
          <w:szCs w:val="22"/>
          <w:lang w:eastAsia="pt-BR"/>
        </w:rPr>
        <w:t>” de forma a possibilitar a padronização de propostas e a precificação justa das edificações, destacando, além da baixa complexidade técnica e porte das obras, a regionalização dos lotes e a utilização da contratação integrada como fatores determinantes para a padronização da obra. Concluiu, por fim, que “</w:t>
      </w:r>
      <w:r w:rsidRPr="00040F67">
        <w:rPr>
          <w:i/>
          <w:sz w:val="22"/>
          <w:szCs w:val="22"/>
          <w:lang w:eastAsia="pt-BR"/>
        </w:rPr>
        <w:t>o mens legis do dispositivo questionado foi plenamente atendido. A licitação em escopo teve o poder de escolher a melhor proposta ...</w:t>
      </w:r>
      <w:r w:rsidRPr="00040F67">
        <w:rPr>
          <w:sz w:val="22"/>
          <w:szCs w:val="22"/>
          <w:lang w:eastAsia="pt-BR"/>
        </w:rPr>
        <w:t xml:space="preserve">”. Ressalvou, por fim, os riscos de se licitar, generalizadamente, obras por registro de preço, motivo pelo qual propôs o acompanhamento do programa, desde a construção até o pós-obra. O Tribunal </w:t>
      </w:r>
      <w:bookmarkStart w:id="1" w:name="Hit1"/>
      <w:r w:rsidRPr="00040F67">
        <w:rPr>
          <w:sz w:val="22"/>
          <w:szCs w:val="22"/>
          <w:lang w:eastAsia="pt-BR"/>
        </w:rPr>
        <w:t>endossou</w:t>
      </w:r>
      <w:bookmarkEnd w:id="1"/>
      <w:r w:rsidRPr="00040F67">
        <w:rPr>
          <w:sz w:val="22"/>
          <w:szCs w:val="22"/>
          <w:lang w:eastAsia="pt-BR"/>
        </w:rPr>
        <w:t xml:space="preserve"> a proposta do relator qua</w:t>
      </w:r>
      <w:r w:rsidR="00BF2A1F" w:rsidRPr="00040F67">
        <w:rPr>
          <w:sz w:val="22"/>
          <w:szCs w:val="22"/>
          <w:lang w:eastAsia="pt-BR"/>
        </w:rPr>
        <w:t>nto a essa questão, julgando a R</w:t>
      </w:r>
      <w:r w:rsidRPr="00040F67">
        <w:rPr>
          <w:sz w:val="22"/>
          <w:szCs w:val="22"/>
          <w:lang w:eastAsia="pt-BR"/>
        </w:rPr>
        <w:t>epres</w:t>
      </w:r>
      <w:r w:rsidR="007A2DFE">
        <w:rPr>
          <w:sz w:val="22"/>
          <w:szCs w:val="22"/>
          <w:lang w:eastAsia="pt-BR"/>
        </w:rPr>
        <w:t xml:space="preserve">entação parcialmente procedente. </w:t>
      </w:r>
      <w:hyperlink r:id="rId8" w:history="1">
        <w:r w:rsidR="007A2DFE" w:rsidRPr="007A2DFE">
          <w:rPr>
            <w:rStyle w:val="Hyperlink"/>
            <w:b/>
            <w:i/>
            <w:sz w:val="22"/>
            <w:szCs w:val="22"/>
            <w:lang w:eastAsia="pt-BR"/>
          </w:rPr>
          <w:t>Acórdão 2600/2013-Plenário</w:t>
        </w:r>
      </w:hyperlink>
      <w:r w:rsidRPr="00040F67">
        <w:rPr>
          <w:b/>
          <w:i/>
          <w:sz w:val="22"/>
          <w:szCs w:val="22"/>
        </w:rPr>
        <w:t>, TC 019.318/2013-8, relator Ministro Valmir Campelo, 25.9.2013.</w:t>
      </w:r>
    </w:p>
    <w:p w:rsidR="008F54FD" w:rsidRPr="00040F67" w:rsidRDefault="008F54FD" w:rsidP="00040F67">
      <w:pPr>
        <w:spacing w:after="0"/>
        <w:ind w:left="0"/>
        <w:rPr>
          <w:b/>
          <w:sz w:val="22"/>
          <w:szCs w:val="22"/>
        </w:rPr>
      </w:pPr>
    </w:p>
    <w:p w:rsidR="004808EA" w:rsidRPr="00040F67" w:rsidRDefault="008F54FD" w:rsidP="00040F67">
      <w:pPr>
        <w:spacing w:after="0"/>
        <w:ind w:left="0"/>
        <w:rPr>
          <w:b/>
          <w:sz w:val="22"/>
          <w:szCs w:val="22"/>
        </w:rPr>
      </w:pPr>
      <w:r w:rsidRPr="00040F67">
        <w:rPr>
          <w:b/>
          <w:sz w:val="22"/>
          <w:szCs w:val="22"/>
        </w:rPr>
        <w:t>2</w:t>
      </w:r>
      <w:r w:rsidR="004808EA" w:rsidRPr="00040F67">
        <w:rPr>
          <w:b/>
          <w:sz w:val="22"/>
          <w:szCs w:val="22"/>
        </w:rPr>
        <w:t xml:space="preserve">. Nas licitações para registro de preços direcionadas apenas para aderentes, é obrigatório aos vencedores do certame contratar a integralidade dos quantitativos registrados na ata, conforme o </w:t>
      </w:r>
      <w:r w:rsidR="004808EA" w:rsidRPr="00040F67">
        <w:rPr>
          <w:b/>
          <w:i/>
          <w:sz w:val="22"/>
          <w:szCs w:val="22"/>
        </w:rPr>
        <w:t>mens legis</w:t>
      </w:r>
      <w:r w:rsidR="004808EA" w:rsidRPr="00040F67">
        <w:rPr>
          <w:b/>
          <w:sz w:val="22"/>
          <w:szCs w:val="22"/>
        </w:rPr>
        <w:t xml:space="preserve"> estabelecido no art. 96 c/c o art. 99 do Decreto 7.581/11. </w:t>
      </w:r>
    </w:p>
    <w:p w:rsidR="004808EA" w:rsidRPr="00040F67" w:rsidRDefault="00BF2A1F" w:rsidP="00040F67">
      <w:pPr>
        <w:spacing w:after="0"/>
        <w:ind w:left="0"/>
        <w:rPr>
          <w:sz w:val="22"/>
          <w:szCs w:val="22"/>
          <w:lang w:eastAsia="pt-BR"/>
        </w:rPr>
      </w:pPr>
      <w:r w:rsidRPr="00040F67">
        <w:rPr>
          <w:sz w:val="22"/>
          <w:szCs w:val="22"/>
          <w:lang w:eastAsia="pt-BR"/>
        </w:rPr>
        <w:t xml:space="preserve">Ainda na Representação relativa aos </w:t>
      </w:r>
      <w:r w:rsidR="00855033" w:rsidRPr="00040F67">
        <w:rPr>
          <w:sz w:val="22"/>
          <w:szCs w:val="22"/>
          <w:lang w:eastAsia="pt-BR"/>
        </w:rPr>
        <w:t>editais de registro de p</w:t>
      </w:r>
      <w:r w:rsidRPr="00040F67">
        <w:rPr>
          <w:sz w:val="22"/>
          <w:szCs w:val="22"/>
          <w:lang w:eastAsia="pt-BR"/>
        </w:rPr>
        <w:t xml:space="preserve">reços lançados pelo FNDE no âmbito do Programa  </w:t>
      </w:r>
      <w:proofErr w:type="spellStart"/>
      <w:r w:rsidRPr="00040F67">
        <w:rPr>
          <w:sz w:val="22"/>
          <w:szCs w:val="22"/>
          <w:lang w:eastAsia="pt-BR"/>
        </w:rPr>
        <w:t>Proinfância</w:t>
      </w:r>
      <w:proofErr w:type="spellEnd"/>
      <w:r w:rsidRPr="00040F67">
        <w:rPr>
          <w:sz w:val="22"/>
          <w:szCs w:val="22"/>
          <w:lang w:eastAsia="pt-BR"/>
        </w:rPr>
        <w:t xml:space="preserve">, </w:t>
      </w:r>
      <w:r w:rsidR="00855033" w:rsidRPr="00040F67">
        <w:rPr>
          <w:sz w:val="22"/>
          <w:szCs w:val="22"/>
          <w:lang w:eastAsia="pt-BR"/>
        </w:rPr>
        <w:t xml:space="preserve">o relator questionou </w:t>
      </w:r>
      <w:r w:rsidR="00671CC8" w:rsidRPr="00040F67">
        <w:rPr>
          <w:sz w:val="22"/>
          <w:szCs w:val="22"/>
          <w:lang w:eastAsia="pt-BR"/>
        </w:rPr>
        <w:t>cláusula</w:t>
      </w:r>
      <w:r w:rsidR="004808EA" w:rsidRPr="00040F67">
        <w:rPr>
          <w:sz w:val="22"/>
          <w:szCs w:val="22"/>
          <w:lang w:eastAsia="pt-BR"/>
        </w:rPr>
        <w:t xml:space="preserve"> que </w:t>
      </w:r>
      <w:proofErr w:type="spellStart"/>
      <w:r w:rsidR="004808EA" w:rsidRPr="00040F67">
        <w:rPr>
          <w:sz w:val="22"/>
          <w:szCs w:val="22"/>
          <w:lang w:eastAsia="pt-BR"/>
        </w:rPr>
        <w:t>permitira</w:t>
      </w:r>
      <w:proofErr w:type="spellEnd"/>
      <w:r w:rsidR="004808EA" w:rsidRPr="00040F67">
        <w:rPr>
          <w:sz w:val="22"/>
          <w:szCs w:val="22"/>
          <w:lang w:eastAsia="pt-BR"/>
        </w:rPr>
        <w:t xml:space="preserve"> aos fornecedores beneficiários da ata</w:t>
      </w:r>
      <w:r w:rsidR="004808EA" w:rsidRPr="00040F67">
        <w:rPr>
          <w:i/>
          <w:sz w:val="22"/>
          <w:szCs w:val="22"/>
          <w:lang w:eastAsia="pt-BR"/>
        </w:rPr>
        <w:t xml:space="preserve"> “optar pela aceitação ou não do fornecimento aos interessados que ainda irão aderir à Ata de Registro de Preços, independentemente dos quantitativos registrados ...”</w:t>
      </w:r>
      <w:r w:rsidR="004808EA" w:rsidRPr="00040F67">
        <w:rPr>
          <w:sz w:val="22"/>
          <w:szCs w:val="22"/>
          <w:lang w:eastAsia="pt-BR"/>
        </w:rPr>
        <w:t>. O relator registrou que a cláusula fundamentou-se no Decreto 7.581/11, que regulamenta o RDC, o qual prescreve que os fornecedores</w:t>
      </w:r>
      <w:r w:rsidR="004808EA" w:rsidRPr="00040F67">
        <w:rPr>
          <w:i/>
          <w:sz w:val="22"/>
          <w:szCs w:val="22"/>
          <w:lang w:eastAsia="pt-BR"/>
        </w:rPr>
        <w:t xml:space="preserve"> “não serão obrigados a contratar com órgãos aderentes </w:t>
      </w:r>
      <w:r w:rsidR="004808EA" w:rsidRPr="00040F67">
        <w:rPr>
          <w:sz w:val="22"/>
          <w:szCs w:val="22"/>
          <w:lang w:eastAsia="pt-BR"/>
        </w:rPr>
        <w:t xml:space="preserve">[caronas]”, impondo fornecimento obrigatório apenas aos participantes. Explicou que, em um processo convencional, as quantidades </w:t>
      </w:r>
      <w:proofErr w:type="spellStart"/>
      <w:r w:rsidR="004808EA" w:rsidRPr="00040F67">
        <w:rPr>
          <w:sz w:val="22"/>
          <w:szCs w:val="22"/>
          <w:lang w:eastAsia="pt-BR"/>
        </w:rPr>
        <w:t>editalícias</w:t>
      </w:r>
      <w:proofErr w:type="spellEnd"/>
      <w:r w:rsidR="004808EA" w:rsidRPr="00040F67">
        <w:rPr>
          <w:sz w:val="22"/>
          <w:szCs w:val="22"/>
          <w:lang w:eastAsia="pt-BR"/>
        </w:rPr>
        <w:t xml:space="preserve"> são o somatório das necessidades </w:t>
      </w:r>
      <w:r w:rsidR="004808EA" w:rsidRPr="00040F67">
        <w:rPr>
          <w:sz w:val="22"/>
          <w:szCs w:val="22"/>
          <w:u w:val="single"/>
          <w:lang w:eastAsia="pt-BR"/>
        </w:rPr>
        <w:t>do gerenciador e dos diversos participantes</w:t>
      </w:r>
      <w:r w:rsidR="004808EA" w:rsidRPr="00040F67">
        <w:rPr>
          <w:sz w:val="22"/>
          <w:szCs w:val="22"/>
          <w:lang w:eastAsia="pt-BR"/>
        </w:rPr>
        <w:t>, sendo esse quantitativo de fornecimento obrigatório. No caso peculiar da licitação em questão, em razão</w:t>
      </w:r>
      <w:r w:rsidR="003B0289" w:rsidRPr="00040F67">
        <w:rPr>
          <w:sz w:val="22"/>
          <w:szCs w:val="22"/>
          <w:lang w:eastAsia="pt-BR"/>
        </w:rPr>
        <w:t xml:space="preserve"> de ela ser concebida unicamente para a adesão dos municípios, inexistem necessidades do gerenciador</w:t>
      </w:r>
      <w:r w:rsidR="00EE0913" w:rsidRPr="00040F67">
        <w:rPr>
          <w:sz w:val="22"/>
          <w:szCs w:val="22"/>
          <w:lang w:eastAsia="pt-BR"/>
        </w:rPr>
        <w:t>, nem</w:t>
      </w:r>
      <w:r w:rsidR="003B0289" w:rsidRPr="00040F67">
        <w:rPr>
          <w:sz w:val="22"/>
          <w:szCs w:val="22"/>
          <w:lang w:eastAsia="pt-BR"/>
        </w:rPr>
        <w:t xml:space="preserve"> mesmo participantes. Assim</w:t>
      </w:r>
      <w:r w:rsidR="004808EA" w:rsidRPr="00040F67">
        <w:rPr>
          <w:sz w:val="22"/>
          <w:szCs w:val="22"/>
          <w:lang w:eastAsia="pt-BR"/>
        </w:rPr>
        <w:t xml:space="preserve">, </w:t>
      </w:r>
      <w:r w:rsidR="004808EA" w:rsidRPr="00040F67">
        <w:rPr>
          <w:bCs/>
          <w:sz w:val="22"/>
          <w:szCs w:val="22"/>
          <w:lang w:eastAsia="pt-BR"/>
        </w:rPr>
        <w:t>as quantidades são estimadas em função apenas das necessidades dos aderentes. Como consequência, “</w:t>
      </w:r>
      <w:r w:rsidR="004808EA" w:rsidRPr="00040F67">
        <w:rPr>
          <w:bCs/>
          <w:i/>
          <w:sz w:val="22"/>
          <w:szCs w:val="22"/>
          <w:lang w:eastAsia="pt-BR"/>
        </w:rPr>
        <w:t xml:space="preserve">o fornecedor, considerando que existem apenas ‘aderentes’, pode tender a contratar apenas a ‘boa fatia’ da licitação. Para aqueles lotes mais onerosos, pode decidir não contratar", </w:t>
      </w:r>
      <w:r w:rsidR="004808EA" w:rsidRPr="00040F67">
        <w:rPr>
          <w:bCs/>
          <w:sz w:val="22"/>
          <w:szCs w:val="22"/>
          <w:lang w:eastAsia="pt-BR"/>
        </w:rPr>
        <w:t xml:space="preserve">o que afastaria o alcance da </w:t>
      </w:r>
      <w:r w:rsidR="004808EA" w:rsidRPr="00040F67">
        <w:rPr>
          <w:bCs/>
          <w:i/>
          <w:sz w:val="22"/>
          <w:szCs w:val="22"/>
          <w:lang w:eastAsia="pt-BR"/>
        </w:rPr>
        <w:t>"boa proposta"</w:t>
      </w:r>
      <w:r w:rsidR="004808EA" w:rsidRPr="00040F67">
        <w:rPr>
          <w:bCs/>
          <w:sz w:val="22"/>
          <w:szCs w:val="22"/>
          <w:lang w:eastAsia="pt-BR"/>
        </w:rPr>
        <w:t>. Nesse sentido, concluiu o relator,  "</w:t>
      </w:r>
      <w:r w:rsidR="004808EA" w:rsidRPr="00040F67">
        <w:rPr>
          <w:bCs/>
          <w:i/>
          <w:sz w:val="22"/>
          <w:szCs w:val="22"/>
          <w:lang w:eastAsia="pt-BR"/>
        </w:rPr>
        <w:t>para assegurar o objetivo dessa licitação – que, afinal, é o que guarda o art. 99 do Decreto 7.581/2011, ao obrigar o fornecimento para o gerenciador e participantes – o fornecimento não pode ser optativo, para a vencedora. Tem de ser obrigatório... Tal condição tem de estar estampada nos instrumentos convocatórios nesse modelo, como condição para garantia da melhor proposta</w:t>
      </w:r>
      <w:r w:rsidR="004808EA" w:rsidRPr="00040F67">
        <w:rPr>
          <w:bCs/>
          <w:sz w:val="22"/>
          <w:szCs w:val="22"/>
          <w:lang w:eastAsia="pt-BR"/>
        </w:rPr>
        <w:t>". O Tribunal, em caráter excepcional, anuiu à continuidade da licitação, sem prejuízo de notificar o FNDE, dentre outras, da falha relativa à "</w:t>
      </w:r>
      <w:r w:rsidR="004808EA" w:rsidRPr="00040F67">
        <w:rPr>
          <w:bCs/>
          <w:i/>
          <w:sz w:val="22"/>
          <w:szCs w:val="22"/>
          <w:lang w:eastAsia="pt-BR"/>
        </w:rPr>
        <w:t xml:space="preserve">opção conferida à vencedora do certame de não contratar a integralidade dos quantitativos licitados na Ata de Registro de Preços, em desconformidade com o </w:t>
      </w:r>
      <w:r w:rsidR="004808EA" w:rsidRPr="00040F67">
        <w:rPr>
          <w:bCs/>
          <w:i/>
          <w:iCs/>
          <w:sz w:val="22"/>
          <w:szCs w:val="22"/>
          <w:lang w:eastAsia="pt-BR"/>
        </w:rPr>
        <w:t>mens legis</w:t>
      </w:r>
      <w:r w:rsidR="004808EA" w:rsidRPr="00040F67">
        <w:rPr>
          <w:bCs/>
          <w:i/>
          <w:sz w:val="22"/>
          <w:szCs w:val="22"/>
          <w:lang w:eastAsia="pt-BR"/>
        </w:rPr>
        <w:t xml:space="preserve"> estabelecido no art. 96 c/c art. 99 do Decreto 7.581/2011</w:t>
      </w:r>
      <w:r w:rsidR="004808EA" w:rsidRPr="00040F67">
        <w:rPr>
          <w:bCs/>
          <w:sz w:val="22"/>
          <w:szCs w:val="22"/>
          <w:lang w:eastAsia="pt-BR"/>
        </w:rPr>
        <w:t>".</w:t>
      </w:r>
      <w:r w:rsidR="007A2DFE">
        <w:rPr>
          <w:bCs/>
          <w:sz w:val="22"/>
          <w:szCs w:val="22"/>
          <w:lang w:eastAsia="pt-BR"/>
        </w:rPr>
        <w:t xml:space="preserve"> </w:t>
      </w:r>
      <w:hyperlink r:id="rId9" w:history="1">
        <w:r w:rsidR="007A2DFE" w:rsidRPr="007A2DFE">
          <w:rPr>
            <w:rStyle w:val="Hyperlink"/>
            <w:b/>
            <w:i/>
            <w:sz w:val="22"/>
            <w:szCs w:val="22"/>
            <w:lang w:eastAsia="pt-BR"/>
          </w:rPr>
          <w:t>Acórdão 2600/2013-Plenário</w:t>
        </w:r>
      </w:hyperlink>
      <w:r w:rsidR="004808EA" w:rsidRPr="00040F67">
        <w:rPr>
          <w:b/>
          <w:i/>
          <w:sz w:val="22"/>
          <w:szCs w:val="22"/>
        </w:rPr>
        <w:t>, TC 019.318/2013-8, relator Ministro Valmir Campelo, 25.9.2013.</w:t>
      </w:r>
    </w:p>
    <w:p w:rsidR="004808EA" w:rsidRPr="00040F67" w:rsidRDefault="004808EA" w:rsidP="00040F67">
      <w:pPr>
        <w:spacing w:after="0"/>
        <w:ind w:left="0"/>
        <w:rPr>
          <w:b/>
          <w:sz w:val="22"/>
          <w:szCs w:val="22"/>
        </w:rPr>
      </w:pPr>
    </w:p>
    <w:p w:rsidR="00B31096" w:rsidRPr="00040F67" w:rsidRDefault="008F54FD" w:rsidP="00040F67">
      <w:pPr>
        <w:spacing w:after="0"/>
        <w:ind w:left="0"/>
        <w:rPr>
          <w:b/>
          <w:sz w:val="22"/>
          <w:szCs w:val="22"/>
        </w:rPr>
      </w:pPr>
      <w:r w:rsidRPr="00040F67">
        <w:rPr>
          <w:b/>
          <w:sz w:val="22"/>
          <w:szCs w:val="22"/>
        </w:rPr>
        <w:t>3</w:t>
      </w:r>
      <w:r w:rsidR="00B31096" w:rsidRPr="00040F67">
        <w:rPr>
          <w:b/>
          <w:sz w:val="22"/>
          <w:szCs w:val="22"/>
        </w:rPr>
        <w:t>. É indevida a inabilitação de licitante em razão da apresentação de atestado de capacidade técnica com data posterior à da abertura do certame, uma vez que tal documento tem natureza declaratória - e não constitutiva – de uma condição preexistente.</w:t>
      </w:r>
    </w:p>
    <w:p w:rsidR="00B31096" w:rsidRPr="00040F67" w:rsidRDefault="00B31096" w:rsidP="00040F67">
      <w:pPr>
        <w:spacing w:after="0"/>
        <w:ind w:left="0"/>
        <w:rPr>
          <w:b/>
          <w:i/>
          <w:sz w:val="22"/>
          <w:szCs w:val="22"/>
        </w:rPr>
      </w:pPr>
      <w:r w:rsidRPr="00040F67">
        <w:rPr>
          <w:sz w:val="22"/>
          <w:szCs w:val="22"/>
          <w:lang w:eastAsia="pt-BR"/>
        </w:rPr>
        <w:t>Representação relativa a pregão eletrônico conduzido pela Faculdade de Farmácia da Universidade Federal do Rio de Janeiro (UFRJ), tendo por objeto a constituição de registro de preços para aquisição de equipamentos laboratoriais, apontara, dentre outras irregularidades, possível inabilitação indevida de licitante em razão do “</w:t>
      </w:r>
      <w:r w:rsidRPr="00040F67">
        <w:rPr>
          <w:i/>
          <w:sz w:val="22"/>
          <w:szCs w:val="22"/>
          <w:lang w:eastAsia="pt-BR"/>
        </w:rPr>
        <w:t>não envio de</w:t>
      </w:r>
      <w:r w:rsidRPr="00040F67">
        <w:rPr>
          <w:sz w:val="22"/>
          <w:szCs w:val="22"/>
          <w:lang w:eastAsia="pt-BR"/>
        </w:rPr>
        <w:t xml:space="preserve"> </w:t>
      </w:r>
      <w:r w:rsidRPr="00040F67">
        <w:rPr>
          <w:i/>
          <w:sz w:val="22"/>
          <w:szCs w:val="22"/>
          <w:lang w:eastAsia="pt-BR"/>
        </w:rPr>
        <w:t>catálogo (folder) com as características do produto cotado, bem como em razão da apresentação de atestado de capacidade técnica com data posterior à da licitação</w:t>
      </w:r>
      <w:r w:rsidRPr="00040F67">
        <w:rPr>
          <w:sz w:val="22"/>
          <w:szCs w:val="22"/>
          <w:lang w:eastAsia="pt-BR"/>
        </w:rPr>
        <w:t>”. Ao analisar as justificativas do órgão, o relator considerou confirmada a irregula</w:t>
      </w:r>
      <w:r w:rsidR="00F25BD6">
        <w:rPr>
          <w:sz w:val="22"/>
          <w:szCs w:val="22"/>
          <w:lang w:eastAsia="pt-BR"/>
        </w:rPr>
        <w:t>ridade quanto à inabilitação pela não apresentação</w:t>
      </w:r>
      <w:r w:rsidRPr="00040F67">
        <w:rPr>
          <w:sz w:val="22"/>
          <w:szCs w:val="22"/>
          <w:lang w:eastAsia="pt-BR"/>
        </w:rPr>
        <w:t xml:space="preserve"> do catálogo, uma vez que a própria UFRJ reconheceu o envio do documento pela licitante. Contudo, o órgão defendeu que permanecia como motivo determinante para a inabilitação a apresentação do </w:t>
      </w:r>
      <w:r w:rsidRPr="00040F67">
        <w:rPr>
          <w:i/>
          <w:sz w:val="22"/>
          <w:szCs w:val="22"/>
          <w:lang w:eastAsia="pt-BR"/>
        </w:rPr>
        <w:t>“certificado de capacidade técnica com data posterior ao dia da abertura do certame</w:t>
      </w:r>
      <w:r w:rsidRPr="00040F67">
        <w:rPr>
          <w:sz w:val="22"/>
          <w:szCs w:val="22"/>
          <w:lang w:eastAsia="pt-BR"/>
        </w:rPr>
        <w:t>”. Em relação a este ponto, o relator registrou que “</w:t>
      </w:r>
      <w:r w:rsidRPr="00040F67">
        <w:rPr>
          <w:i/>
          <w:sz w:val="22"/>
          <w:szCs w:val="22"/>
          <w:lang w:eastAsia="pt-BR"/>
        </w:rPr>
        <w:t>o atestado de capacidade técnica tem natureza declaratória -e não constitutiva – de uma condição preexistente. É dizer que a data do atestado não possuiu qualquer interferência na certificação propriamente dita, não sendo razoável sua recusa pelo simples fato de ter sido datado em momento posterior à data da abertura do certame. O que importa, em última instância, é a entrega tempestiva da documentação exigida pelo edital, o que, de acordo com o informado, ocorreu</w:t>
      </w:r>
      <w:r w:rsidRPr="00040F67">
        <w:rPr>
          <w:sz w:val="22"/>
          <w:szCs w:val="22"/>
          <w:lang w:eastAsia="pt-BR"/>
        </w:rPr>
        <w:t>”. Nesse sentido, considerando que “</w:t>
      </w:r>
      <w:r w:rsidRPr="00040F67">
        <w:rPr>
          <w:i/>
          <w:sz w:val="22"/>
          <w:szCs w:val="22"/>
          <w:lang w:eastAsia="pt-BR"/>
        </w:rPr>
        <w:t>não subsistem as apontadas irregularidades que formalmente fundamentaram a inabilitação da representante</w:t>
      </w:r>
      <w:r w:rsidRPr="00040F67">
        <w:rPr>
          <w:sz w:val="22"/>
          <w:szCs w:val="22"/>
          <w:lang w:eastAsia="pt-BR"/>
        </w:rPr>
        <w:t xml:space="preserve">”, propôs a adoção de medidas destinadas à anulação do ato de inabilitação e de todos os outros dele decorrentes, em razão de vício insanável no motivo determinante do ato, ficando a UFRJ autorizada, caso haja interesse, a dar continuidade ao procedimento licitatório a partir da etapa de habilitação. O Tribunal julgou procedente a Representação, expedindo a determinação proposta pelo relator. </w:t>
      </w:r>
      <w:r w:rsidR="007A2DFE">
        <w:rPr>
          <w:sz w:val="22"/>
          <w:szCs w:val="22"/>
          <w:lang w:eastAsia="pt-BR"/>
        </w:rPr>
        <w:t xml:space="preserve"> </w:t>
      </w:r>
      <w:hyperlink r:id="rId10" w:history="1">
        <w:r w:rsidR="007A2DFE" w:rsidRPr="007A2DFE">
          <w:rPr>
            <w:rStyle w:val="Hyperlink"/>
            <w:b/>
            <w:i/>
            <w:sz w:val="22"/>
            <w:szCs w:val="22"/>
            <w:lang w:eastAsia="pt-BR"/>
          </w:rPr>
          <w:t>Acórdão 2627/2013-Plenário</w:t>
        </w:r>
      </w:hyperlink>
      <w:r w:rsidRPr="00040F67">
        <w:rPr>
          <w:b/>
          <w:i/>
          <w:sz w:val="22"/>
          <w:szCs w:val="22"/>
        </w:rPr>
        <w:t>, TC 018.899/2013-7, relator Ministro Valmir Campelo, 25.9.2013.</w:t>
      </w:r>
    </w:p>
    <w:p w:rsidR="00B31096" w:rsidRPr="00040F67" w:rsidRDefault="00B31096" w:rsidP="00040F67">
      <w:pPr>
        <w:spacing w:after="0"/>
        <w:ind w:left="0"/>
        <w:rPr>
          <w:b/>
          <w:sz w:val="22"/>
          <w:szCs w:val="22"/>
          <w:lang w:eastAsia="pt-BR"/>
        </w:rPr>
      </w:pPr>
    </w:p>
    <w:p w:rsidR="00CA0C28" w:rsidRPr="00040F67" w:rsidRDefault="008F54FD" w:rsidP="00040F67">
      <w:pPr>
        <w:spacing w:after="0"/>
        <w:ind w:left="0"/>
        <w:rPr>
          <w:b/>
          <w:sz w:val="22"/>
          <w:szCs w:val="22"/>
        </w:rPr>
      </w:pPr>
      <w:r w:rsidRPr="00040F67">
        <w:rPr>
          <w:b/>
          <w:sz w:val="22"/>
          <w:szCs w:val="22"/>
        </w:rPr>
        <w:t>4</w:t>
      </w:r>
      <w:r w:rsidR="00CA0C28" w:rsidRPr="00040F67">
        <w:rPr>
          <w:b/>
          <w:sz w:val="22"/>
          <w:szCs w:val="22"/>
        </w:rPr>
        <w:t>. Em sede de pregão eletrônico ou presencial, o juízo de admissibilidade das intenções de recurso deve avaliar tão-somente a presença dos pressupostos recursais (sucumbência, tempestividade, legitimidade, interesse e motivação), constituindo afronta à jurisprudência do TCU a denegação fundada em exame prévio do mérito do pedido.</w:t>
      </w:r>
    </w:p>
    <w:p w:rsidR="00CA0C28" w:rsidRPr="00040F67" w:rsidRDefault="00CA0C28" w:rsidP="00040F67">
      <w:pPr>
        <w:spacing w:after="0"/>
        <w:ind w:left="0"/>
        <w:rPr>
          <w:b/>
          <w:i/>
          <w:sz w:val="22"/>
          <w:szCs w:val="22"/>
        </w:rPr>
      </w:pPr>
      <w:r w:rsidRPr="00040F67">
        <w:rPr>
          <w:sz w:val="22"/>
          <w:szCs w:val="22"/>
          <w:lang w:eastAsia="pt-BR"/>
        </w:rPr>
        <w:t>Ainda no âmbito da Representação relativa ao pregão eletrônico conduzido pela Faculdade de Farmácia da Universidade Federal do Rio de Janeiro, a representante levantara questionamento acerca da rejeição, pela UFRJ, da intenção de recurso manifestada após a sua inabilitação. No caso concreto, o órgão justificara a denegação sob a alegação de que “</w:t>
      </w:r>
      <w:r w:rsidRPr="00040F67">
        <w:rPr>
          <w:i/>
          <w:sz w:val="22"/>
          <w:szCs w:val="22"/>
          <w:lang w:eastAsia="pt-BR"/>
        </w:rPr>
        <w:t>o eventual deferimento do pleito poderia abrir precedente inaceitável – qual seja, a permissão para que participantes sem condições venham a regularizar sua situação apenas quando vencerem (...)</w:t>
      </w:r>
      <w:r w:rsidRPr="00040F67">
        <w:rPr>
          <w:sz w:val="22"/>
          <w:szCs w:val="22"/>
          <w:lang w:eastAsia="pt-BR"/>
        </w:rPr>
        <w:t>”. Em juízo de mérito, o relator considerou indevida a rejeição da intenção de recurso manifestada pela reclamante, destacando, com base na jurisprudência do TCU, que “</w:t>
      </w:r>
      <w:r w:rsidRPr="00040F67">
        <w:rPr>
          <w:i/>
          <w:sz w:val="22"/>
          <w:szCs w:val="22"/>
          <w:lang w:eastAsia="pt-BR"/>
        </w:rPr>
        <w:t>nas sessões públicas (pregão eletrônico ou presencial), ao realizar o juízo de admissibilidade das intenções de recurso a que se refere o art. 4º, inciso XVIII, da Lei nº 10.520/2002, o art. 11, inciso XVII, do Decreto 3.555/2000 e o art. 26, caput, do Decreto nº 5.450/2005, o pregoeiro deve verificar apenas a presença dos pressupostos recursais, ou seja, a sucumbência, a tempestividade, a legitimidade, o interesse e a motivação, abstendo-se de analisar, de antemão, o mérito do recurso</w:t>
      </w:r>
      <w:r w:rsidRPr="00040F67">
        <w:rPr>
          <w:sz w:val="22"/>
          <w:szCs w:val="22"/>
          <w:lang w:eastAsia="pt-BR"/>
        </w:rPr>
        <w:t>”. Nesse sentido, considerando a “</w:t>
      </w:r>
      <w:r w:rsidRPr="00040F67">
        <w:rPr>
          <w:i/>
          <w:sz w:val="22"/>
          <w:szCs w:val="22"/>
          <w:lang w:eastAsia="pt-BR"/>
        </w:rPr>
        <w:t>ausência de indicação por parte da UFRJ dos pressupostos recursais não atendidos no caso concreto</w:t>
      </w:r>
      <w:r w:rsidRPr="00040F67">
        <w:rPr>
          <w:sz w:val="22"/>
          <w:szCs w:val="22"/>
          <w:lang w:eastAsia="pt-BR"/>
        </w:rPr>
        <w:t xml:space="preserve">”, propôs a ciência dessa impropriedade à universidade. O Tribunal julgou procedente a representação, acolhendo a proposta de mérito do relator. </w:t>
      </w:r>
      <w:hyperlink r:id="rId11" w:history="1">
        <w:r w:rsidR="007A2DFE" w:rsidRPr="007A2DFE">
          <w:rPr>
            <w:rStyle w:val="Hyperlink"/>
            <w:b/>
            <w:i/>
            <w:sz w:val="22"/>
            <w:szCs w:val="22"/>
            <w:lang w:eastAsia="pt-BR"/>
          </w:rPr>
          <w:t>Acórdão 2627/2013-Plenário</w:t>
        </w:r>
      </w:hyperlink>
      <w:r w:rsidRPr="00040F67">
        <w:rPr>
          <w:b/>
          <w:i/>
          <w:sz w:val="22"/>
          <w:szCs w:val="22"/>
        </w:rPr>
        <w:t>, TC 018.899/2013-7, relator Ministro Valmir Campelo, 25.9.2013.</w:t>
      </w:r>
    </w:p>
    <w:p w:rsidR="00036B23" w:rsidRPr="00040F67" w:rsidRDefault="00036B23" w:rsidP="00040F67">
      <w:pPr>
        <w:spacing w:after="0"/>
        <w:ind w:left="0"/>
        <w:rPr>
          <w:b/>
          <w:sz w:val="22"/>
          <w:szCs w:val="22"/>
        </w:rPr>
      </w:pPr>
    </w:p>
    <w:p w:rsidR="00036B23" w:rsidRPr="00040F67" w:rsidRDefault="00CA0BA2" w:rsidP="00040F67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36B23" w:rsidRPr="00040F67">
        <w:rPr>
          <w:b/>
          <w:sz w:val="22"/>
          <w:szCs w:val="22"/>
        </w:rPr>
        <w:t xml:space="preserve">. A licitação para aquisição de cartuchos de </w:t>
      </w:r>
      <w:r w:rsidR="00036B23" w:rsidRPr="00040F67">
        <w:rPr>
          <w:b/>
          <w:i/>
          <w:sz w:val="22"/>
          <w:szCs w:val="22"/>
        </w:rPr>
        <w:t>toner</w:t>
      </w:r>
      <w:r w:rsidR="00036B23" w:rsidRPr="00040F67">
        <w:rPr>
          <w:b/>
          <w:sz w:val="22"/>
          <w:szCs w:val="22"/>
        </w:rPr>
        <w:t xml:space="preserve">, por se tratar de bem de informática, está sujeita à disciplina da Lei 8.248/91 e dos Decretos 5.906/06 e 7.174/10, inclusive no tocante ao direito de preferência aos bens e serviços produzidos com tecnologia desenvolvida no País e/ou de acordo com processo produtivo básico.  </w:t>
      </w:r>
    </w:p>
    <w:p w:rsidR="00036B23" w:rsidRPr="00040F67" w:rsidRDefault="00036B23" w:rsidP="00040F67">
      <w:pPr>
        <w:spacing w:after="0"/>
        <w:ind w:left="0"/>
        <w:rPr>
          <w:sz w:val="22"/>
          <w:szCs w:val="22"/>
        </w:rPr>
      </w:pPr>
      <w:r w:rsidRPr="00040F67">
        <w:rPr>
          <w:sz w:val="22"/>
          <w:szCs w:val="22"/>
          <w:lang w:eastAsia="pt-BR"/>
        </w:rPr>
        <w:t xml:space="preserve">Representação formulada por sociedade empresária sobre pregão eletrônico para registro de preços promovido pelo Instituto Nacional do Seguro Social – Gerência Executiva de Ouro Preto, destinado à aquisição de materiais de consumo diversos, dentre eles cartuchos de </w:t>
      </w:r>
      <w:r w:rsidRPr="00040F67">
        <w:rPr>
          <w:i/>
          <w:sz w:val="22"/>
          <w:szCs w:val="22"/>
          <w:lang w:eastAsia="pt-BR"/>
        </w:rPr>
        <w:t>toner</w:t>
      </w:r>
      <w:r w:rsidRPr="00040F67">
        <w:rPr>
          <w:sz w:val="22"/>
          <w:szCs w:val="22"/>
          <w:lang w:eastAsia="pt-BR"/>
        </w:rPr>
        <w:t xml:space="preserve"> de impressora, apontara inadequado enquadramento legal do certame. Segundo a representante, “</w:t>
      </w:r>
      <w:r w:rsidRPr="00040F67">
        <w:rPr>
          <w:i/>
          <w:sz w:val="22"/>
          <w:szCs w:val="22"/>
          <w:lang w:eastAsia="pt-BR"/>
        </w:rPr>
        <w:t xml:space="preserve">a Gerência Executiva do INSS não considerou os cartuchos de </w:t>
      </w:r>
      <w:r w:rsidRPr="00040F67">
        <w:rPr>
          <w:b/>
          <w:i/>
          <w:sz w:val="22"/>
          <w:szCs w:val="22"/>
          <w:lang w:eastAsia="pt-BR"/>
        </w:rPr>
        <w:t>toner</w:t>
      </w:r>
      <w:r w:rsidRPr="00040F67">
        <w:rPr>
          <w:i/>
          <w:sz w:val="22"/>
          <w:szCs w:val="22"/>
          <w:lang w:eastAsia="pt-BR"/>
        </w:rPr>
        <w:t xml:space="preserve"> de impressora como bens de informática, tendo realizado a licitação e a aquisição de tais itens sem aplicar o regime do Decreto 7.174/2010 c/c o Decreto 5.906/2006 e a Lei 8.248/1991</w:t>
      </w:r>
      <w:r w:rsidRPr="00040F67">
        <w:rPr>
          <w:sz w:val="22"/>
          <w:szCs w:val="22"/>
          <w:lang w:eastAsia="pt-BR"/>
        </w:rPr>
        <w:t>”. Em juízo de mérito, realizadas as oitivas regimentais, o relator registrou sua concordância com o pronunciamento da unidade do TCU especializada e</w:t>
      </w:r>
      <w:r w:rsidR="00B743E8" w:rsidRPr="00040F67">
        <w:rPr>
          <w:sz w:val="22"/>
          <w:szCs w:val="22"/>
          <w:lang w:eastAsia="pt-BR"/>
        </w:rPr>
        <w:t>m tecnologia da informação, que</w:t>
      </w:r>
      <w:r w:rsidRPr="00040F67">
        <w:rPr>
          <w:sz w:val="22"/>
          <w:szCs w:val="22"/>
          <w:lang w:eastAsia="pt-BR"/>
        </w:rPr>
        <w:t xml:space="preserve"> </w:t>
      </w:r>
      <w:r w:rsidR="002778F6" w:rsidRPr="00040F67">
        <w:rPr>
          <w:sz w:val="22"/>
          <w:szCs w:val="22"/>
          <w:lang w:eastAsia="pt-BR"/>
        </w:rPr>
        <w:t>opinou por estar</w:t>
      </w:r>
      <w:r w:rsidRPr="00040F67">
        <w:rPr>
          <w:sz w:val="22"/>
          <w:szCs w:val="22"/>
          <w:lang w:eastAsia="pt-BR"/>
        </w:rPr>
        <w:t xml:space="preserve"> a </w:t>
      </w:r>
      <w:r w:rsidR="002778F6" w:rsidRPr="00040F67">
        <w:rPr>
          <w:sz w:val="22"/>
          <w:szCs w:val="22"/>
          <w:lang w:eastAsia="pt-BR"/>
        </w:rPr>
        <w:t>aquisição de tal material</w:t>
      </w:r>
      <w:r w:rsidRPr="00040F67">
        <w:rPr>
          <w:sz w:val="22"/>
          <w:szCs w:val="22"/>
          <w:lang w:eastAsia="pt-BR"/>
        </w:rPr>
        <w:t xml:space="preserve"> suje</w:t>
      </w:r>
      <w:r w:rsidR="001A091F" w:rsidRPr="00040F67">
        <w:rPr>
          <w:sz w:val="22"/>
          <w:szCs w:val="22"/>
          <w:lang w:eastAsia="pt-BR"/>
        </w:rPr>
        <w:t>ita à disciplina da Lei 8.248/91 e dos Decretos 5.906/06 e 7.174/</w:t>
      </w:r>
      <w:r w:rsidRPr="00040F67">
        <w:rPr>
          <w:sz w:val="22"/>
          <w:szCs w:val="22"/>
          <w:lang w:eastAsia="pt-BR"/>
        </w:rPr>
        <w:t>10. Em decorrência,</w:t>
      </w:r>
      <w:r w:rsidR="002778F6" w:rsidRPr="00040F67">
        <w:rPr>
          <w:sz w:val="22"/>
          <w:szCs w:val="22"/>
          <w:lang w:eastAsia="pt-BR"/>
        </w:rPr>
        <w:t xml:space="preserve"> concluiu o relator,</w:t>
      </w:r>
      <w:r w:rsidRPr="00040F67">
        <w:rPr>
          <w:sz w:val="22"/>
          <w:szCs w:val="22"/>
          <w:lang w:eastAsia="pt-BR"/>
        </w:rPr>
        <w:t xml:space="preserve"> nos termos do art. 3º da Lei 8.248/91 e do art. 1º do Decreto 7.174/10, às aquisições de cartuchos de </w:t>
      </w:r>
      <w:r w:rsidRPr="00040F67">
        <w:rPr>
          <w:i/>
          <w:sz w:val="22"/>
          <w:szCs w:val="22"/>
          <w:lang w:eastAsia="pt-BR"/>
        </w:rPr>
        <w:t>toner</w:t>
      </w:r>
      <w:r w:rsidRPr="00040F67">
        <w:rPr>
          <w:sz w:val="22"/>
          <w:szCs w:val="22"/>
          <w:lang w:eastAsia="pt-BR"/>
        </w:rPr>
        <w:t xml:space="preserve"> aplicam-se as regras de preferência para bens e serviços de informática e automação produzidos (i) com tecnologia desenvolvida no País e/ou (</w:t>
      </w:r>
      <w:proofErr w:type="spellStart"/>
      <w:r w:rsidRPr="00040F67">
        <w:rPr>
          <w:sz w:val="22"/>
          <w:szCs w:val="22"/>
          <w:lang w:eastAsia="pt-BR"/>
        </w:rPr>
        <w:t>ii</w:t>
      </w:r>
      <w:proofErr w:type="spellEnd"/>
      <w:r w:rsidRPr="00040F67">
        <w:rPr>
          <w:sz w:val="22"/>
          <w:szCs w:val="22"/>
          <w:lang w:eastAsia="pt-BR"/>
        </w:rPr>
        <w:t xml:space="preserve">) de acordo com processo produtivo básico. A propósito, relembrou o relator que os processos produtivos básicos do </w:t>
      </w:r>
      <w:r w:rsidRPr="00040F67">
        <w:rPr>
          <w:i/>
          <w:sz w:val="22"/>
          <w:szCs w:val="22"/>
          <w:lang w:eastAsia="pt-BR"/>
        </w:rPr>
        <w:t xml:space="preserve">toner </w:t>
      </w:r>
      <w:r w:rsidRPr="00040F67">
        <w:rPr>
          <w:sz w:val="22"/>
          <w:szCs w:val="22"/>
          <w:lang w:eastAsia="pt-BR"/>
        </w:rPr>
        <w:t xml:space="preserve">e do cartucho de </w:t>
      </w:r>
      <w:r w:rsidRPr="00040F67">
        <w:rPr>
          <w:i/>
          <w:sz w:val="22"/>
          <w:szCs w:val="22"/>
          <w:lang w:eastAsia="pt-BR"/>
        </w:rPr>
        <w:t>toner</w:t>
      </w:r>
      <w:r w:rsidRPr="00040F67">
        <w:rPr>
          <w:sz w:val="22"/>
          <w:szCs w:val="22"/>
          <w:lang w:eastAsia="pt-BR"/>
        </w:rPr>
        <w:t xml:space="preserve"> para impressoras a laser já foram estabelecidos por portarias interministeriais, revelando </w:t>
      </w:r>
      <w:r w:rsidRPr="00040F67">
        <w:rPr>
          <w:i/>
          <w:sz w:val="22"/>
          <w:szCs w:val="22"/>
          <w:lang w:eastAsia="pt-BR"/>
        </w:rPr>
        <w:t>“a intenção do conjunto normativo vigente de sujeitar as compras de cartucho de informática ao regime instituído pela Lei 8.248/1991 e aos respectivos decretos regulamentadores”</w:t>
      </w:r>
      <w:r w:rsidRPr="00040F67">
        <w:rPr>
          <w:sz w:val="22"/>
          <w:szCs w:val="22"/>
          <w:lang w:eastAsia="pt-BR"/>
        </w:rPr>
        <w:t xml:space="preserve">. Caracterizada a ilegalidade do certame e a existência de quantidade remanescente de cartuchos ainda não contratada, propôs o relator a fixação do prazo de quinze dias para a anulação da respectiva Ata de Registro de Preços e a </w:t>
      </w:r>
      <w:proofErr w:type="spellStart"/>
      <w:r w:rsidRPr="00040F67">
        <w:rPr>
          <w:sz w:val="22"/>
          <w:szCs w:val="22"/>
          <w:lang w:eastAsia="pt-BR"/>
        </w:rPr>
        <w:t>cientificação</w:t>
      </w:r>
      <w:proofErr w:type="spellEnd"/>
      <w:r w:rsidRPr="00040F67">
        <w:rPr>
          <w:sz w:val="22"/>
          <w:szCs w:val="22"/>
          <w:lang w:eastAsia="pt-BR"/>
        </w:rPr>
        <w:t xml:space="preserve"> do órgão sobre as irregularidades apuradas, de modo a evitar falhas semelhantes em licitações futuras. O Tribunal, ao apreciar a matéria, considerou procedente a Representação, consignando em acórdão as medidas alvitradas pela relatoria. </w:t>
      </w:r>
      <w:hyperlink r:id="rId12" w:history="1">
        <w:r w:rsidR="007A2DFE" w:rsidRPr="007A2DFE">
          <w:rPr>
            <w:rStyle w:val="Hyperlink"/>
            <w:b/>
            <w:i/>
            <w:sz w:val="22"/>
            <w:szCs w:val="22"/>
            <w:lang w:eastAsia="pt-BR"/>
          </w:rPr>
          <w:t>Acórdão 2608/2013-Plenário</w:t>
        </w:r>
      </w:hyperlink>
      <w:r w:rsidRPr="00040F67">
        <w:rPr>
          <w:b/>
          <w:i/>
          <w:sz w:val="22"/>
          <w:szCs w:val="22"/>
          <w:lang w:eastAsia="pt-BR"/>
        </w:rPr>
        <w:t xml:space="preserve">, TC 045.649/2012-0, relator Ministro Benjamin </w:t>
      </w:r>
      <w:proofErr w:type="spellStart"/>
      <w:r w:rsidRPr="00040F67">
        <w:rPr>
          <w:b/>
          <w:i/>
          <w:sz w:val="22"/>
          <w:szCs w:val="22"/>
          <w:lang w:eastAsia="pt-BR"/>
        </w:rPr>
        <w:t>Zymler</w:t>
      </w:r>
      <w:proofErr w:type="spellEnd"/>
      <w:r w:rsidRPr="00040F67">
        <w:rPr>
          <w:b/>
          <w:i/>
          <w:sz w:val="22"/>
          <w:szCs w:val="22"/>
          <w:lang w:eastAsia="pt-BR"/>
        </w:rPr>
        <w:t xml:space="preserve">, 25.9.2013. </w:t>
      </w:r>
    </w:p>
    <w:p w:rsidR="00036B23" w:rsidRPr="00040F67" w:rsidRDefault="00036B23" w:rsidP="00040F67">
      <w:pPr>
        <w:spacing w:after="0"/>
        <w:ind w:left="0"/>
        <w:rPr>
          <w:b/>
          <w:sz w:val="22"/>
          <w:szCs w:val="22"/>
        </w:rPr>
      </w:pPr>
    </w:p>
    <w:p w:rsidR="00D720F3" w:rsidRPr="00040F67" w:rsidRDefault="00CA0BA2" w:rsidP="00040F67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720F3" w:rsidRPr="00040F67">
        <w:rPr>
          <w:b/>
          <w:sz w:val="22"/>
          <w:szCs w:val="22"/>
        </w:rPr>
        <w:t xml:space="preserve">. </w:t>
      </w:r>
      <w:r w:rsidR="004F061D" w:rsidRPr="00040F67">
        <w:rPr>
          <w:b/>
          <w:sz w:val="22"/>
          <w:szCs w:val="22"/>
        </w:rPr>
        <w:t>A</w:t>
      </w:r>
      <w:r w:rsidR="00D720F3" w:rsidRPr="00040F67">
        <w:rPr>
          <w:b/>
          <w:sz w:val="22"/>
          <w:szCs w:val="22"/>
        </w:rPr>
        <w:t xml:space="preserve"> taxa de BDI deve ser formada </w:t>
      </w:r>
      <w:r w:rsidR="004F061D" w:rsidRPr="00040F67">
        <w:rPr>
          <w:b/>
          <w:sz w:val="22"/>
          <w:szCs w:val="22"/>
        </w:rPr>
        <w:t>pelos componentes</w:t>
      </w:r>
      <w:r w:rsidR="00E314F3" w:rsidRPr="00040F67">
        <w:rPr>
          <w:b/>
          <w:sz w:val="22"/>
          <w:szCs w:val="22"/>
        </w:rPr>
        <w:t>:</w:t>
      </w:r>
      <w:r w:rsidR="004F061D" w:rsidRPr="00040F67">
        <w:rPr>
          <w:b/>
          <w:sz w:val="22"/>
          <w:szCs w:val="22"/>
        </w:rPr>
        <w:t xml:space="preserve"> </w:t>
      </w:r>
      <w:r w:rsidR="00D720F3" w:rsidRPr="00040F67">
        <w:rPr>
          <w:b/>
          <w:sz w:val="22"/>
          <w:szCs w:val="22"/>
        </w:rPr>
        <w:t>administração central, riscos, seguros, garantias, despesas financeiras, remuneração do particular e tributos incidentes sobre a receita auferida pela execução da obra.</w:t>
      </w:r>
      <w:r w:rsidR="004F061D" w:rsidRPr="00040F67">
        <w:rPr>
          <w:b/>
          <w:sz w:val="22"/>
          <w:szCs w:val="22"/>
        </w:rPr>
        <w:t xml:space="preserve"> </w:t>
      </w:r>
      <w:r w:rsidR="00EC03E7" w:rsidRPr="00040F67">
        <w:rPr>
          <w:b/>
          <w:sz w:val="22"/>
          <w:szCs w:val="22"/>
        </w:rPr>
        <w:t>C</w:t>
      </w:r>
      <w:r w:rsidR="004F061D" w:rsidRPr="00040F67">
        <w:rPr>
          <w:b/>
          <w:sz w:val="22"/>
          <w:szCs w:val="22"/>
        </w:rPr>
        <w:t>ustos diretamente relacionados com o objeto da obra, passíveis de identificação, quantificação e mensuração na planilha de custos diretos (administração local, canteiro de obras, mobilização e desmobilização, dentre outros)</w:t>
      </w:r>
      <w:r w:rsidR="00E314F3" w:rsidRPr="00040F67">
        <w:rPr>
          <w:b/>
          <w:sz w:val="22"/>
          <w:szCs w:val="22"/>
        </w:rPr>
        <w:t>,</w:t>
      </w:r>
      <w:r w:rsidR="004F061D" w:rsidRPr="00040F67">
        <w:rPr>
          <w:b/>
          <w:sz w:val="22"/>
          <w:szCs w:val="22"/>
        </w:rPr>
        <w:t xml:space="preserve"> não devem integrar a taxa de BDI.</w:t>
      </w:r>
    </w:p>
    <w:p w:rsidR="00E26FAD" w:rsidRPr="00040F67" w:rsidRDefault="001106CA" w:rsidP="00040F67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040F67">
        <w:rPr>
          <w:sz w:val="22"/>
          <w:szCs w:val="22"/>
          <w:lang w:eastAsia="pt-BR"/>
        </w:rPr>
        <w:t xml:space="preserve">Processo administrativo apreciou relatório de grupo de trabalho </w:t>
      </w:r>
      <w:r w:rsidR="002B2F39" w:rsidRPr="00040F67">
        <w:rPr>
          <w:sz w:val="22"/>
          <w:szCs w:val="22"/>
          <w:lang w:eastAsia="pt-BR"/>
        </w:rPr>
        <w:t>formado</w:t>
      </w:r>
      <w:r w:rsidR="002721F9" w:rsidRPr="00040F67">
        <w:rPr>
          <w:sz w:val="22"/>
          <w:szCs w:val="22"/>
          <w:lang w:eastAsia="pt-BR"/>
        </w:rPr>
        <w:t xml:space="preserve"> por</w:t>
      </w:r>
      <w:r w:rsidRPr="00040F67">
        <w:rPr>
          <w:sz w:val="22"/>
          <w:szCs w:val="22"/>
          <w:lang w:eastAsia="pt-BR"/>
        </w:rPr>
        <w:t xml:space="preserve"> unidad</w:t>
      </w:r>
      <w:r w:rsidR="003D7961" w:rsidRPr="00040F67">
        <w:rPr>
          <w:sz w:val="22"/>
          <w:szCs w:val="22"/>
          <w:lang w:eastAsia="pt-BR"/>
        </w:rPr>
        <w:t>es técnicas especializadas do</w:t>
      </w:r>
      <w:r w:rsidR="007B6304">
        <w:rPr>
          <w:sz w:val="22"/>
          <w:szCs w:val="22"/>
          <w:lang w:eastAsia="pt-BR"/>
        </w:rPr>
        <w:t xml:space="preserve"> Tribunal </w:t>
      </w:r>
      <w:r w:rsidRPr="00040F67">
        <w:rPr>
          <w:sz w:val="22"/>
          <w:szCs w:val="22"/>
          <w:lang w:eastAsia="pt-BR"/>
        </w:rPr>
        <w:t xml:space="preserve">cujo objetivo </w:t>
      </w:r>
      <w:r w:rsidR="002721F9" w:rsidRPr="00040F67">
        <w:rPr>
          <w:sz w:val="22"/>
          <w:szCs w:val="22"/>
          <w:lang w:eastAsia="pt-BR"/>
        </w:rPr>
        <w:t>foi</w:t>
      </w:r>
      <w:r w:rsidRPr="00040F67">
        <w:rPr>
          <w:sz w:val="22"/>
          <w:szCs w:val="22"/>
          <w:lang w:eastAsia="pt-BR"/>
        </w:rPr>
        <w:t xml:space="preserve">, no essencial, </w:t>
      </w:r>
      <w:r w:rsidRPr="00040F67">
        <w:rPr>
          <w:i/>
          <w:sz w:val="22"/>
          <w:szCs w:val="22"/>
          <w:lang w:eastAsia="pt-BR"/>
        </w:rPr>
        <w:t>“definir faixas aceitáveis para valores de taxas de Benefícios e Despesas Indiretas – BDI específicas para cada tipo de obra pública e para aquisição de materiais e equipamentos relevantes (...), com utilização de critérios contábeis e estatísticos e controle da representatividade das amostras selecionadas”</w:t>
      </w:r>
      <w:r w:rsidRPr="00040F67">
        <w:rPr>
          <w:sz w:val="22"/>
          <w:szCs w:val="22"/>
          <w:lang w:eastAsia="pt-BR"/>
        </w:rPr>
        <w:t>.</w:t>
      </w:r>
      <w:r w:rsidR="007F32FD" w:rsidRPr="00040F67">
        <w:rPr>
          <w:sz w:val="22"/>
          <w:szCs w:val="22"/>
          <w:lang w:eastAsia="pt-BR"/>
        </w:rPr>
        <w:t xml:space="preserve"> </w:t>
      </w:r>
      <w:r w:rsidR="00AA7823" w:rsidRPr="00040F67">
        <w:rPr>
          <w:sz w:val="22"/>
          <w:szCs w:val="22"/>
          <w:lang w:eastAsia="pt-BR"/>
        </w:rPr>
        <w:t>Em preliminar</w:t>
      </w:r>
      <w:r w:rsidR="007F32FD" w:rsidRPr="00040F67">
        <w:rPr>
          <w:sz w:val="22"/>
          <w:szCs w:val="22"/>
          <w:lang w:eastAsia="pt-BR"/>
        </w:rPr>
        <w:t>, o relator</w:t>
      </w:r>
      <w:r w:rsidR="00684F61" w:rsidRPr="00040F67">
        <w:rPr>
          <w:sz w:val="22"/>
          <w:szCs w:val="22"/>
          <w:lang w:eastAsia="pt-BR"/>
        </w:rPr>
        <w:t>, recuperando o histórico jurisprudencial do TCU sobre a matéria,</w:t>
      </w:r>
      <w:r w:rsidR="00AA7823" w:rsidRPr="00040F67">
        <w:rPr>
          <w:sz w:val="22"/>
          <w:szCs w:val="22"/>
          <w:lang w:eastAsia="pt-BR"/>
        </w:rPr>
        <w:t xml:space="preserve"> anotou a abrangência do trabalho des</w:t>
      </w:r>
      <w:r w:rsidR="0076017B" w:rsidRPr="00040F67">
        <w:rPr>
          <w:sz w:val="22"/>
          <w:szCs w:val="22"/>
          <w:lang w:eastAsia="pt-BR"/>
        </w:rPr>
        <w:t>envolvido, no qual foram adotado</w:t>
      </w:r>
      <w:r w:rsidR="00AA7823" w:rsidRPr="00040F67">
        <w:rPr>
          <w:sz w:val="22"/>
          <w:szCs w:val="22"/>
          <w:lang w:eastAsia="pt-BR"/>
        </w:rPr>
        <w:t>s</w:t>
      </w:r>
      <w:r w:rsidR="00C81967" w:rsidRPr="00040F67">
        <w:rPr>
          <w:sz w:val="22"/>
          <w:szCs w:val="22"/>
          <w:lang w:eastAsia="pt-BR"/>
        </w:rPr>
        <w:t xml:space="preserve"> técnicas </w:t>
      </w:r>
      <w:r w:rsidR="00C93F0F" w:rsidRPr="00040F67">
        <w:rPr>
          <w:sz w:val="22"/>
          <w:szCs w:val="22"/>
          <w:lang w:eastAsia="pt-BR"/>
        </w:rPr>
        <w:t>amostrais</w:t>
      </w:r>
      <w:r w:rsidR="00C81967" w:rsidRPr="00040F67">
        <w:rPr>
          <w:sz w:val="22"/>
          <w:szCs w:val="22"/>
          <w:lang w:eastAsia="pt-BR"/>
        </w:rPr>
        <w:t xml:space="preserve"> e</w:t>
      </w:r>
      <w:r w:rsidR="00AA7823" w:rsidRPr="00040F67">
        <w:rPr>
          <w:sz w:val="22"/>
          <w:szCs w:val="22"/>
          <w:lang w:eastAsia="pt-BR"/>
        </w:rPr>
        <w:t xml:space="preserve"> conceitos da contabilidade de custos </w:t>
      </w:r>
      <w:r w:rsidR="0076017B" w:rsidRPr="00040F67">
        <w:rPr>
          <w:sz w:val="22"/>
          <w:szCs w:val="22"/>
          <w:lang w:eastAsia="pt-BR"/>
        </w:rPr>
        <w:t>capazes de alcançar a</w:t>
      </w:r>
      <w:r w:rsidR="00AA7823" w:rsidRPr="00040F67">
        <w:rPr>
          <w:sz w:val="22"/>
          <w:szCs w:val="22"/>
          <w:lang w:eastAsia="pt-BR"/>
        </w:rPr>
        <w:t xml:space="preserve"> </w:t>
      </w:r>
      <w:r w:rsidR="00AA7823" w:rsidRPr="00040F67">
        <w:rPr>
          <w:sz w:val="22"/>
          <w:szCs w:val="22"/>
        </w:rPr>
        <w:t>dinâmica da formação de preços de obras públicas</w:t>
      </w:r>
      <w:r w:rsidR="0076017B" w:rsidRPr="00040F67">
        <w:rPr>
          <w:sz w:val="22"/>
          <w:szCs w:val="22"/>
        </w:rPr>
        <w:t xml:space="preserve"> e as</w:t>
      </w:r>
      <w:r w:rsidR="00AA7823" w:rsidRPr="00040F67">
        <w:rPr>
          <w:sz w:val="22"/>
          <w:szCs w:val="22"/>
        </w:rPr>
        <w:t xml:space="preserve"> formas de clas</w:t>
      </w:r>
      <w:r w:rsidR="0076017B" w:rsidRPr="00040F67">
        <w:rPr>
          <w:sz w:val="22"/>
          <w:szCs w:val="22"/>
        </w:rPr>
        <w:t>sificação dos custos incorridos, de modo a possibilitar a</w:t>
      </w:r>
      <w:r w:rsidR="00AA7823" w:rsidRPr="00040F67">
        <w:rPr>
          <w:sz w:val="22"/>
          <w:szCs w:val="22"/>
        </w:rPr>
        <w:t xml:space="preserve"> especificação dos itens que compõem a taxa de BDI e a respectiva fórmula a ser empregada para definição </w:t>
      </w:r>
      <w:r w:rsidR="0076017B" w:rsidRPr="00040F67">
        <w:rPr>
          <w:sz w:val="22"/>
          <w:szCs w:val="22"/>
        </w:rPr>
        <w:t>do</w:t>
      </w:r>
      <w:r w:rsidR="00AA7823" w:rsidRPr="00040F67">
        <w:rPr>
          <w:sz w:val="22"/>
          <w:szCs w:val="22"/>
        </w:rPr>
        <w:t xml:space="preserve"> percentual final</w:t>
      </w:r>
      <w:r w:rsidR="0076017B" w:rsidRPr="00040F67">
        <w:rPr>
          <w:sz w:val="22"/>
          <w:szCs w:val="22"/>
        </w:rPr>
        <w:t xml:space="preserve"> e, a vista das complexidades incidentes,</w:t>
      </w:r>
      <w:r w:rsidR="00AA7823" w:rsidRPr="00040F67">
        <w:rPr>
          <w:sz w:val="22"/>
          <w:szCs w:val="22"/>
        </w:rPr>
        <w:t xml:space="preserve"> a adoção</w:t>
      </w:r>
      <w:r w:rsidR="00C93F0F" w:rsidRPr="00040F67">
        <w:rPr>
          <w:sz w:val="22"/>
          <w:szCs w:val="22"/>
        </w:rPr>
        <w:t xml:space="preserve"> de faixas e</w:t>
      </w:r>
      <w:r w:rsidR="00AA7823" w:rsidRPr="00040F67">
        <w:rPr>
          <w:sz w:val="22"/>
          <w:szCs w:val="22"/>
        </w:rPr>
        <w:t xml:space="preserve"> de BDI específico para determinados itens do orçamento.</w:t>
      </w:r>
      <w:r w:rsidR="00C93F0F" w:rsidRPr="00040F67">
        <w:rPr>
          <w:sz w:val="22"/>
          <w:szCs w:val="22"/>
        </w:rPr>
        <w:t xml:space="preserve"> A regra </w:t>
      </w:r>
      <w:r w:rsidR="004B73DB" w:rsidRPr="00040F67">
        <w:rPr>
          <w:sz w:val="22"/>
          <w:szCs w:val="22"/>
        </w:rPr>
        <w:t>geral</w:t>
      </w:r>
      <w:r w:rsidR="00C93F0F" w:rsidRPr="00040F67">
        <w:rPr>
          <w:sz w:val="22"/>
          <w:szCs w:val="22"/>
        </w:rPr>
        <w:t xml:space="preserve"> </w:t>
      </w:r>
      <w:r w:rsidR="0067307C" w:rsidRPr="00040F67">
        <w:rPr>
          <w:sz w:val="22"/>
          <w:szCs w:val="22"/>
        </w:rPr>
        <w:t>para a</w:t>
      </w:r>
      <w:r w:rsidR="00C93F0F" w:rsidRPr="00040F67">
        <w:rPr>
          <w:sz w:val="22"/>
          <w:szCs w:val="22"/>
        </w:rPr>
        <w:t xml:space="preserve"> composição da taxa de BDI</w:t>
      </w:r>
      <w:r w:rsidR="0067307C" w:rsidRPr="00040F67">
        <w:rPr>
          <w:sz w:val="22"/>
          <w:szCs w:val="22"/>
        </w:rPr>
        <w:t xml:space="preserve"> em obras públicas</w:t>
      </w:r>
      <w:r w:rsidR="003D7961" w:rsidRPr="00040F67">
        <w:rPr>
          <w:sz w:val="22"/>
          <w:szCs w:val="22"/>
        </w:rPr>
        <w:t xml:space="preserve">, </w:t>
      </w:r>
      <w:r w:rsidR="00C93F0F" w:rsidRPr="00040F67">
        <w:rPr>
          <w:sz w:val="22"/>
          <w:szCs w:val="22"/>
        </w:rPr>
        <w:t>destacou o relator,</w:t>
      </w:r>
      <w:r w:rsidR="00D70D0B" w:rsidRPr="00040F67">
        <w:rPr>
          <w:sz w:val="22"/>
          <w:szCs w:val="22"/>
        </w:rPr>
        <w:t xml:space="preserve"> </w:t>
      </w:r>
      <w:r w:rsidR="004B73DB" w:rsidRPr="00040F67">
        <w:rPr>
          <w:sz w:val="22"/>
          <w:szCs w:val="22"/>
        </w:rPr>
        <w:t>predica</w:t>
      </w:r>
      <w:r w:rsidR="00D70D0B" w:rsidRPr="00040F67">
        <w:rPr>
          <w:sz w:val="22"/>
          <w:szCs w:val="22"/>
        </w:rPr>
        <w:t xml:space="preserve"> que </w:t>
      </w:r>
      <w:r w:rsidR="00D70D0B" w:rsidRPr="00040F67">
        <w:rPr>
          <w:i/>
          <w:sz w:val="22"/>
          <w:szCs w:val="22"/>
        </w:rPr>
        <w:t>“os custos que podem ser identificados, quantificados e mensurados na planilha de custos diretos, por estarem relacionados diretamente com o objeto da obra, não devem integrar a taxa de BDI</w:t>
      </w:r>
      <w:r w:rsidR="0067307C" w:rsidRPr="00040F67">
        <w:rPr>
          <w:i/>
          <w:sz w:val="22"/>
          <w:szCs w:val="22"/>
        </w:rPr>
        <w:t>,</w:t>
      </w:r>
      <w:r w:rsidR="0067307C" w:rsidRPr="00040F67">
        <w:rPr>
          <w:rFonts w:eastAsia="Times New Roman"/>
          <w:sz w:val="22"/>
          <w:szCs w:val="22"/>
        </w:rPr>
        <w:t xml:space="preserve"> </w:t>
      </w:r>
      <w:r w:rsidR="0067307C" w:rsidRPr="00040F67">
        <w:rPr>
          <w:i/>
          <w:sz w:val="22"/>
          <w:szCs w:val="22"/>
        </w:rPr>
        <w:t>tais como: administração local, canteiro de obras, mobilização e desmobilização, dentre outros.</w:t>
      </w:r>
      <w:r w:rsidR="00D70D0B" w:rsidRPr="00040F67">
        <w:rPr>
          <w:i/>
          <w:sz w:val="22"/>
          <w:szCs w:val="22"/>
        </w:rPr>
        <w:t>”</w:t>
      </w:r>
      <w:r w:rsidR="00D70D0B" w:rsidRPr="00040F67">
        <w:rPr>
          <w:sz w:val="22"/>
          <w:szCs w:val="22"/>
        </w:rPr>
        <w:t>.</w:t>
      </w:r>
      <w:r w:rsidR="0067307C" w:rsidRPr="00040F67">
        <w:rPr>
          <w:sz w:val="22"/>
          <w:szCs w:val="22"/>
        </w:rPr>
        <w:t xml:space="preserve"> Por outro lado, destaca, </w:t>
      </w:r>
      <w:r w:rsidR="0067307C" w:rsidRPr="00040F67">
        <w:rPr>
          <w:i/>
          <w:sz w:val="22"/>
          <w:szCs w:val="22"/>
        </w:rPr>
        <w:t>“os componentes que devem formar a taxa de BDI são os seguintes: administração central, riscos, seguros, garantias, despesas financeiras, remuneração do particular e tributos incidentes sobre a receita auferida pela execução da obra”</w:t>
      </w:r>
      <w:r w:rsidR="0067307C" w:rsidRPr="00040F67">
        <w:rPr>
          <w:sz w:val="22"/>
          <w:szCs w:val="22"/>
        </w:rPr>
        <w:t>.</w:t>
      </w:r>
      <w:r w:rsidR="00C93F0F" w:rsidRPr="00040F67">
        <w:rPr>
          <w:sz w:val="22"/>
          <w:szCs w:val="22"/>
        </w:rPr>
        <w:t xml:space="preserve"> </w:t>
      </w:r>
      <w:r w:rsidR="0021198D" w:rsidRPr="00040F67">
        <w:rPr>
          <w:sz w:val="22"/>
          <w:szCs w:val="22"/>
        </w:rPr>
        <w:t>Partindo dess</w:t>
      </w:r>
      <w:r w:rsidR="004B73DB" w:rsidRPr="00040F67">
        <w:rPr>
          <w:sz w:val="22"/>
          <w:szCs w:val="22"/>
        </w:rPr>
        <w:t>a</w:t>
      </w:r>
      <w:r w:rsidR="00426DB4" w:rsidRPr="00040F67">
        <w:rPr>
          <w:sz w:val="22"/>
          <w:szCs w:val="22"/>
        </w:rPr>
        <w:t>s</w:t>
      </w:r>
      <w:r w:rsidR="004B73DB" w:rsidRPr="00040F67">
        <w:rPr>
          <w:sz w:val="22"/>
          <w:szCs w:val="22"/>
        </w:rPr>
        <w:t xml:space="preserve"> </w:t>
      </w:r>
      <w:r w:rsidR="00426DB4" w:rsidRPr="00040F67">
        <w:rPr>
          <w:sz w:val="22"/>
          <w:szCs w:val="22"/>
        </w:rPr>
        <w:t>premissas</w:t>
      </w:r>
      <w:r w:rsidR="000A310A" w:rsidRPr="00040F67">
        <w:rPr>
          <w:sz w:val="22"/>
          <w:szCs w:val="22"/>
        </w:rPr>
        <w:t>, foram extraídas</w:t>
      </w:r>
      <w:r w:rsidR="00B4372B" w:rsidRPr="00040F67">
        <w:rPr>
          <w:sz w:val="22"/>
          <w:szCs w:val="22"/>
        </w:rPr>
        <w:t xml:space="preserve"> tabelas com percentuais </w:t>
      </w:r>
      <w:r w:rsidR="004B73DB" w:rsidRPr="00040F67">
        <w:rPr>
          <w:sz w:val="22"/>
          <w:szCs w:val="22"/>
        </w:rPr>
        <w:t>médios</w:t>
      </w:r>
      <w:r w:rsidR="00B4372B" w:rsidRPr="00040F67">
        <w:rPr>
          <w:sz w:val="22"/>
          <w:szCs w:val="22"/>
        </w:rPr>
        <w:t xml:space="preserve"> e</w:t>
      </w:r>
      <w:r w:rsidR="000A310A" w:rsidRPr="00040F67">
        <w:rPr>
          <w:sz w:val="22"/>
          <w:szCs w:val="22"/>
        </w:rPr>
        <w:t xml:space="preserve"> faixas referenciais de BDI</w:t>
      </w:r>
      <w:r w:rsidR="00B4372B" w:rsidRPr="00040F67">
        <w:rPr>
          <w:sz w:val="22"/>
          <w:szCs w:val="22"/>
        </w:rPr>
        <w:t xml:space="preserve"> (relacionadas ao lucro e às despesas indiretas)</w:t>
      </w:r>
      <w:r w:rsidR="000A310A" w:rsidRPr="00040F67">
        <w:rPr>
          <w:sz w:val="22"/>
          <w:szCs w:val="22"/>
        </w:rPr>
        <w:t xml:space="preserve"> que refletem as inúmeras variáveis atinentes aos diversos tipos de obras p</w:t>
      </w:r>
      <w:r w:rsidR="004B73DB" w:rsidRPr="00040F67">
        <w:rPr>
          <w:sz w:val="22"/>
          <w:szCs w:val="22"/>
        </w:rPr>
        <w:t>úblicas, as</w:t>
      </w:r>
      <w:r w:rsidR="000A310A" w:rsidRPr="00040F67">
        <w:rPr>
          <w:sz w:val="22"/>
          <w:szCs w:val="22"/>
        </w:rPr>
        <w:t xml:space="preserve"> peculiaridades das sociedades empresariais atuantes</w:t>
      </w:r>
      <w:r w:rsidR="004B73DB" w:rsidRPr="00040F67">
        <w:rPr>
          <w:sz w:val="22"/>
          <w:szCs w:val="22"/>
        </w:rPr>
        <w:t xml:space="preserve"> e as particularidades de </w:t>
      </w:r>
      <w:r w:rsidR="000A310A" w:rsidRPr="00040F67">
        <w:rPr>
          <w:sz w:val="22"/>
          <w:szCs w:val="22"/>
        </w:rPr>
        <w:t>cada ramo</w:t>
      </w:r>
      <w:r w:rsidR="004B73DB" w:rsidRPr="00040F67">
        <w:rPr>
          <w:sz w:val="22"/>
          <w:szCs w:val="22"/>
        </w:rPr>
        <w:t xml:space="preserve"> negocial</w:t>
      </w:r>
      <w:r w:rsidR="000A310A" w:rsidRPr="00040F67">
        <w:rPr>
          <w:sz w:val="22"/>
          <w:szCs w:val="22"/>
        </w:rPr>
        <w:t>.</w:t>
      </w:r>
      <w:r w:rsidR="00C93F0F" w:rsidRPr="00040F67">
        <w:rPr>
          <w:sz w:val="22"/>
          <w:szCs w:val="22"/>
        </w:rPr>
        <w:t xml:space="preserve"> </w:t>
      </w:r>
      <w:r w:rsidR="0076017B" w:rsidRPr="00040F67">
        <w:rPr>
          <w:sz w:val="22"/>
          <w:szCs w:val="22"/>
        </w:rPr>
        <w:t xml:space="preserve"> </w:t>
      </w:r>
      <w:r w:rsidR="004D1DB8" w:rsidRPr="00040F67">
        <w:rPr>
          <w:sz w:val="22"/>
          <w:szCs w:val="22"/>
        </w:rPr>
        <w:t>Inobstante o rigor metodológico</w:t>
      </w:r>
      <w:r w:rsidR="003D7961" w:rsidRPr="00040F67">
        <w:rPr>
          <w:sz w:val="22"/>
          <w:szCs w:val="22"/>
        </w:rPr>
        <w:t xml:space="preserve"> adotado e a funcionalidade dess</w:t>
      </w:r>
      <w:r w:rsidR="004D1DB8" w:rsidRPr="00040F67">
        <w:rPr>
          <w:sz w:val="22"/>
          <w:szCs w:val="22"/>
        </w:rPr>
        <w:t>as tabelas</w:t>
      </w:r>
      <w:r w:rsidR="00D13A62" w:rsidRPr="00040F67">
        <w:rPr>
          <w:sz w:val="22"/>
          <w:szCs w:val="22"/>
        </w:rPr>
        <w:t xml:space="preserve">, </w:t>
      </w:r>
      <w:r w:rsidR="004D1DB8" w:rsidRPr="00040F67">
        <w:rPr>
          <w:sz w:val="22"/>
          <w:szCs w:val="22"/>
        </w:rPr>
        <w:t>ponderou</w:t>
      </w:r>
      <w:r w:rsidR="00D13A62" w:rsidRPr="00040F67">
        <w:rPr>
          <w:sz w:val="22"/>
          <w:szCs w:val="22"/>
        </w:rPr>
        <w:t xml:space="preserve"> o relator que </w:t>
      </w:r>
      <w:r w:rsidR="00D13A62" w:rsidRPr="00040F67">
        <w:rPr>
          <w:i/>
          <w:sz w:val="22"/>
          <w:szCs w:val="22"/>
        </w:rPr>
        <w:t>“não cumpre ao TCU estipular percentuais fixos para cada item que compõe a taxa de BDI, ignorando as peculiaridades da estrutura gerencial de cada empresa que contrata com a Administração Pública. O papel da Corte de Contas é impedir que sejam pagos valores abusivos ou injustificadamente elevados e por isso é importante obter valores de referência, mas pela própria logística das empresas é natural que ocorram certas flutuações de valores nas previsões das despesas indiretas e da margem de lucro a ser obtida”</w:t>
      </w:r>
      <w:r w:rsidR="00D13A62" w:rsidRPr="00040F67">
        <w:rPr>
          <w:sz w:val="22"/>
          <w:szCs w:val="22"/>
        </w:rPr>
        <w:t>.</w:t>
      </w:r>
      <w:r w:rsidR="00093675" w:rsidRPr="00040F67">
        <w:rPr>
          <w:sz w:val="22"/>
          <w:szCs w:val="22"/>
        </w:rPr>
        <w:t xml:space="preserve"> Nesse sentido,</w:t>
      </w:r>
      <w:r w:rsidR="00C93F0F" w:rsidRPr="00040F67">
        <w:rPr>
          <w:sz w:val="22"/>
          <w:szCs w:val="22"/>
        </w:rPr>
        <w:t xml:space="preserve"> embora o parâmetro mais importante seja o valor médio do BDI, por representar o valor de mercado, </w:t>
      </w:r>
      <w:r w:rsidR="00093675" w:rsidRPr="00040F67">
        <w:rPr>
          <w:sz w:val="22"/>
          <w:szCs w:val="22"/>
        </w:rPr>
        <w:t xml:space="preserve">a </w:t>
      </w:r>
      <w:r w:rsidR="00093675" w:rsidRPr="00040F67">
        <w:rPr>
          <w:i/>
          <w:sz w:val="22"/>
          <w:szCs w:val="22"/>
        </w:rPr>
        <w:t>“</w:t>
      </w:r>
      <w:r w:rsidR="00C93F0F" w:rsidRPr="00040F67">
        <w:rPr>
          <w:i/>
          <w:sz w:val="22"/>
          <w:szCs w:val="22"/>
        </w:rPr>
        <w:t>adequabilidade da taxa de BDI tem sempre que ser analisada, pontualmente, em situação específica, pois há sempre a possibilidade de as tabelas referenciais não traduzirem a justa remuneração para alguns contratos de obras públicas</w:t>
      </w:r>
      <w:r w:rsidR="00093675" w:rsidRPr="00040F67">
        <w:rPr>
          <w:i/>
          <w:sz w:val="22"/>
          <w:szCs w:val="22"/>
        </w:rPr>
        <w:t>”</w:t>
      </w:r>
      <w:r w:rsidR="00093675" w:rsidRPr="00040F67">
        <w:rPr>
          <w:sz w:val="22"/>
          <w:szCs w:val="22"/>
        </w:rPr>
        <w:t>.</w:t>
      </w:r>
      <w:r w:rsidR="004B73DB" w:rsidRPr="00040F67">
        <w:rPr>
          <w:sz w:val="22"/>
          <w:szCs w:val="22"/>
        </w:rPr>
        <w:t xml:space="preserve"> </w:t>
      </w:r>
      <w:r w:rsidR="00E5340B" w:rsidRPr="00040F67">
        <w:rPr>
          <w:sz w:val="22"/>
          <w:szCs w:val="22"/>
        </w:rPr>
        <w:t>O Plenário do TCU, acolhendo as considerações da relatoria, expediu</w:t>
      </w:r>
      <w:r w:rsidR="004D1DB8" w:rsidRPr="00040F67">
        <w:rPr>
          <w:sz w:val="22"/>
          <w:szCs w:val="22"/>
        </w:rPr>
        <w:t>, dentre outros comandos,</w:t>
      </w:r>
      <w:r w:rsidR="00E5340B" w:rsidRPr="00040F67">
        <w:rPr>
          <w:sz w:val="22"/>
          <w:szCs w:val="22"/>
        </w:rPr>
        <w:t xml:space="preserve"> </w:t>
      </w:r>
      <w:r w:rsidR="004D1DB8" w:rsidRPr="00040F67">
        <w:rPr>
          <w:sz w:val="22"/>
          <w:szCs w:val="22"/>
        </w:rPr>
        <w:t>determinação</w:t>
      </w:r>
      <w:r w:rsidR="00E5340B" w:rsidRPr="00040F67">
        <w:rPr>
          <w:sz w:val="22"/>
          <w:szCs w:val="22"/>
        </w:rPr>
        <w:t xml:space="preserve"> às unidades técnicas do TCU</w:t>
      </w:r>
      <w:r w:rsidR="004D1DB8" w:rsidRPr="00040F67">
        <w:rPr>
          <w:sz w:val="22"/>
          <w:szCs w:val="22"/>
        </w:rPr>
        <w:t xml:space="preserve"> para</w:t>
      </w:r>
      <w:r w:rsidR="00E5340B" w:rsidRPr="00040F67">
        <w:rPr>
          <w:sz w:val="22"/>
          <w:szCs w:val="22"/>
        </w:rPr>
        <w:t xml:space="preserve"> que</w:t>
      </w:r>
      <w:r w:rsidR="007D3B8B" w:rsidRPr="00040F67">
        <w:rPr>
          <w:sz w:val="22"/>
          <w:szCs w:val="22"/>
        </w:rPr>
        <w:t>, nas análises de</w:t>
      </w:r>
      <w:r w:rsidR="00E5340B" w:rsidRPr="00040F67">
        <w:rPr>
          <w:sz w:val="22"/>
          <w:szCs w:val="22"/>
        </w:rPr>
        <w:t xml:space="preserve"> orçamento</w:t>
      </w:r>
      <w:r w:rsidR="007D3B8B" w:rsidRPr="00040F67">
        <w:rPr>
          <w:sz w:val="22"/>
          <w:szCs w:val="22"/>
        </w:rPr>
        <w:t>s</w:t>
      </w:r>
      <w:r w:rsidR="00E5340B" w:rsidRPr="00040F67">
        <w:rPr>
          <w:sz w:val="22"/>
          <w:szCs w:val="22"/>
        </w:rPr>
        <w:t xml:space="preserve"> de obras públicas, passem a utilizar os parâmetros para taxas de BDI </w:t>
      </w:r>
      <w:r w:rsidR="004D1DB8" w:rsidRPr="00040F67">
        <w:rPr>
          <w:sz w:val="22"/>
          <w:szCs w:val="22"/>
        </w:rPr>
        <w:t>especificados no acórdão</w:t>
      </w:r>
      <w:r w:rsidR="00E5340B" w:rsidRPr="00040F67">
        <w:rPr>
          <w:sz w:val="22"/>
          <w:szCs w:val="22"/>
        </w:rPr>
        <w:t xml:space="preserve">, </w:t>
      </w:r>
      <w:r w:rsidR="004D1DB8" w:rsidRPr="00040F67">
        <w:rPr>
          <w:sz w:val="22"/>
          <w:szCs w:val="22"/>
        </w:rPr>
        <w:t>procedendo, sempre que a taxa de BDI estiver fora dos patamares estipulados, ao exame pormenorizado dos itens que</w:t>
      </w:r>
      <w:r w:rsidR="00554AF7" w:rsidRPr="00040F67">
        <w:rPr>
          <w:sz w:val="22"/>
          <w:szCs w:val="22"/>
        </w:rPr>
        <w:t xml:space="preserve"> a</w:t>
      </w:r>
      <w:r w:rsidR="004D1DB8" w:rsidRPr="00040F67">
        <w:rPr>
          <w:sz w:val="22"/>
          <w:szCs w:val="22"/>
        </w:rPr>
        <w:t xml:space="preserve"> compõem, utilizando como diretriz os percentuais obtidos no estudo </w:t>
      </w:r>
      <w:r w:rsidR="005F523C" w:rsidRPr="00040F67">
        <w:rPr>
          <w:sz w:val="22"/>
          <w:szCs w:val="22"/>
        </w:rPr>
        <w:t>objeto dos</w:t>
      </w:r>
      <w:r w:rsidR="004D1DB8" w:rsidRPr="00040F67">
        <w:rPr>
          <w:sz w:val="22"/>
          <w:szCs w:val="22"/>
        </w:rPr>
        <w:t xml:space="preserve"> autos, levando-se sempre em consideração as peculiaridades de cada caso concreto.</w:t>
      </w:r>
      <w:r w:rsidR="007A2DFE">
        <w:rPr>
          <w:b/>
          <w:bCs/>
          <w:iCs/>
          <w:sz w:val="22"/>
          <w:szCs w:val="22"/>
        </w:rPr>
        <w:t xml:space="preserve"> </w:t>
      </w:r>
      <w:hyperlink r:id="rId13" w:history="1">
        <w:r w:rsidR="007A2DFE" w:rsidRPr="007A2DFE">
          <w:rPr>
            <w:rStyle w:val="Hyperlink"/>
            <w:b/>
            <w:bCs/>
            <w:i/>
            <w:iCs/>
            <w:sz w:val="22"/>
            <w:szCs w:val="22"/>
          </w:rPr>
          <w:t>Acórdão 2622/2013-Plenário</w:t>
        </w:r>
      </w:hyperlink>
      <w:r w:rsidR="00462441" w:rsidRPr="00040F67">
        <w:rPr>
          <w:b/>
          <w:i/>
          <w:sz w:val="22"/>
          <w:szCs w:val="22"/>
          <w:lang w:eastAsia="pt-BR"/>
        </w:rPr>
        <w:t xml:space="preserve">, TC </w:t>
      </w:r>
      <w:r w:rsidR="00331486" w:rsidRPr="00040F67">
        <w:rPr>
          <w:b/>
          <w:i/>
          <w:sz w:val="22"/>
          <w:szCs w:val="22"/>
          <w:lang w:eastAsia="pt-BR"/>
        </w:rPr>
        <w:t>036.076/2011-2</w:t>
      </w:r>
      <w:r w:rsidR="00462441" w:rsidRPr="00040F67">
        <w:rPr>
          <w:b/>
          <w:i/>
          <w:sz w:val="22"/>
          <w:szCs w:val="22"/>
          <w:lang w:eastAsia="pt-BR"/>
        </w:rPr>
        <w:t xml:space="preserve">, </w:t>
      </w:r>
      <w:r w:rsidR="00331486" w:rsidRPr="00040F67">
        <w:rPr>
          <w:b/>
          <w:i/>
          <w:sz w:val="22"/>
          <w:szCs w:val="22"/>
          <w:lang w:eastAsia="pt-BR"/>
        </w:rPr>
        <w:t xml:space="preserve">Ministro-Substituto Marcos </w:t>
      </w:r>
      <w:proofErr w:type="spellStart"/>
      <w:r w:rsidR="00331486" w:rsidRPr="00040F67">
        <w:rPr>
          <w:b/>
          <w:i/>
          <w:sz w:val="22"/>
          <w:szCs w:val="22"/>
          <w:lang w:eastAsia="pt-BR"/>
        </w:rPr>
        <w:t>Bemquerer</w:t>
      </w:r>
      <w:proofErr w:type="spellEnd"/>
      <w:r w:rsidR="00331486" w:rsidRPr="00040F67">
        <w:rPr>
          <w:b/>
          <w:i/>
          <w:sz w:val="22"/>
          <w:szCs w:val="22"/>
          <w:lang w:eastAsia="pt-BR"/>
        </w:rPr>
        <w:t xml:space="preserve"> Costa</w:t>
      </w:r>
      <w:r w:rsidR="00462441" w:rsidRPr="00040F67">
        <w:rPr>
          <w:b/>
          <w:i/>
          <w:sz w:val="22"/>
          <w:szCs w:val="22"/>
          <w:lang w:eastAsia="pt-BR"/>
        </w:rPr>
        <w:t>, 25.9.2013.</w:t>
      </w:r>
    </w:p>
    <w:p w:rsidR="00337EC1" w:rsidRDefault="00337EC1" w:rsidP="00036B23">
      <w:pPr>
        <w:spacing w:after="0"/>
        <w:ind w:left="0"/>
        <w:rPr>
          <w:b/>
          <w:sz w:val="22"/>
          <w:szCs w:val="22"/>
        </w:rPr>
      </w:pPr>
    </w:p>
    <w:p w:rsidR="00036B23" w:rsidRDefault="00036B23" w:rsidP="00036B23">
      <w:pPr>
        <w:spacing w:after="0"/>
        <w:ind w:left="0"/>
        <w:rPr>
          <w:sz w:val="22"/>
          <w:szCs w:val="22"/>
        </w:rPr>
      </w:pPr>
    </w:p>
    <w:p w:rsidR="00C61626" w:rsidRPr="00542E32" w:rsidRDefault="00C61626" w:rsidP="00175500">
      <w:pPr>
        <w:spacing w:after="0"/>
        <w:ind w:left="0"/>
        <w:rPr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4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664D65" w:rsidRDefault="00F3058F" w:rsidP="00664D65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664D65" w:rsidSect="00616945">
      <w:headerReference w:type="default" r:id="rId15"/>
      <w:footerReference w:type="default" r:id="rId16"/>
      <w:headerReference w:type="first" r:id="rId17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B3" w:rsidRDefault="007B62B3" w:rsidP="008B0547">
      <w:pPr>
        <w:spacing w:after="0"/>
      </w:pPr>
      <w:r>
        <w:separator/>
      </w:r>
    </w:p>
  </w:endnote>
  <w:endnote w:type="continuationSeparator" w:id="0">
    <w:p w:rsidR="007B62B3" w:rsidRDefault="007B62B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3D4AA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470CEE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B3" w:rsidRDefault="007B62B3" w:rsidP="008B0547">
      <w:pPr>
        <w:spacing w:after="0"/>
      </w:pPr>
      <w:r>
        <w:separator/>
      </w:r>
    </w:p>
  </w:footnote>
  <w:footnote w:type="continuationSeparator" w:id="0">
    <w:p w:rsidR="007B62B3" w:rsidRDefault="007B62B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AF1816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34E"/>
    <w:rsid w:val="0000153E"/>
    <w:rsid w:val="00001878"/>
    <w:rsid w:val="00001B69"/>
    <w:rsid w:val="000021D2"/>
    <w:rsid w:val="000023EE"/>
    <w:rsid w:val="000028E3"/>
    <w:rsid w:val="00003CEA"/>
    <w:rsid w:val="00003D44"/>
    <w:rsid w:val="000042F4"/>
    <w:rsid w:val="00004614"/>
    <w:rsid w:val="00004C3B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21D"/>
    <w:rsid w:val="00031B9D"/>
    <w:rsid w:val="00032198"/>
    <w:rsid w:val="0003274C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B23"/>
    <w:rsid w:val="00036F23"/>
    <w:rsid w:val="000371C1"/>
    <w:rsid w:val="00037DCE"/>
    <w:rsid w:val="00040F67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93F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40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2D0E"/>
    <w:rsid w:val="00062E75"/>
    <w:rsid w:val="00063C6E"/>
    <w:rsid w:val="00063E2E"/>
    <w:rsid w:val="000647B1"/>
    <w:rsid w:val="0006509C"/>
    <w:rsid w:val="0006592B"/>
    <w:rsid w:val="00065A49"/>
    <w:rsid w:val="00065A8B"/>
    <w:rsid w:val="00065B97"/>
    <w:rsid w:val="00065E95"/>
    <w:rsid w:val="00066126"/>
    <w:rsid w:val="00066BC5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B8F"/>
    <w:rsid w:val="00090C97"/>
    <w:rsid w:val="00090D8A"/>
    <w:rsid w:val="00090E2E"/>
    <w:rsid w:val="0009133A"/>
    <w:rsid w:val="000916AF"/>
    <w:rsid w:val="000919D7"/>
    <w:rsid w:val="00091F93"/>
    <w:rsid w:val="000923FB"/>
    <w:rsid w:val="000929ED"/>
    <w:rsid w:val="00092C2E"/>
    <w:rsid w:val="00092E24"/>
    <w:rsid w:val="00093088"/>
    <w:rsid w:val="00093675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73A"/>
    <w:rsid w:val="000A0C13"/>
    <w:rsid w:val="000A0EF8"/>
    <w:rsid w:val="000A152A"/>
    <w:rsid w:val="000A1EBD"/>
    <w:rsid w:val="000A246C"/>
    <w:rsid w:val="000A261A"/>
    <w:rsid w:val="000A2C56"/>
    <w:rsid w:val="000A310A"/>
    <w:rsid w:val="000A37A7"/>
    <w:rsid w:val="000A3AE4"/>
    <w:rsid w:val="000A402F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650"/>
    <w:rsid w:val="000A6CDC"/>
    <w:rsid w:val="000A75EF"/>
    <w:rsid w:val="000A77BB"/>
    <w:rsid w:val="000A78E5"/>
    <w:rsid w:val="000B06D9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3A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1DE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9A5"/>
    <w:rsid w:val="000D2CBD"/>
    <w:rsid w:val="000D359B"/>
    <w:rsid w:val="000D36E1"/>
    <w:rsid w:val="000D37B0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BF0"/>
    <w:rsid w:val="000E5C70"/>
    <w:rsid w:val="000E5EAB"/>
    <w:rsid w:val="000E5F56"/>
    <w:rsid w:val="000E65B4"/>
    <w:rsid w:val="000E69A6"/>
    <w:rsid w:val="000E6B37"/>
    <w:rsid w:val="000E730B"/>
    <w:rsid w:val="000E78A6"/>
    <w:rsid w:val="000E7FD4"/>
    <w:rsid w:val="000F05AC"/>
    <w:rsid w:val="000F0A64"/>
    <w:rsid w:val="000F0FA7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887"/>
    <w:rsid w:val="000F3E8F"/>
    <w:rsid w:val="000F47C1"/>
    <w:rsid w:val="000F48B1"/>
    <w:rsid w:val="000F495D"/>
    <w:rsid w:val="000F4B0D"/>
    <w:rsid w:val="000F4B18"/>
    <w:rsid w:val="000F4B82"/>
    <w:rsid w:val="000F4CC1"/>
    <w:rsid w:val="000F5135"/>
    <w:rsid w:val="000F601E"/>
    <w:rsid w:val="000F6986"/>
    <w:rsid w:val="000F69B8"/>
    <w:rsid w:val="000F6A32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07FA8"/>
    <w:rsid w:val="0011038F"/>
    <w:rsid w:val="0011039E"/>
    <w:rsid w:val="001104BA"/>
    <w:rsid w:val="001106CA"/>
    <w:rsid w:val="00110C4E"/>
    <w:rsid w:val="00111441"/>
    <w:rsid w:val="00111A2A"/>
    <w:rsid w:val="00111A71"/>
    <w:rsid w:val="00111B67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8DA"/>
    <w:rsid w:val="00121BE3"/>
    <w:rsid w:val="00121EDA"/>
    <w:rsid w:val="00122950"/>
    <w:rsid w:val="00122F63"/>
    <w:rsid w:val="0012305F"/>
    <w:rsid w:val="00123B49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70F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DA2"/>
    <w:rsid w:val="00152ECC"/>
    <w:rsid w:val="00152F0D"/>
    <w:rsid w:val="001530A6"/>
    <w:rsid w:val="00153276"/>
    <w:rsid w:val="001532E4"/>
    <w:rsid w:val="001534C8"/>
    <w:rsid w:val="00154349"/>
    <w:rsid w:val="001547F6"/>
    <w:rsid w:val="00154A1A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110F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BD8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91F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60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1647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5681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852"/>
    <w:rsid w:val="001C2950"/>
    <w:rsid w:val="001C2CD1"/>
    <w:rsid w:val="001C3CF9"/>
    <w:rsid w:val="001C412B"/>
    <w:rsid w:val="001C423E"/>
    <w:rsid w:val="001C437E"/>
    <w:rsid w:val="001C46A7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2746"/>
    <w:rsid w:val="001D2BC5"/>
    <w:rsid w:val="001D336C"/>
    <w:rsid w:val="001D34EB"/>
    <w:rsid w:val="001D35B4"/>
    <w:rsid w:val="001D4515"/>
    <w:rsid w:val="001D4A98"/>
    <w:rsid w:val="001D5190"/>
    <w:rsid w:val="001D5339"/>
    <w:rsid w:val="001D559E"/>
    <w:rsid w:val="001D56C3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C3D"/>
    <w:rsid w:val="001E7F81"/>
    <w:rsid w:val="001F00DF"/>
    <w:rsid w:val="001F01E5"/>
    <w:rsid w:val="001F02E1"/>
    <w:rsid w:val="001F0951"/>
    <w:rsid w:val="001F0BFB"/>
    <w:rsid w:val="001F1223"/>
    <w:rsid w:val="001F182A"/>
    <w:rsid w:val="001F1E8F"/>
    <w:rsid w:val="001F1FE2"/>
    <w:rsid w:val="001F2327"/>
    <w:rsid w:val="001F2B05"/>
    <w:rsid w:val="001F348E"/>
    <w:rsid w:val="001F4DA1"/>
    <w:rsid w:val="001F5147"/>
    <w:rsid w:val="001F5268"/>
    <w:rsid w:val="001F553C"/>
    <w:rsid w:val="001F5E09"/>
    <w:rsid w:val="001F5E50"/>
    <w:rsid w:val="001F5EB4"/>
    <w:rsid w:val="001F6448"/>
    <w:rsid w:val="001F64D1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CDC"/>
    <w:rsid w:val="0020734D"/>
    <w:rsid w:val="00207BF8"/>
    <w:rsid w:val="00210018"/>
    <w:rsid w:val="0021001C"/>
    <w:rsid w:val="00210537"/>
    <w:rsid w:val="00211194"/>
    <w:rsid w:val="0021149E"/>
    <w:rsid w:val="00211816"/>
    <w:rsid w:val="0021198D"/>
    <w:rsid w:val="00211C55"/>
    <w:rsid w:val="00212149"/>
    <w:rsid w:val="00212A4A"/>
    <w:rsid w:val="00212BA4"/>
    <w:rsid w:val="00212BDC"/>
    <w:rsid w:val="00212E42"/>
    <w:rsid w:val="0021340B"/>
    <w:rsid w:val="002139A2"/>
    <w:rsid w:val="00213B3D"/>
    <w:rsid w:val="002140F6"/>
    <w:rsid w:val="00214569"/>
    <w:rsid w:val="00215156"/>
    <w:rsid w:val="0021517D"/>
    <w:rsid w:val="002157BF"/>
    <w:rsid w:val="00216157"/>
    <w:rsid w:val="00217566"/>
    <w:rsid w:val="00217B1B"/>
    <w:rsid w:val="002204A9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CF1"/>
    <w:rsid w:val="002236FC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14AF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D58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970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93F"/>
    <w:rsid w:val="00245A4C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A2D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EAC"/>
    <w:rsid w:val="00271A81"/>
    <w:rsid w:val="00271CD7"/>
    <w:rsid w:val="00271CF2"/>
    <w:rsid w:val="00271D81"/>
    <w:rsid w:val="0027213F"/>
    <w:rsid w:val="002721F9"/>
    <w:rsid w:val="002722BD"/>
    <w:rsid w:val="0027267D"/>
    <w:rsid w:val="002727E6"/>
    <w:rsid w:val="00272D1C"/>
    <w:rsid w:val="00273058"/>
    <w:rsid w:val="002731B9"/>
    <w:rsid w:val="0027398C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8F6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AA0"/>
    <w:rsid w:val="00281B57"/>
    <w:rsid w:val="00281D9E"/>
    <w:rsid w:val="00282593"/>
    <w:rsid w:val="002830F6"/>
    <w:rsid w:val="0028317C"/>
    <w:rsid w:val="0028352F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922"/>
    <w:rsid w:val="002962CB"/>
    <w:rsid w:val="0029691D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AB8"/>
    <w:rsid w:val="002A4F74"/>
    <w:rsid w:val="002A538D"/>
    <w:rsid w:val="002A5A02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2F39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023"/>
    <w:rsid w:val="002B71BA"/>
    <w:rsid w:val="002B742B"/>
    <w:rsid w:val="002B782F"/>
    <w:rsid w:val="002B7843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6CDC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712"/>
    <w:rsid w:val="002E6FDB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298B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9C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B9F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979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5FA4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B31"/>
    <w:rsid w:val="00327F0D"/>
    <w:rsid w:val="00330069"/>
    <w:rsid w:val="00330144"/>
    <w:rsid w:val="003302D8"/>
    <w:rsid w:val="0033032C"/>
    <w:rsid w:val="003304A1"/>
    <w:rsid w:val="00330999"/>
    <w:rsid w:val="00330DB7"/>
    <w:rsid w:val="00331316"/>
    <w:rsid w:val="0033133C"/>
    <w:rsid w:val="00331486"/>
    <w:rsid w:val="00331864"/>
    <w:rsid w:val="0033244F"/>
    <w:rsid w:val="00332C1D"/>
    <w:rsid w:val="00332EF9"/>
    <w:rsid w:val="00332FB9"/>
    <w:rsid w:val="00333005"/>
    <w:rsid w:val="00333597"/>
    <w:rsid w:val="00334500"/>
    <w:rsid w:val="00334E58"/>
    <w:rsid w:val="00335707"/>
    <w:rsid w:val="0033572F"/>
    <w:rsid w:val="00335E5D"/>
    <w:rsid w:val="00335F31"/>
    <w:rsid w:val="0033634D"/>
    <w:rsid w:val="003370E6"/>
    <w:rsid w:val="00337740"/>
    <w:rsid w:val="00337743"/>
    <w:rsid w:val="00337E16"/>
    <w:rsid w:val="00337EC1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1BA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637"/>
    <w:rsid w:val="0036772F"/>
    <w:rsid w:val="00367BD2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22E"/>
    <w:rsid w:val="003955E6"/>
    <w:rsid w:val="00395950"/>
    <w:rsid w:val="00395B87"/>
    <w:rsid w:val="00396FE3"/>
    <w:rsid w:val="0039763E"/>
    <w:rsid w:val="0039797F"/>
    <w:rsid w:val="00397D8E"/>
    <w:rsid w:val="003A008A"/>
    <w:rsid w:val="003A08E5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289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04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74"/>
    <w:rsid w:val="003C39E6"/>
    <w:rsid w:val="003C3A11"/>
    <w:rsid w:val="003C3E2C"/>
    <w:rsid w:val="003C3E7E"/>
    <w:rsid w:val="003C40A3"/>
    <w:rsid w:val="003C43EB"/>
    <w:rsid w:val="003C46AE"/>
    <w:rsid w:val="003C4AFE"/>
    <w:rsid w:val="003C5187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AA0"/>
    <w:rsid w:val="003D611B"/>
    <w:rsid w:val="003D6220"/>
    <w:rsid w:val="003D660C"/>
    <w:rsid w:val="003D73BD"/>
    <w:rsid w:val="003D7961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395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6DB4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0D5D"/>
    <w:rsid w:val="00431085"/>
    <w:rsid w:val="004313B0"/>
    <w:rsid w:val="004314AB"/>
    <w:rsid w:val="0043152E"/>
    <w:rsid w:val="00431AA2"/>
    <w:rsid w:val="00432278"/>
    <w:rsid w:val="00432CD9"/>
    <w:rsid w:val="00432FAF"/>
    <w:rsid w:val="004342E4"/>
    <w:rsid w:val="00434EDF"/>
    <w:rsid w:val="00435149"/>
    <w:rsid w:val="00435269"/>
    <w:rsid w:val="00435769"/>
    <w:rsid w:val="00435805"/>
    <w:rsid w:val="00435EC1"/>
    <w:rsid w:val="004362AB"/>
    <w:rsid w:val="0043660D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441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5B3"/>
    <w:rsid w:val="004709A0"/>
    <w:rsid w:val="00470A75"/>
    <w:rsid w:val="00470CEE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90E"/>
    <w:rsid w:val="00475CA4"/>
    <w:rsid w:val="0047608F"/>
    <w:rsid w:val="0047658E"/>
    <w:rsid w:val="00477413"/>
    <w:rsid w:val="00477496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8EA"/>
    <w:rsid w:val="00480E9A"/>
    <w:rsid w:val="00480F71"/>
    <w:rsid w:val="0048213A"/>
    <w:rsid w:val="00482764"/>
    <w:rsid w:val="0048278B"/>
    <w:rsid w:val="0048279A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519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07"/>
    <w:rsid w:val="00494269"/>
    <w:rsid w:val="004945E3"/>
    <w:rsid w:val="0049469C"/>
    <w:rsid w:val="00494D66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148"/>
    <w:rsid w:val="004A21B5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558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05A"/>
    <w:rsid w:val="004B6663"/>
    <w:rsid w:val="004B67A4"/>
    <w:rsid w:val="004B6A3D"/>
    <w:rsid w:val="004B73DB"/>
    <w:rsid w:val="004B7414"/>
    <w:rsid w:val="004B74AD"/>
    <w:rsid w:val="004B7FE2"/>
    <w:rsid w:val="004C07BD"/>
    <w:rsid w:val="004C0EF4"/>
    <w:rsid w:val="004C109F"/>
    <w:rsid w:val="004C14B1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1DB8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5ED6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7114"/>
    <w:rsid w:val="004E722D"/>
    <w:rsid w:val="004E7341"/>
    <w:rsid w:val="004E7E7E"/>
    <w:rsid w:val="004F0244"/>
    <w:rsid w:val="004F061D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B9B"/>
    <w:rsid w:val="00513D0A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986"/>
    <w:rsid w:val="00550F71"/>
    <w:rsid w:val="00551167"/>
    <w:rsid w:val="005512D3"/>
    <w:rsid w:val="00551B85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AF7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09E"/>
    <w:rsid w:val="005841BC"/>
    <w:rsid w:val="0058427E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372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5870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7BA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D0E"/>
    <w:rsid w:val="005E3EC0"/>
    <w:rsid w:val="005E48DA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E54"/>
    <w:rsid w:val="005F4EAE"/>
    <w:rsid w:val="005F523C"/>
    <w:rsid w:val="005F574A"/>
    <w:rsid w:val="005F5DC9"/>
    <w:rsid w:val="005F6186"/>
    <w:rsid w:val="005F676C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15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0B1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03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1BB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BC4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4D65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C8"/>
    <w:rsid w:val="00671CD0"/>
    <w:rsid w:val="00671DC9"/>
    <w:rsid w:val="0067252D"/>
    <w:rsid w:val="00672C31"/>
    <w:rsid w:val="0067307C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966"/>
    <w:rsid w:val="00684BAF"/>
    <w:rsid w:val="00684F61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0CC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0AC"/>
    <w:rsid w:val="006934C4"/>
    <w:rsid w:val="00693BA7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8EE"/>
    <w:rsid w:val="006A1D7D"/>
    <w:rsid w:val="006A1E12"/>
    <w:rsid w:val="006A2019"/>
    <w:rsid w:val="006A21CC"/>
    <w:rsid w:val="006A2371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8AB"/>
    <w:rsid w:val="006B4B0F"/>
    <w:rsid w:val="006B4BC6"/>
    <w:rsid w:val="006B544B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C4F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912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20D"/>
    <w:rsid w:val="00704530"/>
    <w:rsid w:val="0070494F"/>
    <w:rsid w:val="00704969"/>
    <w:rsid w:val="00704BB0"/>
    <w:rsid w:val="00704CFF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0E23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481A"/>
    <w:rsid w:val="007153A5"/>
    <w:rsid w:val="007155D9"/>
    <w:rsid w:val="007157A0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8B5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3DFD"/>
    <w:rsid w:val="00744619"/>
    <w:rsid w:val="0074462C"/>
    <w:rsid w:val="0074497C"/>
    <w:rsid w:val="00744D93"/>
    <w:rsid w:val="00746BA2"/>
    <w:rsid w:val="00746E0F"/>
    <w:rsid w:val="0075064C"/>
    <w:rsid w:val="00750E7E"/>
    <w:rsid w:val="00751AAF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17B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6D6"/>
    <w:rsid w:val="007719A8"/>
    <w:rsid w:val="00771DB8"/>
    <w:rsid w:val="0077228C"/>
    <w:rsid w:val="00772BB8"/>
    <w:rsid w:val="00772F03"/>
    <w:rsid w:val="00772FA8"/>
    <w:rsid w:val="00773149"/>
    <w:rsid w:val="00773496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3B5"/>
    <w:rsid w:val="00775AAA"/>
    <w:rsid w:val="00776EDA"/>
    <w:rsid w:val="00777599"/>
    <w:rsid w:val="007779A0"/>
    <w:rsid w:val="00777A2C"/>
    <w:rsid w:val="00780F1B"/>
    <w:rsid w:val="00780FEA"/>
    <w:rsid w:val="0078165D"/>
    <w:rsid w:val="00781C97"/>
    <w:rsid w:val="00782B59"/>
    <w:rsid w:val="00782D66"/>
    <w:rsid w:val="00782F57"/>
    <w:rsid w:val="0078331C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2CF1"/>
    <w:rsid w:val="0079304F"/>
    <w:rsid w:val="00793277"/>
    <w:rsid w:val="007934FB"/>
    <w:rsid w:val="00793987"/>
    <w:rsid w:val="00793AD8"/>
    <w:rsid w:val="0079435F"/>
    <w:rsid w:val="00794F40"/>
    <w:rsid w:val="007951D5"/>
    <w:rsid w:val="00795A23"/>
    <w:rsid w:val="00795B6C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83B"/>
    <w:rsid w:val="007A1970"/>
    <w:rsid w:val="007A19BC"/>
    <w:rsid w:val="007A1A35"/>
    <w:rsid w:val="007A1C80"/>
    <w:rsid w:val="007A2166"/>
    <w:rsid w:val="007A2B7F"/>
    <w:rsid w:val="007A2DFE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9B1"/>
    <w:rsid w:val="007A5AAE"/>
    <w:rsid w:val="007A63D4"/>
    <w:rsid w:val="007A725C"/>
    <w:rsid w:val="007A7750"/>
    <w:rsid w:val="007A77BF"/>
    <w:rsid w:val="007A7AA2"/>
    <w:rsid w:val="007A7C23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2B3"/>
    <w:rsid w:val="007B6304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D4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1D6"/>
    <w:rsid w:val="007D0B2E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B8B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62BC"/>
    <w:rsid w:val="007D7606"/>
    <w:rsid w:val="007D77EB"/>
    <w:rsid w:val="007E018B"/>
    <w:rsid w:val="007E03C8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1691"/>
    <w:rsid w:val="007F1B7A"/>
    <w:rsid w:val="007F1DEB"/>
    <w:rsid w:val="007F2142"/>
    <w:rsid w:val="007F22A5"/>
    <w:rsid w:val="007F27A7"/>
    <w:rsid w:val="007F2A0B"/>
    <w:rsid w:val="007F2AD3"/>
    <w:rsid w:val="007F2DC4"/>
    <w:rsid w:val="007F2E4B"/>
    <w:rsid w:val="007F32FD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49B0"/>
    <w:rsid w:val="008051DE"/>
    <w:rsid w:val="00805594"/>
    <w:rsid w:val="00805656"/>
    <w:rsid w:val="00805659"/>
    <w:rsid w:val="0080593E"/>
    <w:rsid w:val="00805F9A"/>
    <w:rsid w:val="00806975"/>
    <w:rsid w:val="008069B2"/>
    <w:rsid w:val="0080733E"/>
    <w:rsid w:val="0080783D"/>
    <w:rsid w:val="008100B2"/>
    <w:rsid w:val="00810B66"/>
    <w:rsid w:val="00810CC2"/>
    <w:rsid w:val="00811B4D"/>
    <w:rsid w:val="008124CB"/>
    <w:rsid w:val="00812C2A"/>
    <w:rsid w:val="00812FCB"/>
    <w:rsid w:val="00813052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46E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25A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A80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72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03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1DF4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364E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41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097"/>
    <w:rsid w:val="008C25D0"/>
    <w:rsid w:val="008C2691"/>
    <w:rsid w:val="008C26D0"/>
    <w:rsid w:val="008C29EE"/>
    <w:rsid w:val="008C2ABC"/>
    <w:rsid w:val="008C2FDB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8EE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337"/>
    <w:rsid w:val="008E28AE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42D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4FD"/>
    <w:rsid w:val="008F5604"/>
    <w:rsid w:val="008F5AE6"/>
    <w:rsid w:val="008F6220"/>
    <w:rsid w:val="008F660B"/>
    <w:rsid w:val="008F695F"/>
    <w:rsid w:val="008F6E12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267A"/>
    <w:rsid w:val="00912B90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83F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17A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5D80"/>
    <w:rsid w:val="00946A49"/>
    <w:rsid w:val="00947AEE"/>
    <w:rsid w:val="00950775"/>
    <w:rsid w:val="009509C0"/>
    <w:rsid w:val="00950AFF"/>
    <w:rsid w:val="00951313"/>
    <w:rsid w:val="00951938"/>
    <w:rsid w:val="0095248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3A7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6D"/>
    <w:rsid w:val="00987A84"/>
    <w:rsid w:val="00987ACF"/>
    <w:rsid w:val="00987B36"/>
    <w:rsid w:val="00987C66"/>
    <w:rsid w:val="00987EE5"/>
    <w:rsid w:val="009900F0"/>
    <w:rsid w:val="00990180"/>
    <w:rsid w:val="00990C67"/>
    <w:rsid w:val="00990E8A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F60"/>
    <w:rsid w:val="00995151"/>
    <w:rsid w:val="0099545F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55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7F8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5E04"/>
    <w:rsid w:val="009E66EE"/>
    <w:rsid w:val="009E681A"/>
    <w:rsid w:val="009E733E"/>
    <w:rsid w:val="009E74C5"/>
    <w:rsid w:val="009E7B90"/>
    <w:rsid w:val="009F015D"/>
    <w:rsid w:val="009F01DB"/>
    <w:rsid w:val="009F0309"/>
    <w:rsid w:val="009F1041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32D"/>
    <w:rsid w:val="00A046C7"/>
    <w:rsid w:val="00A04E2C"/>
    <w:rsid w:val="00A04EDA"/>
    <w:rsid w:val="00A05840"/>
    <w:rsid w:val="00A05843"/>
    <w:rsid w:val="00A06137"/>
    <w:rsid w:val="00A063FE"/>
    <w:rsid w:val="00A06C38"/>
    <w:rsid w:val="00A06EDB"/>
    <w:rsid w:val="00A0750F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3DEE"/>
    <w:rsid w:val="00A13E26"/>
    <w:rsid w:val="00A141DC"/>
    <w:rsid w:val="00A14503"/>
    <w:rsid w:val="00A14928"/>
    <w:rsid w:val="00A14E25"/>
    <w:rsid w:val="00A14E81"/>
    <w:rsid w:val="00A15901"/>
    <w:rsid w:val="00A15D74"/>
    <w:rsid w:val="00A15EDC"/>
    <w:rsid w:val="00A160DD"/>
    <w:rsid w:val="00A16331"/>
    <w:rsid w:val="00A163B8"/>
    <w:rsid w:val="00A1640D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0E7"/>
    <w:rsid w:val="00A21D7A"/>
    <w:rsid w:val="00A21E19"/>
    <w:rsid w:val="00A21EE2"/>
    <w:rsid w:val="00A22796"/>
    <w:rsid w:val="00A22B7C"/>
    <w:rsid w:val="00A22C2E"/>
    <w:rsid w:val="00A2308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CC0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4D8"/>
    <w:rsid w:val="00A32BA0"/>
    <w:rsid w:val="00A32BC7"/>
    <w:rsid w:val="00A32D77"/>
    <w:rsid w:val="00A32DFD"/>
    <w:rsid w:val="00A32F2C"/>
    <w:rsid w:val="00A33030"/>
    <w:rsid w:val="00A3314D"/>
    <w:rsid w:val="00A33991"/>
    <w:rsid w:val="00A33C2E"/>
    <w:rsid w:val="00A33F49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5ABC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7EB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A2B"/>
    <w:rsid w:val="00A57301"/>
    <w:rsid w:val="00A574C8"/>
    <w:rsid w:val="00A574DE"/>
    <w:rsid w:val="00A5757E"/>
    <w:rsid w:val="00A57A93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4F2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702"/>
    <w:rsid w:val="00AA1D1B"/>
    <w:rsid w:val="00AA1E1A"/>
    <w:rsid w:val="00AA2167"/>
    <w:rsid w:val="00AA2755"/>
    <w:rsid w:val="00AA2E06"/>
    <w:rsid w:val="00AA34B8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1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779"/>
    <w:rsid w:val="00AA780F"/>
    <w:rsid w:val="00AA7823"/>
    <w:rsid w:val="00AA7B8C"/>
    <w:rsid w:val="00AB009E"/>
    <w:rsid w:val="00AB0B9C"/>
    <w:rsid w:val="00AB0EAC"/>
    <w:rsid w:val="00AB10A3"/>
    <w:rsid w:val="00AB10AC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3ED3"/>
    <w:rsid w:val="00AB4C48"/>
    <w:rsid w:val="00AB4D0B"/>
    <w:rsid w:val="00AB51C8"/>
    <w:rsid w:val="00AB5586"/>
    <w:rsid w:val="00AB5FC3"/>
    <w:rsid w:val="00AB61E4"/>
    <w:rsid w:val="00AB6406"/>
    <w:rsid w:val="00AB65B4"/>
    <w:rsid w:val="00AB737B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2C30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192"/>
    <w:rsid w:val="00AE2609"/>
    <w:rsid w:val="00AE2684"/>
    <w:rsid w:val="00AE29A8"/>
    <w:rsid w:val="00AE3960"/>
    <w:rsid w:val="00AE4074"/>
    <w:rsid w:val="00AE439A"/>
    <w:rsid w:val="00AE54D5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816"/>
    <w:rsid w:val="00AF1A40"/>
    <w:rsid w:val="00AF1CC2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E40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C80"/>
    <w:rsid w:val="00B24FB1"/>
    <w:rsid w:val="00B25143"/>
    <w:rsid w:val="00B251DE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1ECB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048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72B"/>
    <w:rsid w:val="00B43B2D"/>
    <w:rsid w:val="00B44029"/>
    <w:rsid w:val="00B44653"/>
    <w:rsid w:val="00B44C12"/>
    <w:rsid w:val="00B44FFA"/>
    <w:rsid w:val="00B451D8"/>
    <w:rsid w:val="00B45428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C8E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338"/>
    <w:rsid w:val="00B62AE0"/>
    <w:rsid w:val="00B63284"/>
    <w:rsid w:val="00B6373D"/>
    <w:rsid w:val="00B63964"/>
    <w:rsid w:val="00B63E30"/>
    <w:rsid w:val="00B645FA"/>
    <w:rsid w:val="00B64775"/>
    <w:rsid w:val="00B64EC9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3E8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F73"/>
    <w:rsid w:val="00B87210"/>
    <w:rsid w:val="00B877AA"/>
    <w:rsid w:val="00B87C87"/>
    <w:rsid w:val="00B87E3D"/>
    <w:rsid w:val="00B87FCD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3B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92B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21E"/>
    <w:rsid w:val="00BD5413"/>
    <w:rsid w:val="00BD58AC"/>
    <w:rsid w:val="00BD5918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A1F"/>
    <w:rsid w:val="00BF2C93"/>
    <w:rsid w:val="00BF3158"/>
    <w:rsid w:val="00BF3169"/>
    <w:rsid w:val="00BF34E0"/>
    <w:rsid w:val="00BF3911"/>
    <w:rsid w:val="00BF3BD1"/>
    <w:rsid w:val="00BF3D31"/>
    <w:rsid w:val="00BF412D"/>
    <w:rsid w:val="00BF5023"/>
    <w:rsid w:val="00BF51B7"/>
    <w:rsid w:val="00BF5491"/>
    <w:rsid w:val="00BF56BE"/>
    <w:rsid w:val="00BF602F"/>
    <w:rsid w:val="00BF6229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1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BF7"/>
    <w:rsid w:val="00C3140F"/>
    <w:rsid w:val="00C31921"/>
    <w:rsid w:val="00C31A5B"/>
    <w:rsid w:val="00C31AB7"/>
    <w:rsid w:val="00C31CF9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7088"/>
    <w:rsid w:val="00C3715E"/>
    <w:rsid w:val="00C3772A"/>
    <w:rsid w:val="00C4002D"/>
    <w:rsid w:val="00C401E4"/>
    <w:rsid w:val="00C40316"/>
    <w:rsid w:val="00C408C2"/>
    <w:rsid w:val="00C408D5"/>
    <w:rsid w:val="00C40AE7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166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24FC"/>
    <w:rsid w:val="00C62B48"/>
    <w:rsid w:val="00C62BAA"/>
    <w:rsid w:val="00C6352A"/>
    <w:rsid w:val="00C635CC"/>
    <w:rsid w:val="00C63B29"/>
    <w:rsid w:val="00C63D29"/>
    <w:rsid w:val="00C6405D"/>
    <w:rsid w:val="00C644F0"/>
    <w:rsid w:val="00C64538"/>
    <w:rsid w:val="00C64A62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20C"/>
    <w:rsid w:val="00C716F1"/>
    <w:rsid w:val="00C71BC4"/>
    <w:rsid w:val="00C71DF2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A0"/>
    <w:rsid w:val="00C754FF"/>
    <w:rsid w:val="00C7593A"/>
    <w:rsid w:val="00C763A0"/>
    <w:rsid w:val="00C76D32"/>
    <w:rsid w:val="00C778A2"/>
    <w:rsid w:val="00C77E68"/>
    <w:rsid w:val="00C80C77"/>
    <w:rsid w:val="00C80D90"/>
    <w:rsid w:val="00C8104E"/>
    <w:rsid w:val="00C81245"/>
    <w:rsid w:val="00C815D0"/>
    <w:rsid w:val="00C81967"/>
    <w:rsid w:val="00C81B05"/>
    <w:rsid w:val="00C82179"/>
    <w:rsid w:val="00C8228A"/>
    <w:rsid w:val="00C83607"/>
    <w:rsid w:val="00C836EE"/>
    <w:rsid w:val="00C83ADF"/>
    <w:rsid w:val="00C83AEE"/>
    <w:rsid w:val="00C83B2A"/>
    <w:rsid w:val="00C83D33"/>
    <w:rsid w:val="00C842BA"/>
    <w:rsid w:val="00C84A7D"/>
    <w:rsid w:val="00C84CAA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8B8"/>
    <w:rsid w:val="00C91F02"/>
    <w:rsid w:val="00C92117"/>
    <w:rsid w:val="00C92840"/>
    <w:rsid w:val="00C93301"/>
    <w:rsid w:val="00C934E0"/>
    <w:rsid w:val="00C93F0F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54"/>
    <w:rsid w:val="00C96501"/>
    <w:rsid w:val="00C96747"/>
    <w:rsid w:val="00C96897"/>
    <w:rsid w:val="00C97075"/>
    <w:rsid w:val="00C97276"/>
    <w:rsid w:val="00C978DB"/>
    <w:rsid w:val="00C97C47"/>
    <w:rsid w:val="00CA0704"/>
    <w:rsid w:val="00CA08DA"/>
    <w:rsid w:val="00CA0BA2"/>
    <w:rsid w:val="00CA0C28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55"/>
    <w:rsid w:val="00CB1E9C"/>
    <w:rsid w:val="00CB1FD2"/>
    <w:rsid w:val="00CB225B"/>
    <w:rsid w:val="00CB2391"/>
    <w:rsid w:val="00CB2A98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20"/>
    <w:rsid w:val="00CD179A"/>
    <w:rsid w:val="00CD1B50"/>
    <w:rsid w:val="00CD2030"/>
    <w:rsid w:val="00CD20E1"/>
    <w:rsid w:val="00CD2536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5F95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97F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514"/>
    <w:rsid w:val="00D12B00"/>
    <w:rsid w:val="00D137EC"/>
    <w:rsid w:val="00D13A62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B2B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DD2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E5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132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57D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4B4"/>
    <w:rsid w:val="00D65A4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B55"/>
    <w:rsid w:val="00D700E5"/>
    <w:rsid w:val="00D70900"/>
    <w:rsid w:val="00D70BE8"/>
    <w:rsid w:val="00D70D0B"/>
    <w:rsid w:val="00D70E28"/>
    <w:rsid w:val="00D71B77"/>
    <w:rsid w:val="00D720F3"/>
    <w:rsid w:val="00D725CA"/>
    <w:rsid w:val="00D7306C"/>
    <w:rsid w:val="00D7374B"/>
    <w:rsid w:val="00D741F4"/>
    <w:rsid w:val="00D74A87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414C"/>
    <w:rsid w:val="00D841A5"/>
    <w:rsid w:val="00D844B1"/>
    <w:rsid w:val="00D8469F"/>
    <w:rsid w:val="00D84E4D"/>
    <w:rsid w:val="00D8603D"/>
    <w:rsid w:val="00D86C20"/>
    <w:rsid w:val="00D86DD4"/>
    <w:rsid w:val="00D87498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80D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68"/>
    <w:rsid w:val="00DA18EE"/>
    <w:rsid w:val="00DA1A4B"/>
    <w:rsid w:val="00DA1DC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FA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026"/>
    <w:rsid w:val="00DE0129"/>
    <w:rsid w:val="00DE045E"/>
    <w:rsid w:val="00DE074F"/>
    <w:rsid w:val="00DE0772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CAF"/>
    <w:rsid w:val="00DE5039"/>
    <w:rsid w:val="00DE5414"/>
    <w:rsid w:val="00DE563D"/>
    <w:rsid w:val="00DE5B1E"/>
    <w:rsid w:val="00DE5BAE"/>
    <w:rsid w:val="00DE7267"/>
    <w:rsid w:val="00DE74A8"/>
    <w:rsid w:val="00DE7566"/>
    <w:rsid w:val="00DE7D4D"/>
    <w:rsid w:val="00DE7E46"/>
    <w:rsid w:val="00DF03A7"/>
    <w:rsid w:val="00DF066D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3C5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4E04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70E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4F3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652"/>
    <w:rsid w:val="00E40747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1D6"/>
    <w:rsid w:val="00E473F4"/>
    <w:rsid w:val="00E47502"/>
    <w:rsid w:val="00E500D9"/>
    <w:rsid w:val="00E504BE"/>
    <w:rsid w:val="00E505F4"/>
    <w:rsid w:val="00E505FC"/>
    <w:rsid w:val="00E50778"/>
    <w:rsid w:val="00E50BCA"/>
    <w:rsid w:val="00E50FBC"/>
    <w:rsid w:val="00E5132B"/>
    <w:rsid w:val="00E518D0"/>
    <w:rsid w:val="00E51AB5"/>
    <w:rsid w:val="00E51C9F"/>
    <w:rsid w:val="00E51DFD"/>
    <w:rsid w:val="00E52345"/>
    <w:rsid w:val="00E52763"/>
    <w:rsid w:val="00E5340B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53B"/>
    <w:rsid w:val="00E57B6E"/>
    <w:rsid w:val="00E60616"/>
    <w:rsid w:val="00E60B3B"/>
    <w:rsid w:val="00E60BDC"/>
    <w:rsid w:val="00E61029"/>
    <w:rsid w:val="00E61462"/>
    <w:rsid w:val="00E61498"/>
    <w:rsid w:val="00E6177F"/>
    <w:rsid w:val="00E61BA5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4EB8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09"/>
    <w:rsid w:val="00E93ACF"/>
    <w:rsid w:val="00E93E4F"/>
    <w:rsid w:val="00E941E0"/>
    <w:rsid w:val="00E94A0F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548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3E7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25"/>
    <w:rsid w:val="00EC1C35"/>
    <w:rsid w:val="00EC1F63"/>
    <w:rsid w:val="00EC22A5"/>
    <w:rsid w:val="00EC358F"/>
    <w:rsid w:val="00EC3B54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10FA"/>
    <w:rsid w:val="00ED1407"/>
    <w:rsid w:val="00ED1A74"/>
    <w:rsid w:val="00ED21EF"/>
    <w:rsid w:val="00ED2A29"/>
    <w:rsid w:val="00ED2B62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D7C00"/>
    <w:rsid w:val="00EE05C2"/>
    <w:rsid w:val="00EE06A6"/>
    <w:rsid w:val="00EE0913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7FC"/>
    <w:rsid w:val="00EE3C6D"/>
    <w:rsid w:val="00EE4028"/>
    <w:rsid w:val="00EE4551"/>
    <w:rsid w:val="00EE4999"/>
    <w:rsid w:val="00EE4C6E"/>
    <w:rsid w:val="00EE4E97"/>
    <w:rsid w:val="00EE4F89"/>
    <w:rsid w:val="00EE5135"/>
    <w:rsid w:val="00EE53A9"/>
    <w:rsid w:val="00EE54D0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02B"/>
    <w:rsid w:val="00EF23A1"/>
    <w:rsid w:val="00EF2755"/>
    <w:rsid w:val="00EF3218"/>
    <w:rsid w:val="00EF334E"/>
    <w:rsid w:val="00EF359E"/>
    <w:rsid w:val="00EF3B45"/>
    <w:rsid w:val="00EF42FB"/>
    <w:rsid w:val="00EF4668"/>
    <w:rsid w:val="00EF4685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5947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DC9"/>
    <w:rsid w:val="00F21E63"/>
    <w:rsid w:val="00F21E86"/>
    <w:rsid w:val="00F2254A"/>
    <w:rsid w:val="00F2276D"/>
    <w:rsid w:val="00F22B7B"/>
    <w:rsid w:val="00F22C15"/>
    <w:rsid w:val="00F22DC5"/>
    <w:rsid w:val="00F22EDB"/>
    <w:rsid w:val="00F2304F"/>
    <w:rsid w:val="00F23124"/>
    <w:rsid w:val="00F23423"/>
    <w:rsid w:val="00F23570"/>
    <w:rsid w:val="00F23F06"/>
    <w:rsid w:val="00F23F7D"/>
    <w:rsid w:val="00F2421D"/>
    <w:rsid w:val="00F24232"/>
    <w:rsid w:val="00F2433E"/>
    <w:rsid w:val="00F2486E"/>
    <w:rsid w:val="00F24E8D"/>
    <w:rsid w:val="00F25177"/>
    <w:rsid w:val="00F2526C"/>
    <w:rsid w:val="00F25420"/>
    <w:rsid w:val="00F256A5"/>
    <w:rsid w:val="00F2586C"/>
    <w:rsid w:val="00F25BD6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490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233F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1C13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5F3F"/>
    <w:rsid w:val="00F765E8"/>
    <w:rsid w:val="00F76851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3A6F"/>
    <w:rsid w:val="00F84B88"/>
    <w:rsid w:val="00F85244"/>
    <w:rsid w:val="00F856F0"/>
    <w:rsid w:val="00F85AF0"/>
    <w:rsid w:val="00F85D77"/>
    <w:rsid w:val="00F863C8"/>
    <w:rsid w:val="00F86A5E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7CB"/>
    <w:rsid w:val="00F97854"/>
    <w:rsid w:val="00F97C49"/>
    <w:rsid w:val="00FA0942"/>
    <w:rsid w:val="00FA0AC9"/>
    <w:rsid w:val="00FA12CC"/>
    <w:rsid w:val="00FA188C"/>
    <w:rsid w:val="00FA1FF2"/>
    <w:rsid w:val="00FA2743"/>
    <w:rsid w:val="00FA2910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384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5B3A217-795D-4F36-8457-363136CE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6793&amp;texto=2b434f4c45474941444f253341253232504c454e4152494f2532322b414e442b2b2532384e554d41434f5244414f253341323630302b4f522b4e554d52454c4143414f25334132363030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yperlink" Target="https://contas.tcu.gov.br/juris/SvlHighLight?key=ACORDAO-LEGADO-116746&amp;texto=2b434f4c45474941444f253341253232504c454e4152494f2532322b414e442b2b2532384e554d41434f5244414f253341323632322b4f522b4e554d52454c4143414f253341323632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16769&amp;texto=2b434f4c45474941444f253341253232504c454e4152494f2532322b414e442b2b2532384e554d41434f5244414f253341323630382b4f522b4e554d52454c4143414f25334132363038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6739&amp;texto=2b434f4c45474941444f253341253232504c454e4152494f2532322b414e442b2b2532384e554d41434f5244414f253341323632372b4f522b4e554d52454c4143414f25334132363237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as.tcu.gov.br/juris/SvlHighLight?key=ACORDAO-LEGADO-116739&amp;texto=2b434f4c45474941444f253341253232504c454e4152494f2532322b414e442b2b2532384e554d41434f5244414f253341323632372b4f522b4e554d52454c4143414f25334132363237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6793&amp;texto=2b434f4c45474941444f253341253232504c454e4152494f2532322b414e442b2b2532384e554d41434f5244414f253341323630302b4f522b4e554d52454c4143414f25334132363030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hyperlink" Target="mailto:infojuris@tcu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D1AF-BD6F-4EDD-B29C-CA059E9E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3435</Words>
  <Characters>18549</Characters>
  <Application>Microsoft Office Word</Application>
  <DocSecurity>4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21941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s://contas.tcu.gov.br/juris/SvlHighLight?key=ACORDAO-LEGADO-116746&amp;texto=2b434f4c45474941444f253341253232504c454e4152494f2532322b414e442b2b2532384e554d41434f5244414f253341323632322b4f522b4e554d52454c4143414f253341323632322532392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2949176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-116769&amp;texto=2b434f4c45474941444f253341253232504c454e4152494f2532322b414e442b2b2532384e554d41434f5244414f253341323630382b4f522b4e554d52454c4143414f253341323630382532392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2949181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-116739&amp;texto=2b434f4c45474941444f253341253232504c454e4152494f2532322b414e442b2b2532384e554d41434f5244414f253341323632372b4f522b4e554d52454c4143414f253341323632372532392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-116739&amp;texto=2b434f4c45474941444f253341253232504c454e4152494f2532322b414e442b2b2532384e554d41434f5244414f253341323632372b4f522b4e554d52454c4143414f253341323632372532392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-116793&amp;texto=2b434f4c45474941444f253341253232504c454e4152494f2532322b414e442b2b2532384e554d41434f5244414f253341323630302b4f522b4e554d52454c4143414f253341323630302532392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-116793&amp;texto=2b434f4c45474941444f253341253232504c454e4152494f2532322b414e442b2b2532384e554d41434f5244414f253341323630302b4f522b4e554d52454c4143414f253341323630302532392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2013-07-30T19:47:00Z</cp:lastPrinted>
  <dcterms:created xsi:type="dcterms:W3CDTF">2015-05-07T13:10:00Z</dcterms:created>
  <dcterms:modified xsi:type="dcterms:W3CDTF">2015-05-07T13:10:00Z</dcterms:modified>
</cp:coreProperties>
</file>