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Default="00AF735A" w:rsidP="00BC47C5">
      <w:pPr>
        <w:pStyle w:val="Ttulo8"/>
        <w:tabs>
          <w:tab w:val="right" w:pos="4423"/>
        </w:tabs>
        <w:spacing w:before="0" w:after="0"/>
        <w:ind w:left="0"/>
        <w:rPr>
          <w:rFonts w:ascii="Times New Roman" w:hAnsi="Times New Roman"/>
          <w:b/>
          <w:i w:val="0"/>
          <w:sz w:val="22"/>
          <w:szCs w:val="22"/>
        </w:rPr>
      </w:pPr>
      <w:bookmarkStart w:id="0" w:name="_GoBack"/>
      <w:bookmarkEnd w:id="0"/>
    </w:p>
    <w:p w:rsidR="0008246E" w:rsidRPr="008C597E" w:rsidRDefault="00C341B8" w:rsidP="00C61626">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1</w:t>
      </w:r>
      <w:r w:rsidR="00DA27D7">
        <w:rPr>
          <w:rFonts w:ascii="Times New Roman" w:hAnsi="Times New Roman"/>
          <w:b/>
          <w:i w:val="0"/>
          <w:sz w:val="22"/>
          <w:szCs w:val="22"/>
        </w:rPr>
        <w:t>6</w:t>
      </w:r>
      <w:r w:rsidR="008C597E">
        <w:rPr>
          <w:rFonts w:ascii="Times New Roman" w:hAnsi="Times New Roman"/>
          <w:b/>
          <w:i w:val="0"/>
          <w:sz w:val="22"/>
          <w:szCs w:val="22"/>
          <w:lang w:val="pt-BR"/>
        </w:rPr>
        <w:t>8</w:t>
      </w:r>
    </w:p>
    <w:p w:rsidR="00C61626" w:rsidRPr="00C61626" w:rsidRDefault="0008246E" w:rsidP="00C61626">
      <w:pPr>
        <w:pStyle w:val="Ttulo8"/>
        <w:tabs>
          <w:tab w:val="right" w:pos="4423"/>
        </w:tabs>
        <w:spacing w:before="0"/>
        <w:ind w:left="0"/>
        <w:jc w:val="center"/>
        <w:rPr>
          <w:rFonts w:ascii="Times New Roman" w:hAnsi="Times New Roman"/>
          <w:b/>
          <w:i w:val="0"/>
          <w:sz w:val="22"/>
          <w:szCs w:val="22"/>
          <w:lang w:val="pt-BR"/>
        </w:rPr>
      </w:pPr>
      <w:r w:rsidRPr="00993B9D">
        <w:rPr>
          <w:rFonts w:ascii="Times New Roman" w:hAnsi="Times New Roman"/>
          <w:b/>
          <w:i w:val="0"/>
          <w:sz w:val="22"/>
          <w:szCs w:val="22"/>
        </w:rPr>
        <w:t>Sessões:</w:t>
      </w:r>
      <w:r w:rsidR="00C341B8">
        <w:rPr>
          <w:rFonts w:ascii="Times New Roman" w:hAnsi="Times New Roman"/>
          <w:b/>
          <w:i w:val="0"/>
          <w:sz w:val="22"/>
          <w:szCs w:val="22"/>
        </w:rPr>
        <w:t xml:space="preserve"> </w:t>
      </w:r>
      <w:r w:rsidR="008C597E">
        <w:rPr>
          <w:rFonts w:ascii="Times New Roman" w:hAnsi="Times New Roman"/>
          <w:b/>
          <w:i w:val="0"/>
          <w:sz w:val="22"/>
          <w:szCs w:val="22"/>
          <w:lang w:val="pt-BR"/>
        </w:rPr>
        <w:t>10</w:t>
      </w:r>
      <w:r w:rsidR="00E852EC">
        <w:rPr>
          <w:rFonts w:ascii="Times New Roman" w:hAnsi="Times New Roman"/>
          <w:b/>
          <w:i w:val="0"/>
          <w:sz w:val="22"/>
          <w:szCs w:val="22"/>
        </w:rPr>
        <w:t xml:space="preserve"> </w:t>
      </w:r>
      <w:r w:rsidR="00C341B8">
        <w:rPr>
          <w:rFonts w:ascii="Times New Roman" w:hAnsi="Times New Roman"/>
          <w:b/>
          <w:i w:val="0"/>
          <w:sz w:val="22"/>
          <w:szCs w:val="22"/>
        </w:rPr>
        <w:t xml:space="preserve">e </w:t>
      </w:r>
      <w:r w:rsidR="008C597E">
        <w:rPr>
          <w:rFonts w:ascii="Times New Roman" w:hAnsi="Times New Roman"/>
          <w:b/>
          <w:i w:val="0"/>
          <w:sz w:val="22"/>
          <w:szCs w:val="22"/>
          <w:lang w:val="pt-BR"/>
        </w:rPr>
        <w:t>11</w:t>
      </w:r>
      <w:r w:rsidRPr="00993B9D">
        <w:rPr>
          <w:rFonts w:ascii="Times New Roman" w:hAnsi="Times New Roman"/>
          <w:b/>
          <w:i w:val="0"/>
          <w:sz w:val="22"/>
          <w:szCs w:val="22"/>
        </w:rPr>
        <w:t xml:space="preserve"> de </w:t>
      </w:r>
      <w:r w:rsidR="00411268">
        <w:rPr>
          <w:rFonts w:ascii="Times New Roman" w:hAnsi="Times New Roman"/>
          <w:b/>
          <w:i w:val="0"/>
          <w:sz w:val="22"/>
          <w:szCs w:val="22"/>
        </w:rPr>
        <w:t>setembro</w:t>
      </w:r>
      <w:r w:rsidRPr="00993B9D">
        <w:rPr>
          <w:rFonts w:ascii="Times New Roman" w:hAnsi="Times New Roman"/>
          <w:b/>
          <w:i w:val="0"/>
          <w:sz w:val="22"/>
          <w:szCs w:val="22"/>
        </w:rPr>
        <w:t xml:space="preserve"> de 2013</w:t>
      </w:r>
    </w:p>
    <w:p w:rsidR="0008246E" w:rsidRPr="00542E32" w:rsidRDefault="0008246E" w:rsidP="00C61626">
      <w:pPr>
        <w:pStyle w:val="Corpodetexto2"/>
        <w:spacing w:after="60" w:line="240" w:lineRule="auto"/>
        <w:ind w:left="0"/>
        <w:rPr>
          <w:sz w:val="22"/>
          <w:szCs w:val="22"/>
        </w:rPr>
      </w:pPr>
      <w:r w:rsidRPr="00542E32">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542E32" w:rsidRDefault="0008246E" w:rsidP="0008246E">
      <w:pPr>
        <w:pStyle w:val="Corpodetexto2"/>
        <w:spacing w:after="0" w:line="240" w:lineRule="auto"/>
        <w:ind w:left="0"/>
        <w:rPr>
          <w:sz w:val="22"/>
          <w:szCs w:val="22"/>
        </w:rPr>
      </w:pPr>
    </w:p>
    <w:p w:rsidR="0008246E" w:rsidRPr="00542E32" w:rsidRDefault="0008246E" w:rsidP="0006509C">
      <w:pPr>
        <w:pBdr>
          <w:top w:val="threeDEmboss" w:sz="24" w:space="5" w:color="auto"/>
        </w:pBdr>
        <w:tabs>
          <w:tab w:val="left" w:pos="284"/>
          <w:tab w:val="left" w:pos="4172"/>
          <w:tab w:val="center" w:pos="4818"/>
        </w:tabs>
        <w:spacing w:after="60"/>
        <w:ind w:left="0"/>
        <w:jc w:val="center"/>
        <w:rPr>
          <w:b/>
          <w:bCs/>
          <w:smallCaps/>
          <w:sz w:val="22"/>
          <w:szCs w:val="22"/>
        </w:rPr>
      </w:pPr>
      <w:r w:rsidRPr="00542E32">
        <w:rPr>
          <w:b/>
          <w:bCs/>
          <w:smallCaps/>
          <w:sz w:val="22"/>
          <w:szCs w:val="22"/>
        </w:rPr>
        <w:t>SUMÁRIO</w:t>
      </w:r>
    </w:p>
    <w:p w:rsidR="00175500" w:rsidRPr="00542E32" w:rsidRDefault="0008246E" w:rsidP="00C61626">
      <w:pPr>
        <w:autoSpaceDE w:val="0"/>
        <w:autoSpaceDN w:val="0"/>
        <w:adjustRightInd w:val="0"/>
        <w:spacing w:after="60"/>
        <w:ind w:left="0"/>
        <w:rPr>
          <w:b/>
          <w:sz w:val="22"/>
          <w:szCs w:val="22"/>
          <w:lang w:eastAsia="pt-BR"/>
        </w:rPr>
      </w:pPr>
      <w:r w:rsidRPr="00542E32">
        <w:rPr>
          <w:b/>
          <w:sz w:val="22"/>
          <w:szCs w:val="22"/>
          <w:lang w:eastAsia="pt-BR"/>
        </w:rPr>
        <w:t>Plenário</w:t>
      </w:r>
    </w:p>
    <w:p w:rsidR="00BD5918" w:rsidRDefault="00FF40CC" w:rsidP="00C61626">
      <w:pPr>
        <w:spacing w:after="60"/>
        <w:ind w:left="0"/>
        <w:rPr>
          <w:sz w:val="22"/>
          <w:szCs w:val="22"/>
        </w:rPr>
      </w:pPr>
      <w:r>
        <w:rPr>
          <w:sz w:val="22"/>
          <w:szCs w:val="22"/>
        </w:rPr>
        <w:t>1</w:t>
      </w:r>
      <w:r w:rsidR="00261BAD" w:rsidRPr="00542E32">
        <w:rPr>
          <w:sz w:val="22"/>
          <w:szCs w:val="22"/>
        </w:rPr>
        <w:t>.</w:t>
      </w:r>
      <w:r w:rsidR="009C0AF5" w:rsidRPr="009C0AF5">
        <w:rPr>
          <w:b/>
          <w:sz w:val="22"/>
          <w:szCs w:val="22"/>
        </w:rPr>
        <w:t xml:space="preserve"> </w:t>
      </w:r>
      <w:r w:rsidR="00B82652">
        <w:rPr>
          <w:sz w:val="22"/>
          <w:szCs w:val="22"/>
        </w:rPr>
        <w:t>Não compete a</w:t>
      </w:r>
      <w:r w:rsidR="009C0AF5" w:rsidRPr="009C0AF5">
        <w:rPr>
          <w:sz w:val="22"/>
          <w:szCs w:val="22"/>
        </w:rPr>
        <w:t>o TCU atuar na defesa de interesses privados do licitante junto à administração contratante, sob pena de representar avanço indevido nas atribuições que são pró</w:t>
      </w:r>
      <w:r w:rsidR="00460A4F">
        <w:rPr>
          <w:sz w:val="22"/>
          <w:szCs w:val="22"/>
        </w:rPr>
        <w:t xml:space="preserve">prias do órgão ou da entidade pública </w:t>
      </w:r>
      <w:r w:rsidR="009C0AF5" w:rsidRPr="009C0AF5">
        <w:rPr>
          <w:sz w:val="22"/>
          <w:szCs w:val="22"/>
        </w:rPr>
        <w:t>ou do Poder Judiciário.</w:t>
      </w:r>
    </w:p>
    <w:p w:rsidR="00B9279B" w:rsidRPr="00595870" w:rsidRDefault="00FF40CC" w:rsidP="00C61626">
      <w:pPr>
        <w:spacing w:after="60"/>
        <w:ind w:left="0"/>
        <w:rPr>
          <w:iCs/>
          <w:sz w:val="22"/>
          <w:szCs w:val="22"/>
          <w:lang w:eastAsia="pt-BR"/>
        </w:rPr>
      </w:pPr>
      <w:r>
        <w:rPr>
          <w:sz w:val="22"/>
          <w:szCs w:val="22"/>
        </w:rPr>
        <w:t>2</w:t>
      </w:r>
      <w:r w:rsidR="00717B0D" w:rsidRPr="00542E32">
        <w:rPr>
          <w:sz w:val="22"/>
          <w:szCs w:val="22"/>
        </w:rPr>
        <w:t>.</w:t>
      </w:r>
      <w:r w:rsidR="00B9279B" w:rsidRPr="00B9279B">
        <w:rPr>
          <w:b/>
          <w:sz w:val="22"/>
          <w:szCs w:val="22"/>
          <w:lang w:eastAsia="pt-BR"/>
        </w:rPr>
        <w:t xml:space="preserve"> </w:t>
      </w:r>
      <w:r w:rsidR="00B9279B" w:rsidRPr="00B9279B">
        <w:rPr>
          <w:sz w:val="22"/>
          <w:szCs w:val="22"/>
          <w:lang w:eastAsia="pt-BR"/>
        </w:rPr>
        <w:t>N</w:t>
      </w:r>
      <w:r w:rsidR="00B9279B" w:rsidRPr="00B9279B">
        <w:rPr>
          <w:bCs/>
          <w:iCs/>
          <w:sz w:val="22"/>
          <w:szCs w:val="22"/>
          <w:lang w:eastAsia="pt-BR"/>
        </w:rPr>
        <w:t>a licitação de serviços de natureza continuada é factível fixar as seguintes exigências de qualificação técnico-operacional: (i) para a contratação de até 40 postos de trabalho, atestado de execução de contrato com mínimo de 20 postos e, para contratação de mais de 40 postos, atestado com mínimo de 50% dos postos; e (</w:t>
      </w:r>
      <w:proofErr w:type="spellStart"/>
      <w:r w:rsidR="00B9279B" w:rsidRPr="00B9279B">
        <w:rPr>
          <w:bCs/>
          <w:iCs/>
          <w:sz w:val="22"/>
          <w:szCs w:val="22"/>
          <w:lang w:eastAsia="pt-BR"/>
        </w:rPr>
        <w:t>ii</w:t>
      </w:r>
      <w:proofErr w:type="spellEnd"/>
      <w:r w:rsidR="00B9279B" w:rsidRPr="00B9279B">
        <w:rPr>
          <w:bCs/>
          <w:iCs/>
          <w:sz w:val="22"/>
          <w:szCs w:val="22"/>
          <w:lang w:eastAsia="pt-BR"/>
        </w:rPr>
        <w:t>) atestado de execução de serviços de terceirização compatíveis em quantidade com o objeto l</w:t>
      </w:r>
      <w:r w:rsidR="00B82652">
        <w:rPr>
          <w:bCs/>
          <w:iCs/>
          <w:sz w:val="22"/>
          <w:szCs w:val="22"/>
          <w:lang w:eastAsia="pt-BR"/>
        </w:rPr>
        <w:t>icitado por período igual ou superior</w:t>
      </w:r>
      <w:r w:rsidR="00B9279B" w:rsidRPr="00B9279B">
        <w:rPr>
          <w:bCs/>
          <w:iCs/>
          <w:sz w:val="22"/>
          <w:szCs w:val="22"/>
          <w:lang w:eastAsia="pt-BR"/>
        </w:rPr>
        <w:t xml:space="preserve"> a 3 anos.</w:t>
      </w:r>
    </w:p>
    <w:p w:rsidR="00FF40CC" w:rsidRPr="00FF40CC" w:rsidRDefault="00FF40CC" w:rsidP="00C61626">
      <w:pPr>
        <w:pStyle w:val="indice"/>
        <w:spacing w:after="60" w:line="240" w:lineRule="auto"/>
      </w:pPr>
      <w:r>
        <w:t>3</w:t>
      </w:r>
      <w:r w:rsidR="00ED2A29">
        <w:t xml:space="preserve">. </w:t>
      </w:r>
      <w:r w:rsidR="00ED2A29" w:rsidRPr="00ED2A29">
        <w:t>Os itens do orçamento do contrato devem ser detalhados adequadamente, sendo irregular a previsão ou inclusão de itens que caracterizem cláusulas indeterminadas,</w:t>
      </w:r>
      <w:r w:rsidR="00ED2A29">
        <w:t xml:space="preserve"> que prevejam</w:t>
      </w:r>
      <w:r w:rsidR="00ED2A29" w:rsidRPr="00ED2A29">
        <w:t xml:space="preserve"> pagamentos para despes</w:t>
      </w:r>
      <w:r w:rsidR="00EB65AE">
        <w:t>as extraordinárias, imprevistas ou gerais</w:t>
      </w:r>
      <w:r w:rsidR="00ED2A29" w:rsidRPr="00ED2A29">
        <w:t>, independentemente se a contratação ocorrerá por preço global ou unitário.</w:t>
      </w:r>
    </w:p>
    <w:p w:rsidR="00761B79" w:rsidRDefault="00761B79" w:rsidP="00C61626">
      <w:pPr>
        <w:spacing w:after="60"/>
        <w:ind w:left="0"/>
        <w:rPr>
          <w:sz w:val="22"/>
          <w:szCs w:val="22"/>
        </w:rPr>
      </w:pPr>
      <w:r>
        <w:rPr>
          <w:sz w:val="22"/>
          <w:szCs w:val="22"/>
          <w:lang w:eastAsia="pt-BR"/>
        </w:rPr>
        <w:t>4</w:t>
      </w:r>
      <w:r w:rsidRPr="00A62D15">
        <w:rPr>
          <w:sz w:val="22"/>
          <w:szCs w:val="22"/>
          <w:lang w:eastAsia="pt-BR"/>
        </w:rPr>
        <w:t>.</w:t>
      </w:r>
      <w:r w:rsidR="00A62D15" w:rsidRPr="00A62D15">
        <w:rPr>
          <w:sz w:val="22"/>
          <w:szCs w:val="22"/>
        </w:rPr>
        <w:t xml:space="preserve"> O pagamento de salários inferiores aos constantes da proposta somente configura descumprimento contratual caso exista cláusula expressa no edital e no contrato exigindo a identidade entre esses valores</w:t>
      </w:r>
      <w:r w:rsidR="00C94BF9">
        <w:rPr>
          <w:sz w:val="22"/>
          <w:szCs w:val="22"/>
        </w:rPr>
        <w:t>.</w:t>
      </w:r>
      <w:r w:rsidR="00A62D15" w:rsidRPr="00A62D15">
        <w:rPr>
          <w:sz w:val="22"/>
          <w:szCs w:val="22"/>
        </w:rPr>
        <w:t xml:space="preserve"> </w:t>
      </w:r>
    </w:p>
    <w:p w:rsidR="00595870" w:rsidRPr="00293B8B" w:rsidRDefault="00293B8B" w:rsidP="00C61626">
      <w:pPr>
        <w:spacing w:after="60"/>
        <w:ind w:left="0"/>
        <w:rPr>
          <w:bCs/>
          <w:iCs/>
          <w:sz w:val="22"/>
          <w:szCs w:val="22"/>
        </w:rPr>
      </w:pPr>
      <w:r w:rsidRPr="00293B8B">
        <w:rPr>
          <w:sz w:val="22"/>
          <w:szCs w:val="22"/>
        </w:rPr>
        <w:t>5. A realização de diligência destinada a esclarecer ou a complementar a instrução do procedimento licitatório</w:t>
      </w:r>
      <w:r w:rsidRPr="00293B8B">
        <w:rPr>
          <w:bCs/>
          <w:iCs/>
          <w:sz w:val="22"/>
          <w:szCs w:val="22"/>
        </w:rPr>
        <w:t xml:space="preserve"> independe de previsão em edital, uma vez que a Lei 8.666/93 não impõe tal exigência.</w:t>
      </w:r>
    </w:p>
    <w:p w:rsidR="00595870" w:rsidRPr="00595870" w:rsidRDefault="00595870" w:rsidP="00C61626">
      <w:pPr>
        <w:spacing w:after="60"/>
        <w:ind w:left="0"/>
        <w:rPr>
          <w:sz w:val="22"/>
          <w:szCs w:val="22"/>
          <w:lang w:eastAsia="pt-BR"/>
        </w:rPr>
      </w:pPr>
      <w:r w:rsidRPr="00595870">
        <w:rPr>
          <w:sz w:val="22"/>
          <w:szCs w:val="22"/>
          <w:lang w:eastAsia="pt-BR"/>
        </w:rPr>
        <w:t>6. É irregular o uso da modalidade pregão para a licitação de obra, que, nos termos da Lei 8.666/93, é toda “construção, reforma, fabricação, recuperação ou ampliação”, independentemente dos materiais</w:t>
      </w:r>
      <w:r w:rsidR="00B24581">
        <w:rPr>
          <w:sz w:val="22"/>
          <w:szCs w:val="22"/>
          <w:lang w:eastAsia="pt-BR"/>
        </w:rPr>
        <w:t xml:space="preserve"> nela</w:t>
      </w:r>
      <w:r w:rsidRPr="00595870">
        <w:rPr>
          <w:sz w:val="22"/>
          <w:szCs w:val="22"/>
          <w:lang w:eastAsia="pt-BR"/>
        </w:rPr>
        <w:t xml:space="preserve"> empregados ou de eventual mobilidade do objeto a ser executado.</w:t>
      </w:r>
    </w:p>
    <w:p w:rsidR="00B53C88" w:rsidRPr="00542E32" w:rsidRDefault="00B53C88" w:rsidP="00270185">
      <w:pPr>
        <w:autoSpaceDE w:val="0"/>
        <w:autoSpaceDN w:val="0"/>
        <w:adjustRightInd w:val="0"/>
        <w:spacing w:after="0"/>
        <w:ind w:left="0"/>
        <w:rPr>
          <w:sz w:val="22"/>
          <w:szCs w:val="22"/>
        </w:rPr>
      </w:pPr>
    </w:p>
    <w:p w:rsidR="0008246E" w:rsidRPr="00542E32" w:rsidRDefault="0008246E" w:rsidP="00270185">
      <w:pPr>
        <w:pBdr>
          <w:top w:val="threeDEmboss" w:sz="24" w:space="5" w:color="auto"/>
        </w:pBdr>
        <w:tabs>
          <w:tab w:val="left" w:pos="284"/>
          <w:tab w:val="left" w:pos="4172"/>
          <w:tab w:val="center" w:pos="4818"/>
        </w:tabs>
        <w:spacing w:after="0"/>
        <w:ind w:left="0"/>
        <w:jc w:val="center"/>
        <w:rPr>
          <w:b/>
          <w:bCs/>
          <w:smallCaps/>
          <w:sz w:val="22"/>
          <w:szCs w:val="22"/>
        </w:rPr>
      </w:pPr>
      <w:r w:rsidRPr="00542E32">
        <w:rPr>
          <w:b/>
          <w:bCs/>
          <w:smallCaps/>
          <w:sz w:val="22"/>
          <w:szCs w:val="22"/>
        </w:rPr>
        <w:t>PLENÁRIO</w:t>
      </w:r>
    </w:p>
    <w:p w:rsidR="0008246E" w:rsidRPr="00542E32" w:rsidRDefault="0008246E" w:rsidP="00270185">
      <w:pPr>
        <w:pBdr>
          <w:top w:val="threeDEmboss" w:sz="24" w:space="5" w:color="auto"/>
        </w:pBdr>
        <w:tabs>
          <w:tab w:val="left" w:pos="284"/>
          <w:tab w:val="left" w:pos="4172"/>
          <w:tab w:val="center" w:pos="4818"/>
        </w:tabs>
        <w:spacing w:after="0"/>
        <w:ind w:left="0"/>
        <w:rPr>
          <w:b/>
          <w:bCs/>
          <w:smallCaps/>
          <w:sz w:val="22"/>
          <w:szCs w:val="22"/>
        </w:rPr>
      </w:pPr>
    </w:p>
    <w:p w:rsidR="00FF40CC" w:rsidRPr="00C61626" w:rsidRDefault="00B82652" w:rsidP="00C61626">
      <w:pPr>
        <w:spacing w:after="0"/>
        <w:ind w:left="0"/>
        <w:rPr>
          <w:b/>
          <w:sz w:val="22"/>
          <w:szCs w:val="22"/>
        </w:rPr>
      </w:pPr>
      <w:r>
        <w:rPr>
          <w:b/>
          <w:sz w:val="22"/>
          <w:szCs w:val="22"/>
        </w:rPr>
        <w:t>1. Não compete a</w:t>
      </w:r>
      <w:r w:rsidR="00FF40CC" w:rsidRPr="00C61626">
        <w:rPr>
          <w:b/>
          <w:sz w:val="22"/>
          <w:szCs w:val="22"/>
        </w:rPr>
        <w:t>o TCU atuar na defesa de interesses</w:t>
      </w:r>
      <w:r w:rsidR="009C0AF5" w:rsidRPr="00C61626">
        <w:rPr>
          <w:b/>
          <w:sz w:val="22"/>
          <w:szCs w:val="22"/>
        </w:rPr>
        <w:t xml:space="preserve"> privados</w:t>
      </w:r>
      <w:r w:rsidR="00FF40CC" w:rsidRPr="00C61626">
        <w:rPr>
          <w:b/>
          <w:sz w:val="22"/>
          <w:szCs w:val="22"/>
        </w:rPr>
        <w:t xml:space="preserve"> do licitante junto à administração contratante, sob pena de representar avanço indevido nas atribuiç</w:t>
      </w:r>
      <w:r w:rsidR="00460A4F">
        <w:rPr>
          <w:b/>
          <w:sz w:val="22"/>
          <w:szCs w:val="22"/>
        </w:rPr>
        <w:t>ões que são próprias do órgão ou da entidade pública</w:t>
      </w:r>
      <w:r w:rsidR="00FF40CC" w:rsidRPr="00C61626">
        <w:rPr>
          <w:b/>
          <w:sz w:val="22"/>
          <w:szCs w:val="22"/>
        </w:rPr>
        <w:t xml:space="preserve"> ou do Poder Judiciário.</w:t>
      </w:r>
    </w:p>
    <w:p w:rsidR="00FF40CC" w:rsidRPr="00C61626" w:rsidRDefault="00FF40CC" w:rsidP="00C61626">
      <w:pPr>
        <w:spacing w:after="0"/>
        <w:ind w:left="0"/>
        <w:rPr>
          <w:b/>
          <w:i/>
          <w:sz w:val="22"/>
          <w:szCs w:val="22"/>
          <w:lang w:eastAsia="pt-BR"/>
        </w:rPr>
      </w:pPr>
      <w:r w:rsidRPr="00C61626">
        <w:rPr>
          <w:sz w:val="22"/>
          <w:szCs w:val="22"/>
          <w:lang w:eastAsia="pt-BR"/>
        </w:rPr>
        <w:t>Representação sobre pregão eletrônico realizado pelo Fundo Nacional de Desenvolvimento da Educação (FNDE), para aquisição de embarcações para transporte escolar, apontara pretensa irregularidade na inabilitação de empresa no certame.</w:t>
      </w:r>
      <w:r w:rsidRPr="00C61626">
        <w:rPr>
          <w:iCs/>
          <w:sz w:val="22"/>
          <w:szCs w:val="22"/>
          <w:lang w:eastAsia="pt-BR"/>
        </w:rPr>
        <w:t xml:space="preserve"> Sinteticamente, a representante defendeu que, </w:t>
      </w:r>
      <w:r w:rsidRPr="00C61626">
        <w:rPr>
          <w:i/>
          <w:iCs/>
          <w:sz w:val="22"/>
          <w:szCs w:val="22"/>
          <w:lang w:eastAsia="pt-BR"/>
        </w:rPr>
        <w:t>“apesar de ter se sagrado vencedora do grupo II, itens 3 e 4 do pregão, haveria falha de interpretação do dispositivo legal utilizado para recusa de sua proposta para esse lote, ao inabilitá-la com base no art. 9º, III, da Lei 8.666/1993”</w:t>
      </w:r>
      <w:r w:rsidRPr="00C61626">
        <w:rPr>
          <w:iCs/>
          <w:sz w:val="22"/>
          <w:szCs w:val="22"/>
          <w:lang w:eastAsia="pt-BR"/>
        </w:rPr>
        <w:t xml:space="preserve">. A inabilitação decorrera de entendimento do FNDE de que a condição de um dos sócios da empresa inabilitada – como professor de instituição federal de ensino contratada pelo FNDE para a avaliação, inspeção e controle da qualidade dos protótipos das lanchas ofertadas pelos licitantes – reclamaria a incidência do art. 9º, inciso III, da Lei 8.666/93, que estabelece vedação à participação na licitação de servidor que integre o quadro funcional do contratante ou do responsável pelo processo licitatório.  </w:t>
      </w:r>
      <w:r w:rsidRPr="00C61626">
        <w:rPr>
          <w:sz w:val="22"/>
          <w:szCs w:val="22"/>
          <w:lang w:eastAsia="pt-BR"/>
        </w:rPr>
        <w:t>Em juízo de mérito, após tecer considera</w:t>
      </w:r>
      <w:r w:rsidR="00A62D15" w:rsidRPr="00C61626">
        <w:rPr>
          <w:sz w:val="22"/>
          <w:szCs w:val="22"/>
          <w:lang w:eastAsia="pt-BR"/>
        </w:rPr>
        <w:t>ções acerca da aplicabilidade desse</w:t>
      </w:r>
      <w:r w:rsidRPr="00C61626">
        <w:rPr>
          <w:sz w:val="22"/>
          <w:szCs w:val="22"/>
          <w:lang w:eastAsia="pt-BR"/>
        </w:rPr>
        <w:t xml:space="preserve"> comando</w:t>
      </w:r>
      <w:r w:rsidR="00A62D15" w:rsidRPr="00C61626">
        <w:rPr>
          <w:sz w:val="22"/>
          <w:szCs w:val="22"/>
          <w:lang w:eastAsia="pt-BR"/>
        </w:rPr>
        <w:t xml:space="preserve"> legal </w:t>
      </w:r>
      <w:r w:rsidRPr="00C61626">
        <w:rPr>
          <w:iCs/>
          <w:sz w:val="22"/>
          <w:szCs w:val="22"/>
          <w:lang w:eastAsia="pt-BR"/>
        </w:rPr>
        <w:t>ao caso concreto</w:t>
      </w:r>
      <w:r w:rsidRPr="00C61626">
        <w:rPr>
          <w:sz w:val="22"/>
          <w:szCs w:val="22"/>
          <w:lang w:eastAsia="pt-BR"/>
        </w:rPr>
        <w:t>, o relator consignou não perceber o atendimento pleno dos requisitos regimentais para a admissibilidade da representação "</w:t>
      </w:r>
      <w:r w:rsidRPr="00C61626">
        <w:rPr>
          <w:i/>
          <w:sz w:val="22"/>
          <w:szCs w:val="22"/>
          <w:lang w:eastAsia="pt-BR"/>
        </w:rPr>
        <w:t xml:space="preserve">em face da consolidada jurisprudência do Tribunal, no sentido de que </w:t>
      </w:r>
      <w:proofErr w:type="spellStart"/>
      <w:r w:rsidRPr="00C61626">
        <w:rPr>
          <w:i/>
          <w:sz w:val="22"/>
          <w:szCs w:val="22"/>
          <w:lang w:eastAsia="pt-BR"/>
        </w:rPr>
        <w:t>refoge</w:t>
      </w:r>
      <w:proofErr w:type="spellEnd"/>
      <w:r w:rsidRPr="00C61626">
        <w:rPr>
          <w:i/>
          <w:sz w:val="22"/>
          <w:szCs w:val="22"/>
          <w:lang w:eastAsia="pt-BR"/>
        </w:rPr>
        <w:t xml:space="preserve"> ao rol de competências do TCU atuar na defesa de interesses particulares junto à administração pública</w:t>
      </w:r>
      <w:r w:rsidRPr="00C61626">
        <w:rPr>
          <w:i/>
          <w:iCs/>
          <w:sz w:val="22"/>
          <w:szCs w:val="22"/>
          <w:lang w:eastAsia="pt-BR"/>
        </w:rPr>
        <w:t>”.</w:t>
      </w:r>
      <w:r w:rsidRPr="00C61626">
        <w:rPr>
          <w:sz w:val="22"/>
          <w:szCs w:val="22"/>
          <w:lang w:eastAsia="pt-BR"/>
        </w:rPr>
        <w:t xml:space="preserve"> Destacou não verificar, na espécie, </w:t>
      </w:r>
      <w:r w:rsidRPr="00C61626">
        <w:rPr>
          <w:i/>
          <w:sz w:val="22"/>
          <w:szCs w:val="22"/>
          <w:lang w:eastAsia="pt-BR"/>
        </w:rPr>
        <w:t>“situação de potencial prejuízo ao erário a ponto de justificar atuação deste Tribunal”</w:t>
      </w:r>
      <w:r w:rsidRPr="00C61626">
        <w:rPr>
          <w:sz w:val="22"/>
          <w:szCs w:val="22"/>
          <w:lang w:eastAsia="pt-BR"/>
        </w:rPr>
        <w:t xml:space="preserve">, sobretudo porque informações constantes da ata do pregão demonstravam que </w:t>
      </w:r>
      <w:r w:rsidRPr="00C61626">
        <w:rPr>
          <w:i/>
          <w:sz w:val="22"/>
          <w:szCs w:val="22"/>
          <w:lang w:eastAsia="pt-BR"/>
        </w:rPr>
        <w:t>“o grupo II encontra-se suspenso, pendente de vencedor ou de possível recurso contra a decisão da inabilitação questionada, com previsão de retomada por meio de ata complementar ainda não publicada”</w:t>
      </w:r>
      <w:r w:rsidRPr="00C61626">
        <w:rPr>
          <w:sz w:val="22"/>
          <w:szCs w:val="22"/>
          <w:lang w:eastAsia="pt-BR"/>
        </w:rPr>
        <w:t xml:space="preserve">. Nesse passo, colacionando amplo painel da jurisprudência do TCU sobre a matéria, obtemperou que, no caso concreto, </w:t>
      </w:r>
      <w:r w:rsidRPr="00C61626">
        <w:rPr>
          <w:i/>
          <w:sz w:val="22"/>
          <w:szCs w:val="22"/>
          <w:lang w:eastAsia="pt-BR"/>
        </w:rPr>
        <w:t>“o Tribunal está sendo acionado para resguardar suposto direito alheio, ou seja, numa situação em que não se mostra presente o interesse coletivo que justificaria a intervenção desta Corte de Contas”</w:t>
      </w:r>
      <w:r w:rsidRPr="00C61626">
        <w:rPr>
          <w:sz w:val="22"/>
          <w:szCs w:val="22"/>
          <w:lang w:eastAsia="pt-BR"/>
        </w:rPr>
        <w:t xml:space="preserve">. E assinalou que </w:t>
      </w:r>
      <w:r w:rsidRPr="00C61626">
        <w:rPr>
          <w:i/>
          <w:sz w:val="22"/>
          <w:szCs w:val="22"/>
          <w:lang w:eastAsia="pt-BR"/>
        </w:rPr>
        <w:t>“sabendo que não foram esgotados os canais de revisão perante a autoridade recorrida previstos na legislação específica – a Lei nº 10.520/2002, o Decreto nº 3.555/2000, o Decreto nº 5.450/2005 e, subsidiariamente, a Lei nº 8.666/1993 – dos atos que o representante entende contrários aos seus direitos, bem como, no caso de negativa de provimento, apelo ao órgão da Justiça competente, reforço a tese de que matérias da espécie não encontram espaço para apreciação nesta Casa, sob pena de representar avanço indevido nas atribuições que são próprias da unidade jurisdicionada ou do Poder Judiciário”</w:t>
      </w:r>
      <w:r w:rsidRPr="00C61626">
        <w:rPr>
          <w:sz w:val="22"/>
          <w:szCs w:val="22"/>
          <w:lang w:eastAsia="pt-BR"/>
        </w:rPr>
        <w:t>. Por fim, concluiu que</w:t>
      </w:r>
      <w:r w:rsidRPr="00C61626">
        <w:rPr>
          <w:i/>
          <w:sz w:val="22"/>
          <w:szCs w:val="22"/>
          <w:lang w:eastAsia="pt-BR"/>
        </w:rPr>
        <w:t xml:space="preserve"> “a matéria noticiada neste feito não oferece oportunidade ao exercício da competência conferida ao Tribunal de Contas da União pelo Texto Constitucional”</w:t>
      </w:r>
      <w:r w:rsidRPr="00C61626">
        <w:rPr>
          <w:sz w:val="22"/>
          <w:szCs w:val="22"/>
          <w:lang w:eastAsia="pt-BR"/>
        </w:rPr>
        <w:t xml:space="preserve">, ressalvando, contudo, que </w:t>
      </w:r>
      <w:r w:rsidRPr="00C61626">
        <w:rPr>
          <w:i/>
          <w:sz w:val="22"/>
          <w:szCs w:val="22"/>
          <w:lang w:eastAsia="pt-BR"/>
        </w:rPr>
        <w:t>“esta Corte poderá intervir no processo, em defesa do interesse público, diante de atos a serem praticados pelo FNDE, para prosseguimento do pregão relativo ao item em questão, que possam, de alguma forma, representar prejuízo para a Administração”</w:t>
      </w:r>
      <w:r w:rsidRPr="00C61626">
        <w:rPr>
          <w:sz w:val="22"/>
          <w:szCs w:val="22"/>
          <w:lang w:eastAsia="pt-BR"/>
        </w:rPr>
        <w:t>. Nesse sentido, o Tribunal, acolhendo a tese da relatoria, não conheceu da representação.</w:t>
      </w:r>
      <w:r w:rsidRPr="00C61626">
        <w:rPr>
          <w:b/>
          <w:bCs/>
          <w:iCs/>
          <w:sz w:val="22"/>
          <w:szCs w:val="22"/>
        </w:rPr>
        <w:t xml:space="preserve"> </w:t>
      </w:r>
      <w:hyperlink r:id="rId8" w:history="1">
        <w:r w:rsidR="001445CE" w:rsidRPr="001445CE">
          <w:rPr>
            <w:rStyle w:val="Hyperlink"/>
            <w:b/>
            <w:bCs/>
            <w:i/>
            <w:iCs/>
            <w:sz w:val="22"/>
            <w:szCs w:val="22"/>
          </w:rPr>
          <w:t>Acórdão 2439/2013-Plenário</w:t>
        </w:r>
      </w:hyperlink>
      <w:r w:rsidRPr="00C61626">
        <w:rPr>
          <w:b/>
          <w:i/>
          <w:sz w:val="22"/>
          <w:szCs w:val="22"/>
          <w:lang w:eastAsia="pt-BR"/>
        </w:rPr>
        <w:t>, TC 009.707/2013-1, relator Ministro Valmir Campelo, 11.9.2013.</w:t>
      </w:r>
    </w:p>
    <w:p w:rsidR="00FF40CC" w:rsidRPr="00C61626" w:rsidRDefault="00FF40CC" w:rsidP="00C61626">
      <w:pPr>
        <w:spacing w:after="0"/>
        <w:ind w:left="0"/>
        <w:rPr>
          <w:b/>
          <w:sz w:val="22"/>
          <w:szCs w:val="22"/>
          <w:lang w:eastAsia="pt-BR"/>
        </w:rPr>
      </w:pPr>
    </w:p>
    <w:p w:rsidR="00FF40CC" w:rsidRPr="00C61626" w:rsidRDefault="00FF40CC" w:rsidP="00C61626">
      <w:pPr>
        <w:spacing w:after="0"/>
        <w:ind w:left="0"/>
        <w:rPr>
          <w:b/>
          <w:iCs/>
          <w:sz w:val="22"/>
          <w:szCs w:val="22"/>
          <w:lang w:eastAsia="pt-BR"/>
        </w:rPr>
      </w:pPr>
      <w:r w:rsidRPr="00C61626">
        <w:rPr>
          <w:b/>
          <w:sz w:val="22"/>
          <w:szCs w:val="22"/>
          <w:lang w:eastAsia="pt-BR"/>
        </w:rPr>
        <w:t>2. N</w:t>
      </w:r>
      <w:r w:rsidR="009C0AF5" w:rsidRPr="00C61626">
        <w:rPr>
          <w:b/>
          <w:bCs/>
          <w:iCs/>
          <w:sz w:val="22"/>
          <w:szCs w:val="22"/>
          <w:lang w:eastAsia="pt-BR"/>
        </w:rPr>
        <w:t>a licitação</w:t>
      </w:r>
      <w:r w:rsidRPr="00C61626">
        <w:rPr>
          <w:b/>
          <w:bCs/>
          <w:iCs/>
          <w:sz w:val="22"/>
          <w:szCs w:val="22"/>
          <w:lang w:eastAsia="pt-BR"/>
        </w:rPr>
        <w:t xml:space="preserve"> de serviços de natureza conti</w:t>
      </w:r>
      <w:r w:rsidR="009C0AF5" w:rsidRPr="00C61626">
        <w:rPr>
          <w:b/>
          <w:bCs/>
          <w:iCs/>
          <w:sz w:val="22"/>
          <w:szCs w:val="22"/>
          <w:lang w:eastAsia="pt-BR"/>
        </w:rPr>
        <w:t xml:space="preserve">nuada é factível fixar </w:t>
      </w:r>
      <w:r w:rsidR="00D75ADC" w:rsidRPr="00C61626">
        <w:rPr>
          <w:b/>
          <w:bCs/>
          <w:iCs/>
          <w:sz w:val="22"/>
          <w:szCs w:val="22"/>
          <w:lang w:eastAsia="pt-BR"/>
        </w:rPr>
        <w:t xml:space="preserve">as seguintes </w:t>
      </w:r>
      <w:r w:rsidRPr="00C61626">
        <w:rPr>
          <w:b/>
          <w:bCs/>
          <w:iCs/>
          <w:sz w:val="22"/>
          <w:szCs w:val="22"/>
          <w:lang w:eastAsia="pt-BR"/>
        </w:rPr>
        <w:t>exigências de q</w:t>
      </w:r>
      <w:r w:rsidR="00D75ADC" w:rsidRPr="00C61626">
        <w:rPr>
          <w:b/>
          <w:bCs/>
          <w:iCs/>
          <w:sz w:val="22"/>
          <w:szCs w:val="22"/>
          <w:lang w:eastAsia="pt-BR"/>
        </w:rPr>
        <w:t>ualificação técnico-operacional</w:t>
      </w:r>
      <w:r w:rsidRPr="00C61626">
        <w:rPr>
          <w:b/>
          <w:bCs/>
          <w:iCs/>
          <w:sz w:val="22"/>
          <w:szCs w:val="22"/>
          <w:lang w:eastAsia="pt-BR"/>
        </w:rPr>
        <w:t>: (i) para a contratação de até 40 postos de tr</w:t>
      </w:r>
      <w:r w:rsidR="00D75ADC" w:rsidRPr="00C61626">
        <w:rPr>
          <w:b/>
          <w:bCs/>
          <w:iCs/>
          <w:sz w:val="22"/>
          <w:szCs w:val="22"/>
          <w:lang w:eastAsia="pt-BR"/>
        </w:rPr>
        <w:t>abalho, atestado de execução de</w:t>
      </w:r>
      <w:r w:rsidR="00EA6548" w:rsidRPr="00C61626">
        <w:rPr>
          <w:b/>
          <w:bCs/>
          <w:iCs/>
          <w:sz w:val="22"/>
          <w:szCs w:val="22"/>
          <w:lang w:eastAsia="pt-BR"/>
        </w:rPr>
        <w:t xml:space="preserve"> contrato com</w:t>
      </w:r>
      <w:r w:rsidRPr="00C61626">
        <w:rPr>
          <w:b/>
          <w:bCs/>
          <w:iCs/>
          <w:sz w:val="22"/>
          <w:szCs w:val="22"/>
          <w:lang w:eastAsia="pt-BR"/>
        </w:rPr>
        <w:t xml:space="preserve"> mínim</w:t>
      </w:r>
      <w:r w:rsidR="00D75ADC" w:rsidRPr="00C61626">
        <w:rPr>
          <w:b/>
          <w:bCs/>
          <w:iCs/>
          <w:sz w:val="22"/>
          <w:szCs w:val="22"/>
          <w:lang w:eastAsia="pt-BR"/>
        </w:rPr>
        <w:t>o de 20 postos e, para contratação</w:t>
      </w:r>
      <w:r w:rsidRPr="00C61626">
        <w:rPr>
          <w:b/>
          <w:bCs/>
          <w:iCs/>
          <w:sz w:val="22"/>
          <w:szCs w:val="22"/>
          <w:lang w:eastAsia="pt-BR"/>
        </w:rPr>
        <w:t xml:space="preserve"> de</w:t>
      </w:r>
      <w:r w:rsidR="00D75ADC" w:rsidRPr="00C61626">
        <w:rPr>
          <w:b/>
          <w:bCs/>
          <w:iCs/>
          <w:sz w:val="22"/>
          <w:szCs w:val="22"/>
          <w:lang w:eastAsia="pt-BR"/>
        </w:rPr>
        <w:t xml:space="preserve"> mais de 40 postos, atestado com</w:t>
      </w:r>
      <w:r w:rsidRPr="00C61626">
        <w:rPr>
          <w:b/>
          <w:bCs/>
          <w:iCs/>
          <w:sz w:val="22"/>
          <w:szCs w:val="22"/>
          <w:lang w:eastAsia="pt-BR"/>
        </w:rPr>
        <w:t xml:space="preserve"> mínimo de 50%</w:t>
      </w:r>
      <w:r w:rsidR="00D75ADC" w:rsidRPr="00C61626">
        <w:rPr>
          <w:b/>
          <w:bCs/>
          <w:iCs/>
          <w:sz w:val="22"/>
          <w:szCs w:val="22"/>
          <w:lang w:eastAsia="pt-BR"/>
        </w:rPr>
        <w:t xml:space="preserve"> dos postos</w:t>
      </w:r>
      <w:r w:rsidRPr="00C61626">
        <w:rPr>
          <w:b/>
          <w:bCs/>
          <w:iCs/>
          <w:sz w:val="22"/>
          <w:szCs w:val="22"/>
          <w:lang w:eastAsia="pt-BR"/>
        </w:rPr>
        <w:t>; e (</w:t>
      </w:r>
      <w:proofErr w:type="spellStart"/>
      <w:r w:rsidRPr="00C61626">
        <w:rPr>
          <w:b/>
          <w:bCs/>
          <w:iCs/>
          <w:sz w:val="22"/>
          <w:szCs w:val="22"/>
          <w:lang w:eastAsia="pt-BR"/>
        </w:rPr>
        <w:t>ii</w:t>
      </w:r>
      <w:proofErr w:type="spellEnd"/>
      <w:r w:rsidRPr="00C61626">
        <w:rPr>
          <w:b/>
          <w:bCs/>
          <w:iCs/>
          <w:sz w:val="22"/>
          <w:szCs w:val="22"/>
          <w:lang w:eastAsia="pt-BR"/>
        </w:rPr>
        <w:t>) a</w:t>
      </w:r>
      <w:r w:rsidR="00D75ADC" w:rsidRPr="00C61626">
        <w:rPr>
          <w:b/>
          <w:bCs/>
          <w:iCs/>
          <w:sz w:val="22"/>
          <w:szCs w:val="22"/>
          <w:lang w:eastAsia="pt-BR"/>
        </w:rPr>
        <w:t>testado de execução de</w:t>
      </w:r>
      <w:r w:rsidRPr="00C61626">
        <w:rPr>
          <w:b/>
          <w:bCs/>
          <w:iCs/>
          <w:sz w:val="22"/>
          <w:szCs w:val="22"/>
          <w:lang w:eastAsia="pt-BR"/>
        </w:rPr>
        <w:t xml:space="preserve"> serviços de terceirização compatíveis em quantidade com o objeto </w:t>
      </w:r>
      <w:r w:rsidR="00B82652">
        <w:rPr>
          <w:b/>
          <w:bCs/>
          <w:iCs/>
          <w:sz w:val="22"/>
          <w:szCs w:val="22"/>
          <w:lang w:eastAsia="pt-BR"/>
        </w:rPr>
        <w:t>licitado por período igual ou superior</w:t>
      </w:r>
      <w:r w:rsidRPr="00C61626">
        <w:rPr>
          <w:b/>
          <w:bCs/>
          <w:iCs/>
          <w:sz w:val="22"/>
          <w:szCs w:val="22"/>
          <w:lang w:eastAsia="pt-BR"/>
        </w:rPr>
        <w:t xml:space="preserve"> a 3 anos.</w:t>
      </w:r>
    </w:p>
    <w:p w:rsidR="00FF40CC" w:rsidRPr="00C61626" w:rsidRDefault="00FF40CC" w:rsidP="00C61626">
      <w:pPr>
        <w:spacing w:after="0"/>
        <w:ind w:left="0"/>
        <w:rPr>
          <w:sz w:val="22"/>
          <w:szCs w:val="22"/>
        </w:rPr>
      </w:pPr>
      <w:r w:rsidRPr="00C61626">
        <w:rPr>
          <w:sz w:val="22"/>
          <w:szCs w:val="22"/>
        </w:rPr>
        <w:t>Representação relativa a pregão eletrônico conduzido pelo TRT-6ª Região para a contratação de serviços de vigilância armada apontara possível restrição à competitividade do certame</w:t>
      </w:r>
      <w:r w:rsidR="003533A6" w:rsidRPr="00C61626">
        <w:rPr>
          <w:sz w:val="22"/>
          <w:szCs w:val="22"/>
        </w:rPr>
        <w:t>,</w:t>
      </w:r>
      <w:r w:rsidRPr="00C61626">
        <w:rPr>
          <w:sz w:val="22"/>
          <w:szCs w:val="22"/>
        </w:rPr>
        <w:t xml:space="preserve"> em face de exigência de comprovação de que a empresa</w:t>
      </w:r>
      <w:r w:rsidR="003533A6" w:rsidRPr="00C61626">
        <w:rPr>
          <w:sz w:val="22"/>
          <w:szCs w:val="22"/>
        </w:rPr>
        <w:t xml:space="preserve"> tivesse</w:t>
      </w:r>
      <w:r w:rsidRPr="00C61626">
        <w:rPr>
          <w:sz w:val="22"/>
          <w:szCs w:val="22"/>
        </w:rPr>
        <w:t xml:space="preserve"> prestado os serviços licitados em quantitativo mínimo de oito postos de trabalho por pelo menos um ano</w:t>
      </w:r>
      <w:r w:rsidRPr="00C61626">
        <w:rPr>
          <w:iCs/>
          <w:sz w:val="22"/>
          <w:szCs w:val="22"/>
        </w:rPr>
        <w:t>.</w:t>
      </w:r>
      <w:r w:rsidRPr="00C61626">
        <w:rPr>
          <w:i/>
          <w:iCs/>
          <w:sz w:val="22"/>
          <w:szCs w:val="22"/>
        </w:rPr>
        <w:t xml:space="preserve"> </w:t>
      </w:r>
      <w:r w:rsidRPr="00C61626">
        <w:rPr>
          <w:sz w:val="22"/>
          <w:szCs w:val="22"/>
        </w:rPr>
        <w:t xml:space="preserve">Em juízo de mérito, o relator concluiu pela regularidade da exigência, destacando, em seu fundamento, o recente </w:t>
      </w:r>
      <w:r w:rsidR="003533A6" w:rsidRPr="00C61626">
        <w:rPr>
          <w:sz w:val="22"/>
          <w:szCs w:val="22"/>
        </w:rPr>
        <w:t>Acórdão 1</w:t>
      </w:r>
      <w:r w:rsidRPr="00C61626">
        <w:rPr>
          <w:sz w:val="22"/>
          <w:szCs w:val="22"/>
        </w:rPr>
        <w:t xml:space="preserve">214/2013-Plenário – que apreciou trabalho realizado por grupo de estudos formado pelo TCU para apresentar propostas com o objetivo de minimizar os problemas enfrentados pela Administração Pública na contratação da prestação de serviços de natureza contínua.  Relembrou o relator que, naquela oportunidade, ficou assente, em </w:t>
      </w:r>
      <w:proofErr w:type="spellStart"/>
      <w:r w:rsidRPr="00C61626">
        <w:rPr>
          <w:sz w:val="22"/>
          <w:szCs w:val="22"/>
        </w:rPr>
        <w:t>principio</w:t>
      </w:r>
      <w:proofErr w:type="spellEnd"/>
      <w:r w:rsidRPr="00C61626">
        <w:rPr>
          <w:sz w:val="22"/>
          <w:szCs w:val="22"/>
        </w:rPr>
        <w:t xml:space="preserve">, ser factível a fixação em edital, como exigência de qualificação técnico operacional, dos seguintes requisitos: (i) </w:t>
      </w:r>
      <w:r w:rsidRPr="00C61626">
        <w:rPr>
          <w:i/>
          <w:sz w:val="22"/>
          <w:szCs w:val="22"/>
        </w:rPr>
        <w:t>“para a contratação de até 40 postos de trabalho, atestado comprovando que a contratada tenha executado contrato com um mínimo de 20 postos e, para contratos de mais de 40 postos, seja exigido um mínimo de 50%”</w:t>
      </w:r>
      <w:r w:rsidRPr="00C61626">
        <w:rPr>
          <w:i/>
          <w:iCs/>
          <w:sz w:val="22"/>
          <w:szCs w:val="22"/>
        </w:rPr>
        <w:t xml:space="preserve">, </w:t>
      </w:r>
      <w:r w:rsidRPr="00C61626">
        <w:rPr>
          <w:iCs/>
          <w:sz w:val="22"/>
          <w:szCs w:val="22"/>
        </w:rPr>
        <w:t>e (</w:t>
      </w:r>
      <w:proofErr w:type="spellStart"/>
      <w:r w:rsidRPr="00C61626">
        <w:rPr>
          <w:iCs/>
          <w:sz w:val="22"/>
          <w:szCs w:val="22"/>
        </w:rPr>
        <w:t>ii</w:t>
      </w:r>
      <w:proofErr w:type="spellEnd"/>
      <w:r w:rsidRPr="00C61626">
        <w:rPr>
          <w:iCs/>
          <w:sz w:val="22"/>
          <w:szCs w:val="22"/>
        </w:rPr>
        <w:t xml:space="preserve">) </w:t>
      </w:r>
      <w:r w:rsidRPr="00C61626">
        <w:rPr>
          <w:i/>
          <w:iCs/>
          <w:sz w:val="22"/>
          <w:szCs w:val="22"/>
        </w:rPr>
        <w:t>“a obrigatoriedade da apresentação de atestado comprovando que a contratada tenha executado serviços de terceirização compatíveis em quantidade com o objeto licitado por período não inferior a 3 anos”</w:t>
      </w:r>
      <w:r w:rsidRPr="00C61626">
        <w:rPr>
          <w:sz w:val="22"/>
          <w:szCs w:val="22"/>
        </w:rPr>
        <w:t xml:space="preserve">. Em epílogo, anotou que exigências similares foram consideradas válidas em dois julgados do Tribunal e que, no caso concreto, em que se requeria a contratação de 24 postos de trabalho, </w:t>
      </w:r>
      <w:r w:rsidRPr="00C61626">
        <w:rPr>
          <w:i/>
          <w:sz w:val="22"/>
          <w:szCs w:val="22"/>
        </w:rPr>
        <w:t>“as exigências foram até menos rigorosas do que aquelas delineadas nas deliberações mencionadas”</w:t>
      </w:r>
      <w:r w:rsidRPr="00C61626">
        <w:rPr>
          <w:sz w:val="22"/>
          <w:szCs w:val="22"/>
        </w:rPr>
        <w:t xml:space="preserve">. Nesses termos, acolheu o Plenário a proposição do relator, para considerar improcedente a representação. </w:t>
      </w:r>
      <w:hyperlink r:id="rId9" w:history="1">
        <w:r w:rsidR="001B0737" w:rsidRPr="001B0737">
          <w:rPr>
            <w:rStyle w:val="Hyperlink"/>
            <w:b/>
            <w:i/>
            <w:sz w:val="22"/>
            <w:szCs w:val="22"/>
          </w:rPr>
          <w:t>Acórdão 2434/2013-Plenário</w:t>
        </w:r>
      </w:hyperlink>
      <w:r w:rsidRPr="00C61626">
        <w:rPr>
          <w:b/>
          <w:i/>
          <w:sz w:val="22"/>
          <w:szCs w:val="22"/>
          <w:lang w:eastAsia="pt-BR"/>
        </w:rPr>
        <w:t xml:space="preserve">, TC 010.161/2013-9, relator Ministro Aroldo </w:t>
      </w:r>
      <w:proofErr w:type="spellStart"/>
      <w:r w:rsidRPr="00C61626">
        <w:rPr>
          <w:b/>
          <w:i/>
          <w:sz w:val="22"/>
          <w:szCs w:val="22"/>
          <w:lang w:eastAsia="pt-BR"/>
        </w:rPr>
        <w:t>Cedraz</w:t>
      </w:r>
      <w:proofErr w:type="spellEnd"/>
      <w:r w:rsidRPr="00C61626">
        <w:rPr>
          <w:b/>
          <w:i/>
          <w:sz w:val="22"/>
          <w:szCs w:val="22"/>
          <w:lang w:eastAsia="pt-BR"/>
        </w:rPr>
        <w:t>, 11.9.2013.</w:t>
      </w:r>
    </w:p>
    <w:p w:rsidR="00E26FAD" w:rsidRPr="00C61626" w:rsidRDefault="00E26FAD" w:rsidP="00C61626">
      <w:pPr>
        <w:spacing w:after="0"/>
        <w:ind w:left="0"/>
        <w:rPr>
          <w:b/>
          <w:sz w:val="22"/>
          <w:szCs w:val="22"/>
        </w:rPr>
      </w:pPr>
    </w:p>
    <w:p w:rsidR="009B1811" w:rsidRPr="00C61626" w:rsidRDefault="00FF40CC" w:rsidP="00C61626">
      <w:pPr>
        <w:pStyle w:val="indice"/>
        <w:spacing w:line="240" w:lineRule="auto"/>
        <w:rPr>
          <w:b/>
        </w:rPr>
      </w:pPr>
      <w:r w:rsidRPr="00C61626">
        <w:rPr>
          <w:b/>
        </w:rPr>
        <w:t>3</w:t>
      </w:r>
      <w:r w:rsidR="009B1811" w:rsidRPr="00C61626">
        <w:rPr>
          <w:b/>
        </w:rPr>
        <w:t xml:space="preserve">. </w:t>
      </w:r>
      <w:r w:rsidR="00ED2A29" w:rsidRPr="00C61626">
        <w:rPr>
          <w:b/>
        </w:rPr>
        <w:t>Os itens do orçamento do contrato devem ser detalhados adequadamente, sendo irregular a previsão ou inclusão de itens que caracterizem cláusulas indeterminadas,</w:t>
      </w:r>
      <w:r w:rsidR="00AB009E" w:rsidRPr="00C61626">
        <w:rPr>
          <w:b/>
        </w:rPr>
        <w:t xml:space="preserve"> que prevejam</w:t>
      </w:r>
      <w:r w:rsidR="00ED2A29" w:rsidRPr="00C61626">
        <w:rPr>
          <w:b/>
        </w:rPr>
        <w:t xml:space="preserve"> pagamentos para despesas extraordinárias,</w:t>
      </w:r>
      <w:r w:rsidR="00EB65AE">
        <w:rPr>
          <w:b/>
        </w:rPr>
        <w:t xml:space="preserve"> imprevistas ou gerais</w:t>
      </w:r>
      <w:r w:rsidR="00ED2A29" w:rsidRPr="00C61626">
        <w:rPr>
          <w:b/>
        </w:rPr>
        <w:t>, independentemente se a contratação ocorrerá por preço global ou unitário.</w:t>
      </w:r>
    </w:p>
    <w:p w:rsidR="009B1811" w:rsidRPr="00C61626" w:rsidRDefault="009B1811" w:rsidP="00C61626">
      <w:pPr>
        <w:autoSpaceDE w:val="0"/>
        <w:autoSpaceDN w:val="0"/>
        <w:adjustRightInd w:val="0"/>
        <w:spacing w:after="0"/>
        <w:ind w:left="0"/>
        <w:rPr>
          <w:b/>
          <w:i/>
          <w:sz w:val="22"/>
          <w:szCs w:val="22"/>
          <w:lang w:eastAsia="pt-BR"/>
        </w:rPr>
      </w:pPr>
      <w:r w:rsidRPr="00C61626">
        <w:rPr>
          <w:sz w:val="22"/>
          <w:szCs w:val="22"/>
          <w:lang w:eastAsia="pt-BR"/>
        </w:rPr>
        <w:t xml:space="preserve">Pedido de </w:t>
      </w:r>
      <w:r w:rsidR="00A443D1" w:rsidRPr="00C61626">
        <w:rPr>
          <w:sz w:val="22"/>
          <w:szCs w:val="22"/>
          <w:lang w:eastAsia="pt-BR"/>
        </w:rPr>
        <w:t>R</w:t>
      </w:r>
      <w:r w:rsidRPr="00C61626">
        <w:rPr>
          <w:sz w:val="22"/>
          <w:szCs w:val="22"/>
          <w:lang w:eastAsia="pt-BR"/>
        </w:rPr>
        <w:t xml:space="preserve">eexame </w:t>
      </w:r>
      <w:r w:rsidR="008E40B8" w:rsidRPr="00C61626">
        <w:rPr>
          <w:sz w:val="22"/>
          <w:szCs w:val="22"/>
          <w:lang w:eastAsia="pt-BR"/>
        </w:rPr>
        <w:t xml:space="preserve">interposto pela Petrobrás </w:t>
      </w:r>
      <w:r w:rsidRPr="00C61626">
        <w:rPr>
          <w:sz w:val="22"/>
          <w:szCs w:val="22"/>
          <w:lang w:eastAsia="pt-BR"/>
        </w:rPr>
        <w:t xml:space="preserve">contestou deliberação proferida pelo TCU, </w:t>
      </w:r>
      <w:r w:rsidR="008E40B8" w:rsidRPr="00C61626">
        <w:rPr>
          <w:sz w:val="22"/>
          <w:szCs w:val="22"/>
          <w:lang w:eastAsia="pt-BR"/>
        </w:rPr>
        <w:t>mediante a qual fora expedida</w:t>
      </w:r>
      <w:r w:rsidRPr="00C61626">
        <w:rPr>
          <w:sz w:val="22"/>
          <w:szCs w:val="22"/>
          <w:lang w:eastAsia="pt-BR"/>
        </w:rPr>
        <w:t xml:space="preserve"> </w:t>
      </w:r>
      <w:r w:rsidR="008E40B8" w:rsidRPr="00C61626">
        <w:rPr>
          <w:sz w:val="22"/>
          <w:szCs w:val="22"/>
          <w:lang w:eastAsia="pt-BR"/>
        </w:rPr>
        <w:t>determinação para que a empresa excluísse</w:t>
      </w:r>
      <w:r w:rsidR="005C1616" w:rsidRPr="00C61626">
        <w:rPr>
          <w:sz w:val="22"/>
          <w:szCs w:val="22"/>
          <w:lang w:eastAsia="pt-BR"/>
        </w:rPr>
        <w:t xml:space="preserve"> de todos os contratos celebrados com vist</w:t>
      </w:r>
      <w:r w:rsidR="000B63F3">
        <w:rPr>
          <w:sz w:val="22"/>
          <w:szCs w:val="22"/>
          <w:lang w:eastAsia="pt-BR"/>
        </w:rPr>
        <w:t>as à execução das obras da Refinaria Presidente Getúlio Vargas</w:t>
      </w:r>
      <w:r w:rsidR="005C1616" w:rsidRPr="00C61626">
        <w:rPr>
          <w:sz w:val="22"/>
          <w:szCs w:val="22"/>
          <w:lang w:eastAsia="pt-BR"/>
        </w:rPr>
        <w:t xml:space="preserve"> o item orçamentário</w:t>
      </w:r>
      <w:r w:rsidR="005C1616" w:rsidRPr="00C61626">
        <w:rPr>
          <w:i/>
          <w:sz w:val="22"/>
          <w:szCs w:val="22"/>
          <w:lang w:eastAsia="pt-BR"/>
        </w:rPr>
        <w:t xml:space="preserve"> “</w:t>
      </w:r>
      <w:r w:rsidR="008E40B8" w:rsidRPr="00C61626">
        <w:rPr>
          <w:i/>
          <w:sz w:val="22"/>
          <w:szCs w:val="22"/>
          <w:lang w:eastAsia="pt-BR"/>
        </w:rPr>
        <w:t>Fornecim</w:t>
      </w:r>
      <w:r w:rsidR="005C1616" w:rsidRPr="00C61626">
        <w:rPr>
          <w:i/>
          <w:sz w:val="22"/>
          <w:szCs w:val="22"/>
          <w:lang w:eastAsia="pt-BR"/>
        </w:rPr>
        <w:t>ento de Serviços Complementares”</w:t>
      </w:r>
      <w:r w:rsidR="005C1616" w:rsidRPr="00C61626">
        <w:rPr>
          <w:sz w:val="22"/>
          <w:szCs w:val="22"/>
          <w:lang w:eastAsia="pt-BR"/>
        </w:rPr>
        <w:t>, bem como instaurasse processo interno</w:t>
      </w:r>
      <w:r w:rsidR="008E40B8" w:rsidRPr="00C61626">
        <w:rPr>
          <w:i/>
          <w:sz w:val="22"/>
          <w:szCs w:val="22"/>
          <w:lang w:eastAsia="pt-BR"/>
        </w:rPr>
        <w:t xml:space="preserve"> </w:t>
      </w:r>
      <w:r w:rsidR="005C1616" w:rsidRPr="00C61626">
        <w:rPr>
          <w:sz w:val="22"/>
          <w:szCs w:val="22"/>
          <w:lang w:eastAsia="pt-BR"/>
        </w:rPr>
        <w:t>destinado à</w:t>
      </w:r>
      <w:r w:rsidR="005C1616" w:rsidRPr="00C61626">
        <w:rPr>
          <w:i/>
          <w:sz w:val="22"/>
          <w:szCs w:val="22"/>
          <w:lang w:eastAsia="pt-BR"/>
        </w:rPr>
        <w:t xml:space="preserve"> “recuperação dos valores eventualmente pagos, de forma indevida, a título de remuneração relativa ao item ‘Eventos Globais’ ao consórcio </w:t>
      </w:r>
      <w:proofErr w:type="spellStart"/>
      <w:r w:rsidR="005C1616" w:rsidRPr="00C61626">
        <w:rPr>
          <w:i/>
          <w:sz w:val="22"/>
          <w:szCs w:val="22"/>
          <w:lang w:eastAsia="pt-BR"/>
        </w:rPr>
        <w:t>Conpar</w:t>
      </w:r>
      <w:proofErr w:type="spellEnd"/>
      <w:r w:rsidR="008E40B8" w:rsidRPr="00C61626">
        <w:rPr>
          <w:i/>
          <w:sz w:val="22"/>
          <w:szCs w:val="22"/>
          <w:lang w:eastAsia="pt-BR"/>
        </w:rPr>
        <w:t>”</w:t>
      </w:r>
      <w:r w:rsidR="008E40B8" w:rsidRPr="00C61626">
        <w:rPr>
          <w:sz w:val="22"/>
          <w:szCs w:val="22"/>
          <w:lang w:eastAsia="pt-BR"/>
        </w:rPr>
        <w:t>.</w:t>
      </w:r>
      <w:r w:rsidRPr="00C61626">
        <w:rPr>
          <w:sz w:val="22"/>
          <w:szCs w:val="22"/>
          <w:lang w:eastAsia="pt-BR"/>
        </w:rPr>
        <w:t xml:space="preserve"> </w:t>
      </w:r>
      <w:r w:rsidR="00C6405D" w:rsidRPr="00C61626">
        <w:rPr>
          <w:sz w:val="22"/>
          <w:szCs w:val="22"/>
          <w:lang w:eastAsia="pt-BR"/>
        </w:rPr>
        <w:t>Em seu recurso, a Petrobrás defendeu que: (i) a exclusão das cláusulas deveria acontecer apenas nos contratos celebrados na modalidade de preço global e (</w:t>
      </w:r>
      <w:proofErr w:type="spellStart"/>
      <w:r w:rsidR="00C6405D" w:rsidRPr="00C61626">
        <w:rPr>
          <w:sz w:val="22"/>
          <w:szCs w:val="22"/>
          <w:lang w:eastAsia="pt-BR"/>
        </w:rPr>
        <w:t>ii</w:t>
      </w:r>
      <w:proofErr w:type="spellEnd"/>
      <w:r w:rsidR="00C6405D" w:rsidRPr="00C61626">
        <w:rPr>
          <w:sz w:val="22"/>
          <w:szCs w:val="22"/>
          <w:lang w:eastAsia="pt-BR"/>
        </w:rPr>
        <w:t xml:space="preserve">) em um grupo de contratos especiais o </w:t>
      </w:r>
      <w:r w:rsidR="00C6405D" w:rsidRPr="00C61626">
        <w:rPr>
          <w:i/>
          <w:sz w:val="22"/>
          <w:szCs w:val="22"/>
          <w:lang w:eastAsia="pt-BR"/>
        </w:rPr>
        <w:t>“Fornecimento de Serviços Complementares”</w:t>
      </w:r>
      <w:r w:rsidR="00412149" w:rsidRPr="00C61626">
        <w:rPr>
          <w:sz w:val="22"/>
          <w:szCs w:val="22"/>
          <w:lang w:eastAsia="pt-BR"/>
        </w:rPr>
        <w:t xml:space="preserve"> d</w:t>
      </w:r>
      <w:r w:rsidR="00C853B8" w:rsidRPr="00C61626">
        <w:rPr>
          <w:sz w:val="22"/>
          <w:szCs w:val="22"/>
          <w:lang w:eastAsia="pt-BR"/>
        </w:rPr>
        <w:t xml:space="preserve">estina-se ao pagamento de horas </w:t>
      </w:r>
      <w:r w:rsidR="00412149" w:rsidRPr="00C61626">
        <w:rPr>
          <w:sz w:val="22"/>
          <w:szCs w:val="22"/>
          <w:lang w:eastAsia="pt-BR"/>
        </w:rPr>
        <w:t>extras dos serviços contratados. Analisando o feito, o relator anotou</w:t>
      </w:r>
      <w:r w:rsidR="00BC40C5" w:rsidRPr="00C61626">
        <w:rPr>
          <w:sz w:val="22"/>
          <w:szCs w:val="22"/>
          <w:lang w:eastAsia="pt-BR"/>
        </w:rPr>
        <w:t xml:space="preserve"> em preliminar</w:t>
      </w:r>
      <w:r w:rsidR="00412149" w:rsidRPr="00C61626">
        <w:rPr>
          <w:sz w:val="22"/>
          <w:szCs w:val="22"/>
          <w:lang w:eastAsia="pt-BR"/>
        </w:rPr>
        <w:t xml:space="preserve"> que a prática contrariava tanto o Regulamento do Procedimento Licitatório quanto o Manual de Procedimentos Contratuais da empresa. </w:t>
      </w:r>
      <w:r w:rsidR="00683825" w:rsidRPr="00C61626">
        <w:rPr>
          <w:sz w:val="22"/>
          <w:szCs w:val="22"/>
          <w:lang w:eastAsia="pt-BR"/>
        </w:rPr>
        <w:t xml:space="preserve">No </w:t>
      </w:r>
      <w:r w:rsidR="007E08FE" w:rsidRPr="00C61626">
        <w:rPr>
          <w:sz w:val="22"/>
          <w:szCs w:val="22"/>
          <w:lang w:eastAsia="pt-BR"/>
        </w:rPr>
        <w:t>tocante</w:t>
      </w:r>
      <w:r w:rsidR="00683825" w:rsidRPr="00C61626">
        <w:rPr>
          <w:sz w:val="22"/>
          <w:szCs w:val="22"/>
          <w:lang w:eastAsia="pt-BR"/>
        </w:rPr>
        <w:t xml:space="preserve"> às cláusulas supostamente destinadas </w:t>
      </w:r>
      <w:r w:rsidR="00C853B8" w:rsidRPr="00C61626">
        <w:rPr>
          <w:sz w:val="22"/>
          <w:szCs w:val="22"/>
          <w:lang w:eastAsia="pt-BR"/>
        </w:rPr>
        <w:t xml:space="preserve">ao pagamento de horas </w:t>
      </w:r>
      <w:r w:rsidR="00683825" w:rsidRPr="00C61626">
        <w:rPr>
          <w:sz w:val="22"/>
          <w:szCs w:val="22"/>
          <w:lang w:eastAsia="pt-BR"/>
        </w:rPr>
        <w:t xml:space="preserve">extras, consignou que nos contratos </w:t>
      </w:r>
      <w:r w:rsidR="00683825" w:rsidRPr="00C61626">
        <w:rPr>
          <w:i/>
          <w:sz w:val="22"/>
          <w:szCs w:val="22"/>
          <w:lang w:eastAsia="pt-BR"/>
        </w:rPr>
        <w:t>“não está explicitado que tipo de serviços complementa</w:t>
      </w:r>
      <w:r w:rsidR="00402CED" w:rsidRPr="00C61626">
        <w:rPr>
          <w:i/>
          <w:sz w:val="22"/>
          <w:szCs w:val="22"/>
          <w:lang w:eastAsia="pt-BR"/>
        </w:rPr>
        <w:t>res e em que circunstâncias os ‘serviços complementares’</w:t>
      </w:r>
      <w:r w:rsidR="00683825" w:rsidRPr="00C61626">
        <w:rPr>
          <w:i/>
          <w:sz w:val="22"/>
          <w:szCs w:val="22"/>
          <w:lang w:eastAsia="pt-BR"/>
        </w:rPr>
        <w:t xml:space="preserve"> deveriam ser prestados em cumprimento das cláusulas”</w:t>
      </w:r>
      <w:r w:rsidR="00683825" w:rsidRPr="00C61626">
        <w:rPr>
          <w:sz w:val="22"/>
          <w:szCs w:val="22"/>
          <w:lang w:eastAsia="pt-BR"/>
        </w:rPr>
        <w:t xml:space="preserve">. Ademais as normas internas da empresa prescrevem em 25% o limite para eventuais alterações do objeto e que </w:t>
      </w:r>
      <w:r w:rsidR="00683825" w:rsidRPr="00C61626">
        <w:rPr>
          <w:i/>
          <w:sz w:val="22"/>
          <w:szCs w:val="22"/>
          <w:lang w:eastAsia="pt-BR"/>
        </w:rPr>
        <w:t>“as alterações por fatos supervenientes devem ser formalizadas por meio de termos aditivos ao contrato principal”</w:t>
      </w:r>
      <w:r w:rsidR="00683825" w:rsidRPr="00C61626">
        <w:rPr>
          <w:sz w:val="22"/>
          <w:szCs w:val="22"/>
          <w:lang w:eastAsia="pt-BR"/>
        </w:rPr>
        <w:t xml:space="preserve">. </w:t>
      </w:r>
      <w:r w:rsidR="00435769" w:rsidRPr="00C61626">
        <w:rPr>
          <w:sz w:val="22"/>
          <w:szCs w:val="22"/>
          <w:lang w:eastAsia="pt-BR"/>
        </w:rPr>
        <w:t>Quanto</w:t>
      </w:r>
      <w:r w:rsidR="00683825" w:rsidRPr="00C61626">
        <w:rPr>
          <w:sz w:val="22"/>
          <w:szCs w:val="22"/>
          <w:lang w:eastAsia="pt-BR"/>
        </w:rPr>
        <w:t xml:space="preserve"> à incidência da</w:t>
      </w:r>
      <w:r w:rsidR="004E5A83" w:rsidRPr="00C61626">
        <w:rPr>
          <w:sz w:val="22"/>
          <w:szCs w:val="22"/>
          <w:lang w:eastAsia="pt-BR"/>
        </w:rPr>
        <w:t>s</w:t>
      </w:r>
      <w:r w:rsidR="00683825" w:rsidRPr="00C61626">
        <w:rPr>
          <w:sz w:val="22"/>
          <w:szCs w:val="22"/>
          <w:lang w:eastAsia="pt-BR"/>
        </w:rPr>
        <w:t xml:space="preserve"> </w:t>
      </w:r>
      <w:r w:rsidR="00435769" w:rsidRPr="00C61626">
        <w:rPr>
          <w:sz w:val="22"/>
          <w:szCs w:val="22"/>
          <w:lang w:eastAsia="pt-BR"/>
        </w:rPr>
        <w:t>determinaç</w:t>
      </w:r>
      <w:r w:rsidR="004E5A83" w:rsidRPr="00C61626">
        <w:rPr>
          <w:sz w:val="22"/>
          <w:szCs w:val="22"/>
          <w:lang w:eastAsia="pt-BR"/>
        </w:rPr>
        <w:t>ões</w:t>
      </w:r>
      <w:r w:rsidR="00683825" w:rsidRPr="00C61626">
        <w:rPr>
          <w:sz w:val="22"/>
          <w:szCs w:val="22"/>
          <w:lang w:eastAsia="pt-BR"/>
        </w:rPr>
        <w:t xml:space="preserve"> apenas nos contratos celebrados </w:t>
      </w:r>
      <w:r w:rsidR="00DA7F06" w:rsidRPr="00C61626">
        <w:rPr>
          <w:sz w:val="22"/>
          <w:szCs w:val="22"/>
          <w:lang w:eastAsia="pt-BR"/>
        </w:rPr>
        <w:t>por</w:t>
      </w:r>
      <w:r w:rsidR="00683825" w:rsidRPr="00C61626">
        <w:rPr>
          <w:sz w:val="22"/>
          <w:szCs w:val="22"/>
          <w:lang w:eastAsia="pt-BR"/>
        </w:rPr>
        <w:t xml:space="preserve"> preço global</w:t>
      </w:r>
      <w:r w:rsidR="00412149" w:rsidRPr="00C61626">
        <w:rPr>
          <w:sz w:val="22"/>
          <w:szCs w:val="22"/>
          <w:lang w:eastAsia="pt-BR"/>
        </w:rPr>
        <w:t>, destacou</w:t>
      </w:r>
      <w:r w:rsidR="00DA7F06" w:rsidRPr="00C61626">
        <w:rPr>
          <w:sz w:val="22"/>
          <w:szCs w:val="22"/>
          <w:lang w:eastAsia="pt-BR"/>
        </w:rPr>
        <w:t xml:space="preserve"> o relator</w:t>
      </w:r>
      <w:r w:rsidR="00412149" w:rsidRPr="00C61626">
        <w:rPr>
          <w:sz w:val="22"/>
          <w:szCs w:val="22"/>
          <w:lang w:eastAsia="pt-BR"/>
        </w:rPr>
        <w:t xml:space="preserve"> que </w:t>
      </w:r>
      <w:r w:rsidR="00412149" w:rsidRPr="00C61626">
        <w:rPr>
          <w:i/>
          <w:sz w:val="22"/>
          <w:szCs w:val="22"/>
          <w:lang w:eastAsia="pt-BR"/>
        </w:rPr>
        <w:t>“a previsão de pagamento de valores adicionais sem vínculo a um objeto específico e determinado é sempre uma impropriedade, independentemente da modalidade escolhida. Mesmo que a c</w:t>
      </w:r>
      <w:r w:rsidR="00352323" w:rsidRPr="00C61626">
        <w:rPr>
          <w:i/>
          <w:sz w:val="22"/>
          <w:szCs w:val="22"/>
          <w:lang w:eastAsia="pt-BR"/>
        </w:rPr>
        <w:t>láusula em questão se denomine ‘Encargos Globais’</w:t>
      </w:r>
      <w:r w:rsidR="00412149" w:rsidRPr="00C61626">
        <w:rPr>
          <w:i/>
          <w:sz w:val="22"/>
          <w:szCs w:val="22"/>
          <w:lang w:eastAsia="pt-BR"/>
        </w:rPr>
        <w:t>, por se destinar a cobrir despesas contratuais decorrentes de caso fortuito ou força maior, entendo que não é lícita sua previsão dentro do contrato, pois também são fatos futuros e incertos que não deveriam onerar o contrato principal no presente”</w:t>
      </w:r>
      <w:r w:rsidR="00412149" w:rsidRPr="00C61626">
        <w:rPr>
          <w:sz w:val="22"/>
          <w:szCs w:val="22"/>
          <w:lang w:eastAsia="pt-BR"/>
        </w:rPr>
        <w:t xml:space="preserve">. </w:t>
      </w:r>
      <w:r w:rsidR="00BC40C5" w:rsidRPr="00C61626">
        <w:rPr>
          <w:sz w:val="22"/>
          <w:szCs w:val="22"/>
          <w:lang w:eastAsia="pt-BR"/>
        </w:rPr>
        <w:t xml:space="preserve">Em sinopse, o relator </w:t>
      </w:r>
      <w:r w:rsidR="00DA7F06" w:rsidRPr="00C61626">
        <w:rPr>
          <w:sz w:val="22"/>
          <w:szCs w:val="22"/>
          <w:lang w:eastAsia="pt-BR"/>
        </w:rPr>
        <w:t xml:space="preserve">registrou </w:t>
      </w:r>
      <w:r w:rsidR="00BC40C5" w:rsidRPr="00C61626">
        <w:rPr>
          <w:sz w:val="22"/>
          <w:szCs w:val="22"/>
          <w:lang w:eastAsia="pt-BR"/>
        </w:rPr>
        <w:t xml:space="preserve">que partilha </w:t>
      </w:r>
      <w:r w:rsidR="00BC40C5" w:rsidRPr="00C61626">
        <w:rPr>
          <w:i/>
          <w:sz w:val="22"/>
          <w:szCs w:val="22"/>
          <w:lang w:eastAsia="pt-BR"/>
        </w:rPr>
        <w:t>“o posicionamento de que o procedimento impugnado fere o próprio princípio de licitação, uma vez que, sob o abrigo dessas cláusulas indeterminadas e sem recorrer a nenhum procedimento formal que busque aferir a melhor proposta para a empresa, poder-se-ia alterar ilimitadamente o objeto do contrato tanto sob o aspecto quantitativo, quanto em relação ao aspecto qualitativo”</w:t>
      </w:r>
      <w:r w:rsidR="00BC40C5" w:rsidRPr="00C61626">
        <w:rPr>
          <w:sz w:val="22"/>
          <w:szCs w:val="22"/>
          <w:lang w:eastAsia="pt-BR"/>
        </w:rPr>
        <w:t>.</w:t>
      </w:r>
      <w:r w:rsidR="00871EC0" w:rsidRPr="00C61626">
        <w:rPr>
          <w:sz w:val="22"/>
          <w:szCs w:val="22"/>
          <w:lang w:eastAsia="pt-BR"/>
        </w:rPr>
        <w:t xml:space="preserve"> O </w:t>
      </w:r>
      <w:r w:rsidR="00DA7F06" w:rsidRPr="00C61626">
        <w:rPr>
          <w:sz w:val="22"/>
          <w:szCs w:val="22"/>
          <w:lang w:eastAsia="pt-BR"/>
        </w:rPr>
        <w:t>Plenário</w:t>
      </w:r>
      <w:r w:rsidR="00871EC0" w:rsidRPr="00C61626">
        <w:rPr>
          <w:sz w:val="22"/>
          <w:szCs w:val="22"/>
          <w:lang w:eastAsia="pt-BR"/>
        </w:rPr>
        <w:t xml:space="preserve">, acolhendo a </w:t>
      </w:r>
      <w:r w:rsidR="00DA7F06" w:rsidRPr="00C61626">
        <w:rPr>
          <w:sz w:val="22"/>
          <w:szCs w:val="22"/>
          <w:lang w:eastAsia="pt-BR"/>
        </w:rPr>
        <w:t>tese</w:t>
      </w:r>
      <w:r w:rsidR="00871EC0" w:rsidRPr="00C61626">
        <w:rPr>
          <w:sz w:val="22"/>
          <w:szCs w:val="22"/>
          <w:lang w:eastAsia="pt-BR"/>
        </w:rPr>
        <w:t xml:space="preserve"> do relator, negou provimento ao recurso, mantendo </w:t>
      </w:r>
      <w:r w:rsidR="00DA7F06" w:rsidRPr="00C61626">
        <w:rPr>
          <w:sz w:val="22"/>
          <w:szCs w:val="22"/>
          <w:lang w:eastAsia="pt-BR"/>
        </w:rPr>
        <w:t>i</w:t>
      </w:r>
      <w:r w:rsidR="00F377FC" w:rsidRPr="00C61626">
        <w:rPr>
          <w:sz w:val="22"/>
          <w:szCs w:val="22"/>
          <w:lang w:eastAsia="pt-BR"/>
        </w:rPr>
        <w:t>nalterada</w:t>
      </w:r>
      <w:r w:rsidR="00DA7F06" w:rsidRPr="00C61626">
        <w:rPr>
          <w:sz w:val="22"/>
          <w:szCs w:val="22"/>
          <w:lang w:eastAsia="pt-BR"/>
        </w:rPr>
        <w:t xml:space="preserve"> a deliberação recorrida</w:t>
      </w:r>
      <w:r w:rsidR="00871EC0" w:rsidRPr="00C61626">
        <w:rPr>
          <w:sz w:val="22"/>
          <w:szCs w:val="22"/>
          <w:lang w:eastAsia="pt-BR"/>
        </w:rPr>
        <w:t>.</w:t>
      </w:r>
      <w:r w:rsidR="00C6405D" w:rsidRPr="00C61626">
        <w:rPr>
          <w:sz w:val="22"/>
          <w:szCs w:val="22"/>
          <w:lang w:eastAsia="pt-BR"/>
        </w:rPr>
        <w:t xml:space="preserve"> </w:t>
      </w:r>
      <w:hyperlink r:id="rId10" w:history="1">
        <w:r w:rsidR="001B0737" w:rsidRPr="001B0737">
          <w:rPr>
            <w:rStyle w:val="Hyperlink"/>
            <w:b/>
            <w:i/>
            <w:sz w:val="22"/>
            <w:szCs w:val="22"/>
            <w:lang w:eastAsia="pt-BR"/>
          </w:rPr>
          <w:t>Acórdão 2450/2013-Plenário</w:t>
        </w:r>
      </w:hyperlink>
      <w:r w:rsidR="009248EF" w:rsidRPr="00C61626">
        <w:rPr>
          <w:b/>
          <w:i/>
          <w:sz w:val="22"/>
          <w:szCs w:val="22"/>
          <w:lang w:eastAsia="pt-BR"/>
        </w:rPr>
        <w:t xml:space="preserve">, TC </w:t>
      </w:r>
      <w:r w:rsidR="009047D9" w:rsidRPr="00C61626">
        <w:rPr>
          <w:b/>
          <w:i/>
          <w:sz w:val="22"/>
          <w:szCs w:val="22"/>
          <w:lang w:eastAsia="pt-BR"/>
        </w:rPr>
        <w:t>006.306/2008-3</w:t>
      </w:r>
      <w:r w:rsidR="009248EF" w:rsidRPr="00C61626">
        <w:rPr>
          <w:b/>
          <w:i/>
          <w:sz w:val="22"/>
          <w:szCs w:val="22"/>
          <w:lang w:eastAsia="pt-BR"/>
        </w:rPr>
        <w:t xml:space="preserve">, relator Ministro </w:t>
      </w:r>
      <w:r w:rsidR="009047D9" w:rsidRPr="00C61626">
        <w:rPr>
          <w:b/>
          <w:i/>
          <w:sz w:val="22"/>
          <w:szCs w:val="22"/>
          <w:lang w:eastAsia="pt-BR"/>
        </w:rPr>
        <w:t>Raimundo Carreiro</w:t>
      </w:r>
      <w:r w:rsidR="009248EF" w:rsidRPr="00C61626">
        <w:rPr>
          <w:b/>
          <w:i/>
          <w:sz w:val="22"/>
          <w:szCs w:val="22"/>
          <w:lang w:eastAsia="pt-BR"/>
        </w:rPr>
        <w:t xml:space="preserve">, </w:t>
      </w:r>
      <w:r w:rsidR="009047D9" w:rsidRPr="00C61626">
        <w:rPr>
          <w:b/>
          <w:i/>
          <w:sz w:val="22"/>
          <w:szCs w:val="22"/>
          <w:lang w:eastAsia="pt-BR"/>
        </w:rPr>
        <w:t>11</w:t>
      </w:r>
      <w:r w:rsidR="009248EF" w:rsidRPr="00C61626">
        <w:rPr>
          <w:b/>
          <w:i/>
          <w:sz w:val="22"/>
          <w:szCs w:val="22"/>
          <w:lang w:eastAsia="pt-BR"/>
        </w:rPr>
        <w:t>.9.2013.</w:t>
      </w:r>
    </w:p>
    <w:p w:rsidR="009B1811" w:rsidRPr="00C61626" w:rsidRDefault="009B1811" w:rsidP="00C61626">
      <w:pPr>
        <w:spacing w:after="0"/>
        <w:ind w:left="0"/>
        <w:rPr>
          <w:b/>
          <w:sz w:val="22"/>
          <w:szCs w:val="22"/>
        </w:rPr>
      </w:pPr>
    </w:p>
    <w:p w:rsidR="004D0A75" w:rsidRPr="00C61626" w:rsidRDefault="00717B0D" w:rsidP="00C61626">
      <w:pPr>
        <w:spacing w:after="0"/>
        <w:ind w:left="0"/>
        <w:rPr>
          <w:b/>
          <w:sz w:val="22"/>
          <w:szCs w:val="22"/>
        </w:rPr>
      </w:pPr>
      <w:r w:rsidRPr="00C61626">
        <w:rPr>
          <w:b/>
          <w:sz w:val="22"/>
          <w:szCs w:val="22"/>
        </w:rPr>
        <w:t>4</w:t>
      </w:r>
      <w:r w:rsidR="004D0A75" w:rsidRPr="00C61626">
        <w:rPr>
          <w:b/>
          <w:sz w:val="22"/>
          <w:szCs w:val="22"/>
        </w:rPr>
        <w:t xml:space="preserve">. </w:t>
      </w:r>
      <w:r w:rsidR="00A62D15" w:rsidRPr="00C61626">
        <w:rPr>
          <w:b/>
          <w:sz w:val="22"/>
          <w:szCs w:val="22"/>
        </w:rPr>
        <w:t>O pagamento de salários inferiores aos constantes da proposta somente configura descumprimento contratual caso exista cláusula expressa no edital e no contrato exigindo a</w:t>
      </w:r>
      <w:r w:rsidR="00C94BF9">
        <w:rPr>
          <w:b/>
          <w:sz w:val="22"/>
          <w:szCs w:val="22"/>
        </w:rPr>
        <w:t xml:space="preserve"> identidade entre esses valores</w:t>
      </w:r>
      <w:r w:rsidR="00A62D15" w:rsidRPr="00C61626">
        <w:rPr>
          <w:b/>
          <w:sz w:val="22"/>
          <w:szCs w:val="22"/>
        </w:rPr>
        <w:t>.</w:t>
      </w:r>
    </w:p>
    <w:p w:rsidR="00FF40CC" w:rsidRPr="00C61626" w:rsidRDefault="00EE53A9" w:rsidP="00C61626">
      <w:pPr>
        <w:pStyle w:val="Default"/>
        <w:jc w:val="both"/>
        <w:rPr>
          <w:sz w:val="22"/>
          <w:szCs w:val="22"/>
        </w:rPr>
      </w:pPr>
      <w:r w:rsidRPr="00C61626">
        <w:rPr>
          <w:sz w:val="22"/>
          <w:szCs w:val="22"/>
        </w:rPr>
        <w:t>Pedido de Reexame apresentado pelo Departamento Nacional de Infraestrutura de Transportes (</w:t>
      </w:r>
      <w:proofErr w:type="spellStart"/>
      <w:r w:rsidRPr="00C61626">
        <w:rPr>
          <w:sz w:val="22"/>
          <w:szCs w:val="22"/>
        </w:rPr>
        <w:t>Dnit</w:t>
      </w:r>
      <w:proofErr w:type="spellEnd"/>
      <w:r w:rsidRPr="00C61626">
        <w:rPr>
          <w:sz w:val="22"/>
          <w:szCs w:val="22"/>
        </w:rPr>
        <w:t xml:space="preserve">) contra o Acórdão 1233/2008-Plenário </w:t>
      </w:r>
      <w:r w:rsidR="00C62B48" w:rsidRPr="00C61626">
        <w:rPr>
          <w:sz w:val="22"/>
          <w:szCs w:val="22"/>
        </w:rPr>
        <w:t>atacou</w:t>
      </w:r>
      <w:r w:rsidRPr="00C61626">
        <w:rPr>
          <w:sz w:val="22"/>
          <w:szCs w:val="22"/>
        </w:rPr>
        <w:t xml:space="preserve">, </w:t>
      </w:r>
      <w:r w:rsidR="00F74BBB" w:rsidRPr="00C61626">
        <w:rPr>
          <w:sz w:val="22"/>
          <w:szCs w:val="22"/>
        </w:rPr>
        <w:t>d</w:t>
      </w:r>
      <w:r w:rsidRPr="00C61626">
        <w:rPr>
          <w:sz w:val="22"/>
          <w:szCs w:val="22"/>
        </w:rPr>
        <w:t>entre out</w:t>
      </w:r>
      <w:r w:rsidR="00B65755">
        <w:rPr>
          <w:sz w:val="22"/>
          <w:szCs w:val="22"/>
        </w:rPr>
        <w:t>ros pontos</w:t>
      </w:r>
      <w:r w:rsidR="00F74BBB" w:rsidRPr="00C61626">
        <w:rPr>
          <w:sz w:val="22"/>
          <w:szCs w:val="22"/>
        </w:rPr>
        <w:t>, determinação para que a autarquia levantasse valores pagos a maior decorrentes da “</w:t>
      </w:r>
      <w:r w:rsidR="00F74BBB" w:rsidRPr="00C61626">
        <w:rPr>
          <w:i/>
          <w:iCs/>
          <w:sz w:val="22"/>
          <w:szCs w:val="22"/>
        </w:rPr>
        <w:t>incompatibilidade entre os salários efetivamente pagos pelas empresas contratadas e aqueles informados nas suas Planilhas de Composição de Custos apresentadas por ocasião das licitações</w:t>
      </w:r>
      <w:r w:rsidR="00F74BBB" w:rsidRPr="00C61626">
        <w:rPr>
          <w:sz w:val="22"/>
          <w:szCs w:val="22"/>
        </w:rPr>
        <w:t>”, e instaurasse “</w:t>
      </w:r>
      <w:r w:rsidR="00F74BBB" w:rsidRPr="00C61626">
        <w:rPr>
          <w:i/>
          <w:iCs/>
          <w:sz w:val="22"/>
          <w:szCs w:val="22"/>
        </w:rPr>
        <w:t>os respectivos processos de tomada de contas especial no caso de as contratadas</w:t>
      </w:r>
      <w:r w:rsidR="00CE5F95">
        <w:rPr>
          <w:i/>
          <w:iCs/>
          <w:sz w:val="22"/>
          <w:szCs w:val="22"/>
        </w:rPr>
        <w:t xml:space="preserve"> se</w:t>
      </w:r>
      <w:r w:rsidR="00F74BBB" w:rsidRPr="00C61626">
        <w:rPr>
          <w:i/>
          <w:iCs/>
          <w:sz w:val="22"/>
          <w:szCs w:val="22"/>
        </w:rPr>
        <w:t xml:space="preserve"> negarem a restituir ao erário os valores recebidos indevidamente”</w:t>
      </w:r>
      <w:r w:rsidR="00F74BBB" w:rsidRPr="00C61626">
        <w:rPr>
          <w:iCs/>
          <w:sz w:val="22"/>
          <w:szCs w:val="22"/>
        </w:rPr>
        <w:t>.</w:t>
      </w:r>
      <w:r w:rsidR="00CC02AE" w:rsidRPr="00C61626">
        <w:rPr>
          <w:iCs/>
          <w:sz w:val="22"/>
          <w:szCs w:val="22"/>
        </w:rPr>
        <w:t xml:space="preserve"> Os autos trataram, originariamente, de representação versando sobre contratos de prestação de serviços especializados de supervisão técnica. </w:t>
      </w:r>
      <w:r w:rsidR="00C62B48" w:rsidRPr="00C61626">
        <w:rPr>
          <w:iCs/>
          <w:sz w:val="22"/>
          <w:szCs w:val="22"/>
        </w:rPr>
        <w:t>Ao discordar</w:t>
      </w:r>
      <w:r w:rsidR="00CC02AE" w:rsidRPr="00C61626">
        <w:rPr>
          <w:iCs/>
          <w:sz w:val="22"/>
          <w:szCs w:val="22"/>
        </w:rPr>
        <w:t xml:space="preserve"> </w:t>
      </w:r>
      <w:r w:rsidR="00C62B48" w:rsidRPr="00C61626">
        <w:rPr>
          <w:iCs/>
          <w:sz w:val="22"/>
          <w:szCs w:val="22"/>
        </w:rPr>
        <w:t>do entendimento</w:t>
      </w:r>
      <w:r w:rsidR="00CC02AE" w:rsidRPr="00C61626">
        <w:rPr>
          <w:iCs/>
          <w:sz w:val="22"/>
          <w:szCs w:val="22"/>
        </w:rPr>
        <w:t xml:space="preserve"> do relator, o ministro revisor</w:t>
      </w:r>
      <w:r w:rsidR="005531C6" w:rsidRPr="00C61626">
        <w:rPr>
          <w:iCs/>
          <w:sz w:val="22"/>
          <w:szCs w:val="22"/>
        </w:rPr>
        <w:t xml:space="preserve"> rememorou precedente análogo ao caso em exame, </w:t>
      </w:r>
      <w:r w:rsidR="005A1C00" w:rsidRPr="00C61626">
        <w:rPr>
          <w:iCs/>
          <w:sz w:val="22"/>
          <w:szCs w:val="22"/>
        </w:rPr>
        <w:t>no qual externou a seguinte posição sobre a questão: “</w:t>
      </w:r>
      <w:r w:rsidR="005A1C00" w:rsidRPr="00C61626">
        <w:rPr>
          <w:i/>
          <w:iCs/>
          <w:sz w:val="22"/>
          <w:szCs w:val="22"/>
        </w:rPr>
        <w:t>Com efeito, é certo que a planilha com os preços unitários apresentados na licitação vincula o proponente. O equívoco, todavia, é entender que as quantias ali constantes devem corresponder aos custos que serão incorridos pelo contratado para cumprir o objeto, pois, no regime de execução contratual por empreitada, no qual a retribuição do contratado se dá mediante o preço avençado, e não por uma margem de lucro, como na contratação por administração, o que a planilha ostenta são o</w:t>
      </w:r>
      <w:r w:rsidR="005A1C00" w:rsidRPr="00C61626">
        <w:rPr>
          <w:i/>
          <w:iCs/>
          <w:color w:val="auto"/>
          <w:sz w:val="22"/>
          <w:szCs w:val="22"/>
        </w:rPr>
        <w:t xml:space="preserve">s preços dos insumos considerados pelo concorrente na formação do valor a ser cobrado da Administração, e não os seus reais custos. </w:t>
      </w:r>
      <w:r w:rsidR="005A1C00" w:rsidRPr="00C61626">
        <w:rPr>
          <w:color w:val="auto"/>
          <w:sz w:val="22"/>
          <w:szCs w:val="22"/>
        </w:rPr>
        <w:t xml:space="preserve">(...) </w:t>
      </w:r>
      <w:r w:rsidR="005A1C00" w:rsidRPr="00C61626">
        <w:rPr>
          <w:i/>
          <w:iCs/>
          <w:color w:val="auto"/>
          <w:sz w:val="22"/>
          <w:szCs w:val="22"/>
        </w:rPr>
        <w:t>A tese que vincula os gastos com insumos aos valores da proposta confunde custos da contratada com os seus preços (os quais somente são custos sob o ponto d</w:t>
      </w:r>
      <w:r w:rsidR="00B65755">
        <w:rPr>
          <w:i/>
          <w:iCs/>
          <w:color w:val="auto"/>
          <w:sz w:val="22"/>
          <w:szCs w:val="22"/>
        </w:rPr>
        <w:t xml:space="preserve">e vista da Administração) (...) </w:t>
      </w:r>
      <w:r w:rsidR="005A1C00" w:rsidRPr="00C61626">
        <w:rPr>
          <w:i/>
          <w:iCs/>
          <w:color w:val="auto"/>
          <w:sz w:val="22"/>
          <w:szCs w:val="22"/>
        </w:rPr>
        <w:t>Veja-se que, como consequência disso, a aferição do superfaturamento acaba sendo feita em relação aos custos do contratado, e não aos valores de mercado, mesmo diante da inexistência, como no caso concreto, de dificuldade prática para a estimativa destes com base em sistemas de referência ou outra fonte confiável de preços, e desconsiderando-se o fato de o regime de execução contratual ser por empreitada</w:t>
      </w:r>
      <w:r w:rsidR="005A1C00" w:rsidRPr="00C61626">
        <w:rPr>
          <w:color w:val="auto"/>
          <w:sz w:val="22"/>
          <w:szCs w:val="22"/>
        </w:rPr>
        <w:t xml:space="preserve">”. Nesse sentido, concluiu o revisor: </w:t>
      </w:r>
      <w:r w:rsidR="005A1C00" w:rsidRPr="00C61626">
        <w:rPr>
          <w:i/>
          <w:color w:val="auto"/>
          <w:sz w:val="22"/>
          <w:szCs w:val="22"/>
        </w:rPr>
        <w:t>“</w:t>
      </w:r>
      <w:r w:rsidR="005A1C00" w:rsidRPr="00C61626">
        <w:rPr>
          <w:i/>
          <w:sz w:val="22"/>
          <w:szCs w:val="22"/>
        </w:rPr>
        <w:t>O que se depreende, portanto, dos fundamentos do Acórdão 2784/2012-Plenário, é que o pagamento de salários inferiores aos da proposta somente configuraria descumprimento contratual caso houvesse cláusula expressa no edital e no contrato exigindo a identidade entre esses valores, sendo a regra geral a de que as quantias constantes da proposta correspondem aos preços dos serviços, e não aos custos da contratada. Assim, uma vez que não há cláusula dessa natureza nos contratos de engenharia consultiva em comento, não se pode falar em violação ao contrato na realização desses pagamentos”</w:t>
      </w:r>
      <w:r w:rsidR="005A1C00" w:rsidRPr="00C61626">
        <w:rPr>
          <w:sz w:val="22"/>
          <w:szCs w:val="22"/>
        </w:rPr>
        <w:t>.</w:t>
      </w:r>
      <w:r w:rsidR="00C62B48" w:rsidRPr="00C61626">
        <w:rPr>
          <w:sz w:val="22"/>
          <w:szCs w:val="22"/>
        </w:rPr>
        <w:t xml:space="preserve"> Seguindo o voto do revisor, o Plenário do TCU deu provimento ao recurso. </w:t>
      </w:r>
      <w:hyperlink r:id="rId11" w:history="1">
        <w:r w:rsidR="001445CE" w:rsidRPr="001445CE">
          <w:rPr>
            <w:rStyle w:val="Hyperlink"/>
            <w:b/>
            <w:i/>
            <w:sz w:val="22"/>
            <w:szCs w:val="22"/>
          </w:rPr>
          <w:t>Acórdão 2438/2013-Plenário</w:t>
        </w:r>
      </w:hyperlink>
      <w:r w:rsidRPr="00C61626">
        <w:rPr>
          <w:b/>
          <w:i/>
          <w:sz w:val="22"/>
          <w:szCs w:val="22"/>
        </w:rPr>
        <w:t xml:space="preserve">, TC 014.508/2007-5, revisor Ministro José </w:t>
      </w:r>
      <w:proofErr w:type="spellStart"/>
      <w:r w:rsidRPr="00C61626">
        <w:rPr>
          <w:b/>
          <w:i/>
          <w:sz w:val="22"/>
          <w:szCs w:val="22"/>
        </w:rPr>
        <w:t>Múcio</w:t>
      </w:r>
      <w:proofErr w:type="spellEnd"/>
      <w:r w:rsidRPr="00C61626">
        <w:rPr>
          <w:b/>
          <w:i/>
          <w:sz w:val="22"/>
          <w:szCs w:val="22"/>
        </w:rPr>
        <w:t xml:space="preserve"> Monteiro, 11.9.2013.</w:t>
      </w:r>
    </w:p>
    <w:p w:rsidR="00E20528" w:rsidRPr="00C61626" w:rsidRDefault="00E20528" w:rsidP="00C61626">
      <w:pPr>
        <w:spacing w:after="0"/>
        <w:ind w:left="0"/>
        <w:rPr>
          <w:b/>
          <w:i/>
          <w:sz w:val="22"/>
          <w:szCs w:val="22"/>
          <w:lang w:eastAsia="pt-BR"/>
        </w:rPr>
      </w:pPr>
    </w:p>
    <w:p w:rsidR="00293B8B" w:rsidRPr="00C61626" w:rsidRDefault="00293B8B" w:rsidP="00C61626">
      <w:pPr>
        <w:spacing w:after="0"/>
        <w:ind w:left="0"/>
        <w:rPr>
          <w:b/>
          <w:bCs/>
          <w:iCs/>
          <w:sz w:val="22"/>
          <w:szCs w:val="22"/>
        </w:rPr>
      </w:pPr>
      <w:r w:rsidRPr="00C61626">
        <w:rPr>
          <w:b/>
          <w:sz w:val="22"/>
          <w:szCs w:val="22"/>
        </w:rPr>
        <w:t>5. A realização de diligência destinada a esclarecer ou a complementar a instrução do procedimento licitatório</w:t>
      </w:r>
      <w:r w:rsidRPr="00C61626">
        <w:rPr>
          <w:b/>
          <w:bCs/>
          <w:iCs/>
          <w:sz w:val="22"/>
          <w:szCs w:val="22"/>
        </w:rPr>
        <w:t xml:space="preserve"> independe de previsão em edital, uma vez que a Lei 8.666/93 não impõe tal exigência.</w:t>
      </w:r>
    </w:p>
    <w:p w:rsidR="00293B8B" w:rsidRPr="00C61626" w:rsidRDefault="00293B8B" w:rsidP="00C61626">
      <w:pPr>
        <w:spacing w:after="0"/>
        <w:ind w:left="0"/>
        <w:rPr>
          <w:sz w:val="22"/>
          <w:szCs w:val="22"/>
          <w:lang w:eastAsia="pt-BR"/>
        </w:rPr>
      </w:pPr>
      <w:r w:rsidRPr="00C61626">
        <w:rPr>
          <w:sz w:val="22"/>
          <w:szCs w:val="22"/>
          <w:lang w:eastAsia="pt-BR"/>
        </w:rPr>
        <w:t>Representação versando sobre pregão eletrônico promovido pela Caixa Econômica Federal (Caixa) para a contratação de empresa para o desenvolvimento de soluções de TI apontara irregularidade na fase de habilitação do certame. A representante alegara que teria havido “</w:t>
      </w:r>
      <w:r w:rsidRPr="00C61626">
        <w:rPr>
          <w:i/>
          <w:iCs/>
          <w:sz w:val="22"/>
          <w:szCs w:val="22"/>
          <w:lang w:eastAsia="pt-BR"/>
        </w:rPr>
        <w:t>rigor excessivo no julgamento dos documentos</w:t>
      </w:r>
      <w:r w:rsidRPr="00C61626">
        <w:rPr>
          <w:sz w:val="22"/>
          <w:szCs w:val="22"/>
          <w:lang w:eastAsia="pt-BR"/>
        </w:rPr>
        <w:t>”, além de "</w:t>
      </w:r>
      <w:r w:rsidRPr="00C61626">
        <w:rPr>
          <w:i/>
          <w:sz w:val="22"/>
          <w:szCs w:val="22"/>
          <w:lang w:eastAsia="pt-BR"/>
        </w:rPr>
        <w:t>violação aos princípios da vinculação ao instrumento convocatório e do julgamento objetivo</w:t>
      </w:r>
      <w:r w:rsidRPr="00C61626">
        <w:rPr>
          <w:sz w:val="22"/>
          <w:szCs w:val="22"/>
          <w:lang w:eastAsia="pt-BR"/>
        </w:rPr>
        <w:t>", uma vez que, "</w:t>
      </w:r>
      <w:r w:rsidRPr="00C61626">
        <w:rPr>
          <w:i/>
          <w:sz w:val="22"/>
          <w:szCs w:val="22"/>
          <w:lang w:eastAsia="pt-BR"/>
        </w:rPr>
        <w:t xml:space="preserve">apesar de terem sido apresentados os atestados de qualificação técnica exigidos no edital", </w:t>
      </w:r>
      <w:r w:rsidRPr="00C61626">
        <w:rPr>
          <w:sz w:val="22"/>
          <w:szCs w:val="22"/>
          <w:lang w:eastAsia="pt-BR"/>
        </w:rPr>
        <w:t>a pregoeira requisitara cópias dos respectivos contratos para validação dos atestados,</w:t>
      </w:r>
      <w:r w:rsidRPr="00C61626">
        <w:rPr>
          <w:i/>
          <w:sz w:val="22"/>
          <w:szCs w:val="22"/>
          <w:lang w:eastAsia="pt-BR"/>
        </w:rPr>
        <w:t xml:space="preserve"> </w:t>
      </w:r>
      <w:r w:rsidRPr="00C61626">
        <w:rPr>
          <w:sz w:val="22"/>
          <w:szCs w:val="22"/>
          <w:lang w:eastAsia="pt-BR"/>
        </w:rPr>
        <w:t xml:space="preserve">o que não estava previsto no instrumento </w:t>
      </w:r>
      <w:proofErr w:type="spellStart"/>
      <w:r w:rsidRPr="00C61626">
        <w:rPr>
          <w:sz w:val="22"/>
          <w:szCs w:val="22"/>
          <w:lang w:eastAsia="pt-BR"/>
        </w:rPr>
        <w:t>editalício</w:t>
      </w:r>
      <w:proofErr w:type="spellEnd"/>
      <w:r w:rsidRPr="00C61626">
        <w:rPr>
          <w:sz w:val="22"/>
          <w:szCs w:val="22"/>
          <w:lang w:eastAsia="pt-BR"/>
        </w:rPr>
        <w:t>. Em juízo de mérito, o relator anotou que "</w:t>
      </w:r>
      <w:r w:rsidRPr="00C61626">
        <w:rPr>
          <w:i/>
          <w:sz w:val="22"/>
          <w:szCs w:val="22"/>
          <w:lang w:eastAsia="pt-BR"/>
        </w:rPr>
        <w:t>a teor do art. 43, § 3º, da Lei 8.666/93, é facultada à autoridade julgadora, em qualquer fase da licitação, a promoção de diligência destinada a esclarecer ou a complementar a instrução do processo. À luz desse comando legal, que não menciona que a diligência em questão teria de estar prevista em edital, não há que se falar em extrapolação das regras do certame e, consequentemente, em violação aos princípios da vinculação ao instrumento convocatório e do julgamento objetivo</w:t>
      </w:r>
      <w:r w:rsidRPr="00C61626">
        <w:rPr>
          <w:sz w:val="22"/>
          <w:szCs w:val="22"/>
          <w:lang w:eastAsia="pt-BR"/>
        </w:rPr>
        <w:t>". Ressaltou ainda a razoabilidade do procedimento adotado pela Caixa, a qual, "</w:t>
      </w:r>
      <w:r w:rsidRPr="00C61626">
        <w:rPr>
          <w:i/>
          <w:sz w:val="22"/>
          <w:szCs w:val="22"/>
          <w:lang w:eastAsia="pt-BR"/>
        </w:rPr>
        <w:t>diante da concisão dos termos em que são redigidos os atestados</w:t>
      </w:r>
      <w:r w:rsidRPr="00C61626">
        <w:rPr>
          <w:sz w:val="22"/>
          <w:szCs w:val="22"/>
          <w:lang w:eastAsia="pt-BR"/>
        </w:rPr>
        <w:t>", buscou uma descrição técnica mais detalhada dos serviços indicados nos documentos apresentados, "</w:t>
      </w:r>
      <w:r w:rsidRPr="00C61626">
        <w:rPr>
          <w:i/>
          <w:sz w:val="22"/>
          <w:szCs w:val="22"/>
          <w:lang w:eastAsia="pt-BR"/>
        </w:rPr>
        <w:t>com vistas à comprovação de que os trabalhos anteriormente executados pela licitante eram, de fato, compatíveis com os que pretende contratar</w:t>
      </w:r>
      <w:r w:rsidRPr="00C61626">
        <w:rPr>
          <w:sz w:val="22"/>
          <w:szCs w:val="22"/>
          <w:lang w:eastAsia="pt-BR"/>
        </w:rPr>
        <w:t xml:space="preserve">". O Tribunal, acolhendo a proposta do relator, indeferiu a medida cautelar pleiteada e considerou improcedente a representação. </w:t>
      </w:r>
      <w:hyperlink r:id="rId12" w:history="1">
        <w:r w:rsidR="001B0737" w:rsidRPr="001B0737">
          <w:rPr>
            <w:rStyle w:val="Hyperlink"/>
            <w:b/>
            <w:i/>
            <w:sz w:val="22"/>
            <w:szCs w:val="22"/>
            <w:lang w:eastAsia="pt-BR"/>
          </w:rPr>
          <w:t>Acórdão 2459/2013-Plenário</w:t>
        </w:r>
      </w:hyperlink>
      <w:r w:rsidRPr="00C61626">
        <w:rPr>
          <w:b/>
          <w:i/>
          <w:sz w:val="22"/>
          <w:szCs w:val="22"/>
          <w:lang w:eastAsia="pt-BR"/>
        </w:rPr>
        <w:t xml:space="preserve">, TC 021.364/2013-3, relator Ministro José </w:t>
      </w:r>
      <w:proofErr w:type="spellStart"/>
      <w:r w:rsidRPr="00C61626">
        <w:rPr>
          <w:b/>
          <w:i/>
          <w:sz w:val="22"/>
          <w:szCs w:val="22"/>
          <w:lang w:eastAsia="pt-BR"/>
        </w:rPr>
        <w:t>Múcio</w:t>
      </w:r>
      <w:proofErr w:type="spellEnd"/>
      <w:r w:rsidRPr="00C61626">
        <w:rPr>
          <w:b/>
          <w:i/>
          <w:sz w:val="22"/>
          <w:szCs w:val="22"/>
          <w:lang w:eastAsia="pt-BR"/>
        </w:rPr>
        <w:t xml:space="preserve"> Monteiro, 11.9.2013.</w:t>
      </w:r>
    </w:p>
    <w:p w:rsidR="00293B8B" w:rsidRPr="00C61626" w:rsidRDefault="00293B8B" w:rsidP="00C61626">
      <w:pPr>
        <w:spacing w:after="0"/>
        <w:ind w:left="0"/>
        <w:rPr>
          <w:b/>
          <w:sz w:val="22"/>
          <w:szCs w:val="22"/>
          <w:lang w:eastAsia="pt-BR"/>
        </w:rPr>
      </w:pPr>
    </w:p>
    <w:p w:rsidR="0067179C" w:rsidRPr="00C61626" w:rsidRDefault="00BA091C" w:rsidP="00C61626">
      <w:pPr>
        <w:spacing w:after="0"/>
        <w:ind w:left="0"/>
        <w:rPr>
          <w:b/>
          <w:sz w:val="22"/>
          <w:szCs w:val="22"/>
          <w:lang w:eastAsia="pt-BR"/>
        </w:rPr>
      </w:pPr>
      <w:r w:rsidRPr="00C61626">
        <w:rPr>
          <w:b/>
          <w:sz w:val="22"/>
          <w:szCs w:val="22"/>
          <w:lang w:eastAsia="pt-BR"/>
        </w:rPr>
        <w:t xml:space="preserve">6. </w:t>
      </w:r>
      <w:r w:rsidR="0067179C" w:rsidRPr="00C61626">
        <w:rPr>
          <w:b/>
          <w:sz w:val="22"/>
          <w:szCs w:val="22"/>
          <w:lang w:eastAsia="pt-BR"/>
        </w:rPr>
        <w:t>É irregular o uso da modalidade pregão para a licitação de obra, que, nos termos da Lei 8.666/93, é toda “construção, reforma, fabricação, recuperação ou ampliação”, independentemente d</w:t>
      </w:r>
      <w:r w:rsidRPr="00C61626">
        <w:rPr>
          <w:b/>
          <w:sz w:val="22"/>
          <w:szCs w:val="22"/>
          <w:lang w:eastAsia="pt-BR"/>
        </w:rPr>
        <w:t>os materiais</w:t>
      </w:r>
      <w:r w:rsidR="00B24581">
        <w:rPr>
          <w:b/>
          <w:sz w:val="22"/>
          <w:szCs w:val="22"/>
          <w:lang w:eastAsia="pt-BR"/>
        </w:rPr>
        <w:t xml:space="preserve"> nela</w:t>
      </w:r>
      <w:r w:rsidRPr="00C61626">
        <w:rPr>
          <w:b/>
          <w:sz w:val="22"/>
          <w:szCs w:val="22"/>
          <w:lang w:eastAsia="pt-BR"/>
        </w:rPr>
        <w:t xml:space="preserve"> empregados ou de eventual mobilidade do objeto a ser executado.</w:t>
      </w:r>
    </w:p>
    <w:p w:rsidR="00293B8B" w:rsidRPr="00C61626" w:rsidRDefault="00293B8B" w:rsidP="00C61626">
      <w:pPr>
        <w:spacing w:after="0"/>
        <w:ind w:left="0"/>
        <w:rPr>
          <w:sz w:val="22"/>
          <w:szCs w:val="22"/>
          <w:lang w:eastAsia="pt-BR"/>
        </w:rPr>
      </w:pPr>
      <w:r w:rsidRPr="00C61626">
        <w:rPr>
          <w:sz w:val="22"/>
          <w:szCs w:val="22"/>
          <w:lang w:eastAsia="pt-BR"/>
        </w:rPr>
        <w:t>Representação relativa à contratação, com recursos federais, de Unidades Modulares de Assistência à Cidadania com Portabilidade, realizada pela Secretaria de Estado de Saúde do Distrito Federal, apontara, dentre outras irregularidade, "</w:t>
      </w:r>
      <w:r w:rsidRPr="00C61626">
        <w:rPr>
          <w:i/>
          <w:sz w:val="22"/>
          <w:szCs w:val="22"/>
          <w:lang w:eastAsia="pt-BR"/>
        </w:rPr>
        <w:t>o uso de modalidade inadequada – pregão eletrônico – para contratação de obra</w:t>
      </w:r>
      <w:r w:rsidRPr="00C61626">
        <w:rPr>
          <w:sz w:val="22"/>
          <w:szCs w:val="22"/>
          <w:lang w:eastAsia="pt-BR"/>
        </w:rPr>
        <w:t xml:space="preserve">". Realizadas as oitivas regimentais após a concessão de medida </w:t>
      </w:r>
      <w:bookmarkStart w:id="1" w:name="Hit1"/>
      <w:r w:rsidRPr="00C61626">
        <w:rPr>
          <w:sz w:val="22"/>
          <w:szCs w:val="22"/>
          <w:lang w:eastAsia="pt-BR"/>
        </w:rPr>
        <w:t>cautelar</w:t>
      </w:r>
      <w:bookmarkEnd w:id="1"/>
      <w:r w:rsidR="00B44653" w:rsidRPr="00C61626">
        <w:rPr>
          <w:sz w:val="22"/>
          <w:szCs w:val="22"/>
          <w:lang w:eastAsia="pt-BR"/>
        </w:rPr>
        <w:t>, a Secretaria de Saúde alegou</w:t>
      </w:r>
      <w:r w:rsidRPr="00C61626">
        <w:rPr>
          <w:sz w:val="22"/>
          <w:szCs w:val="22"/>
          <w:lang w:eastAsia="pt-BR"/>
        </w:rPr>
        <w:t xml:space="preserve"> que o objeto contratado refere-se a fornecimento de bens "</w:t>
      </w:r>
      <w:r w:rsidRPr="00C61626">
        <w:rPr>
          <w:i/>
          <w:sz w:val="22"/>
          <w:szCs w:val="22"/>
          <w:lang w:eastAsia="pt-BR"/>
        </w:rPr>
        <w:t>em face da sua 'mobilidade', característica esta incompatível com a execução de obra</w:t>
      </w:r>
      <w:r w:rsidRPr="00C61626">
        <w:rPr>
          <w:sz w:val="22"/>
          <w:szCs w:val="22"/>
          <w:lang w:eastAsia="pt-BR"/>
        </w:rPr>
        <w:t>". O Relator rebateu, destacando que "</w:t>
      </w:r>
      <w:r w:rsidRPr="00C61626">
        <w:rPr>
          <w:i/>
          <w:sz w:val="22"/>
          <w:szCs w:val="22"/>
          <w:lang w:eastAsia="pt-BR"/>
        </w:rPr>
        <w:t xml:space="preserve">o material a ser empregado nessas construções – painéis metálicos </w:t>
      </w:r>
      <w:proofErr w:type="spellStart"/>
      <w:r w:rsidRPr="00C61626">
        <w:rPr>
          <w:i/>
          <w:sz w:val="22"/>
          <w:szCs w:val="22"/>
          <w:lang w:eastAsia="pt-BR"/>
        </w:rPr>
        <w:t>pré</w:t>
      </w:r>
      <w:proofErr w:type="spellEnd"/>
      <w:r w:rsidRPr="00C61626">
        <w:rPr>
          <w:i/>
          <w:sz w:val="22"/>
          <w:szCs w:val="22"/>
          <w:lang w:eastAsia="pt-BR"/>
        </w:rPr>
        <w:t>- fabricados – delas não retira a condição de obra de engenharia, porque a edificação, espécie do gênero obra, não se desnatura em razão dos materiais utilizados</w:t>
      </w:r>
      <w:r w:rsidRPr="00C61626">
        <w:rPr>
          <w:sz w:val="22"/>
          <w:szCs w:val="22"/>
          <w:lang w:eastAsia="pt-BR"/>
        </w:rPr>
        <w:t>". Destacou que "</w:t>
      </w:r>
      <w:r w:rsidRPr="00C61626">
        <w:rPr>
          <w:i/>
          <w:sz w:val="22"/>
          <w:szCs w:val="22"/>
          <w:lang w:eastAsia="pt-BR"/>
        </w:rPr>
        <w:t>a Lei de licitações e contratos administrativos não leva em consideração os materiais empregados na obra para conceituá-la. Obra, nos termos da Lei, é 'toda construção, reforma, fabricação, recuperação ou ampliação, realizada por execução direta ou indireta' (art. 6º, inciso I, da Lei 8.666/1993)</w:t>
      </w:r>
      <w:r w:rsidRPr="00C61626">
        <w:rPr>
          <w:sz w:val="22"/>
          <w:szCs w:val="22"/>
          <w:lang w:eastAsia="pt-BR"/>
        </w:rPr>
        <w:t>". Ainda em relação ao objeto contratado, destacou que a produção dos painéis metálicos nas instalações da contratada "</w:t>
      </w:r>
      <w:r w:rsidRPr="00C61626">
        <w:rPr>
          <w:i/>
          <w:sz w:val="22"/>
          <w:szCs w:val="22"/>
          <w:lang w:eastAsia="pt-BR"/>
        </w:rPr>
        <w:t>é também qualificada como obra, porque o legislador incluiu a 'fabricação' como espécie do gênero obra</w:t>
      </w:r>
      <w:r w:rsidRPr="00C61626">
        <w:rPr>
          <w:sz w:val="22"/>
          <w:szCs w:val="22"/>
          <w:lang w:eastAsia="pt-BR"/>
        </w:rPr>
        <w:t>". Acrescentou que a fabricação desses materiais é obra acessória à obra principal (construção dos prédios) e que o edital da licitação exigiu "</w:t>
      </w:r>
      <w:r w:rsidRPr="00C61626">
        <w:rPr>
          <w:i/>
          <w:sz w:val="22"/>
          <w:szCs w:val="22"/>
          <w:lang w:eastAsia="pt-BR"/>
        </w:rPr>
        <w:t>a prestação de serviços de engenharia indissociáveis às obras de edificação</w:t>
      </w:r>
      <w:r w:rsidRPr="00C61626">
        <w:rPr>
          <w:sz w:val="22"/>
          <w:szCs w:val="22"/>
          <w:lang w:eastAsia="pt-BR"/>
        </w:rPr>
        <w:t>". Por fim, anotou que "</w:t>
      </w:r>
      <w:r w:rsidRPr="00C61626">
        <w:rPr>
          <w:i/>
          <w:sz w:val="22"/>
          <w:szCs w:val="22"/>
          <w:lang w:eastAsia="pt-BR"/>
        </w:rPr>
        <w:t>eventual operação de desmontagem e remontagem do prédio, em local diverso, dele não retiraria a condição de imóvel, tampouco afasta a conclusão de que a incorporação dessas unidades modulares ao solo é obtida por meio de construção, de obra de engenharia</w:t>
      </w:r>
      <w:r w:rsidRPr="00C61626">
        <w:rPr>
          <w:sz w:val="22"/>
          <w:szCs w:val="22"/>
          <w:lang w:eastAsia="pt-BR"/>
        </w:rPr>
        <w:t>". Considerando que o objeto não se ajusta ao conceito de compra, mas ao de contratação de obra, o Tribunal, acolhendo a proposta do relator, considerou a representação procedente e emitiu determinações corretivas aos agentes envolvidos.</w:t>
      </w:r>
      <w:r w:rsidR="001B0737">
        <w:rPr>
          <w:sz w:val="22"/>
          <w:szCs w:val="22"/>
          <w:lang w:eastAsia="pt-BR"/>
        </w:rPr>
        <w:t xml:space="preserve"> </w:t>
      </w:r>
      <w:hyperlink r:id="rId13" w:history="1">
        <w:r w:rsidR="001B0737" w:rsidRPr="001B0737">
          <w:rPr>
            <w:rStyle w:val="Hyperlink"/>
            <w:b/>
            <w:i/>
            <w:sz w:val="22"/>
            <w:szCs w:val="22"/>
            <w:lang w:eastAsia="pt-BR"/>
          </w:rPr>
          <w:t>Acórdão 2470/2013-Plenário</w:t>
        </w:r>
      </w:hyperlink>
      <w:r w:rsidRPr="00C61626">
        <w:rPr>
          <w:b/>
          <w:i/>
          <w:sz w:val="22"/>
          <w:szCs w:val="22"/>
          <w:lang w:eastAsia="pt-BR"/>
        </w:rPr>
        <w:t>, TC 015.707/2013-0, relator Ministro</w:t>
      </w:r>
      <w:r w:rsidR="00B44653" w:rsidRPr="00C61626">
        <w:rPr>
          <w:b/>
          <w:i/>
          <w:sz w:val="22"/>
          <w:szCs w:val="22"/>
          <w:lang w:eastAsia="pt-BR"/>
        </w:rPr>
        <w:t>-Substituto</w:t>
      </w:r>
      <w:r w:rsidRPr="00C61626">
        <w:rPr>
          <w:b/>
          <w:i/>
          <w:sz w:val="22"/>
          <w:szCs w:val="22"/>
          <w:lang w:eastAsia="pt-BR"/>
        </w:rPr>
        <w:t xml:space="preserve"> Augusto </w:t>
      </w:r>
      <w:proofErr w:type="spellStart"/>
      <w:r w:rsidRPr="00C61626">
        <w:rPr>
          <w:b/>
          <w:i/>
          <w:sz w:val="22"/>
          <w:szCs w:val="22"/>
          <w:lang w:eastAsia="pt-BR"/>
        </w:rPr>
        <w:t>Sherman</w:t>
      </w:r>
      <w:proofErr w:type="spellEnd"/>
      <w:r w:rsidRPr="00C61626">
        <w:rPr>
          <w:b/>
          <w:i/>
          <w:sz w:val="22"/>
          <w:szCs w:val="22"/>
          <w:lang w:eastAsia="pt-BR"/>
        </w:rPr>
        <w:t xml:space="preserve"> Cavalcanti, 11.9.2013.</w:t>
      </w:r>
    </w:p>
    <w:p w:rsidR="00595870" w:rsidRDefault="00595870" w:rsidP="00175500">
      <w:pPr>
        <w:spacing w:after="0"/>
        <w:ind w:left="0"/>
        <w:rPr>
          <w:sz w:val="22"/>
          <w:szCs w:val="22"/>
          <w:lang w:eastAsia="pt-BR"/>
        </w:rPr>
      </w:pPr>
    </w:p>
    <w:p w:rsidR="00C61626" w:rsidRPr="00542E32" w:rsidRDefault="00C61626" w:rsidP="00175500">
      <w:pPr>
        <w:spacing w:after="0"/>
        <w:ind w:left="0"/>
        <w:rPr>
          <w:sz w:val="22"/>
          <w:szCs w:val="22"/>
          <w:lang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08246E" w:rsidRPr="00993B9D" w:rsidTr="008A12E6">
        <w:trPr>
          <w:trHeight w:val="779"/>
          <w:jc w:val="center"/>
        </w:trPr>
        <w:tc>
          <w:tcPr>
            <w:tcW w:w="0" w:type="auto"/>
            <w:vAlign w:val="center"/>
          </w:tcPr>
          <w:p w:rsidR="0008246E" w:rsidRPr="009E1BEB" w:rsidRDefault="0008246E" w:rsidP="008A12E6">
            <w:pPr>
              <w:pStyle w:val="enter-3pt"/>
              <w:tabs>
                <w:tab w:val="left" w:pos="2590"/>
              </w:tabs>
              <w:spacing w:line="240" w:lineRule="auto"/>
              <w:rPr>
                <w:b/>
                <w:i/>
                <w:sz w:val="18"/>
                <w:szCs w:val="18"/>
              </w:rPr>
            </w:pPr>
            <w:r w:rsidRPr="009E1BEB">
              <w:rPr>
                <w:b/>
                <w:i/>
                <w:sz w:val="18"/>
                <w:szCs w:val="18"/>
              </w:rPr>
              <w:t>Elaboração: Secretaria das Sessões</w:t>
            </w:r>
          </w:p>
          <w:p w:rsidR="0008246E" w:rsidRPr="00993B9D" w:rsidRDefault="0008246E" w:rsidP="008A12E6">
            <w:pPr>
              <w:pStyle w:val="enter-3pt"/>
              <w:tabs>
                <w:tab w:val="left" w:pos="2590"/>
              </w:tabs>
              <w:spacing w:line="240" w:lineRule="auto"/>
              <w:rPr>
                <w:b/>
                <w:i/>
                <w:sz w:val="22"/>
                <w:szCs w:val="22"/>
              </w:rPr>
            </w:pPr>
            <w:r w:rsidRPr="009E1BEB">
              <w:rPr>
                <w:b/>
                <w:i/>
                <w:sz w:val="18"/>
                <w:szCs w:val="18"/>
              </w:rPr>
              <w:t xml:space="preserve">Contato: </w:t>
            </w:r>
            <w:hyperlink r:id="rId14" w:history="1">
              <w:r w:rsidRPr="009E1BEB">
                <w:rPr>
                  <w:rStyle w:val="Hyperlink"/>
                  <w:b/>
                  <w:i/>
                  <w:color w:val="auto"/>
                  <w:sz w:val="18"/>
                  <w:szCs w:val="18"/>
                </w:rPr>
                <w:t>infojuris@tcu.gov.br</w:t>
              </w:r>
            </w:hyperlink>
          </w:p>
        </w:tc>
      </w:tr>
    </w:tbl>
    <w:p w:rsidR="00F3058F" w:rsidRPr="00175500" w:rsidRDefault="00F3058F" w:rsidP="00925431">
      <w:pPr>
        <w:pStyle w:val="Ttulo8"/>
        <w:tabs>
          <w:tab w:val="right" w:pos="4423"/>
        </w:tabs>
        <w:spacing w:before="0" w:after="0"/>
        <w:ind w:left="0"/>
        <w:rPr>
          <w:b/>
          <w:sz w:val="22"/>
        </w:rPr>
      </w:pPr>
    </w:p>
    <w:sectPr w:rsidR="00F3058F" w:rsidRPr="00175500" w:rsidSect="00616945">
      <w:headerReference w:type="default" r:id="rId15"/>
      <w:footerReference w:type="default" r:id="rId16"/>
      <w:headerReference w:type="first" r:id="rId17"/>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A1B" w:rsidRDefault="005D3A1B" w:rsidP="008B0547">
      <w:pPr>
        <w:spacing w:after="0"/>
      </w:pPr>
      <w:r>
        <w:separator/>
      </w:r>
    </w:p>
  </w:endnote>
  <w:endnote w:type="continuationSeparator" w:id="0">
    <w:p w:rsidR="005D3A1B" w:rsidRDefault="005D3A1B"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Pr="00C906CD" w:rsidRDefault="003D4AA0" w:rsidP="004E357A">
    <w:pPr>
      <w:pStyle w:val="Rodap"/>
      <w:jc w:val="right"/>
      <w:rPr>
        <w:sz w:val="20"/>
        <w:szCs w:val="20"/>
      </w:rPr>
    </w:pPr>
    <w:r w:rsidRPr="00C906CD">
      <w:rPr>
        <w:sz w:val="20"/>
        <w:szCs w:val="20"/>
      </w:rPr>
      <w:fldChar w:fldCharType="begin"/>
    </w:r>
    <w:r w:rsidR="0018763E" w:rsidRPr="00C906CD">
      <w:rPr>
        <w:sz w:val="20"/>
        <w:szCs w:val="20"/>
      </w:rPr>
      <w:instrText xml:space="preserve"> PAGE   \* MERGEFORMAT </w:instrText>
    </w:r>
    <w:r w:rsidRPr="00C906CD">
      <w:rPr>
        <w:sz w:val="20"/>
        <w:szCs w:val="20"/>
      </w:rPr>
      <w:fldChar w:fldCharType="separate"/>
    </w:r>
    <w:r w:rsidR="00D60867">
      <w:rPr>
        <w:noProof/>
        <w:sz w:val="20"/>
        <w:szCs w:val="20"/>
      </w:rPr>
      <w:t>4</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A1B" w:rsidRDefault="005D3A1B" w:rsidP="008B0547">
      <w:pPr>
        <w:spacing w:after="0"/>
      </w:pPr>
      <w:r>
        <w:separator/>
      </w:r>
    </w:p>
  </w:footnote>
  <w:footnote w:type="continuationSeparator" w:id="0">
    <w:p w:rsidR="005D3A1B" w:rsidRDefault="005D3A1B"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18763E">
    <w:pPr>
      <w:pStyle w:val="Cabealho"/>
    </w:pPr>
  </w:p>
  <w:p w:rsidR="0018763E" w:rsidRDefault="0018763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300702" w:rsidP="009D05A4">
    <w:pPr>
      <w:pStyle w:val="Cabealho"/>
      <w:ind w:left="0"/>
    </w:pPr>
    <w:r w:rsidRPr="00DB7C03">
      <w:rPr>
        <w:b/>
        <w:i/>
        <w:noProof/>
        <w:sz w:val="22"/>
        <w:szCs w:val="22"/>
        <w:lang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4">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7">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8">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9">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0">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1">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6">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15"/>
    <w:lvlOverride w:ilvl="0">
      <w:startOverride w:val="1"/>
    </w:lvlOverride>
  </w:num>
  <w:num w:numId="4">
    <w:abstractNumId w:val="9"/>
  </w:num>
  <w:num w:numId="5">
    <w:abstractNumId w:val="6"/>
  </w:num>
  <w:num w:numId="6">
    <w:abstractNumId w:val="5"/>
  </w:num>
  <w:num w:numId="7">
    <w:abstractNumId w:val="8"/>
  </w:num>
  <w:num w:numId="8">
    <w:abstractNumId w:val="10"/>
  </w:num>
  <w:num w:numId="9">
    <w:abstractNumId w:val="2"/>
  </w:num>
  <w:num w:numId="10">
    <w:abstractNumId w:val="3"/>
  </w:num>
  <w:num w:numId="11">
    <w:abstractNumId w:val="11"/>
  </w:num>
  <w:num w:numId="12">
    <w:abstractNumId w:val="12"/>
  </w:num>
  <w:num w:numId="13">
    <w:abstractNumId w:val="14"/>
  </w:num>
  <w:num w:numId="14">
    <w:abstractNumId w:val="13"/>
  </w:num>
  <w:num w:numId="15">
    <w:abstractNumId w:val="16"/>
  </w:num>
  <w:num w:numId="16">
    <w:abstractNumId w:val="0"/>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A8B"/>
    <w:rsid w:val="0000153E"/>
    <w:rsid w:val="00001878"/>
    <w:rsid w:val="00001B69"/>
    <w:rsid w:val="000021D2"/>
    <w:rsid w:val="000023EE"/>
    <w:rsid w:val="000028E3"/>
    <w:rsid w:val="00003CEA"/>
    <w:rsid w:val="00003D44"/>
    <w:rsid w:val="000042F4"/>
    <w:rsid w:val="00004614"/>
    <w:rsid w:val="00004C3B"/>
    <w:rsid w:val="00004C47"/>
    <w:rsid w:val="00004D04"/>
    <w:rsid w:val="00005142"/>
    <w:rsid w:val="00005435"/>
    <w:rsid w:val="0000560C"/>
    <w:rsid w:val="00005BA5"/>
    <w:rsid w:val="00005E1E"/>
    <w:rsid w:val="00005F57"/>
    <w:rsid w:val="0000636F"/>
    <w:rsid w:val="000069F3"/>
    <w:rsid w:val="00007FA6"/>
    <w:rsid w:val="0001037C"/>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A1"/>
    <w:rsid w:val="00013851"/>
    <w:rsid w:val="00013941"/>
    <w:rsid w:val="00013A1F"/>
    <w:rsid w:val="00013BDC"/>
    <w:rsid w:val="00014136"/>
    <w:rsid w:val="000145F8"/>
    <w:rsid w:val="00014B20"/>
    <w:rsid w:val="00014E81"/>
    <w:rsid w:val="000161F7"/>
    <w:rsid w:val="0001636D"/>
    <w:rsid w:val="0001643A"/>
    <w:rsid w:val="00016730"/>
    <w:rsid w:val="00016A5D"/>
    <w:rsid w:val="0001776E"/>
    <w:rsid w:val="000179E2"/>
    <w:rsid w:val="0002039E"/>
    <w:rsid w:val="00020C27"/>
    <w:rsid w:val="00020C75"/>
    <w:rsid w:val="00020E49"/>
    <w:rsid w:val="00020FC8"/>
    <w:rsid w:val="000214F6"/>
    <w:rsid w:val="00021532"/>
    <w:rsid w:val="0002193A"/>
    <w:rsid w:val="0002237E"/>
    <w:rsid w:val="0002238E"/>
    <w:rsid w:val="000224CB"/>
    <w:rsid w:val="000227F4"/>
    <w:rsid w:val="0002327E"/>
    <w:rsid w:val="0002374E"/>
    <w:rsid w:val="00023828"/>
    <w:rsid w:val="00023AFD"/>
    <w:rsid w:val="00023D72"/>
    <w:rsid w:val="000253D1"/>
    <w:rsid w:val="00025450"/>
    <w:rsid w:val="00025753"/>
    <w:rsid w:val="00025A32"/>
    <w:rsid w:val="00025AA0"/>
    <w:rsid w:val="000262E8"/>
    <w:rsid w:val="0002663F"/>
    <w:rsid w:val="00026CE8"/>
    <w:rsid w:val="000271FA"/>
    <w:rsid w:val="0002751C"/>
    <w:rsid w:val="00027B2E"/>
    <w:rsid w:val="00027C86"/>
    <w:rsid w:val="000300A2"/>
    <w:rsid w:val="000304BD"/>
    <w:rsid w:val="00030EC2"/>
    <w:rsid w:val="0003113F"/>
    <w:rsid w:val="00031B9D"/>
    <w:rsid w:val="00032198"/>
    <w:rsid w:val="0003282A"/>
    <w:rsid w:val="00032CA1"/>
    <w:rsid w:val="00032CE9"/>
    <w:rsid w:val="00032D47"/>
    <w:rsid w:val="00033551"/>
    <w:rsid w:val="00033B3E"/>
    <w:rsid w:val="0003422F"/>
    <w:rsid w:val="00035593"/>
    <w:rsid w:val="00035A82"/>
    <w:rsid w:val="00035D4C"/>
    <w:rsid w:val="00035FBF"/>
    <w:rsid w:val="000360F1"/>
    <w:rsid w:val="00036F23"/>
    <w:rsid w:val="000371C1"/>
    <w:rsid w:val="00037DCE"/>
    <w:rsid w:val="00041337"/>
    <w:rsid w:val="00041450"/>
    <w:rsid w:val="000415DA"/>
    <w:rsid w:val="00042393"/>
    <w:rsid w:val="000431BD"/>
    <w:rsid w:val="000436B0"/>
    <w:rsid w:val="000438FC"/>
    <w:rsid w:val="00044536"/>
    <w:rsid w:val="00044732"/>
    <w:rsid w:val="000447EE"/>
    <w:rsid w:val="00044B21"/>
    <w:rsid w:val="00044F32"/>
    <w:rsid w:val="00045C61"/>
    <w:rsid w:val="00045FC1"/>
    <w:rsid w:val="000460E4"/>
    <w:rsid w:val="00046313"/>
    <w:rsid w:val="0004660A"/>
    <w:rsid w:val="00046CF7"/>
    <w:rsid w:val="00047011"/>
    <w:rsid w:val="0004791A"/>
    <w:rsid w:val="00047C67"/>
    <w:rsid w:val="00047E71"/>
    <w:rsid w:val="00050483"/>
    <w:rsid w:val="000505FB"/>
    <w:rsid w:val="00050BA0"/>
    <w:rsid w:val="0005133B"/>
    <w:rsid w:val="000513D0"/>
    <w:rsid w:val="00051AAB"/>
    <w:rsid w:val="00051D57"/>
    <w:rsid w:val="0005205F"/>
    <w:rsid w:val="00052B15"/>
    <w:rsid w:val="00052BCA"/>
    <w:rsid w:val="00052E07"/>
    <w:rsid w:val="00052FC7"/>
    <w:rsid w:val="0005356E"/>
    <w:rsid w:val="000536ED"/>
    <w:rsid w:val="00053BB0"/>
    <w:rsid w:val="000540FC"/>
    <w:rsid w:val="0005412B"/>
    <w:rsid w:val="0005426B"/>
    <w:rsid w:val="00054432"/>
    <w:rsid w:val="0005485B"/>
    <w:rsid w:val="00054C16"/>
    <w:rsid w:val="00054D93"/>
    <w:rsid w:val="00054FBE"/>
    <w:rsid w:val="00055143"/>
    <w:rsid w:val="00055A5C"/>
    <w:rsid w:val="00055D4F"/>
    <w:rsid w:val="000562CD"/>
    <w:rsid w:val="0005656B"/>
    <w:rsid w:val="00056A5A"/>
    <w:rsid w:val="00056A5F"/>
    <w:rsid w:val="00056D51"/>
    <w:rsid w:val="0005724A"/>
    <w:rsid w:val="0005737C"/>
    <w:rsid w:val="00057892"/>
    <w:rsid w:val="00057D5A"/>
    <w:rsid w:val="0006028E"/>
    <w:rsid w:val="000605A0"/>
    <w:rsid w:val="0006070E"/>
    <w:rsid w:val="00060728"/>
    <w:rsid w:val="00060856"/>
    <w:rsid w:val="00060CE3"/>
    <w:rsid w:val="00061A56"/>
    <w:rsid w:val="00061C2E"/>
    <w:rsid w:val="00061EF5"/>
    <w:rsid w:val="000622E0"/>
    <w:rsid w:val="000624FA"/>
    <w:rsid w:val="00062B46"/>
    <w:rsid w:val="00062D0E"/>
    <w:rsid w:val="00062E75"/>
    <w:rsid w:val="00063C6E"/>
    <w:rsid w:val="000647B1"/>
    <w:rsid w:val="0006509C"/>
    <w:rsid w:val="0006592B"/>
    <w:rsid w:val="00065A49"/>
    <w:rsid w:val="00065A8B"/>
    <w:rsid w:val="00065B97"/>
    <w:rsid w:val="00065E95"/>
    <w:rsid w:val="00066126"/>
    <w:rsid w:val="00066E66"/>
    <w:rsid w:val="00066F26"/>
    <w:rsid w:val="0006707B"/>
    <w:rsid w:val="000675D5"/>
    <w:rsid w:val="00067E95"/>
    <w:rsid w:val="0007073D"/>
    <w:rsid w:val="00070785"/>
    <w:rsid w:val="0007120E"/>
    <w:rsid w:val="00071457"/>
    <w:rsid w:val="000717D9"/>
    <w:rsid w:val="000717EC"/>
    <w:rsid w:val="0007190C"/>
    <w:rsid w:val="00071FB7"/>
    <w:rsid w:val="0007259B"/>
    <w:rsid w:val="0007275A"/>
    <w:rsid w:val="000727DB"/>
    <w:rsid w:val="00072916"/>
    <w:rsid w:val="00072F56"/>
    <w:rsid w:val="00073231"/>
    <w:rsid w:val="000735D1"/>
    <w:rsid w:val="00074384"/>
    <w:rsid w:val="00074AC5"/>
    <w:rsid w:val="000756E7"/>
    <w:rsid w:val="00075CE6"/>
    <w:rsid w:val="000761CD"/>
    <w:rsid w:val="0007670D"/>
    <w:rsid w:val="000768BB"/>
    <w:rsid w:val="00076909"/>
    <w:rsid w:val="00077346"/>
    <w:rsid w:val="00077A56"/>
    <w:rsid w:val="00077BA4"/>
    <w:rsid w:val="0008010D"/>
    <w:rsid w:val="00080148"/>
    <w:rsid w:val="00080237"/>
    <w:rsid w:val="00080245"/>
    <w:rsid w:val="000807D4"/>
    <w:rsid w:val="00080B82"/>
    <w:rsid w:val="00080CAA"/>
    <w:rsid w:val="00081635"/>
    <w:rsid w:val="00081A4D"/>
    <w:rsid w:val="00081DD6"/>
    <w:rsid w:val="00081DFB"/>
    <w:rsid w:val="0008246E"/>
    <w:rsid w:val="000824AF"/>
    <w:rsid w:val="00083289"/>
    <w:rsid w:val="0008343E"/>
    <w:rsid w:val="00083514"/>
    <w:rsid w:val="000835D8"/>
    <w:rsid w:val="0008397F"/>
    <w:rsid w:val="00084282"/>
    <w:rsid w:val="00084727"/>
    <w:rsid w:val="00084A99"/>
    <w:rsid w:val="000858BB"/>
    <w:rsid w:val="000858EF"/>
    <w:rsid w:val="00086210"/>
    <w:rsid w:val="00086489"/>
    <w:rsid w:val="000867E7"/>
    <w:rsid w:val="00086836"/>
    <w:rsid w:val="00086943"/>
    <w:rsid w:val="00086A39"/>
    <w:rsid w:val="00086BAA"/>
    <w:rsid w:val="00087006"/>
    <w:rsid w:val="00087431"/>
    <w:rsid w:val="00087894"/>
    <w:rsid w:val="00087C6C"/>
    <w:rsid w:val="00090377"/>
    <w:rsid w:val="0009058C"/>
    <w:rsid w:val="00090B8F"/>
    <w:rsid w:val="00090C97"/>
    <w:rsid w:val="00090D8A"/>
    <w:rsid w:val="00090E2E"/>
    <w:rsid w:val="0009133A"/>
    <w:rsid w:val="000916AF"/>
    <w:rsid w:val="000919D7"/>
    <w:rsid w:val="00091F93"/>
    <w:rsid w:val="000923FB"/>
    <w:rsid w:val="000929ED"/>
    <w:rsid w:val="00092C2E"/>
    <w:rsid w:val="00092E24"/>
    <w:rsid w:val="00093088"/>
    <w:rsid w:val="000937B7"/>
    <w:rsid w:val="00093937"/>
    <w:rsid w:val="000940A9"/>
    <w:rsid w:val="00094981"/>
    <w:rsid w:val="00094A70"/>
    <w:rsid w:val="00094A7D"/>
    <w:rsid w:val="00094C5B"/>
    <w:rsid w:val="00094C72"/>
    <w:rsid w:val="00094EEC"/>
    <w:rsid w:val="00094F3A"/>
    <w:rsid w:val="00095069"/>
    <w:rsid w:val="00095AC0"/>
    <w:rsid w:val="00095D98"/>
    <w:rsid w:val="0009624E"/>
    <w:rsid w:val="0009649A"/>
    <w:rsid w:val="0009655D"/>
    <w:rsid w:val="00096740"/>
    <w:rsid w:val="00096899"/>
    <w:rsid w:val="000969AE"/>
    <w:rsid w:val="00096BDB"/>
    <w:rsid w:val="00096C1B"/>
    <w:rsid w:val="00096DFF"/>
    <w:rsid w:val="000971B8"/>
    <w:rsid w:val="0009748C"/>
    <w:rsid w:val="00097614"/>
    <w:rsid w:val="0009780B"/>
    <w:rsid w:val="00097863"/>
    <w:rsid w:val="00097ABD"/>
    <w:rsid w:val="00097BF6"/>
    <w:rsid w:val="00097DEB"/>
    <w:rsid w:val="00097FC4"/>
    <w:rsid w:val="000A0291"/>
    <w:rsid w:val="000A0EF8"/>
    <w:rsid w:val="000A152A"/>
    <w:rsid w:val="000A1EBD"/>
    <w:rsid w:val="000A246C"/>
    <w:rsid w:val="000A261A"/>
    <w:rsid w:val="000A2C56"/>
    <w:rsid w:val="000A37A7"/>
    <w:rsid w:val="000A402F"/>
    <w:rsid w:val="000A4632"/>
    <w:rsid w:val="000A47EA"/>
    <w:rsid w:val="000A4E36"/>
    <w:rsid w:val="000A504A"/>
    <w:rsid w:val="000A57DA"/>
    <w:rsid w:val="000A599E"/>
    <w:rsid w:val="000A6269"/>
    <w:rsid w:val="000A62BD"/>
    <w:rsid w:val="000A6645"/>
    <w:rsid w:val="000A6CDC"/>
    <w:rsid w:val="000A75EF"/>
    <w:rsid w:val="000A77BB"/>
    <w:rsid w:val="000A78E5"/>
    <w:rsid w:val="000B0ECB"/>
    <w:rsid w:val="000B0FEA"/>
    <w:rsid w:val="000B1052"/>
    <w:rsid w:val="000B1627"/>
    <w:rsid w:val="000B1A59"/>
    <w:rsid w:val="000B1B9E"/>
    <w:rsid w:val="000B2AFA"/>
    <w:rsid w:val="000B3015"/>
    <w:rsid w:val="000B3444"/>
    <w:rsid w:val="000B395E"/>
    <w:rsid w:val="000B3C52"/>
    <w:rsid w:val="000B4439"/>
    <w:rsid w:val="000B4534"/>
    <w:rsid w:val="000B4AF2"/>
    <w:rsid w:val="000B4B33"/>
    <w:rsid w:val="000B4C5B"/>
    <w:rsid w:val="000B4EBB"/>
    <w:rsid w:val="000B5A1A"/>
    <w:rsid w:val="000B5DB2"/>
    <w:rsid w:val="000B5DD4"/>
    <w:rsid w:val="000B639F"/>
    <w:rsid w:val="000B63F3"/>
    <w:rsid w:val="000B6475"/>
    <w:rsid w:val="000B6BC1"/>
    <w:rsid w:val="000B706C"/>
    <w:rsid w:val="000B759E"/>
    <w:rsid w:val="000B775A"/>
    <w:rsid w:val="000B79DD"/>
    <w:rsid w:val="000C0013"/>
    <w:rsid w:val="000C02AD"/>
    <w:rsid w:val="000C049A"/>
    <w:rsid w:val="000C0AA8"/>
    <w:rsid w:val="000C0D07"/>
    <w:rsid w:val="000C1585"/>
    <w:rsid w:val="000C1A3E"/>
    <w:rsid w:val="000C1AFC"/>
    <w:rsid w:val="000C22BE"/>
    <w:rsid w:val="000C22C0"/>
    <w:rsid w:val="000C28CC"/>
    <w:rsid w:val="000C2CBC"/>
    <w:rsid w:val="000C3BD5"/>
    <w:rsid w:val="000C3DAB"/>
    <w:rsid w:val="000C42A5"/>
    <w:rsid w:val="000C4611"/>
    <w:rsid w:val="000C4A10"/>
    <w:rsid w:val="000C4AC9"/>
    <w:rsid w:val="000C4BA1"/>
    <w:rsid w:val="000C5199"/>
    <w:rsid w:val="000C51DE"/>
    <w:rsid w:val="000C5799"/>
    <w:rsid w:val="000C5FDE"/>
    <w:rsid w:val="000C61FA"/>
    <w:rsid w:val="000C7281"/>
    <w:rsid w:val="000C7D11"/>
    <w:rsid w:val="000D073F"/>
    <w:rsid w:val="000D0D66"/>
    <w:rsid w:val="000D0D9A"/>
    <w:rsid w:val="000D10FB"/>
    <w:rsid w:val="000D14D9"/>
    <w:rsid w:val="000D1878"/>
    <w:rsid w:val="000D1AAE"/>
    <w:rsid w:val="000D1B91"/>
    <w:rsid w:val="000D1C53"/>
    <w:rsid w:val="000D1DC7"/>
    <w:rsid w:val="000D1EF5"/>
    <w:rsid w:val="000D1FD7"/>
    <w:rsid w:val="000D2184"/>
    <w:rsid w:val="000D2CBD"/>
    <w:rsid w:val="000D359B"/>
    <w:rsid w:val="000D37B0"/>
    <w:rsid w:val="000D3E44"/>
    <w:rsid w:val="000D52D9"/>
    <w:rsid w:val="000D6373"/>
    <w:rsid w:val="000D6388"/>
    <w:rsid w:val="000D6418"/>
    <w:rsid w:val="000D6479"/>
    <w:rsid w:val="000D6839"/>
    <w:rsid w:val="000D6906"/>
    <w:rsid w:val="000D6C9E"/>
    <w:rsid w:val="000D7BA8"/>
    <w:rsid w:val="000D7DB6"/>
    <w:rsid w:val="000D7DD6"/>
    <w:rsid w:val="000D7DED"/>
    <w:rsid w:val="000E020F"/>
    <w:rsid w:val="000E10DB"/>
    <w:rsid w:val="000E12F7"/>
    <w:rsid w:val="000E1A4B"/>
    <w:rsid w:val="000E1D3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5B4"/>
    <w:rsid w:val="000E69A6"/>
    <w:rsid w:val="000E6B37"/>
    <w:rsid w:val="000E730B"/>
    <w:rsid w:val="000E78A6"/>
    <w:rsid w:val="000E7FD4"/>
    <w:rsid w:val="000F05AC"/>
    <w:rsid w:val="000F0A64"/>
    <w:rsid w:val="000F13F3"/>
    <w:rsid w:val="000F1450"/>
    <w:rsid w:val="000F1786"/>
    <w:rsid w:val="000F2133"/>
    <w:rsid w:val="000F28B2"/>
    <w:rsid w:val="000F28E9"/>
    <w:rsid w:val="000F2975"/>
    <w:rsid w:val="000F2D05"/>
    <w:rsid w:val="000F2D48"/>
    <w:rsid w:val="000F2F92"/>
    <w:rsid w:val="000F2FD9"/>
    <w:rsid w:val="000F3282"/>
    <w:rsid w:val="000F33B5"/>
    <w:rsid w:val="000F3E8F"/>
    <w:rsid w:val="000F47C1"/>
    <w:rsid w:val="000F48B1"/>
    <w:rsid w:val="000F495D"/>
    <w:rsid w:val="000F4B18"/>
    <w:rsid w:val="000F4B82"/>
    <w:rsid w:val="000F4CC1"/>
    <w:rsid w:val="000F5135"/>
    <w:rsid w:val="000F601E"/>
    <w:rsid w:val="000F6986"/>
    <w:rsid w:val="000F69B8"/>
    <w:rsid w:val="000F6A43"/>
    <w:rsid w:val="000F6A5D"/>
    <w:rsid w:val="000F6D85"/>
    <w:rsid w:val="000F73F1"/>
    <w:rsid w:val="000F7B66"/>
    <w:rsid w:val="000F7CEE"/>
    <w:rsid w:val="000F7D84"/>
    <w:rsid w:val="001001F4"/>
    <w:rsid w:val="001005A8"/>
    <w:rsid w:val="00101707"/>
    <w:rsid w:val="00101EE1"/>
    <w:rsid w:val="00101F01"/>
    <w:rsid w:val="00102031"/>
    <w:rsid w:val="00102D37"/>
    <w:rsid w:val="00102DC0"/>
    <w:rsid w:val="00103A3E"/>
    <w:rsid w:val="00103C24"/>
    <w:rsid w:val="00103E5B"/>
    <w:rsid w:val="001041ED"/>
    <w:rsid w:val="001043C0"/>
    <w:rsid w:val="00104AAD"/>
    <w:rsid w:val="00104C71"/>
    <w:rsid w:val="001064E1"/>
    <w:rsid w:val="001071C7"/>
    <w:rsid w:val="001072E1"/>
    <w:rsid w:val="00107486"/>
    <w:rsid w:val="00107AC8"/>
    <w:rsid w:val="0011038F"/>
    <w:rsid w:val="0011039E"/>
    <w:rsid w:val="001104BA"/>
    <w:rsid w:val="00111441"/>
    <w:rsid w:val="00111A2A"/>
    <w:rsid w:val="00111A71"/>
    <w:rsid w:val="00111B67"/>
    <w:rsid w:val="001125A2"/>
    <w:rsid w:val="00112676"/>
    <w:rsid w:val="0011273C"/>
    <w:rsid w:val="00112A5F"/>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48D"/>
    <w:rsid w:val="001174F7"/>
    <w:rsid w:val="00117A9F"/>
    <w:rsid w:val="00117E95"/>
    <w:rsid w:val="001203BE"/>
    <w:rsid w:val="00121290"/>
    <w:rsid w:val="001212BD"/>
    <w:rsid w:val="00121782"/>
    <w:rsid w:val="001217A0"/>
    <w:rsid w:val="00121BE3"/>
    <w:rsid w:val="00121EDA"/>
    <w:rsid w:val="00122950"/>
    <w:rsid w:val="00122F63"/>
    <w:rsid w:val="0012305F"/>
    <w:rsid w:val="00123E4E"/>
    <w:rsid w:val="00123E5C"/>
    <w:rsid w:val="00123E6B"/>
    <w:rsid w:val="00125476"/>
    <w:rsid w:val="00125B0B"/>
    <w:rsid w:val="00125F9A"/>
    <w:rsid w:val="00126026"/>
    <w:rsid w:val="001260FC"/>
    <w:rsid w:val="00126198"/>
    <w:rsid w:val="001263AF"/>
    <w:rsid w:val="0012665C"/>
    <w:rsid w:val="0012676F"/>
    <w:rsid w:val="00126A9F"/>
    <w:rsid w:val="00126AB1"/>
    <w:rsid w:val="001278E8"/>
    <w:rsid w:val="00127C1D"/>
    <w:rsid w:val="00130032"/>
    <w:rsid w:val="00130752"/>
    <w:rsid w:val="00130A0C"/>
    <w:rsid w:val="00130B06"/>
    <w:rsid w:val="00130EF3"/>
    <w:rsid w:val="001316FC"/>
    <w:rsid w:val="00131767"/>
    <w:rsid w:val="00132D82"/>
    <w:rsid w:val="00132E48"/>
    <w:rsid w:val="0013322B"/>
    <w:rsid w:val="0013393F"/>
    <w:rsid w:val="00133EA9"/>
    <w:rsid w:val="00133FBC"/>
    <w:rsid w:val="00133FE5"/>
    <w:rsid w:val="00134175"/>
    <w:rsid w:val="0013476D"/>
    <w:rsid w:val="00135107"/>
    <w:rsid w:val="00135139"/>
    <w:rsid w:val="001351CE"/>
    <w:rsid w:val="001351D5"/>
    <w:rsid w:val="00135548"/>
    <w:rsid w:val="00135D01"/>
    <w:rsid w:val="00135EDA"/>
    <w:rsid w:val="001360E2"/>
    <w:rsid w:val="001360FB"/>
    <w:rsid w:val="00136272"/>
    <w:rsid w:val="0013735A"/>
    <w:rsid w:val="001374E3"/>
    <w:rsid w:val="001378A3"/>
    <w:rsid w:val="00137908"/>
    <w:rsid w:val="00137A34"/>
    <w:rsid w:val="00137B22"/>
    <w:rsid w:val="00137FE3"/>
    <w:rsid w:val="00140984"/>
    <w:rsid w:val="00140C58"/>
    <w:rsid w:val="00140FED"/>
    <w:rsid w:val="00141D7A"/>
    <w:rsid w:val="00141DE9"/>
    <w:rsid w:val="001420D1"/>
    <w:rsid w:val="001420FE"/>
    <w:rsid w:val="00142621"/>
    <w:rsid w:val="0014299D"/>
    <w:rsid w:val="00142A39"/>
    <w:rsid w:val="00142C16"/>
    <w:rsid w:val="001430DC"/>
    <w:rsid w:val="001438E6"/>
    <w:rsid w:val="001441C9"/>
    <w:rsid w:val="001444A2"/>
    <w:rsid w:val="001445CE"/>
    <w:rsid w:val="00144987"/>
    <w:rsid w:val="00144EBC"/>
    <w:rsid w:val="00145B06"/>
    <w:rsid w:val="00145B71"/>
    <w:rsid w:val="00146C4A"/>
    <w:rsid w:val="00146F56"/>
    <w:rsid w:val="00147AE1"/>
    <w:rsid w:val="001504AD"/>
    <w:rsid w:val="0015086F"/>
    <w:rsid w:val="00150CBB"/>
    <w:rsid w:val="00151660"/>
    <w:rsid w:val="00151F92"/>
    <w:rsid w:val="0015258E"/>
    <w:rsid w:val="001529CF"/>
    <w:rsid w:val="00152ECC"/>
    <w:rsid w:val="00152F0D"/>
    <w:rsid w:val="001530A6"/>
    <w:rsid w:val="00153276"/>
    <w:rsid w:val="001532E4"/>
    <w:rsid w:val="001534C8"/>
    <w:rsid w:val="00154349"/>
    <w:rsid w:val="001547F6"/>
    <w:rsid w:val="00154A1A"/>
    <w:rsid w:val="00154C79"/>
    <w:rsid w:val="00154DF8"/>
    <w:rsid w:val="00155D65"/>
    <w:rsid w:val="0015648A"/>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C0"/>
    <w:rsid w:val="001614AF"/>
    <w:rsid w:val="0016160E"/>
    <w:rsid w:val="001616F8"/>
    <w:rsid w:val="00161AFB"/>
    <w:rsid w:val="00161E4F"/>
    <w:rsid w:val="001623BD"/>
    <w:rsid w:val="001634AE"/>
    <w:rsid w:val="0016352E"/>
    <w:rsid w:val="00164355"/>
    <w:rsid w:val="00164DAA"/>
    <w:rsid w:val="0016510E"/>
    <w:rsid w:val="0016572F"/>
    <w:rsid w:val="001658D6"/>
    <w:rsid w:val="001665B9"/>
    <w:rsid w:val="001667C0"/>
    <w:rsid w:val="00166B40"/>
    <w:rsid w:val="00166C60"/>
    <w:rsid w:val="00167274"/>
    <w:rsid w:val="00167F39"/>
    <w:rsid w:val="00170A9D"/>
    <w:rsid w:val="0017110F"/>
    <w:rsid w:val="00171DD5"/>
    <w:rsid w:val="00171E89"/>
    <w:rsid w:val="0017217D"/>
    <w:rsid w:val="00173174"/>
    <w:rsid w:val="001737F7"/>
    <w:rsid w:val="00173E98"/>
    <w:rsid w:val="001744B4"/>
    <w:rsid w:val="001744E7"/>
    <w:rsid w:val="00174554"/>
    <w:rsid w:val="0017459B"/>
    <w:rsid w:val="00174651"/>
    <w:rsid w:val="001747AF"/>
    <w:rsid w:val="00174C1E"/>
    <w:rsid w:val="00174E4D"/>
    <w:rsid w:val="00175500"/>
    <w:rsid w:val="00175B3C"/>
    <w:rsid w:val="00176024"/>
    <w:rsid w:val="00176287"/>
    <w:rsid w:val="00176375"/>
    <w:rsid w:val="001766A9"/>
    <w:rsid w:val="001777EF"/>
    <w:rsid w:val="0018021C"/>
    <w:rsid w:val="00180774"/>
    <w:rsid w:val="00180EAA"/>
    <w:rsid w:val="00181005"/>
    <w:rsid w:val="0018106F"/>
    <w:rsid w:val="00181339"/>
    <w:rsid w:val="00181596"/>
    <w:rsid w:val="00181680"/>
    <w:rsid w:val="00181817"/>
    <w:rsid w:val="00181848"/>
    <w:rsid w:val="00181DF3"/>
    <w:rsid w:val="001829A6"/>
    <w:rsid w:val="00183A7D"/>
    <w:rsid w:val="00183DA4"/>
    <w:rsid w:val="001841C2"/>
    <w:rsid w:val="00184202"/>
    <w:rsid w:val="00184259"/>
    <w:rsid w:val="001843DB"/>
    <w:rsid w:val="001847D6"/>
    <w:rsid w:val="0018495A"/>
    <w:rsid w:val="00184DD0"/>
    <w:rsid w:val="001855E1"/>
    <w:rsid w:val="001858EA"/>
    <w:rsid w:val="00186AF4"/>
    <w:rsid w:val="0018763E"/>
    <w:rsid w:val="0018776F"/>
    <w:rsid w:val="001900A2"/>
    <w:rsid w:val="001908DC"/>
    <w:rsid w:val="00190FE2"/>
    <w:rsid w:val="001912D8"/>
    <w:rsid w:val="00191554"/>
    <w:rsid w:val="00191CF7"/>
    <w:rsid w:val="00191FCE"/>
    <w:rsid w:val="00192052"/>
    <w:rsid w:val="00192483"/>
    <w:rsid w:val="0019284D"/>
    <w:rsid w:val="00192929"/>
    <w:rsid w:val="00192DC1"/>
    <w:rsid w:val="00194053"/>
    <w:rsid w:val="001943EB"/>
    <w:rsid w:val="00194BE9"/>
    <w:rsid w:val="00194C5E"/>
    <w:rsid w:val="00194CA4"/>
    <w:rsid w:val="00194EDA"/>
    <w:rsid w:val="00195023"/>
    <w:rsid w:val="001951C9"/>
    <w:rsid w:val="001956E2"/>
    <w:rsid w:val="00195F77"/>
    <w:rsid w:val="00196098"/>
    <w:rsid w:val="00196898"/>
    <w:rsid w:val="00196E11"/>
    <w:rsid w:val="0019736D"/>
    <w:rsid w:val="001977ED"/>
    <w:rsid w:val="00197C2F"/>
    <w:rsid w:val="001A052D"/>
    <w:rsid w:val="001A0725"/>
    <w:rsid w:val="001A0B42"/>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4287"/>
    <w:rsid w:val="001A430F"/>
    <w:rsid w:val="001A4C6F"/>
    <w:rsid w:val="001A56C7"/>
    <w:rsid w:val="001A58D8"/>
    <w:rsid w:val="001A5C45"/>
    <w:rsid w:val="001A60A2"/>
    <w:rsid w:val="001A6C2E"/>
    <w:rsid w:val="001A6F68"/>
    <w:rsid w:val="001A727F"/>
    <w:rsid w:val="001A75FE"/>
    <w:rsid w:val="001A79D3"/>
    <w:rsid w:val="001A7BF5"/>
    <w:rsid w:val="001A7FC7"/>
    <w:rsid w:val="001B0737"/>
    <w:rsid w:val="001B08E7"/>
    <w:rsid w:val="001B0C66"/>
    <w:rsid w:val="001B1669"/>
    <w:rsid w:val="001B19FF"/>
    <w:rsid w:val="001B2580"/>
    <w:rsid w:val="001B2809"/>
    <w:rsid w:val="001B2931"/>
    <w:rsid w:val="001B2A46"/>
    <w:rsid w:val="001B3729"/>
    <w:rsid w:val="001B3AB2"/>
    <w:rsid w:val="001B3B42"/>
    <w:rsid w:val="001B3BEF"/>
    <w:rsid w:val="001B3E8E"/>
    <w:rsid w:val="001B4316"/>
    <w:rsid w:val="001B45FC"/>
    <w:rsid w:val="001B4F90"/>
    <w:rsid w:val="001B52A1"/>
    <w:rsid w:val="001B5333"/>
    <w:rsid w:val="001B5426"/>
    <w:rsid w:val="001B6823"/>
    <w:rsid w:val="001B7758"/>
    <w:rsid w:val="001B7EFA"/>
    <w:rsid w:val="001B7F4F"/>
    <w:rsid w:val="001C0575"/>
    <w:rsid w:val="001C0677"/>
    <w:rsid w:val="001C08D8"/>
    <w:rsid w:val="001C0A66"/>
    <w:rsid w:val="001C102A"/>
    <w:rsid w:val="001C1568"/>
    <w:rsid w:val="001C15D1"/>
    <w:rsid w:val="001C17A8"/>
    <w:rsid w:val="001C1903"/>
    <w:rsid w:val="001C2397"/>
    <w:rsid w:val="001C23B5"/>
    <w:rsid w:val="001C2492"/>
    <w:rsid w:val="001C24DE"/>
    <w:rsid w:val="001C2852"/>
    <w:rsid w:val="001C2950"/>
    <w:rsid w:val="001C2CD1"/>
    <w:rsid w:val="001C3CF9"/>
    <w:rsid w:val="001C412B"/>
    <w:rsid w:val="001C423E"/>
    <w:rsid w:val="001C437E"/>
    <w:rsid w:val="001C4F39"/>
    <w:rsid w:val="001C4FE9"/>
    <w:rsid w:val="001C51E4"/>
    <w:rsid w:val="001C536B"/>
    <w:rsid w:val="001C5777"/>
    <w:rsid w:val="001C5B47"/>
    <w:rsid w:val="001C5C51"/>
    <w:rsid w:val="001C5CDF"/>
    <w:rsid w:val="001C6395"/>
    <w:rsid w:val="001C641C"/>
    <w:rsid w:val="001C6A2C"/>
    <w:rsid w:val="001C6D43"/>
    <w:rsid w:val="001C6E55"/>
    <w:rsid w:val="001C71E3"/>
    <w:rsid w:val="001C729A"/>
    <w:rsid w:val="001C72D6"/>
    <w:rsid w:val="001C7892"/>
    <w:rsid w:val="001C7BF3"/>
    <w:rsid w:val="001C7DC4"/>
    <w:rsid w:val="001C7FD4"/>
    <w:rsid w:val="001D0208"/>
    <w:rsid w:val="001D03C7"/>
    <w:rsid w:val="001D0FAF"/>
    <w:rsid w:val="001D1478"/>
    <w:rsid w:val="001D1E52"/>
    <w:rsid w:val="001D1ECA"/>
    <w:rsid w:val="001D2746"/>
    <w:rsid w:val="001D2BC5"/>
    <w:rsid w:val="001D34EB"/>
    <w:rsid w:val="001D35B4"/>
    <w:rsid w:val="001D4515"/>
    <w:rsid w:val="001D4A98"/>
    <w:rsid w:val="001D5190"/>
    <w:rsid w:val="001D5339"/>
    <w:rsid w:val="001D559E"/>
    <w:rsid w:val="001D56C3"/>
    <w:rsid w:val="001D5F66"/>
    <w:rsid w:val="001D5FB0"/>
    <w:rsid w:val="001D6198"/>
    <w:rsid w:val="001D670F"/>
    <w:rsid w:val="001D6B86"/>
    <w:rsid w:val="001D6E5D"/>
    <w:rsid w:val="001D73B6"/>
    <w:rsid w:val="001D74CE"/>
    <w:rsid w:val="001D7622"/>
    <w:rsid w:val="001D76EB"/>
    <w:rsid w:val="001D78F3"/>
    <w:rsid w:val="001D79D0"/>
    <w:rsid w:val="001D7AC7"/>
    <w:rsid w:val="001E0BF1"/>
    <w:rsid w:val="001E1E28"/>
    <w:rsid w:val="001E2620"/>
    <w:rsid w:val="001E2B28"/>
    <w:rsid w:val="001E3D51"/>
    <w:rsid w:val="001E3D84"/>
    <w:rsid w:val="001E4147"/>
    <w:rsid w:val="001E4381"/>
    <w:rsid w:val="001E4CBA"/>
    <w:rsid w:val="001E548C"/>
    <w:rsid w:val="001E5B5B"/>
    <w:rsid w:val="001E5CBA"/>
    <w:rsid w:val="001E7019"/>
    <w:rsid w:val="001E7047"/>
    <w:rsid w:val="001E713F"/>
    <w:rsid w:val="001E71F0"/>
    <w:rsid w:val="001E71F9"/>
    <w:rsid w:val="001E725A"/>
    <w:rsid w:val="001E747D"/>
    <w:rsid w:val="001E76DA"/>
    <w:rsid w:val="001E7C3D"/>
    <w:rsid w:val="001E7F81"/>
    <w:rsid w:val="001F00DF"/>
    <w:rsid w:val="001F01E5"/>
    <w:rsid w:val="001F02E1"/>
    <w:rsid w:val="001F0951"/>
    <w:rsid w:val="001F1223"/>
    <w:rsid w:val="001F182A"/>
    <w:rsid w:val="001F1E8F"/>
    <w:rsid w:val="001F1FE2"/>
    <w:rsid w:val="001F2327"/>
    <w:rsid w:val="001F2B05"/>
    <w:rsid w:val="001F348E"/>
    <w:rsid w:val="001F4DA1"/>
    <w:rsid w:val="001F5268"/>
    <w:rsid w:val="001F553C"/>
    <w:rsid w:val="001F5E50"/>
    <w:rsid w:val="001F5EB4"/>
    <w:rsid w:val="001F6448"/>
    <w:rsid w:val="001F64D1"/>
    <w:rsid w:val="001F6BB0"/>
    <w:rsid w:val="001F6D5B"/>
    <w:rsid w:val="001F6FDB"/>
    <w:rsid w:val="001F73EB"/>
    <w:rsid w:val="001F7B59"/>
    <w:rsid w:val="00200260"/>
    <w:rsid w:val="002002CE"/>
    <w:rsid w:val="0020066F"/>
    <w:rsid w:val="0020107A"/>
    <w:rsid w:val="002011BD"/>
    <w:rsid w:val="0020135D"/>
    <w:rsid w:val="00201BA3"/>
    <w:rsid w:val="00201D77"/>
    <w:rsid w:val="00201FED"/>
    <w:rsid w:val="00202061"/>
    <w:rsid w:val="00202EAD"/>
    <w:rsid w:val="0020328F"/>
    <w:rsid w:val="00203A6F"/>
    <w:rsid w:val="00203D3B"/>
    <w:rsid w:val="00204511"/>
    <w:rsid w:val="002046F3"/>
    <w:rsid w:val="00204DE0"/>
    <w:rsid w:val="002056E7"/>
    <w:rsid w:val="0020621C"/>
    <w:rsid w:val="00206C2E"/>
    <w:rsid w:val="00206CDA"/>
    <w:rsid w:val="00206CDC"/>
    <w:rsid w:val="0020734D"/>
    <w:rsid w:val="00207BF8"/>
    <w:rsid w:val="00210018"/>
    <w:rsid w:val="0021001C"/>
    <w:rsid w:val="00211194"/>
    <w:rsid w:val="0021149E"/>
    <w:rsid w:val="00211816"/>
    <w:rsid w:val="00211C55"/>
    <w:rsid w:val="00212A4A"/>
    <w:rsid w:val="00212BA4"/>
    <w:rsid w:val="00212BDC"/>
    <w:rsid w:val="00212E42"/>
    <w:rsid w:val="0021340B"/>
    <w:rsid w:val="002139A2"/>
    <w:rsid w:val="00213B3D"/>
    <w:rsid w:val="002140F6"/>
    <w:rsid w:val="00214569"/>
    <w:rsid w:val="00215156"/>
    <w:rsid w:val="0021517D"/>
    <w:rsid w:val="002157BF"/>
    <w:rsid w:val="00216157"/>
    <w:rsid w:val="00217566"/>
    <w:rsid w:val="00217B1B"/>
    <w:rsid w:val="002204A9"/>
    <w:rsid w:val="00220D43"/>
    <w:rsid w:val="00220D69"/>
    <w:rsid w:val="002210F5"/>
    <w:rsid w:val="0022160D"/>
    <w:rsid w:val="00221B97"/>
    <w:rsid w:val="00221C99"/>
    <w:rsid w:val="00221D51"/>
    <w:rsid w:val="00222123"/>
    <w:rsid w:val="0022213A"/>
    <w:rsid w:val="002222A1"/>
    <w:rsid w:val="00222CF1"/>
    <w:rsid w:val="002236FC"/>
    <w:rsid w:val="00223BB9"/>
    <w:rsid w:val="00223C6C"/>
    <w:rsid w:val="00224EA9"/>
    <w:rsid w:val="00224F04"/>
    <w:rsid w:val="00225155"/>
    <w:rsid w:val="0022552E"/>
    <w:rsid w:val="002255BA"/>
    <w:rsid w:val="00225D42"/>
    <w:rsid w:val="00226AEF"/>
    <w:rsid w:val="00226D9D"/>
    <w:rsid w:val="00227776"/>
    <w:rsid w:val="00230096"/>
    <w:rsid w:val="002304EE"/>
    <w:rsid w:val="002308C7"/>
    <w:rsid w:val="00230CAD"/>
    <w:rsid w:val="00232158"/>
    <w:rsid w:val="0023253B"/>
    <w:rsid w:val="0023279B"/>
    <w:rsid w:val="002328F9"/>
    <w:rsid w:val="0023395B"/>
    <w:rsid w:val="00233CE3"/>
    <w:rsid w:val="00234285"/>
    <w:rsid w:val="002343BF"/>
    <w:rsid w:val="002344C1"/>
    <w:rsid w:val="00234556"/>
    <w:rsid w:val="00234634"/>
    <w:rsid w:val="0023535A"/>
    <w:rsid w:val="0023535F"/>
    <w:rsid w:val="002353E9"/>
    <w:rsid w:val="00235738"/>
    <w:rsid w:val="00235B29"/>
    <w:rsid w:val="00235D4C"/>
    <w:rsid w:val="002364A9"/>
    <w:rsid w:val="002366B7"/>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FC"/>
    <w:rsid w:val="00243797"/>
    <w:rsid w:val="002442D9"/>
    <w:rsid w:val="00244A11"/>
    <w:rsid w:val="00244BA7"/>
    <w:rsid w:val="00244CA2"/>
    <w:rsid w:val="0024506F"/>
    <w:rsid w:val="00245351"/>
    <w:rsid w:val="00245432"/>
    <w:rsid w:val="0024593F"/>
    <w:rsid w:val="00245B87"/>
    <w:rsid w:val="00245CC7"/>
    <w:rsid w:val="00246827"/>
    <w:rsid w:val="00246897"/>
    <w:rsid w:val="002468A3"/>
    <w:rsid w:val="00246C03"/>
    <w:rsid w:val="002476B6"/>
    <w:rsid w:val="00247E76"/>
    <w:rsid w:val="00247E8F"/>
    <w:rsid w:val="00250146"/>
    <w:rsid w:val="00250C0E"/>
    <w:rsid w:val="002510D5"/>
    <w:rsid w:val="00251572"/>
    <w:rsid w:val="0025173D"/>
    <w:rsid w:val="002523CF"/>
    <w:rsid w:val="0025280C"/>
    <w:rsid w:val="00252907"/>
    <w:rsid w:val="00252BB0"/>
    <w:rsid w:val="00253242"/>
    <w:rsid w:val="002537C5"/>
    <w:rsid w:val="00253A05"/>
    <w:rsid w:val="00253D3A"/>
    <w:rsid w:val="00254590"/>
    <w:rsid w:val="002549FC"/>
    <w:rsid w:val="00254B75"/>
    <w:rsid w:val="00254B8C"/>
    <w:rsid w:val="002551C8"/>
    <w:rsid w:val="0025529E"/>
    <w:rsid w:val="002556B1"/>
    <w:rsid w:val="00255B58"/>
    <w:rsid w:val="00255CF8"/>
    <w:rsid w:val="00255E00"/>
    <w:rsid w:val="00256044"/>
    <w:rsid w:val="0025663C"/>
    <w:rsid w:val="00256A50"/>
    <w:rsid w:val="00256D8B"/>
    <w:rsid w:val="00256FE1"/>
    <w:rsid w:val="00257178"/>
    <w:rsid w:val="00257B6B"/>
    <w:rsid w:val="00257D8A"/>
    <w:rsid w:val="00257F42"/>
    <w:rsid w:val="00257F96"/>
    <w:rsid w:val="0026064B"/>
    <w:rsid w:val="00260A2D"/>
    <w:rsid w:val="00260B38"/>
    <w:rsid w:val="002612B0"/>
    <w:rsid w:val="00261488"/>
    <w:rsid w:val="0026195C"/>
    <w:rsid w:val="00261BAD"/>
    <w:rsid w:val="00261DAC"/>
    <w:rsid w:val="002621B8"/>
    <w:rsid w:val="002621BD"/>
    <w:rsid w:val="0026222C"/>
    <w:rsid w:val="00262359"/>
    <w:rsid w:val="00262490"/>
    <w:rsid w:val="0026283B"/>
    <w:rsid w:val="00262969"/>
    <w:rsid w:val="002633D9"/>
    <w:rsid w:val="0026340E"/>
    <w:rsid w:val="0026362E"/>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EAC"/>
    <w:rsid w:val="00271A81"/>
    <w:rsid w:val="00271CD7"/>
    <w:rsid w:val="00271CF2"/>
    <w:rsid w:val="00271D81"/>
    <w:rsid w:val="0027213F"/>
    <w:rsid w:val="002722BD"/>
    <w:rsid w:val="0027267D"/>
    <w:rsid w:val="002727E6"/>
    <w:rsid w:val="00272D1C"/>
    <w:rsid w:val="00273058"/>
    <w:rsid w:val="002731B9"/>
    <w:rsid w:val="00273B8D"/>
    <w:rsid w:val="00273CF0"/>
    <w:rsid w:val="00273E72"/>
    <w:rsid w:val="0027402A"/>
    <w:rsid w:val="00274068"/>
    <w:rsid w:val="0027498E"/>
    <w:rsid w:val="00274EFE"/>
    <w:rsid w:val="00275B02"/>
    <w:rsid w:val="00275FBC"/>
    <w:rsid w:val="0027638B"/>
    <w:rsid w:val="0027686D"/>
    <w:rsid w:val="00276B43"/>
    <w:rsid w:val="00276DC0"/>
    <w:rsid w:val="00276FBF"/>
    <w:rsid w:val="0027773B"/>
    <w:rsid w:val="00277A63"/>
    <w:rsid w:val="00277BC9"/>
    <w:rsid w:val="00277D5C"/>
    <w:rsid w:val="00277F47"/>
    <w:rsid w:val="00280026"/>
    <w:rsid w:val="0028064F"/>
    <w:rsid w:val="00280F3D"/>
    <w:rsid w:val="002810D9"/>
    <w:rsid w:val="002814EE"/>
    <w:rsid w:val="00281830"/>
    <w:rsid w:val="0028195E"/>
    <w:rsid w:val="00281B57"/>
    <w:rsid w:val="00281D9E"/>
    <w:rsid w:val="00282593"/>
    <w:rsid w:val="002830F6"/>
    <w:rsid w:val="002836D4"/>
    <w:rsid w:val="002836ED"/>
    <w:rsid w:val="00283DD1"/>
    <w:rsid w:val="00283F64"/>
    <w:rsid w:val="00284442"/>
    <w:rsid w:val="00284CE8"/>
    <w:rsid w:val="00285482"/>
    <w:rsid w:val="00285886"/>
    <w:rsid w:val="00285A5E"/>
    <w:rsid w:val="00285F7B"/>
    <w:rsid w:val="002862A3"/>
    <w:rsid w:val="002864F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489"/>
    <w:rsid w:val="0029263E"/>
    <w:rsid w:val="00292A8E"/>
    <w:rsid w:val="00293198"/>
    <w:rsid w:val="002933A1"/>
    <w:rsid w:val="00293A66"/>
    <w:rsid w:val="00293B8B"/>
    <w:rsid w:val="0029450E"/>
    <w:rsid w:val="00294B1A"/>
    <w:rsid w:val="00294C0F"/>
    <w:rsid w:val="00294F77"/>
    <w:rsid w:val="0029551E"/>
    <w:rsid w:val="00295922"/>
    <w:rsid w:val="002962CB"/>
    <w:rsid w:val="0029691D"/>
    <w:rsid w:val="002977B4"/>
    <w:rsid w:val="00297A00"/>
    <w:rsid w:val="00297BFE"/>
    <w:rsid w:val="00297F8C"/>
    <w:rsid w:val="002A0113"/>
    <w:rsid w:val="002A03ED"/>
    <w:rsid w:val="002A040F"/>
    <w:rsid w:val="002A0BC9"/>
    <w:rsid w:val="002A190F"/>
    <w:rsid w:val="002A1B25"/>
    <w:rsid w:val="002A1B2A"/>
    <w:rsid w:val="002A2129"/>
    <w:rsid w:val="002A2FA2"/>
    <w:rsid w:val="002A3215"/>
    <w:rsid w:val="002A33F4"/>
    <w:rsid w:val="002A3796"/>
    <w:rsid w:val="002A38CF"/>
    <w:rsid w:val="002A3B3F"/>
    <w:rsid w:val="002A46F7"/>
    <w:rsid w:val="002A4859"/>
    <w:rsid w:val="002A4AB8"/>
    <w:rsid w:val="002A4F74"/>
    <w:rsid w:val="002A538D"/>
    <w:rsid w:val="002A5A02"/>
    <w:rsid w:val="002A5F01"/>
    <w:rsid w:val="002A5FBE"/>
    <w:rsid w:val="002A6CE6"/>
    <w:rsid w:val="002A7DBA"/>
    <w:rsid w:val="002A7E9B"/>
    <w:rsid w:val="002B0578"/>
    <w:rsid w:val="002B059A"/>
    <w:rsid w:val="002B059F"/>
    <w:rsid w:val="002B0668"/>
    <w:rsid w:val="002B1293"/>
    <w:rsid w:val="002B1AD6"/>
    <w:rsid w:val="002B1E1C"/>
    <w:rsid w:val="002B2183"/>
    <w:rsid w:val="002B2414"/>
    <w:rsid w:val="002B295F"/>
    <w:rsid w:val="002B2B16"/>
    <w:rsid w:val="002B3035"/>
    <w:rsid w:val="002B32DD"/>
    <w:rsid w:val="002B3968"/>
    <w:rsid w:val="002B4001"/>
    <w:rsid w:val="002B409B"/>
    <w:rsid w:val="002B40EA"/>
    <w:rsid w:val="002B4392"/>
    <w:rsid w:val="002B4A50"/>
    <w:rsid w:val="002B5562"/>
    <w:rsid w:val="002B56C3"/>
    <w:rsid w:val="002B595B"/>
    <w:rsid w:val="002B5AD5"/>
    <w:rsid w:val="002B5C5A"/>
    <w:rsid w:val="002B6038"/>
    <w:rsid w:val="002B61FF"/>
    <w:rsid w:val="002B6422"/>
    <w:rsid w:val="002B6ABA"/>
    <w:rsid w:val="002B71BA"/>
    <w:rsid w:val="002B742B"/>
    <w:rsid w:val="002B782F"/>
    <w:rsid w:val="002B7843"/>
    <w:rsid w:val="002B7B4D"/>
    <w:rsid w:val="002C0291"/>
    <w:rsid w:val="002C0625"/>
    <w:rsid w:val="002C0678"/>
    <w:rsid w:val="002C1252"/>
    <w:rsid w:val="002C15D5"/>
    <w:rsid w:val="002C171E"/>
    <w:rsid w:val="002C182C"/>
    <w:rsid w:val="002C1896"/>
    <w:rsid w:val="002C208E"/>
    <w:rsid w:val="002C2F67"/>
    <w:rsid w:val="002C3355"/>
    <w:rsid w:val="002C34A6"/>
    <w:rsid w:val="002C3609"/>
    <w:rsid w:val="002C3A60"/>
    <w:rsid w:val="002C3C63"/>
    <w:rsid w:val="002C45B6"/>
    <w:rsid w:val="002C4633"/>
    <w:rsid w:val="002C47A5"/>
    <w:rsid w:val="002C506F"/>
    <w:rsid w:val="002C51B6"/>
    <w:rsid w:val="002C5912"/>
    <w:rsid w:val="002C5970"/>
    <w:rsid w:val="002C5F03"/>
    <w:rsid w:val="002C6588"/>
    <w:rsid w:val="002C662D"/>
    <w:rsid w:val="002C6B2F"/>
    <w:rsid w:val="002C6BFB"/>
    <w:rsid w:val="002C78D8"/>
    <w:rsid w:val="002C7B61"/>
    <w:rsid w:val="002C7B6D"/>
    <w:rsid w:val="002C7C2B"/>
    <w:rsid w:val="002C7C42"/>
    <w:rsid w:val="002D00FA"/>
    <w:rsid w:val="002D049F"/>
    <w:rsid w:val="002D0987"/>
    <w:rsid w:val="002D0B7C"/>
    <w:rsid w:val="002D0D1A"/>
    <w:rsid w:val="002D0E54"/>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FE"/>
    <w:rsid w:val="002D4B1D"/>
    <w:rsid w:val="002D532D"/>
    <w:rsid w:val="002D5D7D"/>
    <w:rsid w:val="002D5FDF"/>
    <w:rsid w:val="002D607B"/>
    <w:rsid w:val="002D6582"/>
    <w:rsid w:val="002D65E2"/>
    <w:rsid w:val="002D6B7B"/>
    <w:rsid w:val="002D739A"/>
    <w:rsid w:val="002D73BD"/>
    <w:rsid w:val="002D76AB"/>
    <w:rsid w:val="002D786D"/>
    <w:rsid w:val="002E0020"/>
    <w:rsid w:val="002E0042"/>
    <w:rsid w:val="002E0188"/>
    <w:rsid w:val="002E0209"/>
    <w:rsid w:val="002E070F"/>
    <w:rsid w:val="002E0C55"/>
    <w:rsid w:val="002E0CBF"/>
    <w:rsid w:val="002E1230"/>
    <w:rsid w:val="002E1545"/>
    <w:rsid w:val="002E180A"/>
    <w:rsid w:val="002E1910"/>
    <w:rsid w:val="002E1EC7"/>
    <w:rsid w:val="002E2333"/>
    <w:rsid w:val="002E2433"/>
    <w:rsid w:val="002E28BA"/>
    <w:rsid w:val="002E361C"/>
    <w:rsid w:val="002E3943"/>
    <w:rsid w:val="002E3EAF"/>
    <w:rsid w:val="002E3F7C"/>
    <w:rsid w:val="002E4254"/>
    <w:rsid w:val="002E44C3"/>
    <w:rsid w:val="002E4691"/>
    <w:rsid w:val="002E4695"/>
    <w:rsid w:val="002E4F13"/>
    <w:rsid w:val="002E4FB7"/>
    <w:rsid w:val="002E5213"/>
    <w:rsid w:val="002E543D"/>
    <w:rsid w:val="002E577D"/>
    <w:rsid w:val="002E63EE"/>
    <w:rsid w:val="002E6712"/>
    <w:rsid w:val="002E6FDB"/>
    <w:rsid w:val="002F0C37"/>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556F"/>
    <w:rsid w:val="002F5678"/>
    <w:rsid w:val="002F5F3B"/>
    <w:rsid w:val="002F64E5"/>
    <w:rsid w:val="002F693C"/>
    <w:rsid w:val="002F69BB"/>
    <w:rsid w:val="002F6EC5"/>
    <w:rsid w:val="002F6FAD"/>
    <w:rsid w:val="002F797B"/>
    <w:rsid w:val="002F7A9E"/>
    <w:rsid w:val="002F7C6D"/>
    <w:rsid w:val="00300702"/>
    <w:rsid w:val="0030120B"/>
    <w:rsid w:val="003020F4"/>
    <w:rsid w:val="003023A1"/>
    <w:rsid w:val="003025C7"/>
    <w:rsid w:val="0030360F"/>
    <w:rsid w:val="00303790"/>
    <w:rsid w:val="00303984"/>
    <w:rsid w:val="00304161"/>
    <w:rsid w:val="003043A7"/>
    <w:rsid w:val="00304618"/>
    <w:rsid w:val="00304643"/>
    <w:rsid w:val="0030477F"/>
    <w:rsid w:val="003047D2"/>
    <w:rsid w:val="00304A73"/>
    <w:rsid w:val="00304AFB"/>
    <w:rsid w:val="00304DFD"/>
    <w:rsid w:val="00304FE5"/>
    <w:rsid w:val="003057F7"/>
    <w:rsid w:val="00305842"/>
    <w:rsid w:val="0030597C"/>
    <w:rsid w:val="003059A3"/>
    <w:rsid w:val="00305D69"/>
    <w:rsid w:val="003063A5"/>
    <w:rsid w:val="00306864"/>
    <w:rsid w:val="003069F9"/>
    <w:rsid w:val="00306C90"/>
    <w:rsid w:val="00307669"/>
    <w:rsid w:val="00307951"/>
    <w:rsid w:val="00307AEA"/>
    <w:rsid w:val="00307DB7"/>
    <w:rsid w:val="00307F99"/>
    <w:rsid w:val="00310040"/>
    <w:rsid w:val="00310208"/>
    <w:rsid w:val="00310371"/>
    <w:rsid w:val="0031042D"/>
    <w:rsid w:val="0031058F"/>
    <w:rsid w:val="0031089E"/>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70A7"/>
    <w:rsid w:val="003179E3"/>
    <w:rsid w:val="00317B6B"/>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E78"/>
    <w:rsid w:val="003250C3"/>
    <w:rsid w:val="00325246"/>
    <w:rsid w:val="003253A1"/>
    <w:rsid w:val="00325869"/>
    <w:rsid w:val="00325A8A"/>
    <w:rsid w:val="00325A8C"/>
    <w:rsid w:val="00325B90"/>
    <w:rsid w:val="00325D35"/>
    <w:rsid w:val="00326448"/>
    <w:rsid w:val="0032650F"/>
    <w:rsid w:val="0032662E"/>
    <w:rsid w:val="00326854"/>
    <w:rsid w:val="00326F42"/>
    <w:rsid w:val="00327220"/>
    <w:rsid w:val="003272AF"/>
    <w:rsid w:val="003275E4"/>
    <w:rsid w:val="003278A7"/>
    <w:rsid w:val="00327F0D"/>
    <w:rsid w:val="00330069"/>
    <w:rsid w:val="00330144"/>
    <w:rsid w:val="003302D8"/>
    <w:rsid w:val="0033032C"/>
    <w:rsid w:val="003304A1"/>
    <w:rsid w:val="00330999"/>
    <w:rsid w:val="00331316"/>
    <w:rsid w:val="0033133C"/>
    <w:rsid w:val="00331864"/>
    <w:rsid w:val="0033244F"/>
    <w:rsid w:val="00332C1D"/>
    <w:rsid w:val="00332EF9"/>
    <w:rsid w:val="00333005"/>
    <w:rsid w:val="00333597"/>
    <w:rsid w:val="00334500"/>
    <w:rsid w:val="00334E58"/>
    <w:rsid w:val="00335707"/>
    <w:rsid w:val="0033572F"/>
    <w:rsid w:val="00335F31"/>
    <w:rsid w:val="0033634D"/>
    <w:rsid w:val="003370E6"/>
    <w:rsid w:val="00337740"/>
    <w:rsid w:val="00337743"/>
    <w:rsid w:val="00337E16"/>
    <w:rsid w:val="00340E66"/>
    <w:rsid w:val="00340F10"/>
    <w:rsid w:val="00341092"/>
    <w:rsid w:val="00341469"/>
    <w:rsid w:val="00341C89"/>
    <w:rsid w:val="00341D56"/>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63B5"/>
    <w:rsid w:val="0034659F"/>
    <w:rsid w:val="0034675B"/>
    <w:rsid w:val="00347465"/>
    <w:rsid w:val="0034796E"/>
    <w:rsid w:val="00347B56"/>
    <w:rsid w:val="00347E1A"/>
    <w:rsid w:val="00347FA9"/>
    <w:rsid w:val="003506E7"/>
    <w:rsid w:val="0035080A"/>
    <w:rsid w:val="00350A54"/>
    <w:rsid w:val="00350BE7"/>
    <w:rsid w:val="00350C4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57D3"/>
    <w:rsid w:val="00355828"/>
    <w:rsid w:val="00355872"/>
    <w:rsid w:val="00355C09"/>
    <w:rsid w:val="003561EE"/>
    <w:rsid w:val="00356418"/>
    <w:rsid w:val="00356D90"/>
    <w:rsid w:val="00356E38"/>
    <w:rsid w:val="0035721C"/>
    <w:rsid w:val="003576DA"/>
    <w:rsid w:val="00357CBE"/>
    <w:rsid w:val="00357D66"/>
    <w:rsid w:val="0036046F"/>
    <w:rsid w:val="003609A7"/>
    <w:rsid w:val="00360C13"/>
    <w:rsid w:val="00361427"/>
    <w:rsid w:val="00361487"/>
    <w:rsid w:val="00361661"/>
    <w:rsid w:val="0036199D"/>
    <w:rsid w:val="00362905"/>
    <w:rsid w:val="003629D8"/>
    <w:rsid w:val="00363230"/>
    <w:rsid w:val="003644B2"/>
    <w:rsid w:val="00364B80"/>
    <w:rsid w:val="00364D53"/>
    <w:rsid w:val="00364FD8"/>
    <w:rsid w:val="003654A7"/>
    <w:rsid w:val="00365669"/>
    <w:rsid w:val="0036610E"/>
    <w:rsid w:val="00366735"/>
    <w:rsid w:val="0036674E"/>
    <w:rsid w:val="0036675B"/>
    <w:rsid w:val="00366EBB"/>
    <w:rsid w:val="0036772F"/>
    <w:rsid w:val="00367BD2"/>
    <w:rsid w:val="00370A1C"/>
    <w:rsid w:val="00370AD3"/>
    <w:rsid w:val="00370BC7"/>
    <w:rsid w:val="00371059"/>
    <w:rsid w:val="003715D6"/>
    <w:rsid w:val="003717C6"/>
    <w:rsid w:val="00371822"/>
    <w:rsid w:val="003719DE"/>
    <w:rsid w:val="00371A15"/>
    <w:rsid w:val="00371A33"/>
    <w:rsid w:val="00371F8F"/>
    <w:rsid w:val="00372E83"/>
    <w:rsid w:val="0037314C"/>
    <w:rsid w:val="003731C2"/>
    <w:rsid w:val="00373747"/>
    <w:rsid w:val="00373860"/>
    <w:rsid w:val="00373DBC"/>
    <w:rsid w:val="00374226"/>
    <w:rsid w:val="00374B8C"/>
    <w:rsid w:val="00375080"/>
    <w:rsid w:val="00375772"/>
    <w:rsid w:val="0037593A"/>
    <w:rsid w:val="00376575"/>
    <w:rsid w:val="003766A1"/>
    <w:rsid w:val="0037696B"/>
    <w:rsid w:val="00376B8B"/>
    <w:rsid w:val="00376C51"/>
    <w:rsid w:val="00376CE2"/>
    <w:rsid w:val="00376D6D"/>
    <w:rsid w:val="00377407"/>
    <w:rsid w:val="003775AA"/>
    <w:rsid w:val="00380026"/>
    <w:rsid w:val="0038073F"/>
    <w:rsid w:val="0038081D"/>
    <w:rsid w:val="003808DB"/>
    <w:rsid w:val="00380993"/>
    <w:rsid w:val="00381332"/>
    <w:rsid w:val="00381780"/>
    <w:rsid w:val="00381B26"/>
    <w:rsid w:val="00381FDA"/>
    <w:rsid w:val="003820FF"/>
    <w:rsid w:val="003824E4"/>
    <w:rsid w:val="00382610"/>
    <w:rsid w:val="003827AA"/>
    <w:rsid w:val="00382B1B"/>
    <w:rsid w:val="0038351E"/>
    <w:rsid w:val="0038370D"/>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C17"/>
    <w:rsid w:val="00387CA6"/>
    <w:rsid w:val="00387CBD"/>
    <w:rsid w:val="003900C7"/>
    <w:rsid w:val="00390154"/>
    <w:rsid w:val="0039039F"/>
    <w:rsid w:val="00390480"/>
    <w:rsid w:val="00390ED6"/>
    <w:rsid w:val="00391955"/>
    <w:rsid w:val="00391B5C"/>
    <w:rsid w:val="00392509"/>
    <w:rsid w:val="003925E5"/>
    <w:rsid w:val="00392CD3"/>
    <w:rsid w:val="00392EB9"/>
    <w:rsid w:val="003931DD"/>
    <w:rsid w:val="003933B2"/>
    <w:rsid w:val="003933F3"/>
    <w:rsid w:val="00393865"/>
    <w:rsid w:val="00393C76"/>
    <w:rsid w:val="00393FCC"/>
    <w:rsid w:val="003943E5"/>
    <w:rsid w:val="00394793"/>
    <w:rsid w:val="003947BD"/>
    <w:rsid w:val="00394A7E"/>
    <w:rsid w:val="00394BEA"/>
    <w:rsid w:val="00394D47"/>
    <w:rsid w:val="003955E6"/>
    <w:rsid w:val="00395950"/>
    <w:rsid w:val="00396FE3"/>
    <w:rsid w:val="0039763E"/>
    <w:rsid w:val="0039797F"/>
    <w:rsid w:val="00397D8E"/>
    <w:rsid w:val="003A008A"/>
    <w:rsid w:val="003A08E5"/>
    <w:rsid w:val="003A105C"/>
    <w:rsid w:val="003A19D7"/>
    <w:rsid w:val="003A1E70"/>
    <w:rsid w:val="003A21CC"/>
    <w:rsid w:val="003A2222"/>
    <w:rsid w:val="003A233D"/>
    <w:rsid w:val="003A289A"/>
    <w:rsid w:val="003A2AE0"/>
    <w:rsid w:val="003A3262"/>
    <w:rsid w:val="003A39F5"/>
    <w:rsid w:val="003A434B"/>
    <w:rsid w:val="003A4371"/>
    <w:rsid w:val="003A4F18"/>
    <w:rsid w:val="003A5479"/>
    <w:rsid w:val="003A5C1B"/>
    <w:rsid w:val="003A5F8F"/>
    <w:rsid w:val="003A60B9"/>
    <w:rsid w:val="003A6665"/>
    <w:rsid w:val="003A6CF4"/>
    <w:rsid w:val="003A7971"/>
    <w:rsid w:val="003A7C7F"/>
    <w:rsid w:val="003A7FDB"/>
    <w:rsid w:val="003B0162"/>
    <w:rsid w:val="003B023B"/>
    <w:rsid w:val="003B0304"/>
    <w:rsid w:val="003B043F"/>
    <w:rsid w:val="003B09C9"/>
    <w:rsid w:val="003B155C"/>
    <w:rsid w:val="003B16DB"/>
    <w:rsid w:val="003B1E19"/>
    <w:rsid w:val="003B20B4"/>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5A7E"/>
    <w:rsid w:val="003B62EA"/>
    <w:rsid w:val="003B6508"/>
    <w:rsid w:val="003B6CDF"/>
    <w:rsid w:val="003B79D6"/>
    <w:rsid w:val="003B7CC1"/>
    <w:rsid w:val="003C00C3"/>
    <w:rsid w:val="003C0338"/>
    <w:rsid w:val="003C04DA"/>
    <w:rsid w:val="003C0DAF"/>
    <w:rsid w:val="003C10B2"/>
    <w:rsid w:val="003C11E9"/>
    <w:rsid w:val="003C123E"/>
    <w:rsid w:val="003C179A"/>
    <w:rsid w:val="003C1911"/>
    <w:rsid w:val="003C1B4F"/>
    <w:rsid w:val="003C1C96"/>
    <w:rsid w:val="003C1CD8"/>
    <w:rsid w:val="003C2288"/>
    <w:rsid w:val="003C2B48"/>
    <w:rsid w:val="003C2C98"/>
    <w:rsid w:val="003C31E0"/>
    <w:rsid w:val="003C331C"/>
    <w:rsid w:val="003C3336"/>
    <w:rsid w:val="003C39E6"/>
    <w:rsid w:val="003C3A11"/>
    <w:rsid w:val="003C3E2C"/>
    <w:rsid w:val="003C40A3"/>
    <w:rsid w:val="003C43EB"/>
    <w:rsid w:val="003C46AE"/>
    <w:rsid w:val="003C4AFE"/>
    <w:rsid w:val="003C5187"/>
    <w:rsid w:val="003C526E"/>
    <w:rsid w:val="003C64B0"/>
    <w:rsid w:val="003C6957"/>
    <w:rsid w:val="003C6CF0"/>
    <w:rsid w:val="003C6DEB"/>
    <w:rsid w:val="003C6EFC"/>
    <w:rsid w:val="003C73CA"/>
    <w:rsid w:val="003C748D"/>
    <w:rsid w:val="003C7585"/>
    <w:rsid w:val="003C7734"/>
    <w:rsid w:val="003C7A5C"/>
    <w:rsid w:val="003C7A6B"/>
    <w:rsid w:val="003D0153"/>
    <w:rsid w:val="003D0526"/>
    <w:rsid w:val="003D095D"/>
    <w:rsid w:val="003D0AAF"/>
    <w:rsid w:val="003D17E0"/>
    <w:rsid w:val="003D17F1"/>
    <w:rsid w:val="003D198F"/>
    <w:rsid w:val="003D201E"/>
    <w:rsid w:val="003D2665"/>
    <w:rsid w:val="003D314A"/>
    <w:rsid w:val="003D331D"/>
    <w:rsid w:val="003D3574"/>
    <w:rsid w:val="003D3857"/>
    <w:rsid w:val="003D3A0C"/>
    <w:rsid w:val="003D4149"/>
    <w:rsid w:val="003D4AA0"/>
    <w:rsid w:val="003D660C"/>
    <w:rsid w:val="003D73BD"/>
    <w:rsid w:val="003D7CCE"/>
    <w:rsid w:val="003E040C"/>
    <w:rsid w:val="003E0864"/>
    <w:rsid w:val="003E099A"/>
    <w:rsid w:val="003E0BAC"/>
    <w:rsid w:val="003E0D8C"/>
    <w:rsid w:val="003E0DCE"/>
    <w:rsid w:val="003E154A"/>
    <w:rsid w:val="003E15A3"/>
    <w:rsid w:val="003E19C7"/>
    <w:rsid w:val="003E1B68"/>
    <w:rsid w:val="003E21AD"/>
    <w:rsid w:val="003E21C8"/>
    <w:rsid w:val="003E2417"/>
    <w:rsid w:val="003E2594"/>
    <w:rsid w:val="003E2601"/>
    <w:rsid w:val="003E2E52"/>
    <w:rsid w:val="003E3D77"/>
    <w:rsid w:val="003E4100"/>
    <w:rsid w:val="003E4408"/>
    <w:rsid w:val="003E5242"/>
    <w:rsid w:val="003E5930"/>
    <w:rsid w:val="003E5FC5"/>
    <w:rsid w:val="003E63A2"/>
    <w:rsid w:val="003E65D7"/>
    <w:rsid w:val="003E7465"/>
    <w:rsid w:val="003E7483"/>
    <w:rsid w:val="003F0515"/>
    <w:rsid w:val="003F057F"/>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4000C9"/>
    <w:rsid w:val="0040048C"/>
    <w:rsid w:val="00400533"/>
    <w:rsid w:val="00400C90"/>
    <w:rsid w:val="00400F7F"/>
    <w:rsid w:val="00401930"/>
    <w:rsid w:val="00401ABD"/>
    <w:rsid w:val="00401B73"/>
    <w:rsid w:val="004023F7"/>
    <w:rsid w:val="00402C93"/>
    <w:rsid w:val="00402CED"/>
    <w:rsid w:val="0040363C"/>
    <w:rsid w:val="004036AF"/>
    <w:rsid w:val="00403A0F"/>
    <w:rsid w:val="00403BE7"/>
    <w:rsid w:val="0040424B"/>
    <w:rsid w:val="0040434E"/>
    <w:rsid w:val="004045DC"/>
    <w:rsid w:val="004048E5"/>
    <w:rsid w:val="00404D1E"/>
    <w:rsid w:val="00405316"/>
    <w:rsid w:val="004057B0"/>
    <w:rsid w:val="00405876"/>
    <w:rsid w:val="004065C0"/>
    <w:rsid w:val="00406623"/>
    <w:rsid w:val="00410ED3"/>
    <w:rsid w:val="00411268"/>
    <w:rsid w:val="0041153E"/>
    <w:rsid w:val="004117A3"/>
    <w:rsid w:val="00411E35"/>
    <w:rsid w:val="00412149"/>
    <w:rsid w:val="00412488"/>
    <w:rsid w:val="004127C7"/>
    <w:rsid w:val="00412B7F"/>
    <w:rsid w:val="00412C6F"/>
    <w:rsid w:val="00412CEF"/>
    <w:rsid w:val="004141A8"/>
    <w:rsid w:val="004142D6"/>
    <w:rsid w:val="004145D9"/>
    <w:rsid w:val="00414D86"/>
    <w:rsid w:val="00414E59"/>
    <w:rsid w:val="00415A4B"/>
    <w:rsid w:val="00415F33"/>
    <w:rsid w:val="00415F59"/>
    <w:rsid w:val="00416404"/>
    <w:rsid w:val="004165B8"/>
    <w:rsid w:val="004169D8"/>
    <w:rsid w:val="00416AE2"/>
    <w:rsid w:val="00417048"/>
    <w:rsid w:val="00417956"/>
    <w:rsid w:val="00420098"/>
    <w:rsid w:val="004201AF"/>
    <w:rsid w:val="004202C4"/>
    <w:rsid w:val="00420B07"/>
    <w:rsid w:val="00420C22"/>
    <w:rsid w:val="00420DF0"/>
    <w:rsid w:val="004213F9"/>
    <w:rsid w:val="004214FF"/>
    <w:rsid w:val="004217F1"/>
    <w:rsid w:val="00421A79"/>
    <w:rsid w:val="00421E70"/>
    <w:rsid w:val="004224E7"/>
    <w:rsid w:val="004229FE"/>
    <w:rsid w:val="00422BF5"/>
    <w:rsid w:val="0042327F"/>
    <w:rsid w:val="00423B76"/>
    <w:rsid w:val="00423F07"/>
    <w:rsid w:val="00424303"/>
    <w:rsid w:val="004243AB"/>
    <w:rsid w:val="00424835"/>
    <w:rsid w:val="00425431"/>
    <w:rsid w:val="004254F2"/>
    <w:rsid w:val="004257A8"/>
    <w:rsid w:val="00425D34"/>
    <w:rsid w:val="00425FF9"/>
    <w:rsid w:val="00426328"/>
    <w:rsid w:val="004266DC"/>
    <w:rsid w:val="0042677E"/>
    <w:rsid w:val="0042706F"/>
    <w:rsid w:val="004279A3"/>
    <w:rsid w:val="004279C7"/>
    <w:rsid w:val="00427B3B"/>
    <w:rsid w:val="00427C8C"/>
    <w:rsid w:val="00427D4C"/>
    <w:rsid w:val="00427EBF"/>
    <w:rsid w:val="0043004B"/>
    <w:rsid w:val="0043072D"/>
    <w:rsid w:val="00430832"/>
    <w:rsid w:val="00431085"/>
    <w:rsid w:val="004313B0"/>
    <w:rsid w:val="004314AB"/>
    <w:rsid w:val="0043152E"/>
    <w:rsid w:val="00431AA2"/>
    <w:rsid w:val="00432278"/>
    <w:rsid w:val="00432CD9"/>
    <w:rsid w:val="00432FAF"/>
    <w:rsid w:val="00434EDF"/>
    <w:rsid w:val="00435149"/>
    <w:rsid w:val="00435269"/>
    <w:rsid w:val="00435769"/>
    <w:rsid w:val="00435805"/>
    <w:rsid w:val="00435EC1"/>
    <w:rsid w:val="004362AB"/>
    <w:rsid w:val="004367E0"/>
    <w:rsid w:val="00437337"/>
    <w:rsid w:val="0043763C"/>
    <w:rsid w:val="00437F4F"/>
    <w:rsid w:val="00440126"/>
    <w:rsid w:val="0044047F"/>
    <w:rsid w:val="004404CD"/>
    <w:rsid w:val="0044060D"/>
    <w:rsid w:val="00440C8D"/>
    <w:rsid w:val="00440FDD"/>
    <w:rsid w:val="00441101"/>
    <w:rsid w:val="00441261"/>
    <w:rsid w:val="004415E8"/>
    <w:rsid w:val="004415FB"/>
    <w:rsid w:val="00441CE3"/>
    <w:rsid w:val="00441D69"/>
    <w:rsid w:val="004421F5"/>
    <w:rsid w:val="004425E2"/>
    <w:rsid w:val="00442838"/>
    <w:rsid w:val="0044284D"/>
    <w:rsid w:val="00442E88"/>
    <w:rsid w:val="00443050"/>
    <w:rsid w:val="0044336F"/>
    <w:rsid w:val="004438B7"/>
    <w:rsid w:val="0044417A"/>
    <w:rsid w:val="0044434A"/>
    <w:rsid w:val="0044437F"/>
    <w:rsid w:val="004446ED"/>
    <w:rsid w:val="004452BC"/>
    <w:rsid w:val="004453D0"/>
    <w:rsid w:val="004459D3"/>
    <w:rsid w:val="00445A25"/>
    <w:rsid w:val="00445AC4"/>
    <w:rsid w:val="00445C7A"/>
    <w:rsid w:val="00445E76"/>
    <w:rsid w:val="0044620A"/>
    <w:rsid w:val="0044655B"/>
    <w:rsid w:val="00446606"/>
    <w:rsid w:val="004471BC"/>
    <w:rsid w:val="00447217"/>
    <w:rsid w:val="00447508"/>
    <w:rsid w:val="004477E9"/>
    <w:rsid w:val="00447B50"/>
    <w:rsid w:val="004501F3"/>
    <w:rsid w:val="00450515"/>
    <w:rsid w:val="00450AD8"/>
    <w:rsid w:val="00450F0D"/>
    <w:rsid w:val="00451450"/>
    <w:rsid w:val="00451471"/>
    <w:rsid w:val="00451B50"/>
    <w:rsid w:val="0045211C"/>
    <w:rsid w:val="00452756"/>
    <w:rsid w:val="00452C60"/>
    <w:rsid w:val="00452DBE"/>
    <w:rsid w:val="00452DFE"/>
    <w:rsid w:val="004530CC"/>
    <w:rsid w:val="00453294"/>
    <w:rsid w:val="0045343E"/>
    <w:rsid w:val="00453626"/>
    <w:rsid w:val="00453704"/>
    <w:rsid w:val="00453FC2"/>
    <w:rsid w:val="0045404D"/>
    <w:rsid w:val="004544ED"/>
    <w:rsid w:val="00454D9A"/>
    <w:rsid w:val="0045665B"/>
    <w:rsid w:val="00456C61"/>
    <w:rsid w:val="00457013"/>
    <w:rsid w:val="004571D3"/>
    <w:rsid w:val="004573D3"/>
    <w:rsid w:val="004578EA"/>
    <w:rsid w:val="00457AAC"/>
    <w:rsid w:val="00457F93"/>
    <w:rsid w:val="00460326"/>
    <w:rsid w:val="00460547"/>
    <w:rsid w:val="00460682"/>
    <w:rsid w:val="00460A4F"/>
    <w:rsid w:val="00460B6C"/>
    <w:rsid w:val="00460E6C"/>
    <w:rsid w:val="00460F1B"/>
    <w:rsid w:val="0046113E"/>
    <w:rsid w:val="004617A9"/>
    <w:rsid w:val="00461B70"/>
    <w:rsid w:val="00462285"/>
    <w:rsid w:val="0046258E"/>
    <w:rsid w:val="0046291A"/>
    <w:rsid w:val="00462932"/>
    <w:rsid w:val="00462CEB"/>
    <w:rsid w:val="00462DCA"/>
    <w:rsid w:val="00462EA8"/>
    <w:rsid w:val="0046384E"/>
    <w:rsid w:val="00464C2B"/>
    <w:rsid w:val="00464CF4"/>
    <w:rsid w:val="00465562"/>
    <w:rsid w:val="00465C8E"/>
    <w:rsid w:val="00465DFD"/>
    <w:rsid w:val="004663C3"/>
    <w:rsid w:val="004666C7"/>
    <w:rsid w:val="00466E73"/>
    <w:rsid w:val="00466F69"/>
    <w:rsid w:val="0046706B"/>
    <w:rsid w:val="00467815"/>
    <w:rsid w:val="00467916"/>
    <w:rsid w:val="00467D9B"/>
    <w:rsid w:val="004703CF"/>
    <w:rsid w:val="004709A0"/>
    <w:rsid w:val="00470D19"/>
    <w:rsid w:val="00471284"/>
    <w:rsid w:val="004712D4"/>
    <w:rsid w:val="00472BF3"/>
    <w:rsid w:val="00472FB0"/>
    <w:rsid w:val="00473696"/>
    <w:rsid w:val="00473721"/>
    <w:rsid w:val="00473A4B"/>
    <w:rsid w:val="004741FD"/>
    <w:rsid w:val="004747C0"/>
    <w:rsid w:val="004748DC"/>
    <w:rsid w:val="0047491E"/>
    <w:rsid w:val="00474986"/>
    <w:rsid w:val="00474A6A"/>
    <w:rsid w:val="00474EF0"/>
    <w:rsid w:val="00475233"/>
    <w:rsid w:val="00475CA4"/>
    <w:rsid w:val="0047608F"/>
    <w:rsid w:val="0047658E"/>
    <w:rsid w:val="00477413"/>
    <w:rsid w:val="00477496"/>
    <w:rsid w:val="00477716"/>
    <w:rsid w:val="00477863"/>
    <w:rsid w:val="00477BFC"/>
    <w:rsid w:val="00477D8A"/>
    <w:rsid w:val="00477DE9"/>
    <w:rsid w:val="00477F47"/>
    <w:rsid w:val="00480439"/>
    <w:rsid w:val="00480618"/>
    <w:rsid w:val="0048086E"/>
    <w:rsid w:val="00480E9A"/>
    <w:rsid w:val="00480F71"/>
    <w:rsid w:val="0048213A"/>
    <w:rsid w:val="00482764"/>
    <w:rsid w:val="0048278B"/>
    <w:rsid w:val="0048285F"/>
    <w:rsid w:val="00482D16"/>
    <w:rsid w:val="00482E4C"/>
    <w:rsid w:val="00482E4F"/>
    <w:rsid w:val="004831CC"/>
    <w:rsid w:val="00483553"/>
    <w:rsid w:val="004836D8"/>
    <w:rsid w:val="004837C6"/>
    <w:rsid w:val="00483998"/>
    <w:rsid w:val="00483FC1"/>
    <w:rsid w:val="00484250"/>
    <w:rsid w:val="00484652"/>
    <w:rsid w:val="004848A8"/>
    <w:rsid w:val="00484CB7"/>
    <w:rsid w:val="00484E4C"/>
    <w:rsid w:val="00485154"/>
    <w:rsid w:val="004851F3"/>
    <w:rsid w:val="004854A3"/>
    <w:rsid w:val="004862BE"/>
    <w:rsid w:val="00486ABE"/>
    <w:rsid w:val="00486EF1"/>
    <w:rsid w:val="00486F3A"/>
    <w:rsid w:val="00487033"/>
    <w:rsid w:val="004873C2"/>
    <w:rsid w:val="004878ED"/>
    <w:rsid w:val="00487B7C"/>
    <w:rsid w:val="0049004B"/>
    <w:rsid w:val="004908E5"/>
    <w:rsid w:val="00490C52"/>
    <w:rsid w:val="00491039"/>
    <w:rsid w:val="00491438"/>
    <w:rsid w:val="00491AE6"/>
    <w:rsid w:val="00491B1C"/>
    <w:rsid w:val="004923BD"/>
    <w:rsid w:val="00492E3F"/>
    <w:rsid w:val="004930B3"/>
    <w:rsid w:val="00493F5C"/>
    <w:rsid w:val="0049412A"/>
    <w:rsid w:val="00494269"/>
    <w:rsid w:val="004945E3"/>
    <w:rsid w:val="0049469C"/>
    <w:rsid w:val="00494D66"/>
    <w:rsid w:val="00494EB3"/>
    <w:rsid w:val="0049560D"/>
    <w:rsid w:val="00495DB3"/>
    <w:rsid w:val="00495F43"/>
    <w:rsid w:val="00497F5E"/>
    <w:rsid w:val="004A00B0"/>
    <w:rsid w:val="004A16BB"/>
    <w:rsid w:val="004A171B"/>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67A5"/>
    <w:rsid w:val="004A69D0"/>
    <w:rsid w:val="004A75D0"/>
    <w:rsid w:val="004A7912"/>
    <w:rsid w:val="004A7BA8"/>
    <w:rsid w:val="004A7C53"/>
    <w:rsid w:val="004B0194"/>
    <w:rsid w:val="004B0271"/>
    <w:rsid w:val="004B089F"/>
    <w:rsid w:val="004B0B94"/>
    <w:rsid w:val="004B1113"/>
    <w:rsid w:val="004B1248"/>
    <w:rsid w:val="004B176A"/>
    <w:rsid w:val="004B1DC3"/>
    <w:rsid w:val="004B1E80"/>
    <w:rsid w:val="004B2835"/>
    <w:rsid w:val="004B28C5"/>
    <w:rsid w:val="004B326B"/>
    <w:rsid w:val="004B32F8"/>
    <w:rsid w:val="004B36AE"/>
    <w:rsid w:val="004B3FAE"/>
    <w:rsid w:val="004B4672"/>
    <w:rsid w:val="004B4766"/>
    <w:rsid w:val="004B5819"/>
    <w:rsid w:val="004B58F5"/>
    <w:rsid w:val="004B5E52"/>
    <w:rsid w:val="004B605A"/>
    <w:rsid w:val="004B6663"/>
    <w:rsid w:val="004B67A4"/>
    <w:rsid w:val="004B6A3D"/>
    <w:rsid w:val="004B7414"/>
    <w:rsid w:val="004B74AD"/>
    <w:rsid w:val="004B7FE2"/>
    <w:rsid w:val="004C07BD"/>
    <w:rsid w:val="004C0EF4"/>
    <w:rsid w:val="004C109F"/>
    <w:rsid w:val="004C14B1"/>
    <w:rsid w:val="004C289A"/>
    <w:rsid w:val="004C2ADF"/>
    <w:rsid w:val="004C31BF"/>
    <w:rsid w:val="004C3427"/>
    <w:rsid w:val="004C4453"/>
    <w:rsid w:val="004C4A77"/>
    <w:rsid w:val="004C4D53"/>
    <w:rsid w:val="004C5692"/>
    <w:rsid w:val="004C5A50"/>
    <w:rsid w:val="004C60F8"/>
    <w:rsid w:val="004C6173"/>
    <w:rsid w:val="004C61A3"/>
    <w:rsid w:val="004C6E03"/>
    <w:rsid w:val="004C6F47"/>
    <w:rsid w:val="004C780C"/>
    <w:rsid w:val="004C7AA2"/>
    <w:rsid w:val="004D03BA"/>
    <w:rsid w:val="004D0A75"/>
    <w:rsid w:val="004D0F17"/>
    <w:rsid w:val="004D0FAE"/>
    <w:rsid w:val="004D118A"/>
    <w:rsid w:val="004D20F4"/>
    <w:rsid w:val="004D2E74"/>
    <w:rsid w:val="004D301C"/>
    <w:rsid w:val="004D3100"/>
    <w:rsid w:val="004D32EE"/>
    <w:rsid w:val="004D3441"/>
    <w:rsid w:val="004D349D"/>
    <w:rsid w:val="004D357C"/>
    <w:rsid w:val="004D3E0B"/>
    <w:rsid w:val="004D42B9"/>
    <w:rsid w:val="004D42DD"/>
    <w:rsid w:val="004D45C8"/>
    <w:rsid w:val="004D4ED8"/>
    <w:rsid w:val="004D543D"/>
    <w:rsid w:val="004D5A3C"/>
    <w:rsid w:val="004D613A"/>
    <w:rsid w:val="004D63B2"/>
    <w:rsid w:val="004D63C2"/>
    <w:rsid w:val="004D6A38"/>
    <w:rsid w:val="004D6C65"/>
    <w:rsid w:val="004D6E8C"/>
    <w:rsid w:val="004D708E"/>
    <w:rsid w:val="004D760C"/>
    <w:rsid w:val="004D7C62"/>
    <w:rsid w:val="004D7C91"/>
    <w:rsid w:val="004D7D45"/>
    <w:rsid w:val="004E01D4"/>
    <w:rsid w:val="004E0F37"/>
    <w:rsid w:val="004E14AB"/>
    <w:rsid w:val="004E1622"/>
    <w:rsid w:val="004E1E98"/>
    <w:rsid w:val="004E22F6"/>
    <w:rsid w:val="004E26E4"/>
    <w:rsid w:val="004E357A"/>
    <w:rsid w:val="004E3800"/>
    <w:rsid w:val="004E3861"/>
    <w:rsid w:val="004E5000"/>
    <w:rsid w:val="004E5251"/>
    <w:rsid w:val="004E530F"/>
    <w:rsid w:val="004E5331"/>
    <w:rsid w:val="004E5599"/>
    <w:rsid w:val="004E55D4"/>
    <w:rsid w:val="004E586B"/>
    <w:rsid w:val="004E5A83"/>
    <w:rsid w:val="004E5CB8"/>
    <w:rsid w:val="004E65EB"/>
    <w:rsid w:val="004E67F2"/>
    <w:rsid w:val="004E7114"/>
    <w:rsid w:val="004E722D"/>
    <w:rsid w:val="004E7341"/>
    <w:rsid w:val="004E7E7E"/>
    <w:rsid w:val="004F0244"/>
    <w:rsid w:val="004F0772"/>
    <w:rsid w:val="004F09A1"/>
    <w:rsid w:val="004F0A27"/>
    <w:rsid w:val="004F0A45"/>
    <w:rsid w:val="004F19B6"/>
    <w:rsid w:val="004F23B6"/>
    <w:rsid w:val="004F26FA"/>
    <w:rsid w:val="004F282C"/>
    <w:rsid w:val="004F2903"/>
    <w:rsid w:val="004F3035"/>
    <w:rsid w:val="004F368A"/>
    <w:rsid w:val="004F379F"/>
    <w:rsid w:val="004F3D4A"/>
    <w:rsid w:val="004F3E0F"/>
    <w:rsid w:val="004F401E"/>
    <w:rsid w:val="004F43AB"/>
    <w:rsid w:val="004F50EE"/>
    <w:rsid w:val="004F5614"/>
    <w:rsid w:val="004F58BE"/>
    <w:rsid w:val="004F712C"/>
    <w:rsid w:val="004F7174"/>
    <w:rsid w:val="004F7AF1"/>
    <w:rsid w:val="004F7E98"/>
    <w:rsid w:val="005005C8"/>
    <w:rsid w:val="00500DD0"/>
    <w:rsid w:val="00500EDC"/>
    <w:rsid w:val="00500F5E"/>
    <w:rsid w:val="005010BA"/>
    <w:rsid w:val="005010F0"/>
    <w:rsid w:val="005012AA"/>
    <w:rsid w:val="005012CF"/>
    <w:rsid w:val="005013A1"/>
    <w:rsid w:val="00501E11"/>
    <w:rsid w:val="00501F11"/>
    <w:rsid w:val="00502352"/>
    <w:rsid w:val="0050278D"/>
    <w:rsid w:val="00502A36"/>
    <w:rsid w:val="00502C10"/>
    <w:rsid w:val="0050309D"/>
    <w:rsid w:val="005032E5"/>
    <w:rsid w:val="00503326"/>
    <w:rsid w:val="0050355D"/>
    <w:rsid w:val="00503812"/>
    <w:rsid w:val="00503B43"/>
    <w:rsid w:val="00504188"/>
    <w:rsid w:val="00504345"/>
    <w:rsid w:val="00504560"/>
    <w:rsid w:val="00504655"/>
    <w:rsid w:val="00504A31"/>
    <w:rsid w:val="00504D3B"/>
    <w:rsid w:val="00504F8B"/>
    <w:rsid w:val="005055B5"/>
    <w:rsid w:val="00505C75"/>
    <w:rsid w:val="005063A0"/>
    <w:rsid w:val="005063D2"/>
    <w:rsid w:val="00506619"/>
    <w:rsid w:val="0050690E"/>
    <w:rsid w:val="00507A54"/>
    <w:rsid w:val="00507E53"/>
    <w:rsid w:val="00510257"/>
    <w:rsid w:val="00510D1D"/>
    <w:rsid w:val="00510E99"/>
    <w:rsid w:val="00511033"/>
    <w:rsid w:val="00511104"/>
    <w:rsid w:val="00511A4E"/>
    <w:rsid w:val="00511B5E"/>
    <w:rsid w:val="00511BBF"/>
    <w:rsid w:val="00511BDC"/>
    <w:rsid w:val="00511FE7"/>
    <w:rsid w:val="00512785"/>
    <w:rsid w:val="00512E62"/>
    <w:rsid w:val="0051361B"/>
    <w:rsid w:val="0051373C"/>
    <w:rsid w:val="005138B3"/>
    <w:rsid w:val="00513D0A"/>
    <w:rsid w:val="00513EBA"/>
    <w:rsid w:val="00513F43"/>
    <w:rsid w:val="00514985"/>
    <w:rsid w:val="00514E64"/>
    <w:rsid w:val="00514F92"/>
    <w:rsid w:val="00515A6A"/>
    <w:rsid w:val="00515D3E"/>
    <w:rsid w:val="00515E7B"/>
    <w:rsid w:val="005162FD"/>
    <w:rsid w:val="005165B0"/>
    <w:rsid w:val="00516F04"/>
    <w:rsid w:val="00517005"/>
    <w:rsid w:val="00517153"/>
    <w:rsid w:val="005171D1"/>
    <w:rsid w:val="005174C6"/>
    <w:rsid w:val="00517868"/>
    <w:rsid w:val="00520142"/>
    <w:rsid w:val="0052017C"/>
    <w:rsid w:val="0052072A"/>
    <w:rsid w:val="00520894"/>
    <w:rsid w:val="00520BC0"/>
    <w:rsid w:val="00520BF7"/>
    <w:rsid w:val="00520C6E"/>
    <w:rsid w:val="005215A2"/>
    <w:rsid w:val="005217F8"/>
    <w:rsid w:val="005219E0"/>
    <w:rsid w:val="00521B41"/>
    <w:rsid w:val="005220A9"/>
    <w:rsid w:val="00522490"/>
    <w:rsid w:val="0052267A"/>
    <w:rsid w:val="005226D4"/>
    <w:rsid w:val="005234D4"/>
    <w:rsid w:val="0052382F"/>
    <w:rsid w:val="005239DD"/>
    <w:rsid w:val="00523BB0"/>
    <w:rsid w:val="00523CA1"/>
    <w:rsid w:val="00523EB9"/>
    <w:rsid w:val="0052417B"/>
    <w:rsid w:val="00524A9C"/>
    <w:rsid w:val="00525956"/>
    <w:rsid w:val="00525BED"/>
    <w:rsid w:val="0052633E"/>
    <w:rsid w:val="005266F4"/>
    <w:rsid w:val="0052675C"/>
    <w:rsid w:val="0052679A"/>
    <w:rsid w:val="00526931"/>
    <w:rsid w:val="00526CEC"/>
    <w:rsid w:val="00526D46"/>
    <w:rsid w:val="00527C5D"/>
    <w:rsid w:val="005303B5"/>
    <w:rsid w:val="005303E3"/>
    <w:rsid w:val="00530D4E"/>
    <w:rsid w:val="00531094"/>
    <w:rsid w:val="00531143"/>
    <w:rsid w:val="0053173F"/>
    <w:rsid w:val="0053186B"/>
    <w:rsid w:val="00531C5C"/>
    <w:rsid w:val="00532870"/>
    <w:rsid w:val="00532A23"/>
    <w:rsid w:val="00532BC3"/>
    <w:rsid w:val="005331E8"/>
    <w:rsid w:val="00533351"/>
    <w:rsid w:val="0053337C"/>
    <w:rsid w:val="005340EA"/>
    <w:rsid w:val="00534664"/>
    <w:rsid w:val="00534787"/>
    <w:rsid w:val="005348FA"/>
    <w:rsid w:val="00534A44"/>
    <w:rsid w:val="00535A9B"/>
    <w:rsid w:val="00535CE3"/>
    <w:rsid w:val="00535F4E"/>
    <w:rsid w:val="00536332"/>
    <w:rsid w:val="0053655B"/>
    <w:rsid w:val="00536601"/>
    <w:rsid w:val="00536B78"/>
    <w:rsid w:val="00536BE9"/>
    <w:rsid w:val="005373DF"/>
    <w:rsid w:val="00537433"/>
    <w:rsid w:val="005376F2"/>
    <w:rsid w:val="00537A19"/>
    <w:rsid w:val="00540D81"/>
    <w:rsid w:val="00541BF0"/>
    <w:rsid w:val="00541C34"/>
    <w:rsid w:val="00542821"/>
    <w:rsid w:val="00542CA8"/>
    <w:rsid w:val="00542E32"/>
    <w:rsid w:val="00543514"/>
    <w:rsid w:val="0054368B"/>
    <w:rsid w:val="005438A1"/>
    <w:rsid w:val="00543B81"/>
    <w:rsid w:val="00543C00"/>
    <w:rsid w:val="00543CEA"/>
    <w:rsid w:val="00543EB8"/>
    <w:rsid w:val="00543F41"/>
    <w:rsid w:val="005441AB"/>
    <w:rsid w:val="005444F5"/>
    <w:rsid w:val="00544550"/>
    <w:rsid w:val="0054482E"/>
    <w:rsid w:val="0054485E"/>
    <w:rsid w:val="00544FCF"/>
    <w:rsid w:val="005450DC"/>
    <w:rsid w:val="005452E6"/>
    <w:rsid w:val="0054533C"/>
    <w:rsid w:val="005455FC"/>
    <w:rsid w:val="00545A47"/>
    <w:rsid w:val="00545FC7"/>
    <w:rsid w:val="0054634E"/>
    <w:rsid w:val="005469B4"/>
    <w:rsid w:val="00546A4F"/>
    <w:rsid w:val="00546B67"/>
    <w:rsid w:val="0054707A"/>
    <w:rsid w:val="0054710E"/>
    <w:rsid w:val="005474C7"/>
    <w:rsid w:val="00547B37"/>
    <w:rsid w:val="00550490"/>
    <w:rsid w:val="00550986"/>
    <w:rsid w:val="00550F71"/>
    <w:rsid w:val="00551167"/>
    <w:rsid w:val="005512D3"/>
    <w:rsid w:val="00551C0E"/>
    <w:rsid w:val="00551F46"/>
    <w:rsid w:val="005521F2"/>
    <w:rsid w:val="00552561"/>
    <w:rsid w:val="00552812"/>
    <w:rsid w:val="00552840"/>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88A"/>
    <w:rsid w:val="0055597A"/>
    <w:rsid w:val="00555A7F"/>
    <w:rsid w:val="0055716D"/>
    <w:rsid w:val="005571A6"/>
    <w:rsid w:val="005572B8"/>
    <w:rsid w:val="005572CC"/>
    <w:rsid w:val="0055745F"/>
    <w:rsid w:val="00557621"/>
    <w:rsid w:val="00557953"/>
    <w:rsid w:val="00557AD3"/>
    <w:rsid w:val="00557EA9"/>
    <w:rsid w:val="005603F5"/>
    <w:rsid w:val="005605D3"/>
    <w:rsid w:val="005609A0"/>
    <w:rsid w:val="00560E55"/>
    <w:rsid w:val="00560E76"/>
    <w:rsid w:val="00561360"/>
    <w:rsid w:val="0056275D"/>
    <w:rsid w:val="00562E8F"/>
    <w:rsid w:val="0056301A"/>
    <w:rsid w:val="005630D2"/>
    <w:rsid w:val="005635AD"/>
    <w:rsid w:val="005636B0"/>
    <w:rsid w:val="005637ED"/>
    <w:rsid w:val="00563CAB"/>
    <w:rsid w:val="00564070"/>
    <w:rsid w:val="005640E1"/>
    <w:rsid w:val="005647B6"/>
    <w:rsid w:val="00564EA1"/>
    <w:rsid w:val="0056534C"/>
    <w:rsid w:val="00566E81"/>
    <w:rsid w:val="00566F7A"/>
    <w:rsid w:val="005670FC"/>
    <w:rsid w:val="005677CF"/>
    <w:rsid w:val="00567AEE"/>
    <w:rsid w:val="00567CEE"/>
    <w:rsid w:val="00567F7D"/>
    <w:rsid w:val="005702BD"/>
    <w:rsid w:val="0057040F"/>
    <w:rsid w:val="0057096F"/>
    <w:rsid w:val="00570D57"/>
    <w:rsid w:val="005713EC"/>
    <w:rsid w:val="005713F4"/>
    <w:rsid w:val="0057154B"/>
    <w:rsid w:val="00571BB1"/>
    <w:rsid w:val="00571E64"/>
    <w:rsid w:val="0057201E"/>
    <w:rsid w:val="00572B78"/>
    <w:rsid w:val="00573ADD"/>
    <w:rsid w:val="00573D3B"/>
    <w:rsid w:val="00573EE2"/>
    <w:rsid w:val="00573F6A"/>
    <w:rsid w:val="0057432C"/>
    <w:rsid w:val="00574657"/>
    <w:rsid w:val="00574676"/>
    <w:rsid w:val="00575314"/>
    <w:rsid w:val="00575CC3"/>
    <w:rsid w:val="00575D10"/>
    <w:rsid w:val="00576018"/>
    <w:rsid w:val="00576B38"/>
    <w:rsid w:val="00576D6B"/>
    <w:rsid w:val="005778E9"/>
    <w:rsid w:val="00577AAE"/>
    <w:rsid w:val="00577D2C"/>
    <w:rsid w:val="005800F7"/>
    <w:rsid w:val="005808CA"/>
    <w:rsid w:val="00580B3D"/>
    <w:rsid w:val="00580F16"/>
    <w:rsid w:val="00580F26"/>
    <w:rsid w:val="005810A9"/>
    <w:rsid w:val="00581A7C"/>
    <w:rsid w:val="00581BEF"/>
    <w:rsid w:val="005822F5"/>
    <w:rsid w:val="00582376"/>
    <w:rsid w:val="00583133"/>
    <w:rsid w:val="005834E6"/>
    <w:rsid w:val="005839B5"/>
    <w:rsid w:val="00583C0E"/>
    <w:rsid w:val="00583FDB"/>
    <w:rsid w:val="00584056"/>
    <w:rsid w:val="005841BC"/>
    <w:rsid w:val="0058427E"/>
    <w:rsid w:val="005845E7"/>
    <w:rsid w:val="00584A97"/>
    <w:rsid w:val="00584FEF"/>
    <w:rsid w:val="005853EF"/>
    <w:rsid w:val="00585972"/>
    <w:rsid w:val="00585B10"/>
    <w:rsid w:val="00586045"/>
    <w:rsid w:val="005862E4"/>
    <w:rsid w:val="005864FA"/>
    <w:rsid w:val="005865AA"/>
    <w:rsid w:val="00586848"/>
    <w:rsid w:val="00586D7F"/>
    <w:rsid w:val="00587048"/>
    <w:rsid w:val="005875A3"/>
    <w:rsid w:val="00587652"/>
    <w:rsid w:val="0058773A"/>
    <w:rsid w:val="00587BD5"/>
    <w:rsid w:val="00587C5F"/>
    <w:rsid w:val="00587CCA"/>
    <w:rsid w:val="00590750"/>
    <w:rsid w:val="00590907"/>
    <w:rsid w:val="00592283"/>
    <w:rsid w:val="0059241D"/>
    <w:rsid w:val="00592491"/>
    <w:rsid w:val="0059346F"/>
    <w:rsid w:val="00593875"/>
    <w:rsid w:val="00593E2F"/>
    <w:rsid w:val="005943C5"/>
    <w:rsid w:val="005948C2"/>
    <w:rsid w:val="00594A7B"/>
    <w:rsid w:val="00595102"/>
    <w:rsid w:val="005952ED"/>
    <w:rsid w:val="00595870"/>
    <w:rsid w:val="005963CE"/>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EAB"/>
    <w:rsid w:val="005A270C"/>
    <w:rsid w:val="005A297A"/>
    <w:rsid w:val="005A2D82"/>
    <w:rsid w:val="005A30F1"/>
    <w:rsid w:val="005A323A"/>
    <w:rsid w:val="005A3789"/>
    <w:rsid w:val="005A3835"/>
    <w:rsid w:val="005A389E"/>
    <w:rsid w:val="005A3950"/>
    <w:rsid w:val="005A3AEC"/>
    <w:rsid w:val="005A3F9E"/>
    <w:rsid w:val="005A40C0"/>
    <w:rsid w:val="005A4634"/>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2194"/>
    <w:rsid w:val="005B2BC3"/>
    <w:rsid w:val="005B344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239B"/>
    <w:rsid w:val="005C303E"/>
    <w:rsid w:val="005C30DE"/>
    <w:rsid w:val="005C39AD"/>
    <w:rsid w:val="005C3B26"/>
    <w:rsid w:val="005C3C95"/>
    <w:rsid w:val="005C3EDF"/>
    <w:rsid w:val="005C4397"/>
    <w:rsid w:val="005C45EA"/>
    <w:rsid w:val="005C48CC"/>
    <w:rsid w:val="005C63B5"/>
    <w:rsid w:val="005C674D"/>
    <w:rsid w:val="005C6842"/>
    <w:rsid w:val="005C6C37"/>
    <w:rsid w:val="005C7356"/>
    <w:rsid w:val="005C7644"/>
    <w:rsid w:val="005C77FD"/>
    <w:rsid w:val="005C791C"/>
    <w:rsid w:val="005C7B31"/>
    <w:rsid w:val="005C7BF4"/>
    <w:rsid w:val="005D029E"/>
    <w:rsid w:val="005D0574"/>
    <w:rsid w:val="005D0745"/>
    <w:rsid w:val="005D1A69"/>
    <w:rsid w:val="005D1B66"/>
    <w:rsid w:val="005D1FDF"/>
    <w:rsid w:val="005D27FF"/>
    <w:rsid w:val="005D28A0"/>
    <w:rsid w:val="005D2A1B"/>
    <w:rsid w:val="005D2B0F"/>
    <w:rsid w:val="005D30FC"/>
    <w:rsid w:val="005D323E"/>
    <w:rsid w:val="005D3352"/>
    <w:rsid w:val="005D363D"/>
    <w:rsid w:val="005D3A17"/>
    <w:rsid w:val="005D3A1B"/>
    <w:rsid w:val="005D3ACE"/>
    <w:rsid w:val="005D3D1E"/>
    <w:rsid w:val="005D3E50"/>
    <w:rsid w:val="005D3ECD"/>
    <w:rsid w:val="005D4D03"/>
    <w:rsid w:val="005D50D9"/>
    <w:rsid w:val="005D529B"/>
    <w:rsid w:val="005D5E15"/>
    <w:rsid w:val="005D6A61"/>
    <w:rsid w:val="005D6D68"/>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F4"/>
    <w:rsid w:val="005E3586"/>
    <w:rsid w:val="005E386D"/>
    <w:rsid w:val="005E3D0E"/>
    <w:rsid w:val="005E3EC0"/>
    <w:rsid w:val="005E491A"/>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E46"/>
    <w:rsid w:val="005F135B"/>
    <w:rsid w:val="005F1942"/>
    <w:rsid w:val="005F1BB0"/>
    <w:rsid w:val="005F20AE"/>
    <w:rsid w:val="005F22B3"/>
    <w:rsid w:val="005F2426"/>
    <w:rsid w:val="005F24DF"/>
    <w:rsid w:val="005F335B"/>
    <w:rsid w:val="005F353B"/>
    <w:rsid w:val="005F362F"/>
    <w:rsid w:val="005F3709"/>
    <w:rsid w:val="005F3A57"/>
    <w:rsid w:val="005F3C7E"/>
    <w:rsid w:val="005F3EAB"/>
    <w:rsid w:val="005F4027"/>
    <w:rsid w:val="005F42BB"/>
    <w:rsid w:val="005F45DB"/>
    <w:rsid w:val="005F4E54"/>
    <w:rsid w:val="005F4EAE"/>
    <w:rsid w:val="005F574A"/>
    <w:rsid w:val="005F5DC9"/>
    <w:rsid w:val="005F6186"/>
    <w:rsid w:val="005F676C"/>
    <w:rsid w:val="005F70B6"/>
    <w:rsid w:val="005F73B3"/>
    <w:rsid w:val="005F7518"/>
    <w:rsid w:val="005F778D"/>
    <w:rsid w:val="005F7A87"/>
    <w:rsid w:val="005F7BA0"/>
    <w:rsid w:val="005F7C34"/>
    <w:rsid w:val="005F7F41"/>
    <w:rsid w:val="00600905"/>
    <w:rsid w:val="006009D3"/>
    <w:rsid w:val="00600B1F"/>
    <w:rsid w:val="00600C85"/>
    <w:rsid w:val="006010E6"/>
    <w:rsid w:val="006011A3"/>
    <w:rsid w:val="006017DF"/>
    <w:rsid w:val="00601C4F"/>
    <w:rsid w:val="00601F0A"/>
    <w:rsid w:val="0060217B"/>
    <w:rsid w:val="006023B8"/>
    <w:rsid w:val="00602639"/>
    <w:rsid w:val="006030B5"/>
    <w:rsid w:val="00603630"/>
    <w:rsid w:val="0060382E"/>
    <w:rsid w:val="00603CFA"/>
    <w:rsid w:val="00603D1C"/>
    <w:rsid w:val="00604174"/>
    <w:rsid w:val="006049FB"/>
    <w:rsid w:val="00604DBE"/>
    <w:rsid w:val="0060510E"/>
    <w:rsid w:val="006057C2"/>
    <w:rsid w:val="006058CF"/>
    <w:rsid w:val="00605BCD"/>
    <w:rsid w:val="006061B0"/>
    <w:rsid w:val="006062EA"/>
    <w:rsid w:val="006063E1"/>
    <w:rsid w:val="006065E4"/>
    <w:rsid w:val="006066C2"/>
    <w:rsid w:val="006066D1"/>
    <w:rsid w:val="00606995"/>
    <w:rsid w:val="00606F56"/>
    <w:rsid w:val="00607982"/>
    <w:rsid w:val="00607A0E"/>
    <w:rsid w:val="00607D48"/>
    <w:rsid w:val="00610039"/>
    <w:rsid w:val="00610381"/>
    <w:rsid w:val="00610581"/>
    <w:rsid w:val="00610917"/>
    <w:rsid w:val="006109E3"/>
    <w:rsid w:val="00610A2A"/>
    <w:rsid w:val="00610D2E"/>
    <w:rsid w:val="0061183C"/>
    <w:rsid w:val="00611B68"/>
    <w:rsid w:val="00611C07"/>
    <w:rsid w:val="00611C8F"/>
    <w:rsid w:val="00611E07"/>
    <w:rsid w:val="00611EFD"/>
    <w:rsid w:val="00612045"/>
    <w:rsid w:val="006120C3"/>
    <w:rsid w:val="0061286E"/>
    <w:rsid w:val="00612E91"/>
    <w:rsid w:val="00612F12"/>
    <w:rsid w:val="00612F99"/>
    <w:rsid w:val="006136FF"/>
    <w:rsid w:val="00613A47"/>
    <w:rsid w:val="00613AC9"/>
    <w:rsid w:val="00613DA3"/>
    <w:rsid w:val="00614026"/>
    <w:rsid w:val="006140E8"/>
    <w:rsid w:val="006143E2"/>
    <w:rsid w:val="00614466"/>
    <w:rsid w:val="00614490"/>
    <w:rsid w:val="00614679"/>
    <w:rsid w:val="00614786"/>
    <w:rsid w:val="00614BD6"/>
    <w:rsid w:val="00614EDE"/>
    <w:rsid w:val="00615808"/>
    <w:rsid w:val="00615D37"/>
    <w:rsid w:val="00615E47"/>
    <w:rsid w:val="00616910"/>
    <w:rsid w:val="00616945"/>
    <w:rsid w:val="006169EE"/>
    <w:rsid w:val="006171E9"/>
    <w:rsid w:val="00617982"/>
    <w:rsid w:val="00617F7C"/>
    <w:rsid w:val="00620E86"/>
    <w:rsid w:val="00621286"/>
    <w:rsid w:val="0062155F"/>
    <w:rsid w:val="006219DD"/>
    <w:rsid w:val="00621AD4"/>
    <w:rsid w:val="00621D63"/>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75F3"/>
    <w:rsid w:val="00627733"/>
    <w:rsid w:val="00627921"/>
    <w:rsid w:val="0063016C"/>
    <w:rsid w:val="00630A86"/>
    <w:rsid w:val="00631786"/>
    <w:rsid w:val="00631B1E"/>
    <w:rsid w:val="00631FE7"/>
    <w:rsid w:val="006321EA"/>
    <w:rsid w:val="006324E6"/>
    <w:rsid w:val="00632ACC"/>
    <w:rsid w:val="006335C9"/>
    <w:rsid w:val="00633EB5"/>
    <w:rsid w:val="00633FF2"/>
    <w:rsid w:val="00634207"/>
    <w:rsid w:val="00634571"/>
    <w:rsid w:val="006345C1"/>
    <w:rsid w:val="006347E8"/>
    <w:rsid w:val="00634969"/>
    <w:rsid w:val="006349C0"/>
    <w:rsid w:val="00634AB3"/>
    <w:rsid w:val="00634F76"/>
    <w:rsid w:val="00635520"/>
    <w:rsid w:val="006358A3"/>
    <w:rsid w:val="00635E34"/>
    <w:rsid w:val="0063608A"/>
    <w:rsid w:val="00637056"/>
    <w:rsid w:val="0063793A"/>
    <w:rsid w:val="00637E9B"/>
    <w:rsid w:val="00637FDD"/>
    <w:rsid w:val="00640129"/>
    <w:rsid w:val="006407E3"/>
    <w:rsid w:val="0064090D"/>
    <w:rsid w:val="00641E57"/>
    <w:rsid w:val="0064260D"/>
    <w:rsid w:val="00642A39"/>
    <w:rsid w:val="00642DBC"/>
    <w:rsid w:val="0064307F"/>
    <w:rsid w:val="006430E6"/>
    <w:rsid w:val="00643CED"/>
    <w:rsid w:val="00643D90"/>
    <w:rsid w:val="00644234"/>
    <w:rsid w:val="00644878"/>
    <w:rsid w:val="00644DE2"/>
    <w:rsid w:val="006458F4"/>
    <w:rsid w:val="00645F03"/>
    <w:rsid w:val="00646486"/>
    <w:rsid w:val="00646602"/>
    <w:rsid w:val="00646BC4"/>
    <w:rsid w:val="00646D0E"/>
    <w:rsid w:val="006478E6"/>
    <w:rsid w:val="00647DB1"/>
    <w:rsid w:val="00647F58"/>
    <w:rsid w:val="00650306"/>
    <w:rsid w:val="006503A5"/>
    <w:rsid w:val="00650463"/>
    <w:rsid w:val="006507FC"/>
    <w:rsid w:val="006507FD"/>
    <w:rsid w:val="0065082F"/>
    <w:rsid w:val="006509F9"/>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E"/>
    <w:rsid w:val="00655390"/>
    <w:rsid w:val="006553D9"/>
    <w:rsid w:val="00655622"/>
    <w:rsid w:val="00655858"/>
    <w:rsid w:val="0065606D"/>
    <w:rsid w:val="00656071"/>
    <w:rsid w:val="0065646C"/>
    <w:rsid w:val="006564F2"/>
    <w:rsid w:val="00656D2E"/>
    <w:rsid w:val="0065716D"/>
    <w:rsid w:val="00657FD8"/>
    <w:rsid w:val="006600DB"/>
    <w:rsid w:val="00660163"/>
    <w:rsid w:val="00660FDE"/>
    <w:rsid w:val="006612A4"/>
    <w:rsid w:val="006613F5"/>
    <w:rsid w:val="00661879"/>
    <w:rsid w:val="00661A2E"/>
    <w:rsid w:val="00661BD2"/>
    <w:rsid w:val="00661CDB"/>
    <w:rsid w:val="006625C0"/>
    <w:rsid w:val="006627BD"/>
    <w:rsid w:val="00662B7A"/>
    <w:rsid w:val="00663175"/>
    <w:rsid w:val="006631C4"/>
    <w:rsid w:val="0066326A"/>
    <w:rsid w:val="006632D0"/>
    <w:rsid w:val="006635FA"/>
    <w:rsid w:val="00663B35"/>
    <w:rsid w:val="00663CF1"/>
    <w:rsid w:val="00663F1B"/>
    <w:rsid w:val="00663FC5"/>
    <w:rsid w:val="0066419E"/>
    <w:rsid w:val="006645AF"/>
    <w:rsid w:val="00664AB8"/>
    <w:rsid w:val="0066529F"/>
    <w:rsid w:val="0066571F"/>
    <w:rsid w:val="00665DA2"/>
    <w:rsid w:val="006660F5"/>
    <w:rsid w:val="00666285"/>
    <w:rsid w:val="00666443"/>
    <w:rsid w:val="00666480"/>
    <w:rsid w:val="006667CC"/>
    <w:rsid w:val="00666D34"/>
    <w:rsid w:val="0066731A"/>
    <w:rsid w:val="00667476"/>
    <w:rsid w:val="00667E3E"/>
    <w:rsid w:val="00670BE7"/>
    <w:rsid w:val="00670FEA"/>
    <w:rsid w:val="0067179C"/>
    <w:rsid w:val="00671874"/>
    <w:rsid w:val="00671CD0"/>
    <w:rsid w:val="00671DC9"/>
    <w:rsid w:val="0067252D"/>
    <w:rsid w:val="00672C31"/>
    <w:rsid w:val="006730AC"/>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8CC"/>
    <w:rsid w:val="006809AA"/>
    <w:rsid w:val="00680AF4"/>
    <w:rsid w:val="00681495"/>
    <w:rsid w:val="0068171A"/>
    <w:rsid w:val="006817D4"/>
    <w:rsid w:val="00681F18"/>
    <w:rsid w:val="00682369"/>
    <w:rsid w:val="0068281F"/>
    <w:rsid w:val="00682C7C"/>
    <w:rsid w:val="00682E20"/>
    <w:rsid w:val="00682F4C"/>
    <w:rsid w:val="00683141"/>
    <w:rsid w:val="00683825"/>
    <w:rsid w:val="006838D8"/>
    <w:rsid w:val="006838DF"/>
    <w:rsid w:val="00683F2A"/>
    <w:rsid w:val="006842B9"/>
    <w:rsid w:val="00684966"/>
    <w:rsid w:val="00684BAF"/>
    <w:rsid w:val="006856FD"/>
    <w:rsid w:val="00685899"/>
    <w:rsid w:val="006859DA"/>
    <w:rsid w:val="00686772"/>
    <w:rsid w:val="00687642"/>
    <w:rsid w:val="0069023B"/>
    <w:rsid w:val="00690667"/>
    <w:rsid w:val="0069080B"/>
    <w:rsid w:val="006908E3"/>
    <w:rsid w:val="00690AAE"/>
    <w:rsid w:val="00690CBB"/>
    <w:rsid w:val="00690CC0"/>
    <w:rsid w:val="00691611"/>
    <w:rsid w:val="0069172E"/>
    <w:rsid w:val="00691895"/>
    <w:rsid w:val="00691932"/>
    <w:rsid w:val="006919FB"/>
    <w:rsid w:val="0069213E"/>
    <w:rsid w:val="00692162"/>
    <w:rsid w:val="0069246E"/>
    <w:rsid w:val="0069297F"/>
    <w:rsid w:val="00692D30"/>
    <w:rsid w:val="00692E71"/>
    <w:rsid w:val="00692F53"/>
    <w:rsid w:val="00692F6A"/>
    <w:rsid w:val="006934C4"/>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37E"/>
    <w:rsid w:val="006A1D7D"/>
    <w:rsid w:val="006A1E12"/>
    <w:rsid w:val="006A2019"/>
    <w:rsid w:val="006A21CC"/>
    <w:rsid w:val="006A294D"/>
    <w:rsid w:val="006A30E6"/>
    <w:rsid w:val="006A3D41"/>
    <w:rsid w:val="006A4022"/>
    <w:rsid w:val="006A4C19"/>
    <w:rsid w:val="006A511D"/>
    <w:rsid w:val="006A53F3"/>
    <w:rsid w:val="006A5833"/>
    <w:rsid w:val="006A5B87"/>
    <w:rsid w:val="006A6143"/>
    <w:rsid w:val="006A72F8"/>
    <w:rsid w:val="006A7354"/>
    <w:rsid w:val="006A7796"/>
    <w:rsid w:val="006A7C96"/>
    <w:rsid w:val="006A7F83"/>
    <w:rsid w:val="006B0495"/>
    <w:rsid w:val="006B0DCB"/>
    <w:rsid w:val="006B0EAB"/>
    <w:rsid w:val="006B0EE5"/>
    <w:rsid w:val="006B15DB"/>
    <w:rsid w:val="006B2344"/>
    <w:rsid w:val="006B2408"/>
    <w:rsid w:val="006B299D"/>
    <w:rsid w:val="006B3325"/>
    <w:rsid w:val="006B33F7"/>
    <w:rsid w:val="006B3AF9"/>
    <w:rsid w:val="006B3C91"/>
    <w:rsid w:val="006B414C"/>
    <w:rsid w:val="006B48AB"/>
    <w:rsid w:val="006B4B0F"/>
    <w:rsid w:val="006B4BC6"/>
    <w:rsid w:val="006B5474"/>
    <w:rsid w:val="006B62A0"/>
    <w:rsid w:val="006B650F"/>
    <w:rsid w:val="006B6584"/>
    <w:rsid w:val="006C0449"/>
    <w:rsid w:val="006C0D0F"/>
    <w:rsid w:val="006C0E39"/>
    <w:rsid w:val="006C0E74"/>
    <w:rsid w:val="006C1394"/>
    <w:rsid w:val="006C1417"/>
    <w:rsid w:val="006C1721"/>
    <w:rsid w:val="006C183C"/>
    <w:rsid w:val="006C26D6"/>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61F"/>
    <w:rsid w:val="006C7815"/>
    <w:rsid w:val="006C7DE0"/>
    <w:rsid w:val="006D024B"/>
    <w:rsid w:val="006D0616"/>
    <w:rsid w:val="006D092B"/>
    <w:rsid w:val="006D0EDF"/>
    <w:rsid w:val="006D0F52"/>
    <w:rsid w:val="006D0FAB"/>
    <w:rsid w:val="006D1314"/>
    <w:rsid w:val="006D150C"/>
    <w:rsid w:val="006D15EE"/>
    <w:rsid w:val="006D16CA"/>
    <w:rsid w:val="006D1793"/>
    <w:rsid w:val="006D18A4"/>
    <w:rsid w:val="006D1ABE"/>
    <w:rsid w:val="006D1D06"/>
    <w:rsid w:val="006D2162"/>
    <w:rsid w:val="006D23EE"/>
    <w:rsid w:val="006D252A"/>
    <w:rsid w:val="006D2AB0"/>
    <w:rsid w:val="006D364F"/>
    <w:rsid w:val="006D3693"/>
    <w:rsid w:val="006D3DC7"/>
    <w:rsid w:val="006D4161"/>
    <w:rsid w:val="006D4245"/>
    <w:rsid w:val="006D46CE"/>
    <w:rsid w:val="006D4B98"/>
    <w:rsid w:val="006D4E04"/>
    <w:rsid w:val="006D5078"/>
    <w:rsid w:val="006D54D9"/>
    <w:rsid w:val="006D5843"/>
    <w:rsid w:val="006D5DE9"/>
    <w:rsid w:val="006D6509"/>
    <w:rsid w:val="006D68AC"/>
    <w:rsid w:val="006D6DF7"/>
    <w:rsid w:val="006D7DD5"/>
    <w:rsid w:val="006D7E18"/>
    <w:rsid w:val="006E00A7"/>
    <w:rsid w:val="006E010C"/>
    <w:rsid w:val="006E0A87"/>
    <w:rsid w:val="006E0A93"/>
    <w:rsid w:val="006E1B15"/>
    <w:rsid w:val="006E1CC8"/>
    <w:rsid w:val="006E346A"/>
    <w:rsid w:val="006E3C8A"/>
    <w:rsid w:val="006E3E0D"/>
    <w:rsid w:val="006E4064"/>
    <w:rsid w:val="006E4806"/>
    <w:rsid w:val="006E4C0D"/>
    <w:rsid w:val="006E58EA"/>
    <w:rsid w:val="006E5BF8"/>
    <w:rsid w:val="006E643B"/>
    <w:rsid w:val="006E67A4"/>
    <w:rsid w:val="006E6A02"/>
    <w:rsid w:val="006E6B01"/>
    <w:rsid w:val="006E6B82"/>
    <w:rsid w:val="006E6D16"/>
    <w:rsid w:val="006E6D29"/>
    <w:rsid w:val="006E783D"/>
    <w:rsid w:val="006E799D"/>
    <w:rsid w:val="006E79FB"/>
    <w:rsid w:val="006F0036"/>
    <w:rsid w:val="006F024E"/>
    <w:rsid w:val="006F0D97"/>
    <w:rsid w:val="006F10D4"/>
    <w:rsid w:val="006F1233"/>
    <w:rsid w:val="006F1244"/>
    <w:rsid w:val="006F27E0"/>
    <w:rsid w:val="006F28D9"/>
    <w:rsid w:val="006F2F67"/>
    <w:rsid w:val="006F3CA4"/>
    <w:rsid w:val="006F4148"/>
    <w:rsid w:val="006F4986"/>
    <w:rsid w:val="006F4DE0"/>
    <w:rsid w:val="006F4FB2"/>
    <w:rsid w:val="006F515A"/>
    <w:rsid w:val="006F5BF3"/>
    <w:rsid w:val="006F5C90"/>
    <w:rsid w:val="006F5DB5"/>
    <w:rsid w:val="006F5E2D"/>
    <w:rsid w:val="006F62C5"/>
    <w:rsid w:val="006F6483"/>
    <w:rsid w:val="006F6EEB"/>
    <w:rsid w:val="006F7316"/>
    <w:rsid w:val="006F7332"/>
    <w:rsid w:val="006F7AF3"/>
    <w:rsid w:val="00700B08"/>
    <w:rsid w:val="007016DE"/>
    <w:rsid w:val="007019B8"/>
    <w:rsid w:val="007025BA"/>
    <w:rsid w:val="007027C6"/>
    <w:rsid w:val="00702BB8"/>
    <w:rsid w:val="00702DE7"/>
    <w:rsid w:val="00702F4D"/>
    <w:rsid w:val="0070333C"/>
    <w:rsid w:val="00703533"/>
    <w:rsid w:val="0070385B"/>
    <w:rsid w:val="00703981"/>
    <w:rsid w:val="00703A33"/>
    <w:rsid w:val="00703A74"/>
    <w:rsid w:val="00703C5B"/>
    <w:rsid w:val="00703F00"/>
    <w:rsid w:val="0070407E"/>
    <w:rsid w:val="00704530"/>
    <w:rsid w:val="0070494F"/>
    <w:rsid w:val="00704969"/>
    <w:rsid w:val="00704BB0"/>
    <w:rsid w:val="00704EDF"/>
    <w:rsid w:val="00705423"/>
    <w:rsid w:val="00705758"/>
    <w:rsid w:val="00705840"/>
    <w:rsid w:val="00705E4A"/>
    <w:rsid w:val="0070688B"/>
    <w:rsid w:val="00706997"/>
    <w:rsid w:val="0070707A"/>
    <w:rsid w:val="0070710A"/>
    <w:rsid w:val="0070717A"/>
    <w:rsid w:val="00707244"/>
    <w:rsid w:val="00710AE5"/>
    <w:rsid w:val="007111CC"/>
    <w:rsid w:val="00711427"/>
    <w:rsid w:val="007114BF"/>
    <w:rsid w:val="0071151C"/>
    <w:rsid w:val="00711CBA"/>
    <w:rsid w:val="00712B2B"/>
    <w:rsid w:val="00712CCC"/>
    <w:rsid w:val="00712E48"/>
    <w:rsid w:val="0071303A"/>
    <w:rsid w:val="00713618"/>
    <w:rsid w:val="007136E9"/>
    <w:rsid w:val="00713739"/>
    <w:rsid w:val="0071378C"/>
    <w:rsid w:val="00713B78"/>
    <w:rsid w:val="00713DE5"/>
    <w:rsid w:val="00713ED0"/>
    <w:rsid w:val="00713F39"/>
    <w:rsid w:val="00714569"/>
    <w:rsid w:val="00714634"/>
    <w:rsid w:val="0071481A"/>
    <w:rsid w:val="007153A5"/>
    <w:rsid w:val="007155D9"/>
    <w:rsid w:val="007157A0"/>
    <w:rsid w:val="0071623B"/>
    <w:rsid w:val="00716CAD"/>
    <w:rsid w:val="007174DA"/>
    <w:rsid w:val="007178AF"/>
    <w:rsid w:val="007179F7"/>
    <w:rsid w:val="00717B0D"/>
    <w:rsid w:val="00717F41"/>
    <w:rsid w:val="00720910"/>
    <w:rsid w:val="00720F29"/>
    <w:rsid w:val="00720FF8"/>
    <w:rsid w:val="00721038"/>
    <w:rsid w:val="007210B3"/>
    <w:rsid w:val="007213A5"/>
    <w:rsid w:val="00721682"/>
    <w:rsid w:val="0072168A"/>
    <w:rsid w:val="00721B60"/>
    <w:rsid w:val="00721E12"/>
    <w:rsid w:val="007224C2"/>
    <w:rsid w:val="00722C19"/>
    <w:rsid w:val="00722D1E"/>
    <w:rsid w:val="00722DD1"/>
    <w:rsid w:val="007235B1"/>
    <w:rsid w:val="00723840"/>
    <w:rsid w:val="00723B3D"/>
    <w:rsid w:val="0072537E"/>
    <w:rsid w:val="00726000"/>
    <w:rsid w:val="0072603B"/>
    <w:rsid w:val="007262B2"/>
    <w:rsid w:val="007265DB"/>
    <w:rsid w:val="00726756"/>
    <w:rsid w:val="00726989"/>
    <w:rsid w:val="00726A30"/>
    <w:rsid w:val="00726C1E"/>
    <w:rsid w:val="00726FEB"/>
    <w:rsid w:val="0072771B"/>
    <w:rsid w:val="00727910"/>
    <w:rsid w:val="00727DC2"/>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4B1"/>
    <w:rsid w:val="00733510"/>
    <w:rsid w:val="007339F3"/>
    <w:rsid w:val="00733EB2"/>
    <w:rsid w:val="00733EF8"/>
    <w:rsid w:val="007340CF"/>
    <w:rsid w:val="00734270"/>
    <w:rsid w:val="00734400"/>
    <w:rsid w:val="00734898"/>
    <w:rsid w:val="007348EE"/>
    <w:rsid w:val="00734E65"/>
    <w:rsid w:val="00735107"/>
    <w:rsid w:val="007356BF"/>
    <w:rsid w:val="00736376"/>
    <w:rsid w:val="00737424"/>
    <w:rsid w:val="007378AD"/>
    <w:rsid w:val="00737FEC"/>
    <w:rsid w:val="00740292"/>
    <w:rsid w:val="00740D16"/>
    <w:rsid w:val="00740FB1"/>
    <w:rsid w:val="007424E5"/>
    <w:rsid w:val="0074262A"/>
    <w:rsid w:val="0074269A"/>
    <w:rsid w:val="00742B07"/>
    <w:rsid w:val="00742DB5"/>
    <w:rsid w:val="00743059"/>
    <w:rsid w:val="00743DFD"/>
    <w:rsid w:val="00744619"/>
    <w:rsid w:val="0074462C"/>
    <w:rsid w:val="0074497C"/>
    <w:rsid w:val="00744D93"/>
    <w:rsid w:val="00746BA2"/>
    <w:rsid w:val="00746E0F"/>
    <w:rsid w:val="0075064C"/>
    <w:rsid w:val="00750E7E"/>
    <w:rsid w:val="00751AAF"/>
    <w:rsid w:val="00752285"/>
    <w:rsid w:val="00752801"/>
    <w:rsid w:val="00752B96"/>
    <w:rsid w:val="00752E39"/>
    <w:rsid w:val="0075451A"/>
    <w:rsid w:val="00754E06"/>
    <w:rsid w:val="00755374"/>
    <w:rsid w:val="007556C3"/>
    <w:rsid w:val="0075580D"/>
    <w:rsid w:val="00755956"/>
    <w:rsid w:val="00756142"/>
    <w:rsid w:val="007561B4"/>
    <w:rsid w:val="007562B3"/>
    <w:rsid w:val="0075688C"/>
    <w:rsid w:val="007569D9"/>
    <w:rsid w:val="00756AA0"/>
    <w:rsid w:val="0075767D"/>
    <w:rsid w:val="0075785E"/>
    <w:rsid w:val="00757CE6"/>
    <w:rsid w:val="007607F3"/>
    <w:rsid w:val="0076151C"/>
    <w:rsid w:val="00761801"/>
    <w:rsid w:val="00761B79"/>
    <w:rsid w:val="00761E6B"/>
    <w:rsid w:val="00761FC2"/>
    <w:rsid w:val="007622F8"/>
    <w:rsid w:val="00762D4F"/>
    <w:rsid w:val="00763097"/>
    <w:rsid w:val="00763A41"/>
    <w:rsid w:val="00764C54"/>
    <w:rsid w:val="00764CB0"/>
    <w:rsid w:val="007651A7"/>
    <w:rsid w:val="00765229"/>
    <w:rsid w:val="007660A1"/>
    <w:rsid w:val="0076613D"/>
    <w:rsid w:val="0076641B"/>
    <w:rsid w:val="0076651A"/>
    <w:rsid w:val="007666D8"/>
    <w:rsid w:val="00766D03"/>
    <w:rsid w:val="00766F2A"/>
    <w:rsid w:val="007671B6"/>
    <w:rsid w:val="007671DA"/>
    <w:rsid w:val="0076767E"/>
    <w:rsid w:val="00767ADE"/>
    <w:rsid w:val="00767C28"/>
    <w:rsid w:val="00770C72"/>
    <w:rsid w:val="00770FBF"/>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3B5"/>
    <w:rsid w:val="00775AAA"/>
    <w:rsid w:val="00776EDA"/>
    <w:rsid w:val="00777599"/>
    <w:rsid w:val="007779A0"/>
    <w:rsid w:val="00777A2C"/>
    <w:rsid w:val="00780F1B"/>
    <w:rsid w:val="00780FEA"/>
    <w:rsid w:val="0078165D"/>
    <w:rsid w:val="00781C97"/>
    <w:rsid w:val="00782B59"/>
    <w:rsid w:val="00782D66"/>
    <w:rsid w:val="00782F57"/>
    <w:rsid w:val="00783603"/>
    <w:rsid w:val="00783786"/>
    <w:rsid w:val="00783D34"/>
    <w:rsid w:val="00784F4F"/>
    <w:rsid w:val="00785646"/>
    <w:rsid w:val="00785CF8"/>
    <w:rsid w:val="00785EA1"/>
    <w:rsid w:val="007860F9"/>
    <w:rsid w:val="007862B1"/>
    <w:rsid w:val="00786628"/>
    <w:rsid w:val="00786B64"/>
    <w:rsid w:val="0078734E"/>
    <w:rsid w:val="00787700"/>
    <w:rsid w:val="00790A3E"/>
    <w:rsid w:val="00790BBC"/>
    <w:rsid w:val="00790BE6"/>
    <w:rsid w:val="00790F87"/>
    <w:rsid w:val="00791119"/>
    <w:rsid w:val="0079147B"/>
    <w:rsid w:val="00791A59"/>
    <w:rsid w:val="00791B62"/>
    <w:rsid w:val="00792A24"/>
    <w:rsid w:val="0079304F"/>
    <w:rsid w:val="00793277"/>
    <w:rsid w:val="007934FB"/>
    <w:rsid w:val="00793987"/>
    <w:rsid w:val="0079435F"/>
    <w:rsid w:val="00794F40"/>
    <w:rsid w:val="007951D5"/>
    <w:rsid w:val="00795A23"/>
    <w:rsid w:val="00796068"/>
    <w:rsid w:val="00796163"/>
    <w:rsid w:val="00796472"/>
    <w:rsid w:val="00796CC0"/>
    <w:rsid w:val="00796CF1"/>
    <w:rsid w:val="007974AF"/>
    <w:rsid w:val="007979EA"/>
    <w:rsid w:val="00797A74"/>
    <w:rsid w:val="00797ACF"/>
    <w:rsid w:val="00797C1C"/>
    <w:rsid w:val="007A1151"/>
    <w:rsid w:val="007A1397"/>
    <w:rsid w:val="007A1456"/>
    <w:rsid w:val="007A17A6"/>
    <w:rsid w:val="007A1970"/>
    <w:rsid w:val="007A19BC"/>
    <w:rsid w:val="007A1A35"/>
    <w:rsid w:val="007A2166"/>
    <w:rsid w:val="007A2B7F"/>
    <w:rsid w:val="007A3059"/>
    <w:rsid w:val="007A336F"/>
    <w:rsid w:val="007A33FA"/>
    <w:rsid w:val="007A3811"/>
    <w:rsid w:val="007A3A89"/>
    <w:rsid w:val="007A45A6"/>
    <w:rsid w:val="007A536B"/>
    <w:rsid w:val="007A5409"/>
    <w:rsid w:val="007A5922"/>
    <w:rsid w:val="007A5924"/>
    <w:rsid w:val="007A5969"/>
    <w:rsid w:val="007A5AAE"/>
    <w:rsid w:val="007A63D4"/>
    <w:rsid w:val="007A7750"/>
    <w:rsid w:val="007A77BF"/>
    <w:rsid w:val="007A7AA2"/>
    <w:rsid w:val="007A7C23"/>
    <w:rsid w:val="007B05AC"/>
    <w:rsid w:val="007B07A6"/>
    <w:rsid w:val="007B09E9"/>
    <w:rsid w:val="007B0A30"/>
    <w:rsid w:val="007B0BF2"/>
    <w:rsid w:val="007B100F"/>
    <w:rsid w:val="007B1ABA"/>
    <w:rsid w:val="007B2070"/>
    <w:rsid w:val="007B221D"/>
    <w:rsid w:val="007B24B8"/>
    <w:rsid w:val="007B259B"/>
    <w:rsid w:val="007B322F"/>
    <w:rsid w:val="007B38E3"/>
    <w:rsid w:val="007B3F28"/>
    <w:rsid w:val="007B434A"/>
    <w:rsid w:val="007B452C"/>
    <w:rsid w:val="007B459E"/>
    <w:rsid w:val="007B471E"/>
    <w:rsid w:val="007B4ACA"/>
    <w:rsid w:val="007B4E1A"/>
    <w:rsid w:val="007B5018"/>
    <w:rsid w:val="007B53DE"/>
    <w:rsid w:val="007B53E7"/>
    <w:rsid w:val="007B6129"/>
    <w:rsid w:val="007B65B3"/>
    <w:rsid w:val="007B66B8"/>
    <w:rsid w:val="007B6A14"/>
    <w:rsid w:val="007B6DFA"/>
    <w:rsid w:val="007B7287"/>
    <w:rsid w:val="007B74C3"/>
    <w:rsid w:val="007B753A"/>
    <w:rsid w:val="007B7637"/>
    <w:rsid w:val="007B7677"/>
    <w:rsid w:val="007B7A70"/>
    <w:rsid w:val="007C0033"/>
    <w:rsid w:val="007C08AB"/>
    <w:rsid w:val="007C17CF"/>
    <w:rsid w:val="007C2208"/>
    <w:rsid w:val="007C24B9"/>
    <w:rsid w:val="007C2CBC"/>
    <w:rsid w:val="007C3515"/>
    <w:rsid w:val="007C38F7"/>
    <w:rsid w:val="007C3908"/>
    <w:rsid w:val="007C3AA6"/>
    <w:rsid w:val="007C4290"/>
    <w:rsid w:val="007C42FB"/>
    <w:rsid w:val="007C4499"/>
    <w:rsid w:val="007C4E99"/>
    <w:rsid w:val="007C5151"/>
    <w:rsid w:val="007C546B"/>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DF2"/>
    <w:rsid w:val="007D0B2E"/>
    <w:rsid w:val="007D0C56"/>
    <w:rsid w:val="007D0CD1"/>
    <w:rsid w:val="007D0ED0"/>
    <w:rsid w:val="007D1005"/>
    <w:rsid w:val="007D1F01"/>
    <w:rsid w:val="007D246B"/>
    <w:rsid w:val="007D250D"/>
    <w:rsid w:val="007D3500"/>
    <w:rsid w:val="007D3868"/>
    <w:rsid w:val="007D3E0E"/>
    <w:rsid w:val="007D3F48"/>
    <w:rsid w:val="007D4104"/>
    <w:rsid w:val="007D420F"/>
    <w:rsid w:val="007D48CF"/>
    <w:rsid w:val="007D4A4A"/>
    <w:rsid w:val="007D4C4B"/>
    <w:rsid w:val="007D560E"/>
    <w:rsid w:val="007D5D5F"/>
    <w:rsid w:val="007D5F85"/>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FFA"/>
    <w:rsid w:val="007E79CB"/>
    <w:rsid w:val="007E7C33"/>
    <w:rsid w:val="007E7D7E"/>
    <w:rsid w:val="007F00D0"/>
    <w:rsid w:val="007F0546"/>
    <w:rsid w:val="007F0635"/>
    <w:rsid w:val="007F0754"/>
    <w:rsid w:val="007F1691"/>
    <w:rsid w:val="007F1B7A"/>
    <w:rsid w:val="007F1DEB"/>
    <w:rsid w:val="007F2142"/>
    <w:rsid w:val="007F22A5"/>
    <w:rsid w:val="007F27A7"/>
    <w:rsid w:val="007F2A0B"/>
    <w:rsid w:val="007F2DC4"/>
    <w:rsid w:val="007F2E4B"/>
    <w:rsid w:val="007F367E"/>
    <w:rsid w:val="007F3B8F"/>
    <w:rsid w:val="007F3D93"/>
    <w:rsid w:val="007F413A"/>
    <w:rsid w:val="007F421D"/>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10B1"/>
    <w:rsid w:val="008011F2"/>
    <w:rsid w:val="00801385"/>
    <w:rsid w:val="0080157F"/>
    <w:rsid w:val="00801588"/>
    <w:rsid w:val="00802807"/>
    <w:rsid w:val="00802CC5"/>
    <w:rsid w:val="00802DA0"/>
    <w:rsid w:val="00803139"/>
    <w:rsid w:val="00803CE2"/>
    <w:rsid w:val="008043A4"/>
    <w:rsid w:val="00804983"/>
    <w:rsid w:val="008051DE"/>
    <w:rsid w:val="00805594"/>
    <w:rsid w:val="00805656"/>
    <w:rsid w:val="00805659"/>
    <w:rsid w:val="0080593E"/>
    <w:rsid w:val="00805F9A"/>
    <w:rsid w:val="008069B2"/>
    <w:rsid w:val="0080733E"/>
    <w:rsid w:val="0080783D"/>
    <w:rsid w:val="008100B2"/>
    <w:rsid w:val="00810B66"/>
    <w:rsid w:val="00810CC2"/>
    <w:rsid w:val="00811B4D"/>
    <w:rsid w:val="008124CB"/>
    <w:rsid w:val="00812C2A"/>
    <w:rsid w:val="00812FCB"/>
    <w:rsid w:val="00813052"/>
    <w:rsid w:val="0081324B"/>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3CB"/>
    <w:rsid w:val="008209BC"/>
    <w:rsid w:val="0082117C"/>
    <w:rsid w:val="00821702"/>
    <w:rsid w:val="008218ED"/>
    <w:rsid w:val="00822563"/>
    <w:rsid w:val="00823472"/>
    <w:rsid w:val="008234BD"/>
    <w:rsid w:val="00823663"/>
    <w:rsid w:val="00823997"/>
    <w:rsid w:val="00823A7E"/>
    <w:rsid w:val="00824A8C"/>
    <w:rsid w:val="00825155"/>
    <w:rsid w:val="00825D4C"/>
    <w:rsid w:val="00825EB9"/>
    <w:rsid w:val="008261E9"/>
    <w:rsid w:val="00826614"/>
    <w:rsid w:val="0082668A"/>
    <w:rsid w:val="00826786"/>
    <w:rsid w:val="00827461"/>
    <w:rsid w:val="008277BF"/>
    <w:rsid w:val="00827D75"/>
    <w:rsid w:val="00830099"/>
    <w:rsid w:val="008301A9"/>
    <w:rsid w:val="008301B7"/>
    <w:rsid w:val="008303E2"/>
    <w:rsid w:val="00830537"/>
    <w:rsid w:val="00830917"/>
    <w:rsid w:val="00830D99"/>
    <w:rsid w:val="00830FFD"/>
    <w:rsid w:val="00831194"/>
    <w:rsid w:val="0083125A"/>
    <w:rsid w:val="00831589"/>
    <w:rsid w:val="0083169F"/>
    <w:rsid w:val="00831B7E"/>
    <w:rsid w:val="00832496"/>
    <w:rsid w:val="0083324B"/>
    <w:rsid w:val="00833A8F"/>
    <w:rsid w:val="00833C13"/>
    <w:rsid w:val="00833D53"/>
    <w:rsid w:val="00834123"/>
    <w:rsid w:val="008341F8"/>
    <w:rsid w:val="00834892"/>
    <w:rsid w:val="008359DA"/>
    <w:rsid w:val="008359F3"/>
    <w:rsid w:val="00835C7F"/>
    <w:rsid w:val="00835DB6"/>
    <w:rsid w:val="00836113"/>
    <w:rsid w:val="00836AC2"/>
    <w:rsid w:val="00836D7F"/>
    <w:rsid w:val="0083711B"/>
    <w:rsid w:val="00837188"/>
    <w:rsid w:val="008376FE"/>
    <w:rsid w:val="00837C00"/>
    <w:rsid w:val="00837D13"/>
    <w:rsid w:val="0084005B"/>
    <w:rsid w:val="0084051D"/>
    <w:rsid w:val="008406D5"/>
    <w:rsid w:val="008417E1"/>
    <w:rsid w:val="00841D7F"/>
    <w:rsid w:val="008425EB"/>
    <w:rsid w:val="00842833"/>
    <w:rsid w:val="0084289D"/>
    <w:rsid w:val="00842941"/>
    <w:rsid w:val="00843779"/>
    <w:rsid w:val="00843798"/>
    <w:rsid w:val="00843BED"/>
    <w:rsid w:val="00843FB3"/>
    <w:rsid w:val="008444E7"/>
    <w:rsid w:val="008447C8"/>
    <w:rsid w:val="00844C5B"/>
    <w:rsid w:val="00844F50"/>
    <w:rsid w:val="008451F5"/>
    <w:rsid w:val="00845856"/>
    <w:rsid w:val="00845944"/>
    <w:rsid w:val="00845DFB"/>
    <w:rsid w:val="00846833"/>
    <w:rsid w:val="008475D6"/>
    <w:rsid w:val="00847B37"/>
    <w:rsid w:val="00847CE5"/>
    <w:rsid w:val="008501A4"/>
    <w:rsid w:val="008502F2"/>
    <w:rsid w:val="008505A1"/>
    <w:rsid w:val="00850817"/>
    <w:rsid w:val="008508FD"/>
    <w:rsid w:val="00850D6A"/>
    <w:rsid w:val="00850D70"/>
    <w:rsid w:val="008511F2"/>
    <w:rsid w:val="00851D16"/>
    <w:rsid w:val="00851E54"/>
    <w:rsid w:val="00852005"/>
    <w:rsid w:val="0085284B"/>
    <w:rsid w:val="0085292C"/>
    <w:rsid w:val="0085292E"/>
    <w:rsid w:val="00852B02"/>
    <w:rsid w:val="00852B27"/>
    <w:rsid w:val="00853A16"/>
    <w:rsid w:val="00853B91"/>
    <w:rsid w:val="00853F97"/>
    <w:rsid w:val="0085433A"/>
    <w:rsid w:val="00854A85"/>
    <w:rsid w:val="00854B32"/>
    <w:rsid w:val="00854DD3"/>
    <w:rsid w:val="0085553C"/>
    <w:rsid w:val="00855F2B"/>
    <w:rsid w:val="00855FBE"/>
    <w:rsid w:val="00856252"/>
    <w:rsid w:val="00856C76"/>
    <w:rsid w:val="008570DF"/>
    <w:rsid w:val="008571A7"/>
    <w:rsid w:val="00857554"/>
    <w:rsid w:val="00857634"/>
    <w:rsid w:val="008577C7"/>
    <w:rsid w:val="008578B7"/>
    <w:rsid w:val="00857FFB"/>
    <w:rsid w:val="00860B38"/>
    <w:rsid w:val="0086124E"/>
    <w:rsid w:val="00861AF9"/>
    <w:rsid w:val="00861B74"/>
    <w:rsid w:val="00861DF4"/>
    <w:rsid w:val="00862DB7"/>
    <w:rsid w:val="00863C6A"/>
    <w:rsid w:val="00864A10"/>
    <w:rsid w:val="00864F86"/>
    <w:rsid w:val="00865089"/>
    <w:rsid w:val="008652C9"/>
    <w:rsid w:val="00865D8B"/>
    <w:rsid w:val="00866084"/>
    <w:rsid w:val="00866992"/>
    <w:rsid w:val="00866CA9"/>
    <w:rsid w:val="008676DF"/>
    <w:rsid w:val="00867897"/>
    <w:rsid w:val="00867AD6"/>
    <w:rsid w:val="00867C5B"/>
    <w:rsid w:val="00867E32"/>
    <w:rsid w:val="0087057E"/>
    <w:rsid w:val="00870AAD"/>
    <w:rsid w:val="00871909"/>
    <w:rsid w:val="00871EC0"/>
    <w:rsid w:val="008720A6"/>
    <w:rsid w:val="00872942"/>
    <w:rsid w:val="0087361A"/>
    <w:rsid w:val="00873B76"/>
    <w:rsid w:val="0087469C"/>
    <w:rsid w:val="00874DB9"/>
    <w:rsid w:val="0087504D"/>
    <w:rsid w:val="008754CA"/>
    <w:rsid w:val="0087568C"/>
    <w:rsid w:val="0087572F"/>
    <w:rsid w:val="00875991"/>
    <w:rsid w:val="00875BB1"/>
    <w:rsid w:val="00875BB5"/>
    <w:rsid w:val="008760C3"/>
    <w:rsid w:val="00876F26"/>
    <w:rsid w:val="008770A8"/>
    <w:rsid w:val="008771B6"/>
    <w:rsid w:val="008774D0"/>
    <w:rsid w:val="00877865"/>
    <w:rsid w:val="00877D1E"/>
    <w:rsid w:val="00877E86"/>
    <w:rsid w:val="00877FDD"/>
    <w:rsid w:val="0088015B"/>
    <w:rsid w:val="00880815"/>
    <w:rsid w:val="00880FED"/>
    <w:rsid w:val="00881415"/>
    <w:rsid w:val="0088186D"/>
    <w:rsid w:val="00881987"/>
    <w:rsid w:val="00881B40"/>
    <w:rsid w:val="00882A96"/>
    <w:rsid w:val="008841C8"/>
    <w:rsid w:val="0088463A"/>
    <w:rsid w:val="0088469F"/>
    <w:rsid w:val="0088480B"/>
    <w:rsid w:val="00884B9A"/>
    <w:rsid w:val="00884BD3"/>
    <w:rsid w:val="00885367"/>
    <w:rsid w:val="008853CE"/>
    <w:rsid w:val="008855A4"/>
    <w:rsid w:val="00885871"/>
    <w:rsid w:val="00885989"/>
    <w:rsid w:val="00885B0B"/>
    <w:rsid w:val="00885D27"/>
    <w:rsid w:val="00886050"/>
    <w:rsid w:val="008867F4"/>
    <w:rsid w:val="0088692D"/>
    <w:rsid w:val="00886EE2"/>
    <w:rsid w:val="00887082"/>
    <w:rsid w:val="0088722F"/>
    <w:rsid w:val="00887546"/>
    <w:rsid w:val="00887C8D"/>
    <w:rsid w:val="00887DC7"/>
    <w:rsid w:val="00890821"/>
    <w:rsid w:val="00890CE4"/>
    <w:rsid w:val="00890D3C"/>
    <w:rsid w:val="00891434"/>
    <w:rsid w:val="00891A0E"/>
    <w:rsid w:val="00891ADA"/>
    <w:rsid w:val="00891FCC"/>
    <w:rsid w:val="00892702"/>
    <w:rsid w:val="00892841"/>
    <w:rsid w:val="008928A8"/>
    <w:rsid w:val="00892ABE"/>
    <w:rsid w:val="00892BB8"/>
    <w:rsid w:val="00893014"/>
    <w:rsid w:val="008939C2"/>
    <w:rsid w:val="00893BAF"/>
    <w:rsid w:val="00894600"/>
    <w:rsid w:val="0089513A"/>
    <w:rsid w:val="008953B7"/>
    <w:rsid w:val="008954E8"/>
    <w:rsid w:val="00895D68"/>
    <w:rsid w:val="00896078"/>
    <w:rsid w:val="008961D5"/>
    <w:rsid w:val="008965FF"/>
    <w:rsid w:val="00896755"/>
    <w:rsid w:val="00896F38"/>
    <w:rsid w:val="00897A55"/>
    <w:rsid w:val="008A019D"/>
    <w:rsid w:val="008A0423"/>
    <w:rsid w:val="008A086B"/>
    <w:rsid w:val="008A0993"/>
    <w:rsid w:val="008A0F0E"/>
    <w:rsid w:val="008A12E6"/>
    <w:rsid w:val="008A140B"/>
    <w:rsid w:val="008A1565"/>
    <w:rsid w:val="008A195C"/>
    <w:rsid w:val="008A1C9E"/>
    <w:rsid w:val="008A2417"/>
    <w:rsid w:val="008A273A"/>
    <w:rsid w:val="008A2B57"/>
    <w:rsid w:val="008A2C79"/>
    <w:rsid w:val="008A344D"/>
    <w:rsid w:val="008A3976"/>
    <w:rsid w:val="008A4647"/>
    <w:rsid w:val="008A47EC"/>
    <w:rsid w:val="008A4A7A"/>
    <w:rsid w:val="008A4D6C"/>
    <w:rsid w:val="008A5034"/>
    <w:rsid w:val="008A553E"/>
    <w:rsid w:val="008A55C0"/>
    <w:rsid w:val="008A5D49"/>
    <w:rsid w:val="008A5D4A"/>
    <w:rsid w:val="008A60C7"/>
    <w:rsid w:val="008A63CF"/>
    <w:rsid w:val="008A6414"/>
    <w:rsid w:val="008A6952"/>
    <w:rsid w:val="008A69D6"/>
    <w:rsid w:val="008A6BDC"/>
    <w:rsid w:val="008A7333"/>
    <w:rsid w:val="008A7429"/>
    <w:rsid w:val="008A751E"/>
    <w:rsid w:val="008A756C"/>
    <w:rsid w:val="008A7A77"/>
    <w:rsid w:val="008B0547"/>
    <w:rsid w:val="008B05EB"/>
    <w:rsid w:val="008B0D83"/>
    <w:rsid w:val="008B113C"/>
    <w:rsid w:val="008B11A3"/>
    <w:rsid w:val="008B18B9"/>
    <w:rsid w:val="008B1CA6"/>
    <w:rsid w:val="008B1FE5"/>
    <w:rsid w:val="008B2AD7"/>
    <w:rsid w:val="008B2E7E"/>
    <w:rsid w:val="008B2FF0"/>
    <w:rsid w:val="008B302F"/>
    <w:rsid w:val="008B3675"/>
    <w:rsid w:val="008B3A74"/>
    <w:rsid w:val="008B3D72"/>
    <w:rsid w:val="008B3DF6"/>
    <w:rsid w:val="008B3ED8"/>
    <w:rsid w:val="008B411A"/>
    <w:rsid w:val="008B434A"/>
    <w:rsid w:val="008B4A47"/>
    <w:rsid w:val="008B50D8"/>
    <w:rsid w:val="008B5688"/>
    <w:rsid w:val="008B58F9"/>
    <w:rsid w:val="008B5DA7"/>
    <w:rsid w:val="008B6640"/>
    <w:rsid w:val="008B756E"/>
    <w:rsid w:val="008B79A7"/>
    <w:rsid w:val="008B7B55"/>
    <w:rsid w:val="008B7E1F"/>
    <w:rsid w:val="008C0339"/>
    <w:rsid w:val="008C12EF"/>
    <w:rsid w:val="008C15C2"/>
    <w:rsid w:val="008C1A4A"/>
    <w:rsid w:val="008C1AFD"/>
    <w:rsid w:val="008C25D0"/>
    <w:rsid w:val="008C2691"/>
    <w:rsid w:val="008C26D0"/>
    <w:rsid w:val="008C29EE"/>
    <w:rsid w:val="008C2ABC"/>
    <w:rsid w:val="008C31CD"/>
    <w:rsid w:val="008C3730"/>
    <w:rsid w:val="008C39CB"/>
    <w:rsid w:val="008C3A5B"/>
    <w:rsid w:val="008C3D50"/>
    <w:rsid w:val="008C437D"/>
    <w:rsid w:val="008C4823"/>
    <w:rsid w:val="008C4EF9"/>
    <w:rsid w:val="008C597E"/>
    <w:rsid w:val="008C5B71"/>
    <w:rsid w:val="008C5FFD"/>
    <w:rsid w:val="008C6B27"/>
    <w:rsid w:val="008C6BCE"/>
    <w:rsid w:val="008C6D01"/>
    <w:rsid w:val="008C7039"/>
    <w:rsid w:val="008C7559"/>
    <w:rsid w:val="008C7DC1"/>
    <w:rsid w:val="008D07A9"/>
    <w:rsid w:val="008D09E8"/>
    <w:rsid w:val="008D0E23"/>
    <w:rsid w:val="008D142E"/>
    <w:rsid w:val="008D1890"/>
    <w:rsid w:val="008D1A67"/>
    <w:rsid w:val="008D1FE1"/>
    <w:rsid w:val="008D2382"/>
    <w:rsid w:val="008D23DC"/>
    <w:rsid w:val="008D290D"/>
    <w:rsid w:val="008D2D76"/>
    <w:rsid w:val="008D2EB8"/>
    <w:rsid w:val="008D2F21"/>
    <w:rsid w:val="008D3521"/>
    <w:rsid w:val="008D3570"/>
    <w:rsid w:val="008D3C87"/>
    <w:rsid w:val="008D40B3"/>
    <w:rsid w:val="008D421A"/>
    <w:rsid w:val="008D4846"/>
    <w:rsid w:val="008D5667"/>
    <w:rsid w:val="008D61B7"/>
    <w:rsid w:val="008D62A6"/>
    <w:rsid w:val="008D675C"/>
    <w:rsid w:val="008D6B2F"/>
    <w:rsid w:val="008D6F5D"/>
    <w:rsid w:val="008D7CB3"/>
    <w:rsid w:val="008D7CB8"/>
    <w:rsid w:val="008D7F62"/>
    <w:rsid w:val="008E003A"/>
    <w:rsid w:val="008E08A4"/>
    <w:rsid w:val="008E15E3"/>
    <w:rsid w:val="008E197E"/>
    <w:rsid w:val="008E2045"/>
    <w:rsid w:val="008E28AE"/>
    <w:rsid w:val="008E3380"/>
    <w:rsid w:val="008E3AC0"/>
    <w:rsid w:val="008E3F76"/>
    <w:rsid w:val="008E4027"/>
    <w:rsid w:val="008E40B8"/>
    <w:rsid w:val="008E477B"/>
    <w:rsid w:val="008E4A1F"/>
    <w:rsid w:val="008E4C62"/>
    <w:rsid w:val="008E4E55"/>
    <w:rsid w:val="008E537D"/>
    <w:rsid w:val="008E6003"/>
    <w:rsid w:val="008E6A21"/>
    <w:rsid w:val="008E6BEC"/>
    <w:rsid w:val="008E6F9F"/>
    <w:rsid w:val="008E727E"/>
    <w:rsid w:val="008E72E1"/>
    <w:rsid w:val="008E7D97"/>
    <w:rsid w:val="008F03C0"/>
    <w:rsid w:val="008F03CB"/>
    <w:rsid w:val="008F05FB"/>
    <w:rsid w:val="008F0A4B"/>
    <w:rsid w:val="008F0B17"/>
    <w:rsid w:val="008F0C2D"/>
    <w:rsid w:val="008F0F1C"/>
    <w:rsid w:val="008F136C"/>
    <w:rsid w:val="008F1E31"/>
    <w:rsid w:val="008F1FA2"/>
    <w:rsid w:val="008F2619"/>
    <w:rsid w:val="008F2902"/>
    <w:rsid w:val="008F2FAB"/>
    <w:rsid w:val="008F3912"/>
    <w:rsid w:val="008F4047"/>
    <w:rsid w:val="008F4111"/>
    <w:rsid w:val="008F4593"/>
    <w:rsid w:val="008F4FDF"/>
    <w:rsid w:val="008F50FE"/>
    <w:rsid w:val="008F5604"/>
    <w:rsid w:val="008F5AE6"/>
    <w:rsid w:val="008F6220"/>
    <w:rsid w:val="008F660B"/>
    <w:rsid w:val="008F695F"/>
    <w:rsid w:val="008F6E12"/>
    <w:rsid w:val="008F7290"/>
    <w:rsid w:val="00900057"/>
    <w:rsid w:val="0090019D"/>
    <w:rsid w:val="00900516"/>
    <w:rsid w:val="009005CE"/>
    <w:rsid w:val="00900822"/>
    <w:rsid w:val="0090087F"/>
    <w:rsid w:val="00900C17"/>
    <w:rsid w:val="00900CF2"/>
    <w:rsid w:val="00901376"/>
    <w:rsid w:val="0090187D"/>
    <w:rsid w:val="0090188B"/>
    <w:rsid w:val="00901AF4"/>
    <w:rsid w:val="00901EE5"/>
    <w:rsid w:val="00901F83"/>
    <w:rsid w:val="009021A4"/>
    <w:rsid w:val="009027FA"/>
    <w:rsid w:val="009028CD"/>
    <w:rsid w:val="00902A54"/>
    <w:rsid w:val="0090306F"/>
    <w:rsid w:val="00903309"/>
    <w:rsid w:val="00904305"/>
    <w:rsid w:val="00904362"/>
    <w:rsid w:val="0090441C"/>
    <w:rsid w:val="009045D3"/>
    <w:rsid w:val="009047D9"/>
    <w:rsid w:val="00904986"/>
    <w:rsid w:val="00904C5A"/>
    <w:rsid w:val="00904EC5"/>
    <w:rsid w:val="00907498"/>
    <w:rsid w:val="009104A9"/>
    <w:rsid w:val="00910550"/>
    <w:rsid w:val="00910A48"/>
    <w:rsid w:val="00910C0D"/>
    <w:rsid w:val="0091159F"/>
    <w:rsid w:val="0091267A"/>
    <w:rsid w:val="00912C43"/>
    <w:rsid w:val="00912EEF"/>
    <w:rsid w:val="0091308F"/>
    <w:rsid w:val="00913417"/>
    <w:rsid w:val="00913517"/>
    <w:rsid w:val="00913571"/>
    <w:rsid w:val="00913751"/>
    <w:rsid w:val="0091389B"/>
    <w:rsid w:val="00913C37"/>
    <w:rsid w:val="0091406E"/>
    <w:rsid w:val="00914672"/>
    <w:rsid w:val="009149EC"/>
    <w:rsid w:val="00914ADE"/>
    <w:rsid w:val="00914B48"/>
    <w:rsid w:val="0091511B"/>
    <w:rsid w:val="00915779"/>
    <w:rsid w:val="00916549"/>
    <w:rsid w:val="00916A57"/>
    <w:rsid w:val="009172D7"/>
    <w:rsid w:val="009173D0"/>
    <w:rsid w:val="00917A34"/>
    <w:rsid w:val="00917AFB"/>
    <w:rsid w:val="00917B6F"/>
    <w:rsid w:val="00917D2C"/>
    <w:rsid w:val="00917E08"/>
    <w:rsid w:val="00917E84"/>
    <w:rsid w:val="00920D31"/>
    <w:rsid w:val="009211F2"/>
    <w:rsid w:val="00921A3E"/>
    <w:rsid w:val="00921A4F"/>
    <w:rsid w:val="00921B79"/>
    <w:rsid w:val="00922061"/>
    <w:rsid w:val="009226F4"/>
    <w:rsid w:val="00922CD3"/>
    <w:rsid w:val="0092336E"/>
    <w:rsid w:val="009236AA"/>
    <w:rsid w:val="009238AF"/>
    <w:rsid w:val="009239AA"/>
    <w:rsid w:val="00924173"/>
    <w:rsid w:val="0092425D"/>
    <w:rsid w:val="009245B5"/>
    <w:rsid w:val="009245D0"/>
    <w:rsid w:val="009248EF"/>
    <w:rsid w:val="00924AB4"/>
    <w:rsid w:val="009252B5"/>
    <w:rsid w:val="00925431"/>
    <w:rsid w:val="0092578D"/>
    <w:rsid w:val="00925DF7"/>
    <w:rsid w:val="00925EF2"/>
    <w:rsid w:val="00925F3C"/>
    <w:rsid w:val="00926204"/>
    <w:rsid w:val="009264C7"/>
    <w:rsid w:val="009265A0"/>
    <w:rsid w:val="00926984"/>
    <w:rsid w:val="009269E3"/>
    <w:rsid w:val="009274C7"/>
    <w:rsid w:val="00927CC9"/>
    <w:rsid w:val="0093097F"/>
    <w:rsid w:val="00930F0E"/>
    <w:rsid w:val="00932208"/>
    <w:rsid w:val="00932259"/>
    <w:rsid w:val="009327C5"/>
    <w:rsid w:val="00932814"/>
    <w:rsid w:val="00932973"/>
    <w:rsid w:val="00932ED6"/>
    <w:rsid w:val="009332F5"/>
    <w:rsid w:val="009336C8"/>
    <w:rsid w:val="009339EB"/>
    <w:rsid w:val="00933A1D"/>
    <w:rsid w:val="009346EA"/>
    <w:rsid w:val="00934BAF"/>
    <w:rsid w:val="00934D8A"/>
    <w:rsid w:val="00934F64"/>
    <w:rsid w:val="00934F6D"/>
    <w:rsid w:val="00935493"/>
    <w:rsid w:val="009354B8"/>
    <w:rsid w:val="009355A2"/>
    <w:rsid w:val="00935803"/>
    <w:rsid w:val="00935A19"/>
    <w:rsid w:val="00935B29"/>
    <w:rsid w:val="00935B3E"/>
    <w:rsid w:val="00935C40"/>
    <w:rsid w:val="00935C79"/>
    <w:rsid w:val="00935F4D"/>
    <w:rsid w:val="00936158"/>
    <w:rsid w:val="009361D3"/>
    <w:rsid w:val="00936798"/>
    <w:rsid w:val="0093685C"/>
    <w:rsid w:val="00936B5E"/>
    <w:rsid w:val="00936BFE"/>
    <w:rsid w:val="00936C7F"/>
    <w:rsid w:val="009373EF"/>
    <w:rsid w:val="009377EA"/>
    <w:rsid w:val="0093795C"/>
    <w:rsid w:val="00937DCB"/>
    <w:rsid w:val="00937EC9"/>
    <w:rsid w:val="00937F7E"/>
    <w:rsid w:val="0094001E"/>
    <w:rsid w:val="00940576"/>
    <w:rsid w:val="0094104B"/>
    <w:rsid w:val="0094141F"/>
    <w:rsid w:val="00942022"/>
    <w:rsid w:val="009425D0"/>
    <w:rsid w:val="00942814"/>
    <w:rsid w:val="00943395"/>
    <w:rsid w:val="00943453"/>
    <w:rsid w:val="00943D34"/>
    <w:rsid w:val="00943F9A"/>
    <w:rsid w:val="009440DE"/>
    <w:rsid w:val="00944198"/>
    <w:rsid w:val="0094429F"/>
    <w:rsid w:val="009444E6"/>
    <w:rsid w:val="009449E0"/>
    <w:rsid w:val="00944A8E"/>
    <w:rsid w:val="009450F0"/>
    <w:rsid w:val="009453E9"/>
    <w:rsid w:val="0094541F"/>
    <w:rsid w:val="009455E6"/>
    <w:rsid w:val="0094589B"/>
    <w:rsid w:val="00946A49"/>
    <w:rsid w:val="00947AEE"/>
    <w:rsid w:val="00950775"/>
    <w:rsid w:val="009509C0"/>
    <w:rsid w:val="00950AFF"/>
    <w:rsid w:val="00951313"/>
    <w:rsid w:val="00951938"/>
    <w:rsid w:val="00952A65"/>
    <w:rsid w:val="00952B9C"/>
    <w:rsid w:val="00952E93"/>
    <w:rsid w:val="009530DC"/>
    <w:rsid w:val="00953422"/>
    <w:rsid w:val="00953B70"/>
    <w:rsid w:val="00953CCB"/>
    <w:rsid w:val="00954978"/>
    <w:rsid w:val="00954C38"/>
    <w:rsid w:val="00955620"/>
    <w:rsid w:val="00955E2A"/>
    <w:rsid w:val="00956330"/>
    <w:rsid w:val="00956348"/>
    <w:rsid w:val="00956BA7"/>
    <w:rsid w:val="00956FD8"/>
    <w:rsid w:val="009575F7"/>
    <w:rsid w:val="009577D1"/>
    <w:rsid w:val="00957A98"/>
    <w:rsid w:val="00957B9A"/>
    <w:rsid w:val="00957E4B"/>
    <w:rsid w:val="0096021A"/>
    <w:rsid w:val="0096053C"/>
    <w:rsid w:val="00960F73"/>
    <w:rsid w:val="00961346"/>
    <w:rsid w:val="0096169A"/>
    <w:rsid w:val="00961A86"/>
    <w:rsid w:val="00961F29"/>
    <w:rsid w:val="009622D8"/>
    <w:rsid w:val="00962337"/>
    <w:rsid w:val="009624DE"/>
    <w:rsid w:val="00962C94"/>
    <w:rsid w:val="00962F11"/>
    <w:rsid w:val="009635FB"/>
    <w:rsid w:val="00964075"/>
    <w:rsid w:val="009642CA"/>
    <w:rsid w:val="00964559"/>
    <w:rsid w:val="00964B4C"/>
    <w:rsid w:val="00964BE5"/>
    <w:rsid w:val="00964ED5"/>
    <w:rsid w:val="00964F2B"/>
    <w:rsid w:val="009652B6"/>
    <w:rsid w:val="00965A36"/>
    <w:rsid w:val="00965CBD"/>
    <w:rsid w:val="00965D55"/>
    <w:rsid w:val="0096655D"/>
    <w:rsid w:val="009671A7"/>
    <w:rsid w:val="009675D1"/>
    <w:rsid w:val="009679CA"/>
    <w:rsid w:val="00967AB4"/>
    <w:rsid w:val="009703A7"/>
    <w:rsid w:val="009705AB"/>
    <w:rsid w:val="009707B6"/>
    <w:rsid w:val="009709EC"/>
    <w:rsid w:val="00970E8A"/>
    <w:rsid w:val="00971139"/>
    <w:rsid w:val="009712B4"/>
    <w:rsid w:val="00971F21"/>
    <w:rsid w:val="00971F5D"/>
    <w:rsid w:val="00972288"/>
    <w:rsid w:val="00972B10"/>
    <w:rsid w:val="00973B6E"/>
    <w:rsid w:val="00973E1D"/>
    <w:rsid w:val="00973F4A"/>
    <w:rsid w:val="0097401F"/>
    <w:rsid w:val="0097465C"/>
    <w:rsid w:val="00974DB6"/>
    <w:rsid w:val="00974E53"/>
    <w:rsid w:val="009754B8"/>
    <w:rsid w:val="00975603"/>
    <w:rsid w:val="00975E28"/>
    <w:rsid w:val="00976F32"/>
    <w:rsid w:val="0097752F"/>
    <w:rsid w:val="009778B7"/>
    <w:rsid w:val="00977D85"/>
    <w:rsid w:val="00980C3D"/>
    <w:rsid w:val="0098103C"/>
    <w:rsid w:val="00981234"/>
    <w:rsid w:val="009812A8"/>
    <w:rsid w:val="00981632"/>
    <w:rsid w:val="00981F17"/>
    <w:rsid w:val="00981FA0"/>
    <w:rsid w:val="00982496"/>
    <w:rsid w:val="009825AE"/>
    <w:rsid w:val="0098263A"/>
    <w:rsid w:val="00983541"/>
    <w:rsid w:val="00983A7B"/>
    <w:rsid w:val="00984046"/>
    <w:rsid w:val="00984366"/>
    <w:rsid w:val="00984666"/>
    <w:rsid w:val="009848A7"/>
    <w:rsid w:val="00984E80"/>
    <w:rsid w:val="00985656"/>
    <w:rsid w:val="00985B6F"/>
    <w:rsid w:val="009861A8"/>
    <w:rsid w:val="0098634E"/>
    <w:rsid w:val="0098690F"/>
    <w:rsid w:val="00986A7E"/>
    <w:rsid w:val="00986FBE"/>
    <w:rsid w:val="0098701B"/>
    <w:rsid w:val="00987088"/>
    <w:rsid w:val="009870A0"/>
    <w:rsid w:val="0098752A"/>
    <w:rsid w:val="00987994"/>
    <w:rsid w:val="00987A84"/>
    <w:rsid w:val="00987ACF"/>
    <w:rsid w:val="00987B36"/>
    <w:rsid w:val="00987C66"/>
    <w:rsid w:val="00987EE5"/>
    <w:rsid w:val="009900F0"/>
    <w:rsid w:val="00990180"/>
    <w:rsid w:val="00990C67"/>
    <w:rsid w:val="00990E8A"/>
    <w:rsid w:val="00991CD8"/>
    <w:rsid w:val="00991EBE"/>
    <w:rsid w:val="009923AC"/>
    <w:rsid w:val="00992830"/>
    <w:rsid w:val="009928B3"/>
    <w:rsid w:val="00992A4A"/>
    <w:rsid w:val="00992B6B"/>
    <w:rsid w:val="00992C88"/>
    <w:rsid w:val="00993431"/>
    <w:rsid w:val="00993495"/>
    <w:rsid w:val="00993B9D"/>
    <w:rsid w:val="00993C2E"/>
    <w:rsid w:val="00993D33"/>
    <w:rsid w:val="0099454E"/>
    <w:rsid w:val="0099456D"/>
    <w:rsid w:val="00994618"/>
    <w:rsid w:val="00994F60"/>
    <w:rsid w:val="00995151"/>
    <w:rsid w:val="0099545F"/>
    <w:rsid w:val="00995BF1"/>
    <w:rsid w:val="00995DF2"/>
    <w:rsid w:val="00997832"/>
    <w:rsid w:val="00997905"/>
    <w:rsid w:val="00997A8C"/>
    <w:rsid w:val="00997B51"/>
    <w:rsid w:val="00997B80"/>
    <w:rsid w:val="00997C8A"/>
    <w:rsid w:val="009A019F"/>
    <w:rsid w:val="009A0493"/>
    <w:rsid w:val="009A0547"/>
    <w:rsid w:val="009A0CFB"/>
    <w:rsid w:val="009A0E89"/>
    <w:rsid w:val="009A0F40"/>
    <w:rsid w:val="009A0F9E"/>
    <w:rsid w:val="009A11C4"/>
    <w:rsid w:val="009A1339"/>
    <w:rsid w:val="009A188A"/>
    <w:rsid w:val="009A1A95"/>
    <w:rsid w:val="009A1BCF"/>
    <w:rsid w:val="009A1C41"/>
    <w:rsid w:val="009A1D11"/>
    <w:rsid w:val="009A26E9"/>
    <w:rsid w:val="009A2C26"/>
    <w:rsid w:val="009A2CCC"/>
    <w:rsid w:val="009A2F68"/>
    <w:rsid w:val="009A3006"/>
    <w:rsid w:val="009A3994"/>
    <w:rsid w:val="009A3BB3"/>
    <w:rsid w:val="009A4241"/>
    <w:rsid w:val="009A42F6"/>
    <w:rsid w:val="009A45C8"/>
    <w:rsid w:val="009A4EAD"/>
    <w:rsid w:val="009A50CD"/>
    <w:rsid w:val="009A52F3"/>
    <w:rsid w:val="009A532D"/>
    <w:rsid w:val="009A59FF"/>
    <w:rsid w:val="009A65F4"/>
    <w:rsid w:val="009B03E8"/>
    <w:rsid w:val="009B06C0"/>
    <w:rsid w:val="009B09BF"/>
    <w:rsid w:val="009B0B80"/>
    <w:rsid w:val="009B0E76"/>
    <w:rsid w:val="009B0F4A"/>
    <w:rsid w:val="009B1811"/>
    <w:rsid w:val="009B1B10"/>
    <w:rsid w:val="009B1DAD"/>
    <w:rsid w:val="009B2107"/>
    <w:rsid w:val="009B23FD"/>
    <w:rsid w:val="009B2839"/>
    <w:rsid w:val="009B2CAA"/>
    <w:rsid w:val="009B2FB9"/>
    <w:rsid w:val="009B3134"/>
    <w:rsid w:val="009B3668"/>
    <w:rsid w:val="009B436E"/>
    <w:rsid w:val="009B4598"/>
    <w:rsid w:val="009B45C4"/>
    <w:rsid w:val="009B4C24"/>
    <w:rsid w:val="009B4E58"/>
    <w:rsid w:val="009B57F6"/>
    <w:rsid w:val="009B5B02"/>
    <w:rsid w:val="009B5B0F"/>
    <w:rsid w:val="009B5BD6"/>
    <w:rsid w:val="009B5D6F"/>
    <w:rsid w:val="009B62AF"/>
    <w:rsid w:val="009B6745"/>
    <w:rsid w:val="009B68AF"/>
    <w:rsid w:val="009B6ED3"/>
    <w:rsid w:val="009B74EA"/>
    <w:rsid w:val="009B7549"/>
    <w:rsid w:val="009B7AB7"/>
    <w:rsid w:val="009B7AB9"/>
    <w:rsid w:val="009C0567"/>
    <w:rsid w:val="009C0894"/>
    <w:rsid w:val="009C0AF5"/>
    <w:rsid w:val="009C0C4E"/>
    <w:rsid w:val="009C1101"/>
    <w:rsid w:val="009C1647"/>
    <w:rsid w:val="009C1D47"/>
    <w:rsid w:val="009C22E6"/>
    <w:rsid w:val="009C2E9D"/>
    <w:rsid w:val="009C33CA"/>
    <w:rsid w:val="009C39AF"/>
    <w:rsid w:val="009C3EB1"/>
    <w:rsid w:val="009C4359"/>
    <w:rsid w:val="009C4B6D"/>
    <w:rsid w:val="009C57AC"/>
    <w:rsid w:val="009C5B2F"/>
    <w:rsid w:val="009C5EDE"/>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890"/>
    <w:rsid w:val="009D3B41"/>
    <w:rsid w:val="009D4062"/>
    <w:rsid w:val="009D45C8"/>
    <w:rsid w:val="009D4D44"/>
    <w:rsid w:val="009D4FF7"/>
    <w:rsid w:val="009D5393"/>
    <w:rsid w:val="009D5445"/>
    <w:rsid w:val="009D5604"/>
    <w:rsid w:val="009D565F"/>
    <w:rsid w:val="009D6026"/>
    <w:rsid w:val="009D65B9"/>
    <w:rsid w:val="009D6C11"/>
    <w:rsid w:val="009D6C99"/>
    <w:rsid w:val="009D70EE"/>
    <w:rsid w:val="009D7194"/>
    <w:rsid w:val="009D733B"/>
    <w:rsid w:val="009D7949"/>
    <w:rsid w:val="009E0488"/>
    <w:rsid w:val="009E04DC"/>
    <w:rsid w:val="009E0931"/>
    <w:rsid w:val="009E0FB3"/>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6EE"/>
    <w:rsid w:val="009E681A"/>
    <w:rsid w:val="009E733E"/>
    <w:rsid w:val="009E74C5"/>
    <w:rsid w:val="009F015D"/>
    <w:rsid w:val="009F01DB"/>
    <w:rsid w:val="009F1041"/>
    <w:rsid w:val="009F18E8"/>
    <w:rsid w:val="009F202B"/>
    <w:rsid w:val="009F20C6"/>
    <w:rsid w:val="009F2E7E"/>
    <w:rsid w:val="009F37BF"/>
    <w:rsid w:val="009F3DA5"/>
    <w:rsid w:val="009F4326"/>
    <w:rsid w:val="009F43AF"/>
    <w:rsid w:val="009F4D5E"/>
    <w:rsid w:val="009F519F"/>
    <w:rsid w:val="009F5834"/>
    <w:rsid w:val="009F5ABD"/>
    <w:rsid w:val="009F5E79"/>
    <w:rsid w:val="009F7078"/>
    <w:rsid w:val="009F7379"/>
    <w:rsid w:val="009F73DA"/>
    <w:rsid w:val="009F7B0A"/>
    <w:rsid w:val="009F7BB2"/>
    <w:rsid w:val="009F7FA6"/>
    <w:rsid w:val="00A00005"/>
    <w:rsid w:val="00A00028"/>
    <w:rsid w:val="00A001C8"/>
    <w:rsid w:val="00A0032D"/>
    <w:rsid w:val="00A0082F"/>
    <w:rsid w:val="00A00AE7"/>
    <w:rsid w:val="00A01593"/>
    <w:rsid w:val="00A016AA"/>
    <w:rsid w:val="00A01B3E"/>
    <w:rsid w:val="00A0244C"/>
    <w:rsid w:val="00A02A53"/>
    <w:rsid w:val="00A02EFA"/>
    <w:rsid w:val="00A033FF"/>
    <w:rsid w:val="00A038D7"/>
    <w:rsid w:val="00A03FA4"/>
    <w:rsid w:val="00A0409E"/>
    <w:rsid w:val="00A046C7"/>
    <w:rsid w:val="00A04E2C"/>
    <w:rsid w:val="00A04EDA"/>
    <w:rsid w:val="00A05840"/>
    <w:rsid w:val="00A05843"/>
    <w:rsid w:val="00A06137"/>
    <w:rsid w:val="00A063FE"/>
    <w:rsid w:val="00A06C38"/>
    <w:rsid w:val="00A06EDB"/>
    <w:rsid w:val="00A07ACC"/>
    <w:rsid w:val="00A11259"/>
    <w:rsid w:val="00A11430"/>
    <w:rsid w:val="00A1184F"/>
    <w:rsid w:val="00A11BFE"/>
    <w:rsid w:val="00A122A9"/>
    <w:rsid w:val="00A122C5"/>
    <w:rsid w:val="00A123F2"/>
    <w:rsid w:val="00A131A1"/>
    <w:rsid w:val="00A1329C"/>
    <w:rsid w:val="00A138CF"/>
    <w:rsid w:val="00A13A8C"/>
    <w:rsid w:val="00A13DEE"/>
    <w:rsid w:val="00A13E26"/>
    <w:rsid w:val="00A141DC"/>
    <w:rsid w:val="00A14503"/>
    <w:rsid w:val="00A14928"/>
    <w:rsid w:val="00A14E25"/>
    <w:rsid w:val="00A14E81"/>
    <w:rsid w:val="00A15901"/>
    <w:rsid w:val="00A15EDC"/>
    <w:rsid w:val="00A160DD"/>
    <w:rsid w:val="00A16331"/>
    <w:rsid w:val="00A163B8"/>
    <w:rsid w:val="00A1640D"/>
    <w:rsid w:val="00A16896"/>
    <w:rsid w:val="00A16A60"/>
    <w:rsid w:val="00A16A7B"/>
    <w:rsid w:val="00A17A3D"/>
    <w:rsid w:val="00A17BC7"/>
    <w:rsid w:val="00A20252"/>
    <w:rsid w:val="00A203C2"/>
    <w:rsid w:val="00A2062A"/>
    <w:rsid w:val="00A2065D"/>
    <w:rsid w:val="00A2066E"/>
    <w:rsid w:val="00A20765"/>
    <w:rsid w:val="00A210E7"/>
    <w:rsid w:val="00A21D7A"/>
    <w:rsid w:val="00A21E19"/>
    <w:rsid w:val="00A21EE2"/>
    <w:rsid w:val="00A22796"/>
    <w:rsid w:val="00A22B7C"/>
    <w:rsid w:val="00A22C2E"/>
    <w:rsid w:val="00A2308C"/>
    <w:rsid w:val="00A233F6"/>
    <w:rsid w:val="00A2348F"/>
    <w:rsid w:val="00A236A1"/>
    <w:rsid w:val="00A239A8"/>
    <w:rsid w:val="00A24599"/>
    <w:rsid w:val="00A24FBC"/>
    <w:rsid w:val="00A25B79"/>
    <w:rsid w:val="00A25D7B"/>
    <w:rsid w:val="00A260A0"/>
    <w:rsid w:val="00A273A9"/>
    <w:rsid w:val="00A27FF0"/>
    <w:rsid w:val="00A30007"/>
    <w:rsid w:val="00A300CB"/>
    <w:rsid w:val="00A3064C"/>
    <w:rsid w:val="00A30683"/>
    <w:rsid w:val="00A307BD"/>
    <w:rsid w:val="00A3101A"/>
    <w:rsid w:val="00A3115F"/>
    <w:rsid w:val="00A3194F"/>
    <w:rsid w:val="00A31BFC"/>
    <w:rsid w:val="00A31E6C"/>
    <w:rsid w:val="00A32209"/>
    <w:rsid w:val="00A324D8"/>
    <w:rsid w:val="00A32BA0"/>
    <w:rsid w:val="00A32BC7"/>
    <w:rsid w:val="00A32D77"/>
    <w:rsid w:val="00A32DFD"/>
    <w:rsid w:val="00A32F2C"/>
    <w:rsid w:val="00A33030"/>
    <w:rsid w:val="00A3314D"/>
    <w:rsid w:val="00A33991"/>
    <w:rsid w:val="00A34307"/>
    <w:rsid w:val="00A35595"/>
    <w:rsid w:val="00A35A7A"/>
    <w:rsid w:val="00A36427"/>
    <w:rsid w:val="00A36845"/>
    <w:rsid w:val="00A36BDF"/>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C7"/>
    <w:rsid w:val="00A4568D"/>
    <w:rsid w:val="00A45893"/>
    <w:rsid w:val="00A459E6"/>
    <w:rsid w:val="00A45A7F"/>
    <w:rsid w:val="00A4679A"/>
    <w:rsid w:val="00A473D7"/>
    <w:rsid w:val="00A477C6"/>
    <w:rsid w:val="00A478FA"/>
    <w:rsid w:val="00A47D31"/>
    <w:rsid w:val="00A50BCE"/>
    <w:rsid w:val="00A51CBF"/>
    <w:rsid w:val="00A51DF8"/>
    <w:rsid w:val="00A5205B"/>
    <w:rsid w:val="00A5219C"/>
    <w:rsid w:val="00A5256F"/>
    <w:rsid w:val="00A52D8E"/>
    <w:rsid w:val="00A52DA1"/>
    <w:rsid w:val="00A53AA9"/>
    <w:rsid w:val="00A54367"/>
    <w:rsid w:val="00A544CD"/>
    <w:rsid w:val="00A5485E"/>
    <w:rsid w:val="00A5499C"/>
    <w:rsid w:val="00A54CCB"/>
    <w:rsid w:val="00A54E77"/>
    <w:rsid w:val="00A55C52"/>
    <w:rsid w:val="00A5605D"/>
    <w:rsid w:val="00A560D5"/>
    <w:rsid w:val="00A56A2B"/>
    <w:rsid w:val="00A57301"/>
    <w:rsid w:val="00A574C8"/>
    <w:rsid w:val="00A574DE"/>
    <w:rsid w:val="00A5757E"/>
    <w:rsid w:val="00A57A93"/>
    <w:rsid w:val="00A60A6E"/>
    <w:rsid w:val="00A60F52"/>
    <w:rsid w:val="00A61DFE"/>
    <w:rsid w:val="00A61F91"/>
    <w:rsid w:val="00A62AA8"/>
    <w:rsid w:val="00A62D15"/>
    <w:rsid w:val="00A63062"/>
    <w:rsid w:val="00A630D8"/>
    <w:rsid w:val="00A637A4"/>
    <w:rsid w:val="00A63B4C"/>
    <w:rsid w:val="00A63F67"/>
    <w:rsid w:val="00A64067"/>
    <w:rsid w:val="00A640B1"/>
    <w:rsid w:val="00A6508F"/>
    <w:rsid w:val="00A6526F"/>
    <w:rsid w:val="00A65284"/>
    <w:rsid w:val="00A65373"/>
    <w:rsid w:val="00A65854"/>
    <w:rsid w:val="00A6594D"/>
    <w:rsid w:val="00A6604B"/>
    <w:rsid w:val="00A6633B"/>
    <w:rsid w:val="00A664AD"/>
    <w:rsid w:val="00A664E7"/>
    <w:rsid w:val="00A66C39"/>
    <w:rsid w:val="00A66E7F"/>
    <w:rsid w:val="00A66F54"/>
    <w:rsid w:val="00A671A4"/>
    <w:rsid w:val="00A673A7"/>
    <w:rsid w:val="00A675F4"/>
    <w:rsid w:val="00A67670"/>
    <w:rsid w:val="00A6781C"/>
    <w:rsid w:val="00A6786C"/>
    <w:rsid w:val="00A678AB"/>
    <w:rsid w:val="00A67917"/>
    <w:rsid w:val="00A679B0"/>
    <w:rsid w:val="00A67A14"/>
    <w:rsid w:val="00A67F19"/>
    <w:rsid w:val="00A70225"/>
    <w:rsid w:val="00A70517"/>
    <w:rsid w:val="00A708DF"/>
    <w:rsid w:val="00A70904"/>
    <w:rsid w:val="00A709BB"/>
    <w:rsid w:val="00A717CF"/>
    <w:rsid w:val="00A71BA3"/>
    <w:rsid w:val="00A72239"/>
    <w:rsid w:val="00A722E2"/>
    <w:rsid w:val="00A72D44"/>
    <w:rsid w:val="00A72FAC"/>
    <w:rsid w:val="00A73406"/>
    <w:rsid w:val="00A735A4"/>
    <w:rsid w:val="00A7377A"/>
    <w:rsid w:val="00A740EA"/>
    <w:rsid w:val="00A7424A"/>
    <w:rsid w:val="00A74597"/>
    <w:rsid w:val="00A74A7D"/>
    <w:rsid w:val="00A7542C"/>
    <w:rsid w:val="00A756FE"/>
    <w:rsid w:val="00A757F9"/>
    <w:rsid w:val="00A759BE"/>
    <w:rsid w:val="00A75BC4"/>
    <w:rsid w:val="00A75C52"/>
    <w:rsid w:val="00A764E0"/>
    <w:rsid w:val="00A767B2"/>
    <w:rsid w:val="00A76BDD"/>
    <w:rsid w:val="00A7717C"/>
    <w:rsid w:val="00A774B2"/>
    <w:rsid w:val="00A77C30"/>
    <w:rsid w:val="00A77C6C"/>
    <w:rsid w:val="00A77CCE"/>
    <w:rsid w:val="00A80549"/>
    <w:rsid w:val="00A809BE"/>
    <w:rsid w:val="00A80B0C"/>
    <w:rsid w:val="00A81234"/>
    <w:rsid w:val="00A81367"/>
    <w:rsid w:val="00A819D7"/>
    <w:rsid w:val="00A81B11"/>
    <w:rsid w:val="00A82229"/>
    <w:rsid w:val="00A82323"/>
    <w:rsid w:val="00A8244E"/>
    <w:rsid w:val="00A82662"/>
    <w:rsid w:val="00A827FC"/>
    <w:rsid w:val="00A82B9E"/>
    <w:rsid w:val="00A82D16"/>
    <w:rsid w:val="00A82F78"/>
    <w:rsid w:val="00A831CF"/>
    <w:rsid w:val="00A831FB"/>
    <w:rsid w:val="00A833BB"/>
    <w:rsid w:val="00A8358F"/>
    <w:rsid w:val="00A83BC5"/>
    <w:rsid w:val="00A84186"/>
    <w:rsid w:val="00A846F1"/>
    <w:rsid w:val="00A84937"/>
    <w:rsid w:val="00A857B4"/>
    <w:rsid w:val="00A85B14"/>
    <w:rsid w:val="00A85B90"/>
    <w:rsid w:val="00A8674E"/>
    <w:rsid w:val="00A875C0"/>
    <w:rsid w:val="00A87C15"/>
    <w:rsid w:val="00A90925"/>
    <w:rsid w:val="00A90DDB"/>
    <w:rsid w:val="00A925D7"/>
    <w:rsid w:val="00A92706"/>
    <w:rsid w:val="00A9281E"/>
    <w:rsid w:val="00A92939"/>
    <w:rsid w:val="00A92CF1"/>
    <w:rsid w:val="00A93190"/>
    <w:rsid w:val="00A93DAF"/>
    <w:rsid w:val="00A93E6F"/>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B2"/>
    <w:rsid w:val="00AA3A4A"/>
    <w:rsid w:val="00AA3DB9"/>
    <w:rsid w:val="00AA421C"/>
    <w:rsid w:val="00AA4590"/>
    <w:rsid w:val="00AA46CC"/>
    <w:rsid w:val="00AA46CE"/>
    <w:rsid w:val="00AA49AF"/>
    <w:rsid w:val="00AA4F2F"/>
    <w:rsid w:val="00AA57CE"/>
    <w:rsid w:val="00AA5AD2"/>
    <w:rsid w:val="00AA5ADC"/>
    <w:rsid w:val="00AA5D14"/>
    <w:rsid w:val="00AA5D22"/>
    <w:rsid w:val="00AA5DF4"/>
    <w:rsid w:val="00AA5E45"/>
    <w:rsid w:val="00AA6C4B"/>
    <w:rsid w:val="00AA6CB3"/>
    <w:rsid w:val="00AA6E1B"/>
    <w:rsid w:val="00AA7078"/>
    <w:rsid w:val="00AA7211"/>
    <w:rsid w:val="00AA7540"/>
    <w:rsid w:val="00AA7779"/>
    <w:rsid w:val="00AA780F"/>
    <w:rsid w:val="00AA7B8C"/>
    <w:rsid w:val="00AB009E"/>
    <w:rsid w:val="00AB0B9C"/>
    <w:rsid w:val="00AB0EAC"/>
    <w:rsid w:val="00AB10A3"/>
    <w:rsid w:val="00AB12C8"/>
    <w:rsid w:val="00AB146D"/>
    <w:rsid w:val="00AB1BB4"/>
    <w:rsid w:val="00AB1DEB"/>
    <w:rsid w:val="00AB2769"/>
    <w:rsid w:val="00AB27AA"/>
    <w:rsid w:val="00AB2A85"/>
    <w:rsid w:val="00AB3283"/>
    <w:rsid w:val="00AB38AD"/>
    <w:rsid w:val="00AB3C8A"/>
    <w:rsid w:val="00AB3E6B"/>
    <w:rsid w:val="00AB4C48"/>
    <w:rsid w:val="00AB4D0B"/>
    <w:rsid w:val="00AB51C8"/>
    <w:rsid w:val="00AB5586"/>
    <w:rsid w:val="00AB5FC3"/>
    <w:rsid w:val="00AB61E4"/>
    <w:rsid w:val="00AB6406"/>
    <w:rsid w:val="00AB65B4"/>
    <w:rsid w:val="00AB737B"/>
    <w:rsid w:val="00AB7918"/>
    <w:rsid w:val="00AB7B25"/>
    <w:rsid w:val="00AB7CB8"/>
    <w:rsid w:val="00AC00E7"/>
    <w:rsid w:val="00AC06DB"/>
    <w:rsid w:val="00AC0BAE"/>
    <w:rsid w:val="00AC0E78"/>
    <w:rsid w:val="00AC10AA"/>
    <w:rsid w:val="00AC126F"/>
    <w:rsid w:val="00AC13D9"/>
    <w:rsid w:val="00AC13F7"/>
    <w:rsid w:val="00AC1BD7"/>
    <w:rsid w:val="00AC1E9C"/>
    <w:rsid w:val="00AC2005"/>
    <w:rsid w:val="00AC265D"/>
    <w:rsid w:val="00AC2A1F"/>
    <w:rsid w:val="00AC3256"/>
    <w:rsid w:val="00AC3304"/>
    <w:rsid w:val="00AC3DC0"/>
    <w:rsid w:val="00AC409D"/>
    <w:rsid w:val="00AC426D"/>
    <w:rsid w:val="00AC43D2"/>
    <w:rsid w:val="00AC47AE"/>
    <w:rsid w:val="00AC4A94"/>
    <w:rsid w:val="00AC4B34"/>
    <w:rsid w:val="00AC4F91"/>
    <w:rsid w:val="00AC50A6"/>
    <w:rsid w:val="00AC55C0"/>
    <w:rsid w:val="00AC5C45"/>
    <w:rsid w:val="00AC66A0"/>
    <w:rsid w:val="00AC6DE2"/>
    <w:rsid w:val="00AC6EA6"/>
    <w:rsid w:val="00AC70D4"/>
    <w:rsid w:val="00AC737D"/>
    <w:rsid w:val="00AC7655"/>
    <w:rsid w:val="00AC76A6"/>
    <w:rsid w:val="00AC7E8B"/>
    <w:rsid w:val="00AC7F43"/>
    <w:rsid w:val="00AC7F52"/>
    <w:rsid w:val="00AD0007"/>
    <w:rsid w:val="00AD05A6"/>
    <w:rsid w:val="00AD06AC"/>
    <w:rsid w:val="00AD0ABD"/>
    <w:rsid w:val="00AD2262"/>
    <w:rsid w:val="00AD22C5"/>
    <w:rsid w:val="00AD2519"/>
    <w:rsid w:val="00AD283D"/>
    <w:rsid w:val="00AD294A"/>
    <w:rsid w:val="00AD3115"/>
    <w:rsid w:val="00AD3920"/>
    <w:rsid w:val="00AD3D9F"/>
    <w:rsid w:val="00AD4D66"/>
    <w:rsid w:val="00AD516C"/>
    <w:rsid w:val="00AD5922"/>
    <w:rsid w:val="00AD5E96"/>
    <w:rsid w:val="00AD5F80"/>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F4"/>
    <w:rsid w:val="00AE1AB0"/>
    <w:rsid w:val="00AE1DF8"/>
    <w:rsid w:val="00AE1E93"/>
    <w:rsid w:val="00AE2143"/>
    <w:rsid w:val="00AE2192"/>
    <w:rsid w:val="00AE2609"/>
    <w:rsid w:val="00AE2684"/>
    <w:rsid w:val="00AE29A8"/>
    <w:rsid w:val="00AE3960"/>
    <w:rsid w:val="00AE4074"/>
    <w:rsid w:val="00AE439A"/>
    <w:rsid w:val="00AE54D5"/>
    <w:rsid w:val="00AE591D"/>
    <w:rsid w:val="00AE617A"/>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FB"/>
    <w:rsid w:val="00AF2FFD"/>
    <w:rsid w:val="00AF3458"/>
    <w:rsid w:val="00AF37F7"/>
    <w:rsid w:val="00AF3888"/>
    <w:rsid w:val="00AF3A05"/>
    <w:rsid w:val="00AF44C8"/>
    <w:rsid w:val="00AF4BF4"/>
    <w:rsid w:val="00AF4BF9"/>
    <w:rsid w:val="00AF551F"/>
    <w:rsid w:val="00AF55FA"/>
    <w:rsid w:val="00AF5706"/>
    <w:rsid w:val="00AF5967"/>
    <w:rsid w:val="00AF5A88"/>
    <w:rsid w:val="00AF5AE8"/>
    <w:rsid w:val="00AF5F84"/>
    <w:rsid w:val="00AF6EEF"/>
    <w:rsid w:val="00AF735A"/>
    <w:rsid w:val="00AF75FC"/>
    <w:rsid w:val="00B0025D"/>
    <w:rsid w:val="00B006D8"/>
    <w:rsid w:val="00B0073B"/>
    <w:rsid w:val="00B02174"/>
    <w:rsid w:val="00B02209"/>
    <w:rsid w:val="00B02238"/>
    <w:rsid w:val="00B02265"/>
    <w:rsid w:val="00B02892"/>
    <w:rsid w:val="00B0313D"/>
    <w:rsid w:val="00B03337"/>
    <w:rsid w:val="00B035B0"/>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231B"/>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BDD"/>
    <w:rsid w:val="00B17CA4"/>
    <w:rsid w:val="00B17FBB"/>
    <w:rsid w:val="00B200F2"/>
    <w:rsid w:val="00B20223"/>
    <w:rsid w:val="00B20496"/>
    <w:rsid w:val="00B20833"/>
    <w:rsid w:val="00B20BDB"/>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2FE"/>
    <w:rsid w:val="00B23522"/>
    <w:rsid w:val="00B2376E"/>
    <w:rsid w:val="00B2388A"/>
    <w:rsid w:val="00B23EB7"/>
    <w:rsid w:val="00B23FFE"/>
    <w:rsid w:val="00B240EE"/>
    <w:rsid w:val="00B243EB"/>
    <w:rsid w:val="00B24581"/>
    <w:rsid w:val="00B24C80"/>
    <w:rsid w:val="00B24FB1"/>
    <w:rsid w:val="00B25143"/>
    <w:rsid w:val="00B251DE"/>
    <w:rsid w:val="00B25825"/>
    <w:rsid w:val="00B2585D"/>
    <w:rsid w:val="00B25962"/>
    <w:rsid w:val="00B25E57"/>
    <w:rsid w:val="00B266FA"/>
    <w:rsid w:val="00B269DB"/>
    <w:rsid w:val="00B26A9C"/>
    <w:rsid w:val="00B26C40"/>
    <w:rsid w:val="00B26D82"/>
    <w:rsid w:val="00B27359"/>
    <w:rsid w:val="00B308E6"/>
    <w:rsid w:val="00B30B4B"/>
    <w:rsid w:val="00B30BA2"/>
    <w:rsid w:val="00B30D09"/>
    <w:rsid w:val="00B30E29"/>
    <w:rsid w:val="00B30F71"/>
    <w:rsid w:val="00B3172B"/>
    <w:rsid w:val="00B3194F"/>
    <w:rsid w:val="00B31C49"/>
    <w:rsid w:val="00B31DDF"/>
    <w:rsid w:val="00B32EB9"/>
    <w:rsid w:val="00B3312D"/>
    <w:rsid w:val="00B333F8"/>
    <w:rsid w:val="00B3374A"/>
    <w:rsid w:val="00B33974"/>
    <w:rsid w:val="00B33B47"/>
    <w:rsid w:val="00B33D16"/>
    <w:rsid w:val="00B33F57"/>
    <w:rsid w:val="00B33FC2"/>
    <w:rsid w:val="00B3423E"/>
    <w:rsid w:val="00B347F1"/>
    <w:rsid w:val="00B348F0"/>
    <w:rsid w:val="00B34A39"/>
    <w:rsid w:val="00B34A99"/>
    <w:rsid w:val="00B34CFF"/>
    <w:rsid w:val="00B3502B"/>
    <w:rsid w:val="00B3537B"/>
    <w:rsid w:val="00B35755"/>
    <w:rsid w:val="00B35774"/>
    <w:rsid w:val="00B3599F"/>
    <w:rsid w:val="00B35C3E"/>
    <w:rsid w:val="00B3602A"/>
    <w:rsid w:val="00B36473"/>
    <w:rsid w:val="00B3656D"/>
    <w:rsid w:val="00B36577"/>
    <w:rsid w:val="00B3796C"/>
    <w:rsid w:val="00B37B12"/>
    <w:rsid w:val="00B37ECE"/>
    <w:rsid w:val="00B40111"/>
    <w:rsid w:val="00B401F3"/>
    <w:rsid w:val="00B402DA"/>
    <w:rsid w:val="00B404B2"/>
    <w:rsid w:val="00B408FD"/>
    <w:rsid w:val="00B40A2D"/>
    <w:rsid w:val="00B40BEA"/>
    <w:rsid w:val="00B40EC3"/>
    <w:rsid w:val="00B4140A"/>
    <w:rsid w:val="00B414C9"/>
    <w:rsid w:val="00B4167C"/>
    <w:rsid w:val="00B41962"/>
    <w:rsid w:val="00B41D9D"/>
    <w:rsid w:val="00B4220C"/>
    <w:rsid w:val="00B42372"/>
    <w:rsid w:val="00B42D97"/>
    <w:rsid w:val="00B42DCD"/>
    <w:rsid w:val="00B431BA"/>
    <w:rsid w:val="00B43B2D"/>
    <w:rsid w:val="00B44029"/>
    <w:rsid w:val="00B44653"/>
    <w:rsid w:val="00B44C12"/>
    <w:rsid w:val="00B44FFA"/>
    <w:rsid w:val="00B451D8"/>
    <w:rsid w:val="00B45428"/>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919"/>
    <w:rsid w:val="00B51A42"/>
    <w:rsid w:val="00B527BF"/>
    <w:rsid w:val="00B52AF7"/>
    <w:rsid w:val="00B52C0E"/>
    <w:rsid w:val="00B52DC6"/>
    <w:rsid w:val="00B530FD"/>
    <w:rsid w:val="00B53159"/>
    <w:rsid w:val="00B531DC"/>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609C5"/>
    <w:rsid w:val="00B60B63"/>
    <w:rsid w:val="00B60C3E"/>
    <w:rsid w:val="00B610BA"/>
    <w:rsid w:val="00B615CB"/>
    <w:rsid w:val="00B616D8"/>
    <w:rsid w:val="00B617A9"/>
    <w:rsid w:val="00B61D95"/>
    <w:rsid w:val="00B61E41"/>
    <w:rsid w:val="00B61ED5"/>
    <w:rsid w:val="00B62AE0"/>
    <w:rsid w:val="00B63284"/>
    <w:rsid w:val="00B6373D"/>
    <w:rsid w:val="00B63964"/>
    <w:rsid w:val="00B63E30"/>
    <w:rsid w:val="00B645FA"/>
    <w:rsid w:val="00B64775"/>
    <w:rsid w:val="00B64F04"/>
    <w:rsid w:val="00B6520E"/>
    <w:rsid w:val="00B65660"/>
    <w:rsid w:val="00B65755"/>
    <w:rsid w:val="00B657AB"/>
    <w:rsid w:val="00B657E6"/>
    <w:rsid w:val="00B65AF9"/>
    <w:rsid w:val="00B65FF0"/>
    <w:rsid w:val="00B663CD"/>
    <w:rsid w:val="00B665C8"/>
    <w:rsid w:val="00B67013"/>
    <w:rsid w:val="00B67AB1"/>
    <w:rsid w:val="00B67B4F"/>
    <w:rsid w:val="00B67E6B"/>
    <w:rsid w:val="00B702CD"/>
    <w:rsid w:val="00B7041C"/>
    <w:rsid w:val="00B71A1D"/>
    <w:rsid w:val="00B71BBB"/>
    <w:rsid w:val="00B71D73"/>
    <w:rsid w:val="00B72089"/>
    <w:rsid w:val="00B726F8"/>
    <w:rsid w:val="00B7273E"/>
    <w:rsid w:val="00B72EBB"/>
    <w:rsid w:val="00B7305E"/>
    <w:rsid w:val="00B7316F"/>
    <w:rsid w:val="00B73288"/>
    <w:rsid w:val="00B7350D"/>
    <w:rsid w:val="00B73B28"/>
    <w:rsid w:val="00B74251"/>
    <w:rsid w:val="00B74FE2"/>
    <w:rsid w:val="00B75317"/>
    <w:rsid w:val="00B763BE"/>
    <w:rsid w:val="00B76FCB"/>
    <w:rsid w:val="00B7749A"/>
    <w:rsid w:val="00B77582"/>
    <w:rsid w:val="00B779BB"/>
    <w:rsid w:val="00B77A5A"/>
    <w:rsid w:val="00B77B07"/>
    <w:rsid w:val="00B77BB8"/>
    <w:rsid w:val="00B77E78"/>
    <w:rsid w:val="00B800EC"/>
    <w:rsid w:val="00B80561"/>
    <w:rsid w:val="00B8103D"/>
    <w:rsid w:val="00B81718"/>
    <w:rsid w:val="00B8179E"/>
    <w:rsid w:val="00B81A37"/>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AF6"/>
    <w:rsid w:val="00B86E2A"/>
    <w:rsid w:val="00B86F73"/>
    <w:rsid w:val="00B877AA"/>
    <w:rsid w:val="00B87C87"/>
    <w:rsid w:val="00B87E3D"/>
    <w:rsid w:val="00B87FCD"/>
    <w:rsid w:val="00B90556"/>
    <w:rsid w:val="00B909D7"/>
    <w:rsid w:val="00B909E7"/>
    <w:rsid w:val="00B9121D"/>
    <w:rsid w:val="00B915C5"/>
    <w:rsid w:val="00B91A5D"/>
    <w:rsid w:val="00B91C52"/>
    <w:rsid w:val="00B91F21"/>
    <w:rsid w:val="00B92713"/>
    <w:rsid w:val="00B9279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F6F"/>
    <w:rsid w:val="00B95FC8"/>
    <w:rsid w:val="00B966FB"/>
    <w:rsid w:val="00B96EA4"/>
    <w:rsid w:val="00B97282"/>
    <w:rsid w:val="00B975D7"/>
    <w:rsid w:val="00B97A3E"/>
    <w:rsid w:val="00B97A65"/>
    <w:rsid w:val="00B97D3D"/>
    <w:rsid w:val="00B97DE9"/>
    <w:rsid w:val="00BA07B1"/>
    <w:rsid w:val="00BA091C"/>
    <w:rsid w:val="00BA101D"/>
    <w:rsid w:val="00BA14BA"/>
    <w:rsid w:val="00BA1FFF"/>
    <w:rsid w:val="00BA2089"/>
    <w:rsid w:val="00BA267F"/>
    <w:rsid w:val="00BA2F02"/>
    <w:rsid w:val="00BA2FFD"/>
    <w:rsid w:val="00BA3254"/>
    <w:rsid w:val="00BA3492"/>
    <w:rsid w:val="00BA3608"/>
    <w:rsid w:val="00BA428A"/>
    <w:rsid w:val="00BA4ED9"/>
    <w:rsid w:val="00BA5023"/>
    <w:rsid w:val="00BA5365"/>
    <w:rsid w:val="00BA56EB"/>
    <w:rsid w:val="00BA58B6"/>
    <w:rsid w:val="00BA5B30"/>
    <w:rsid w:val="00BA5B72"/>
    <w:rsid w:val="00BA62AD"/>
    <w:rsid w:val="00BA664A"/>
    <w:rsid w:val="00BA678B"/>
    <w:rsid w:val="00BA6C22"/>
    <w:rsid w:val="00BA6DBD"/>
    <w:rsid w:val="00BB0267"/>
    <w:rsid w:val="00BB02EA"/>
    <w:rsid w:val="00BB078B"/>
    <w:rsid w:val="00BB0C7E"/>
    <w:rsid w:val="00BB0DE7"/>
    <w:rsid w:val="00BB0E0C"/>
    <w:rsid w:val="00BB112C"/>
    <w:rsid w:val="00BB135F"/>
    <w:rsid w:val="00BB209C"/>
    <w:rsid w:val="00BB2B25"/>
    <w:rsid w:val="00BB2ED7"/>
    <w:rsid w:val="00BB30EA"/>
    <w:rsid w:val="00BB35B6"/>
    <w:rsid w:val="00BB37AF"/>
    <w:rsid w:val="00BB3BBC"/>
    <w:rsid w:val="00BB4011"/>
    <w:rsid w:val="00BB4769"/>
    <w:rsid w:val="00BB49D4"/>
    <w:rsid w:val="00BB4AF9"/>
    <w:rsid w:val="00BB4C08"/>
    <w:rsid w:val="00BB4FDA"/>
    <w:rsid w:val="00BB61BE"/>
    <w:rsid w:val="00BB66B2"/>
    <w:rsid w:val="00BB6891"/>
    <w:rsid w:val="00BB6AC3"/>
    <w:rsid w:val="00BB6C49"/>
    <w:rsid w:val="00BB7373"/>
    <w:rsid w:val="00BB779D"/>
    <w:rsid w:val="00BB7C9F"/>
    <w:rsid w:val="00BC050A"/>
    <w:rsid w:val="00BC066A"/>
    <w:rsid w:val="00BC072F"/>
    <w:rsid w:val="00BC122C"/>
    <w:rsid w:val="00BC15CC"/>
    <w:rsid w:val="00BC174B"/>
    <w:rsid w:val="00BC17A9"/>
    <w:rsid w:val="00BC1866"/>
    <w:rsid w:val="00BC1DBD"/>
    <w:rsid w:val="00BC220C"/>
    <w:rsid w:val="00BC2414"/>
    <w:rsid w:val="00BC2A25"/>
    <w:rsid w:val="00BC322A"/>
    <w:rsid w:val="00BC40C5"/>
    <w:rsid w:val="00BC438A"/>
    <w:rsid w:val="00BC45D9"/>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DA1"/>
    <w:rsid w:val="00BD11FF"/>
    <w:rsid w:val="00BD151C"/>
    <w:rsid w:val="00BD1747"/>
    <w:rsid w:val="00BD386A"/>
    <w:rsid w:val="00BD3A51"/>
    <w:rsid w:val="00BD3C1A"/>
    <w:rsid w:val="00BD3C68"/>
    <w:rsid w:val="00BD421D"/>
    <w:rsid w:val="00BD4493"/>
    <w:rsid w:val="00BD5052"/>
    <w:rsid w:val="00BD5160"/>
    <w:rsid w:val="00BD521E"/>
    <w:rsid w:val="00BD5413"/>
    <w:rsid w:val="00BD58AC"/>
    <w:rsid w:val="00BD5918"/>
    <w:rsid w:val="00BD5F35"/>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48F"/>
    <w:rsid w:val="00BE3C9C"/>
    <w:rsid w:val="00BE3F6E"/>
    <w:rsid w:val="00BE4614"/>
    <w:rsid w:val="00BE4E6F"/>
    <w:rsid w:val="00BE5100"/>
    <w:rsid w:val="00BE529D"/>
    <w:rsid w:val="00BE53DD"/>
    <w:rsid w:val="00BE573E"/>
    <w:rsid w:val="00BE59E2"/>
    <w:rsid w:val="00BE5D1B"/>
    <w:rsid w:val="00BE6584"/>
    <w:rsid w:val="00BE6637"/>
    <w:rsid w:val="00BE6690"/>
    <w:rsid w:val="00BE6F2B"/>
    <w:rsid w:val="00BE6FD4"/>
    <w:rsid w:val="00BE7090"/>
    <w:rsid w:val="00BE749B"/>
    <w:rsid w:val="00BE7D8D"/>
    <w:rsid w:val="00BF05CA"/>
    <w:rsid w:val="00BF10E8"/>
    <w:rsid w:val="00BF1376"/>
    <w:rsid w:val="00BF1B38"/>
    <w:rsid w:val="00BF1B73"/>
    <w:rsid w:val="00BF1D1B"/>
    <w:rsid w:val="00BF2033"/>
    <w:rsid w:val="00BF2320"/>
    <w:rsid w:val="00BF2C93"/>
    <w:rsid w:val="00BF3158"/>
    <w:rsid w:val="00BF3169"/>
    <w:rsid w:val="00BF34E0"/>
    <w:rsid w:val="00BF3911"/>
    <w:rsid w:val="00BF3BD1"/>
    <w:rsid w:val="00BF3D31"/>
    <w:rsid w:val="00BF412D"/>
    <w:rsid w:val="00BF5023"/>
    <w:rsid w:val="00BF51B7"/>
    <w:rsid w:val="00BF5491"/>
    <w:rsid w:val="00BF56BE"/>
    <w:rsid w:val="00BF602F"/>
    <w:rsid w:val="00BF6229"/>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21B2"/>
    <w:rsid w:val="00C02493"/>
    <w:rsid w:val="00C02802"/>
    <w:rsid w:val="00C0314D"/>
    <w:rsid w:val="00C03312"/>
    <w:rsid w:val="00C03532"/>
    <w:rsid w:val="00C03605"/>
    <w:rsid w:val="00C039A5"/>
    <w:rsid w:val="00C03A04"/>
    <w:rsid w:val="00C03C67"/>
    <w:rsid w:val="00C0441D"/>
    <w:rsid w:val="00C046F7"/>
    <w:rsid w:val="00C062B9"/>
    <w:rsid w:val="00C06374"/>
    <w:rsid w:val="00C064FE"/>
    <w:rsid w:val="00C066AB"/>
    <w:rsid w:val="00C067CE"/>
    <w:rsid w:val="00C06EA1"/>
    <w:rsid w:val="00C070F7"/>
    <w:rsid w:val="00C071E1"/>
    <w:rsid w:val="00C07795"/>
    <w:rsid w:val="00C079DE"/>
    <w:rsid w:val="00C07A9D"/>
    <w:rsid w:val="00C07B5B"/>
    <w:rsid w:val="00C07D9B"/>
    <w:rsid w:val="00C104D1"/>
    <w:rsid w:val="00C10C0B"/>
    <w:rsid w:val="00C10DD5"/>
    <w:rsid w:val="00C10F51"/>
    <w:rsid w:val="00C1122F"/>
    <w:rsid w:val="00C116FB"/>
    <w:rsid w:val="00C11A6C"/>
    <w:rsid w:val="00C11F76"/>
    <w:rsid w:val="00C12197"/>
    <w:rsid w:val="00C124A6"/>
    <w:rsid w:val="00C12944"/>
    <w:rsid w:val="00C12989"/>
    <w:rsid w:val="00C13567"/>
    <w:rsid w:val="00C13C61"/>
    <w:rsid w:val="00C145C0"/>
    <w:rsid w:val="00C14D9F"/>
    <w:rsid w:val="00C156A5"/>
    <w:rsid w:val="00C15A27"/>
    <w:rsid w:val="00C15FEF"/>
    <w:rsid w:val="00C165A1"/>
    <w:rsid w:val="00C16765"/>
    <w:rsid w:val="00C16A2F"/>
    <w:rsid w:val="00C16F1F"/>
    <w:rsid w:val="00C176A9"/>
    <w:rsid w:val="00C1776A"/>
    <w:rsid w:val="00C20301"/>
    <w:rsid w:val="00C20BBA"/>
    <w:rsid w:val="00C20FFB"/>
    <w:rsid w:val="00C21442"/>
    <w:rsid w:val="00C21BF1"/>
    <w:rsid w:val="00C21D92"/>
    <w:rsid w:val="00C22275"/>
    <w:rsid w:val="00C22519"/>
    <w:rsid w:val="00C22725"/>
    <w:rsid w:val="00C229D9"/>
    <w:rsid w:val="00C22C7B"/>
    <w:rsid w:val="00C22F12"/>
    <w:rsid w:val="00C2305C"/>
    <w:rsid w:val="00C233D0"/>
    <w:rsid w:val="00C234A2"/>
    <w:rsid w:val="00C2380D"/>
    <w:rsid w:val="00C23EEE"/>
    <w:rsid w:val="00C23F25"/>
    <w:rsid w:val="00C240E7"/>
    <w:rsid w:val="00C24162"/>
    <w:rsid w:val="00C24C34"/>
    <w:rsid w:val="00C24CF8"/>
    <w:rsid w:val="00C24E5C"/>
    <w:rsid w:val="00C24E78"/>
    <w:rsid w:val="00C2509D"/>
    <w:rsid w:val="00C2514A"/>
    <w:rsid w:val="00C25769"/>
    <w:rsid w:val="00C25816"/>
    <w:rsid w:val="00C25854"/>
    <w:rsid w:val="00C25AD4"/>
    <w:rsid w:val="00C25C99"/>
    <w:rsid w:val="00C25DA4"/>
    <w:rsid w:val="00C26BEC"/>
    <w:rsid w:val="00C26C06"/>
    <w:rsid w:val="00C27175"/>
    <w:rsid w:val="00C271AE"/>
    <w:rsid w:val="00C2796E"/>
    <w:rsid w:val="00C27A2E"/>
    <w:rsid w:val="00C30008"/>
    <w:rsid w:val="00C302BD"/>
    <w:rsid w:val="00C30BF7"/>
    <w:rsid w:val="00C3140F"/>
    <w:rsid w:val="00C31921"/>
    <w:rsid w:val="00C31A5B"/>
    <w:rsid w:val="00C31AB7"/>
    <w:rsid w:val="00C32176"/>
    <w:rsid w:val="00C32A02"/>
    <w:rsid w:val="00C32A16"/>
    <w:rsid w:val="00C32EA6"/>
    <w:rsid w:val="00C33356"/>
    <w:rsid w:val="00C33E55"/>
    <w:rsid w:val="00C341B8"/>
    <w:rsid w:val="00C344DC"/>
    <w:rsid w:val="00C34ABD"/>
    <w:rsid w:val="00C351DF"/>
    <w:rsid w:val="00C353CF"/>
    <w:rsid w:val="00C35F0A"/>
    <w:rsid w:val="00C35F43"/>
    <w:rsid w:val="00C360CA"/>
    <w:rsid w:val="00C363A9"/>
    <w:rsid w:val="00C364A5"/>
    <w:rsid w:val="00C36603"/>
    <w:rsid w:val="00C369A4"/>
    <w:rsid w:val="00C36C5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30EE"/>
    <w:rsid w:val="00C432EC"/>
    <w:rsid w:val="00C43801"/>
    <w:rsid w:val="00C4383F"/>
    <w:rsid w:val="00C438BB"/>
    <w:rsid w:val="00C43A90"/>
    <w:rsid w:val="00C43AD9"/>
    <w:rsid w:val="00C440B0"/>
    <w:rsid w:val="00C44372"/>
    <w:rsid w:val="00C4467E"/>
    <w:rsid w:val="00C44A07"/>
    <w:rsid w:val="00C44BDC"/>
    <w:rsid w:val="00C450A5"/>
    <w:rsid w:val="00C45BFB"/>
    <w:rsid w:val="00C45DCE"/>
    <w:rsid w:val="00C46085"/>
    <w:rsid w:val="00C460FC"/>
    <w:rsid w:val="00C46D15"/>
    <w:rsid w:val="00C47127"/>
    <w:rsid w:val="00C4768C"/>
    <w:rsid w:val="00C47AA0"/>
    <w:rsid w:val="00C500A8"/>
    <w:rsid w:val="00C503C8"/>
    <w:rsid w:val="00C50C7D"/>
    <w:rsid w:val="00C50FF9"/>
    <w:rsid w:val="00C5116D"/>
    <w:rsid w:val="00C511CC"/>
    <w:rsid w:val="00C520A5"/>
    <w:rsid w:val="00C521F4"/>
    <w:rsid w:val="00C52889"/>
    <w:rsid w:val="00C528D2"/>
    <w:rsid w:val="00C52D5A"/>
    <w:rsid w:val="00C52E8B"/>
    <w:rsid w:val="00C53CA1"/>
    <w:rsid w:val="00C53CFC"/>
    <w:rsid w:val="00C53DE5"/>
    <w:rsid w:val="00C54518"/>
    <w:rsid w:val="00C54B14"/>
    <w:rsid w:val="00C55455"/>
    <w:rsid w:val="00C55E15"/>
    <w:rsid w:val="00C55F0F"/>
    <w:rsid w:val="00C56C58"/>
    <w:rsid w:val="00C56CCC"/>
    <w:rsid w:val="00C56F6D"/>
    <w:rsid w:val="00C574AE"/>
    <w:rsid w:val="00C57B3F"/>
    <w:rsid w:val="00C60320"/>
    <w:rsid w:val="00C60A94"/>
    <w:rsid w:val="00C60ED3"/>
    <w:rsid w:val="00C61626"/>
    <w:rsid w:val="00C624FC"/>
    <w:rsid w:val="00C62B48"/>
    <w:rsid w:val="00C62BAA"/>
    <w:rsid w:val="00C6352A"/>
    <w:rsid w:val="00C635CC"/>
    <w:rsid w:val="00C63B29"/>
    <w:rsid w:val="00C63D29"/>
    <w:rsid w:val="00C6405D"/>
    <w:rsid w:val="00C644F0"/>
    <w:rsid w:val="00C64538"/>
    <w:rsid w:val="00C64E85"/>
    <w:rsid w:val="00C64FE6"/>
    <w:rsid w:val="00C65B2D"/>
    <w:rsid w:val="00C65C5D"/>
    <w:rsid w:val="00C65DA0"/>
    <w:rsid w:val="00C65EC2"/>
    <w:rsid w:val="00C66083"/>
    <w:rsid w:val="00C6656A"/>
    <w:rsid w:val="00C666E9"/>
    <w:rsid w:val="00C6671F"/>
    <w:rsid w:val="00C6688A"/>
    <w:rsid w:val="00C66C03"/>
    <w:rsid w:val="00C67057"/>
    <w:rsid w:val="00C67158"/>
    <w:rsid w:val="00C6724A"/>
    <w:rsid w:val="00C70383"/>
    <w:rsid w:val="00C70731"/>
    <w:rsid w:val="00C71104"/>
    <w:rsid w:val="00C711E5"/>
    <w:rsid w:val="00C716F1"/>
    <w:rsid w:val="00C71DF2"/>
    <w:rsid w:val="00C72816"/>
    <w:rsid w:val="00C729C9"/>
    <w:rsid w:val="00C72B1D"/>
    <w:rsid w:val="00C730CB"/>
    <w:rsid w:val="00C731FC"/>
    <w:rsid w:val="00C73586"/>
    <w:rsid w:val="00C73782"/>
    <w:rsid w:val="00C73B8D"/>
    <w:rsid w:val="00C73F9C"/>
    <w:rsid w:val="00C74107"/>
    <w:rsid w:val="00C74430"/>
    <w:rsid w:val="00C745E5"/>
    <w:rsid w:val="00C754A0"/>
    <w:rsid w:val="00C754FF"/>
    <w:rsid w:val="00C7593A"/>
    <w:rsid w:val="00C76D32"/>
    <w:rsid w:val="00C778A2"/>
    <w:rsid w:val="00C77E68"/>
    <w:rsid w:val="00C80C77"/>
    <w:rsid w:val="00C80D90"/>
    <w:rsid w:val="00C8104E"/>
    <w:rsid w:val="00C81245"/>
    <w:rsid w:val="00C815D0"/>
    <w:rsid w:val="00C81B05"/>
    <w:rsid w:val="00C82179"/>
    <w:rsid w:val="00C8228A"/>
    <w:rsid w:val="00C83607"/>
    <w:rsid w:val="00C836EE"/>
    <w:rsid w:val="00C83ADF"/>
    <w:rsid w:val="00C83AEE"/>
    <w:rsid w:val="00C83B2A"/>
    <w:rsid w:val="00C83D33"/>
    <w:rsid w:val="00C842BA"/>
    <w:rsid w:val="00C84A7D"/>
    <w:rsid w:val="00C84CAA"/>
    <w:rsid w:val="00C853B8"/>
    <w:rsid w:val="00C85531"/>
    <w:rsid w:val="00C85563"/>
    <w:rsid w:val="00C85AC7"/>
    <w:rsid w:val="00C85B0B"/>
    <w:rsid w:val="00C85DAD"/>
    <w:rsid w:val="00C8628E"/>
    <w:rsid w:val="00C86DDF"/>
    <w:rsid w:val="00C874D1"/>
    <w:rsid w:val="00C87BA6"/>
    <w:rsid w:val="00C87F13"/>
    <w:rsid w:val="00C9003E"/>
    <w:rsid w:val="00C9045E"/>
    <w:rsid w:val="00C90466"/>
    <w:rsid w:val="00C904F9"/>
    <w:rsid w:val="00C906CD"/>
    <w:rsid w:val="00C90962"/>
    <w:rsid w:val="00C90C8A"/>
    <w:rsid w:val="00C90F10"/>
    <w:rsid w:val="00C911E0"/>
    <w:rsid w:val="00C91325"/>
    <w:rsid w:val="00C9133D"/>
    <w:rsid w:val="00C918B8"/>
    <w:rsid w:val="00C91F02"/>
    <w:rsid w:val="00C92117"/>
    <w:rsid w:val="00C92840"/>
    <w:rsid w:val="00C93301"/>
    <w:rsid w:val="00C934E0"/>
    <w:rsid w:val="00C94A2F"/>
    <w:rsid w:val="00C94BDC"/>
    <w:rsid w:val="00C94BF9"/>
    <w:rsid w:val="00C94CF0"/>
    <w:rsid w:val="00C95005"/>
    <w:rsid w:val="00C9557C"/>
    <w:rsid w:val="00C9579D"/>
    <w:rsid w:val="00C961CA"/>
    <w:rsid w:val="00C96242"/>
    <w:rsid w:val="00C96454"/>
    <w:rsid w:val="00C96501"/>
    <w:rsid w:val="00C96747"/>
    <w:rsid w:val="00C96897"/>
    <w:rsid w:val="00C97075"/>
    <w:rsid w:val="00C97276"/>
    <w:rsid w:val="00C97C47"/>
    <w:rsid w:val="00CA0704"/>
    <w:rsid w:val="00CA08DA"/>
    <w:rsid w:val="00CA0CE8"/>
    <w:rsid w:val="00CA0FB8"/>
    <w:rsid w:val="00CA107A"/>
    <w:rsid w:val="00CA15F3"/>
    <w:rsid w:val="00CA2056"/>
    <w:rsid w:val="00CA2680"/>
    <w:rsid w:val="00CA3312"/>
    <w:rsid w:val="00CA4C2D"/>
    <w:rsid w:val="00CA4C35"/>
    <w:rsid w:val="00CA4D23"/>
    <w:rsid w:val="00CA4FA9"/>
    <w:rsid w:val="00CA50CD"/>
    <w:rsid w:val="00CA522F"/>
    <w:rsid w:val="00CA5262"/>
    <w:rsid w:val="00CA52D2"/>
    <w:rsid w:val="00CA563C"/>
    <w:rsid w:val="00CA567B"/>
    <w:rsid w:val="00CA5B9D"/>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FD2"/>
    <w:rsid w:val="00CB225B"/>
    <w:rsid w:val="00CB2391"/>
    <w:rsid w:val="00CB2A98"/>
    <w:rsid w:val="00CB2E78"/>
    <w:rsid w:val="00CB2EAD"/>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18C0"/>
    <w:rsid w:val="00CC1939"/>
    <w:rsid w:val="00CC1F80"/>
    <w:rsid w:val="00CC1FD7"/>
    <w:rsid w:val="00CC23EB"/>
    <w:rsid w:val="00CC2A2C"/>
    <w:rsid w:val="00CC42D4"/>
    <w:rsid w:val="00CC4364"/>
    <w:rsid w:val="00CC472C"/>
    <w:rsid w:val="00CC4E16"/>
    <w:rsid w:val="00CC5628"/>
    <w:rsid w:val="00CC5ABF"/>
    <w:rsid w:val="00CC64E3"/>
    <w:rsid w:val="00CC727E"/>
    <w:rsid w:val="00CC7712"/>
    <w:rsid w:val="00CC774A"/>
    <w:rsid w:val="00CC7DDA"/>
    <w:rsid w:val="00CD054D"/>
    <w:rsid w:val="00CD16A5"/>
    <w:rsid w:val="00CD179A"/>
    <w:rsid w:val="00CD1B50"/>
    <w:rsid w:val="00CD2030"/>
    <w:rsid w:val="00CD2536"/>
    <w:rsid w:val="00CD307F"/>
    <w:rsid w:val="00CD3369"/>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37"/>
    <w:rsid w:val="00CE0BA7"/>
    <w:rsid w:val="00CE15A4"/>
    <w:rsid w:val="00CE16B9"/>
    <w:rsid w:val="00CE19D0"/>
    <w:rsid w:val="00CE1D09"/>
    <w:rsid w:val="00CE27DA"/>
    <w:rsid w:val="00CE2942"/>
    <w:rsid w:val="00CE2DFC"/>
    <w:rsid w:val="00CE2FAA"/>
    <w:rsid w:val="00CE36EF"/>
    <w:rsid w:val="00CE3783"/>
    <w:rsid w:val="00CE3839"/>
    <w:rsid w:val="00CE3B18"/>
    <w:rsid w:val="00CE3FC3"/>
    <w:rsid w:val="00CE45BD"/>
    <w:rsid w:val="00CE4C13"/>
    <w:rsid w:val="00CE552B"/>
    <w:rsid w:val="00CE570B"/>
    <w:rsid w:val="00CE5F95"/>
    <w:rsid w:val="00CE631A"/>
    <w:rsid w:val="00CE6822"/>
    <w:rsid w:val="00CE6ACB"/>
    <w:rsid w:val="00CE6D09"/>
    <w:rsid w:val="00CE72DC"/>
    <w:rsid w:val="00CE757F"/>
    <w:rsid w:val="00CE79AB"/>
    <w:rsid w:val="00CF0105"/>
    <w:rsid w:val="00CF099B"/>
    <w:rsid w:val="00CF0E4D"/>
    <w:rsid w:val="00CF1081"/>
    <w:rsid w:val="00CF109E"/>
    <w:rsid w:val="00CF180F"/>
    <w:rsid w:val="00CF19C6"/>
    <w:rsid w:val="00CF1E9A"/>
    <w:rsid w:val="00CF230D"/>
    <w:rsid w:val="00CF2A98"/>
    <w:rsid w:val="00CF4349"/>
    <w:rsid w:val="00CF43C6"/>
    <w:rsid w:val="00CF454F"/>
    <w:rsid w:val="00CF48A5"/>
    <w:rsid w:val="00CF4B22"/>
    <w:rsid w:val="00CF4ED1"/>
    <w:rsid w:val="00CF5489"/>
    <w:rsid w:val="00CF6B84"/>
    <w:rsid w:val="00CF6DDB"/>
    <w:rsid w:val="00CF7111"/>
    <w:rsid w:val="00CF7452"/>
    <w:rsid w:val="00CF7615"/>
    <w:rsid w:val="00CF7796"/>
    <w:rsid w:val="00CF7823"/>
    <w:rsid w:val="00CF78DA"/>
    <w:rsid w:val="00CF7A96"/>
    <w:rsid w:val="00D003F8"/>
    <w:rsid w:val="00D0052C"/>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45B"/>
    <w:rsid w:val="00D035D9"/>
    <w:rsid w:val="00D03823"/>
    <w:rsid w:val="00D04613"/>
    <w:rsid w:val="00D04AF3"/>
    <w:rsid w:val="00D04C4B"/>
    <w:rsid w:val="00D04CB3"/>
    <w:rsid w:val="00D04D9F"/>
    <w:rsid w:val="00D05C77"/>
    <w:rsid w:val="00D05CDE"/>
    <w:rsid w:val="00D06784"/>
    <w:rsid w:val="00D067C5"/>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514"/>
    <w:rsid w:val="00D137EC"/>
    <w:rsid w:val="00D13AC5"/>
    <w:rsid w:val="00D13C39"/>
    <w:rsid w:val="00D13D2F"/>
    <w:rsid w:val="00D13E32"/>
    <w:rsid w:val="00D14237"/>
    <w:rsid w:val="00D142C5"/>
    <w:rsid w:val="00D148EB"/>
    <w:rsid w:val="00D149CF"/>
    <w:rsid w:val="00D14A15"/>
    <w:rsid w:val="00D14C59"/>
    <w:rsid w:val="00D14E5F"/>
    <w:rsid w:val="00D14F7D"/>
    <w:rsid w:val="00D14FA3"/>
    <w:rsid w:val="00D14FB2"/>
    <w:rsid w:val="00D157A1"/>
    <w:rsid w:val="00D15B6C"/>
    <w:rsid w:val="00D15C72"/>
    <w:rsid w:val="00D164EA"/>
    <w:rsid w:val="00D164FD"/>
    <w:rsid w:val="00D16754"/>
    <w:rsid w:val="00D16827"/>
    <w:rsid w:val="00D16AE5"/>
    <w:rsid w:val="00D16E89"/>
    <w:rsid w:val="00D17548"/>
    <w:rsid w:val="00D17604"/>
    <w:rsid w:val="00D17A20"/>
    <w:rsid w:val="00D17A85"/>
    <w:rsid w:val="00D17CC6"/>
    <w:rsid w:val="00D17E0C"/>
    <w:rsid w:val="00D17E48"/>
    <w:rsid w:val="00D2041E"/>
    <w:rsid w:val="00D20454"/>
    <w:rsid w:val="00D2058E"/>
    <w:rsid w:val="00D206CA"/>
    <w:rsid w:val="00D20B8F"/>
    <w:rsid w:val="00D20D10"/>
    <w:rsid w:val="00D20D1D"/>
    <w:rsid w:val="00D20FEA"/>
    <w:rsid w:val="00D2153B"/>
    <w:rsid w:val="00D216BC"/>
    <w:rsid w:val="00D219FB"/>
    <w:rsid w:val="00D21ADC"/>
    <w:rsid w:val="00D21EFF"/>
    <w:rsid w:val="00D22DD2"/>
    <w:rsid w:val="00D23801"/>
    <w:rsid w:val="00D24035"/>
    <w:rsid w:val="00D24CA3"/>
    <w:rsid w:val="00D24DAB"/>
    <w:rsid w:val="00D24F45"/>
    <w:rsid w:val="00D2516D"/>
    <w:rsid w:val="00D251AC"/>
    <w:rsid w:val="00D257FD"/>
    <w:rsid w:val="00D25AEC"/>
    <w:rsid w:val="00D25B2F"/>
    <w:rsid w:val="00D25CC0"/>
    <w:rsid w:val="00D25F2E"/>
    <w:rsid w:val="00D2608B"/>
    <w:rsid w:val="00D26A86"/>
    <w:rsid w:val="00D274CE"/>
    <w:rsid w:val="00D2772C"/>
    <w:rsid w:val="00D27D36"/>
    <w:rsid w:val="00D27E10"/>
    <w:rsid w:val="00D27E9B"/>
    <w:rsid w:val="00D3037E"/>
    <w:rsid w:val="00D30454"/>
    <w:rsid w:val="00D305AC"/>
    <w:rsid w:val="00D3067A"/>
    <w:rsid w:val="00D30789"/>
    <w:rsid w:val="00D30BF9"/>
    <w:rsid w:val="00D314BD"/>
    <w:rsid w:val="00D31FFD"/>
    <w:rsid w:val="00D32074"/>
    <w:rsid w:val="00D3210D"/>
    <w:rsid w:val="00D32376"/>
    <w:rsid w:val="00D323B1"/>
    <w:rsid w:val="00D326DD"/>
    <w:rsid w:val="00D32DD5"/>
    <w:rsid w:val="00D32E91"/>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9DE"/>
    <w:rsid w:val="00D36A99"/>
    <w:rsid w:val="00D36BBA"/>
    <w:rsid w:val="00D36F56"/>
    <w:rsid w:val="00D37427"/>
    <w:rsid w:val="00D3793E"/>
    <w:rsid w:val="00D37E78"/>
    <w:rsid w:val="00D37FB2"/>
    <w:rsid w:val="00D4024B"/>
    <w:rsid w:val="00D404C7"/>
    <w:rsid w:val="00D41A6A"/>
    <w:rsid w:val="00D420E0"/>
    <w:rsid w:val="00D4233A"/>
    <w:rsid w:val="00D423E8"/>
    <w:rsid w:val="00D42A1E"/>
    <w:rsid w:val="00D43015"/>
    <w:rsid w:val="00D438C4"/>
    <w:rsid w:val="00D43B76"/>
    <w:rsid w:val="00D43DDA"/>
    <w:rsid w:val="00D43E3F"/>
    <w:rsid w:val="00D4446B"/>
    <w:rsid w:val="00D44B3D"/>
    <w:rsid w:val="00D45047"/>
    <w:rsid w:val="00D45108"/>
    <w:rsid w:val="00D453A0"/>
    <w:rsid w:val="00D4541B"/>
    <w:rsid w:val="00D45872"/>
    <w:rsid w:val="00D45A0C"/>
    <w:rsid w:val="00D462F6"/>
    <w:rsid w:val="00D464D7"/>
    <w:rsid w:val="00D46787"/>
    <w:rsid w:val="00D4691A"/>
    <w:rsid w:val="00D46C4C"/>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6CE"/>
    <w:rsid w:val="00D54E49"/>
    <w:rsid w:val="00D54E9E"/>
    <w:rsid w:val="00D54EBF"/>
    <w:rsid w:val="00D551C8"/>
    <w:rsid w:val="00D552EB"/>
    <w:rsid w:val="00D55972"/>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867"/>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4B4"/>
    <w:rsid w:val="00D65A49"/>
    <w:rsid w:val="00D66008"/>
    <w:rsid w:val="00D662FC"/>
    <w:rsid w:val="00D66381"/>
    <w:rsid w:val="00D66410"/>
    <w:rsid w:val="00D66472"/>
    <w:rsid w:val="00D6679A"/>
    <w:rsid w:val="00D66D20"/>
    <w:rsid w:val="00D66F17"/>
    <w:rsid w:val="00D66F26"/>
    <w:rsid w:val="00D672A3"/>
    <w:rsid w:val="00D6744F"/>
    <w:rsid w:val="00D67B55"/>
    <w:rsid w:val="00D700E5"/>
    <w:rsid w:val="00D70900"/>
    <w:rsid w:val="00D70E28"/>
    <w:rsid w:val="00D71B77"/>
    <w:rsid w:val="00D725CA"/>
    <w:rsid w:val="00D7374B"/>
    <w:rsid w:val="00D741F4"/>
    <w:rsid w:val="00D74A87"/>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800"/>
    <w:rsid w:val="00D77DB1"/>
    <w:rsid w:val="00D8081F"/>
    <w:rsid w:val="00D80898"/>
    <w:rsid w:val="00D80DF6"/>
    <w:rsid w:val="00D8114A"/>
    <w:rsid w:val="00D817F1"/>
    <w:rsid w:val="00D81833"/>
    <w:rsid w:val="00D818F2"/>
    <w:rsid w:val="00D825BC"/>
    <w:rsid w:val="00D82676"/>
    <w:rsid w:val="00D82706"/>
    <w:rsid w:val="00D8312E"/>
    <w:rsid w:val="00D8414C"/>
    <w:rsid w:val="00D841A5"/>
    <w:rsid w:val="00D844B1"/>
    <w:rsid w:val="00D8469F"/>
    <w:rsid w:val="00D84E4D"/>
    <w:rsid w:val="00D8603D"/>
    <w:rsid w:val="00D86C20"/>
    <w:rsid w:val="00D86DD4"/>
    <w:rsid w:val="00D90046"/>
    <w:rsid w:val="00D9038D"/>
    <w:rsid w:val="00D90898"/>
    <w:rsid w:val="00D90998"/>
    <w:rsid w:val="00D909BB"/>
    <w:rsid w:val="00D9111B"/>
    <w:rsid w:val="00D91D92"/>
    <w:rsid w:val="00D92529"/>
    <w:rsid w:val="00D92870"/>
    <w:rsid w:val="00D92B67"/>
    <w:rsid w:val="00D92F08"/>
    <w:rsid w:val="00D93743"/>
    <w:rsid w:val="00D9420E"/>
    <w:rsid w:val="00D94BD0"/>
    <w:rsid w:val="00D9558B"/>
    <w:rsid w:val="00D95F5F"/>
    <w:rsid w:val="00D95FDA"/>
    <w:rsid w:val="00D96398"/>
    <w:rsid w:val="00D966E1"/>
    <w:rsid w:val="00D9680D"/>
    <w:rsid w:val="00D96917"/>
    <w:rsid w:val="00D96BC9"/>
    <w:rsid w:val="00D96F24"/>
    <w:rsid w:val="00D973C9"/>
    <w:rsid w:val="00D9781A"/>
    <w:rsid w:val="00D97883"/>
    <w:rsid w:val="00D979C9"/>
    <w:rsid w:val="00DA0067"/>
    <w:rsid w:val="00DA041C"/>
    <w:rsid w:val="00DA1613"/>
    <w:rsid w:val="00DA1868"/>
    <w:rsid w:val="00DA18EE"/>
    <w:rsid w:val="00DA1A4B"/>
    <w:rsid w:val="00DA2074"/>
    <w:rsid w:val="00DA240D"/>
    <w:rsid w:val="00DA2675"/>
    <w:rsid w:val="00DA27D7"/>
    <w:rsid w:val="00DA29C5"/>
    <w:rsid w:val="00DA2AEB"/>
    <w:rsid w:val="00DA301E"/>
    <w:rsid w:val="00DA330A"/>
    <w:rsid w:val="00DA4300"/>
    <w:rsid w:val="00DA453C"/>
    <w:rsid w:val="00DA51E1"/>
    <w:rsid w:val="00DA5AAB"/>
    <w:rsid w:val="00DA5B18"/>
    <w:rsid w:val="00DA5F70"/>
    <w:rsid w:val="00DA663C"/>
    <w:rsid w:val="00DA671A"/>
    <w:rsid w:val="00DA6858"/>
    <w:rsid w:val="00DA7233"/>
    <w:rsid w:val="00DA7266"/>
    <w:rsid w:val="00DA7496"/>
    <w:rsid w:val="00DA7904"/>
    <w:rsid w:val="00DA7A9F"/>
    <w:rsid w:val="00DA7AFF"/>
    <w:rsid w:val="00DA7CBB"/>
    <w:rsid w:val="00DA7EC2"/>
    <w:rsid w:val="00DA7F06"/>
    <w:rsid w:val="00DB0380"/>
    <w:rsid w:val="00DB08FA"/>
    <w:rsid w:val="00DB1637"/>
    <w:rsid w:val="00DB1CD7"/>
    <w:rsid w:val="00DB2086"/>
    <w:rsid w:val="00DB24A2"/>
    <w:rsid w:val="00DB2651"/>
    <w:rsid w:val="00DB2768"/>
    <w:rsid w:val="00DB28B4"/>
    <w:rsid w:val="00DB2A1C"/>
    <w:rsid w:val="00DB30B1"/>
    <w:rsid w:val="00DB31FF"/>
    <w:rsid w:val="00DB33C7"/>
    <w:rsid w:val="00DB39BE"/>
    <w:rsid w:val="00DB3AD0"/>
    <w:rsid w:val="00DB3DC6"/>
    <w:rsid w:val="00DB3ECD"/>
    <w:rsid w:val="00DB4717"/>
    <w:rsid w:val="00DB4BC2"/>
    <w:rsid w:val="00DB4BD4"/>
    <w:rsid w:val="00DB59DB"/>
    <w:rsid w:val="00DB5B0F"/>
    <w:rsid w:val="00DB5B94"/>
    <w:rsid w:val="00DB60A0"/>
    <w:rsid w:val="00DB6278"/>
    <w:rsid w:val="00DB6D7D"/>
    <w:rsid w:val="00DB7178"/>
    <w:rsid w:val="00DB7320"/>
    <w:rsid w:val="00DB75E7"/>
    <w:rsid w:val="00DB78E8"/>
    <w:rsid w:val="00DB79D5"/>
    <w:rsid w:val="00DB7C03"/>
    <w:rsid w:val="00DB7F7B"/>
    <w:rsid w:val="00DB7F8E"/>
    <w:rsid w:val="00DC00E8"/>
    <w:rsid w:val="00DC0CC3"/>
    <w:rsid w:val="00DC0F8C"/>
    <w:rsid w:val="00DC12C8"/>
    <w:rsid w:val="00DC1C61"/>
    <w:rsid w:val="00DC2232"/>
    <w:rsid w:val="00DC2611"/>
    <w:rsid w:val="00DC343C"/>
    <w:rsid w:val="00DC36E8"/>
    <w:rsid w:val="00DC3B0F"/>
    <w:rsid w:val="00DC3F3D"/>
    <w:rsid w:val="00DC4AC6"/>
    <w:rsid w:val="00DC56F0"/>
    <w:rsid w:val="00DC570A"/>
    <w:rsid w:val="00DC5C68"/>
    <w:rsid w:val="00DC5D8F"/>
    <w:rsid w:val="00DC6AB5"/>
    <w:rsid w:val="00DC6CD0"/>
    <w:rsid w:val="00DC6F31"/>
    <w:rsid w:val="00DC7004"/>
    <w:rsid w:val="00DC7070"/>
    <w:rsid w:val="00DC72FE"/>
    <w:rsid w:val="00DC7BF7"/>
    <w:rsid w:val="00DC7FFD"/>
    <w:rsid w:val="00DD0277"/>
    <w:rsid w:val="00DD0698"/>
    <w:rsid w:val="00DD1129"/>
    <w:rsid w:val="00DD15C7"/>
    <w:rsid w:val="00DD1B11"/>
    <w:rsid w:val="00DD1B33"/>
    <w:rsid w:val="00DD1B59"/>
    <w:rsid w:val="00DD1CE2"/>
    <w:rsid w:val="00DD2F5E"/>
    <w:rsid w:val="00DD371B"/>
    <w:rsid w:val="00DD4238"/>
    <w:rsid w:val="00DD4AE9"/>
    <w:rsid w:val="00DD4F6E"/>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240"/>
    <w:rsid w:val="00DE1258"/>
    <w:rsid w:val="00DE1852"/>
    <w:rsid w:val="00DE1AA5"/>
    <w:rsid w:val="00DE1C68"/>
    <w:rsid w:val="00DE1E1F"/>
    <w:rsid w:val="00DE231A"/>
    <w:rsid w:val="00DE23D6"/>
    <w:rsid w:val="00DE2825"/>
    <w:rsid w:val="00DE29B9"/>
    <w:rsid w:val="00DE2CB6"/>
    <w:rsid w:val="00DE2D48"/>
    <w:rsid w:val="00DE2DDE"/>
    <w:rsid w:val="00DE30B8"/>
    <w:rsid w:val="00DE310A"/>
    <w:rsid w:val="00DE395F"/>
    <w:rsid w:val="00DE3E1D"/>
    <w:rsid w:val="00DE423F"/>
    <w:rsid w:val="00DE4567"/>
    <w:rsid w:val="00DE4978"/>
    <w:rsid w:val="00DE4A0A"/>
    <w:rsid w:val="00DE4CAF"/>
    <w:rsid w:val="00DE5039"/>
    <w:rsid w:val="00DE5414"/>
    <w:rsid w:val="00DE563D"/>
    <w:rsid w:val="00DE5B1E"/>
    <w:rsid w:val="00DE5BAE"/>
    <w:rsid w:val="00DE7267"/>
    <w:rsid w:val="00DE74A8"/>
    <w:rsid w:val="00DE7566"/>
    <w:rsid w:val="00DE7D4D"/>
    <w:rsid w:val="00DE7E46"/>
    <w:rsid w:val="00DF066D"/>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4023"/>
    <w:rsid w:val="00DF404D"/>
    <w:rsid w:val="00DF4E2C"/>
    <w:rsid w:val="00DF4E34"/>
    <w:rsid w:val="00DF4F1B"/>
    <w:rsid w:val="00DF51A8"/>
    <w:rsid w:val="00DF5ACC"/>
    <w:rsid w:val="00DF5CAC"/>
    <w:rsid w:val="00DF5CF7"/>
    <w:rsid w:val="00DF5DC3"/>
    <w:rsid w:val="00DF6022"/>
    <w:rsid w:val="00DF6A93"/>
    <w:rsid w:val="00DF6AC3"/>
    <w:rsid w:val="00DF744D"/>
    <w:rsid w:val="00DF75EC"/>
    <w:rsid w:val="00DF770C"/>
    <w:rsid w:val="00DF78E1"/>
    <w:rsid w:val="00DF7D56"/>
    <w:rsid w:val="00DF7DBE"/>
    <w:rsid w:val="00E002D6"/>
    <w:rsid w:val="00E00A7C"/>
    <w:rsid w:val="00E00E96"/>
    <w:rsid w:val="00E0133D"/>
    <w:rsid w:val="00E0199E"/>
    <w:rsid w:val="00E019ED"/>
    <w:rsid w:val="00E01B31"/>
    <w:rsid w:val="00E01E09"/>
    <w:rsid w:val="00E0231C"/>
    <w:rsid w:val="00E02392"/>
    <w:rsid w:val="00E025BF"/>
    <w:rsid w:val="00E0312F"/>
    <w:rsid w:val="00E03889"/>
    <w:rsid w:val="00E03BA3"/>
    <w:rsid w:val="00E03BA8"/>
    <w:rsid w:val="00E0429D"/>
    <w:rsid w:val="00E04C48"/>
    <w:rsid w:val="00E0584B"/>
    <w:rsid w:val="00E058F4"/>
    <w:rsid w:val="00E05C97"/>
    <w:rsid w:val="00E05DA6"/>
    <w:rsid w:val="00E05F35"/>
    <w:rsid w:val="00E06065"/>
    <w:rsid w:val="00E0668C"/>
    <w:rsid w:val="00E066F2"/>
    <w:rsid w:val="00E06A81"/>
    <w:rsid w:val="00E06B51"/>
    <w:rsid w:val="00E07772"/>
    <w:rsid w:val="00E07901"/>
    <w:rsid w:val="00E079C6"/>
    <w:rsid w:val="00E10AE7"/>
    <w:rsid w:val="00E10BFA"/>
    <w:rsid w:val="00E1133A"/>
    <w:rsid w:val="00E11428"/>
    <w:rsid w:val="00E116C6"/>
    <w:rsid w:val="00E12030"/>
    <w:rsid w:val="00E1239C"/>
    <w:rsid w:val="00E1262D"/>
    <w:rsid w:val="00E1273C"/>
    <w:rsid w:val="00E128A2"/>
    <w:rsid w:val="00E12AD1"/>
    <w:rsid w:val="00E13207"/>
    <w:rsid w:val="00E134FE"/>
    <w:rsid w:val="00E13958"/>
    <w:rsid w:val="00E1434A"/>
    <w:rsid w:val="00E14600"/>
    <w:rsid w:val="00E146CF"/>
    <w:rsid w:val="00E1488A"/>
    <w:rsid w:val="00E14BED"/>
    <w:rsid w:val="00E15048"/>
    <w:rsid w:val="00E15606"/>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10C4"/>
    <w:rsid w:val="00E211F7"/>
    <w:rsid w:val="00E21488"/>
    <w:rsid w:val="00E217A2"/>
    <w:rsid w:val="00E21B26"/>
    <w:rsid w:val="00E2207F"/>
    <w:rsid w:val="00E220B0"/>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F14"/>
    <w:rsid w:val="00E26FAD"/>
    <w:rsid w:val="00E271DE"/>
    <w:rsid w:val="00E27664"/>
    <w:rsid w:val="00E27927"/>
    <w:rsid w:val="00E27EBF"/>
    <w:rsid w:val="00E27F00"/>
    <w:rsid w:val="00E27F70"/>
    <w:rsid w:val="00E301A0"/>
    <w:rsid w:val="00E3021E"/>
    <w:rsid w:val="00E302AD"/>
    <w:rsid w:val="00E30431"/>
    <w:rsid w:val="00E304EB"/>
    <w:rsid w:val="00E30EF7"/>
    <w:rsid w:val="00E3187A"/>
    <w:rsid w:val="00E31FA1"/>
    <w:rsid w:val="00E32086"/>
    <w:rsid w:val="00E3273D"/>
    <w:rsid w:val="00E329D0"/>
    <w:rsid w:val="00E32C08"/>
    <w:rsid w:val="00E330AD"/>
    <w:rsid w:val="00E33746"/>
    <w:rsid w:val="00E33AFF"/>
    <w:rsid w:val="00E33DEF"/>
    <w:rsid w:val="00E34127"/>
    <w:rsid w:val="00E3422F"/>
    <w:rsid w:val="00E342B3"/>
    <w:rsid w:val="00E3451F"/>
    <w:rsid w:val="00E3469B"/>
    <w:rsid w:val="00E34969"/>
    <w:rsid w:val="00E34A0D"/>
    <w:rsid w:val="00E34B80"/>
    <w:rsid w:val="00E34CC9"/>
    <w:rsid w:val="00E34DDA"/>
    <w:rsid w:val="00E34EE9"/>
    <w:rsid w:val="00E3590B"/>
    <w:rsid w:val="00E36ADF"/>
    <w:rsid w:val="00E36B53"/>
    <w:rsid w:val="00E3705A"/>
    <w:rsid w:val="00E37585"/>
    <w:rsid w:val="00E40652"/>
    <w:rsid w:val="00E40942"/>
    <w:rsid w:val="00E40A18"/>
    <w:rsid w:val="00E40C48"/>
    <w:rsid w:val="00E4159F"/>
    <w:rsid w:val="00E419F3"/>
    <w:rsid w:val="00E41B64"/>
    <w:rsid w:val="00E41E78"/>
    <w:rsid w:val="00E41F4B"/>
    <w:rsid w:val="00E4203F"/>
    <w:rsid w:val="00E422B5"/>
    <w:rsid w:val="00E42C35"/>
    <w:rsid w:val="00E42E41"/>
    <w:rsid w:val="00E42EE0"/>
    <w:rsid w:val="00E432D2"/>
    <w:rsid w:val="00E43ACE"/>
    <w:rsid w:val="00E43E70"/>
    <w:rsid w:val="00E447D5"/>
    <w:rsid w:val="00E4492C"/>
    <w:rsid w:val="00E44995"/>
    <w:rsid w:val="00E45452"/>
    <w:rsid w:val="00E4557B"/>
    <w:rsid w:val="00E45816"/>
    <w:rsid w:val="00E460C8"/>
    <w:rsid w:val="00E463D1"/>
    <w:rsid w:val="00E469D5"/>
    <w:rsid w:val="00E46B25"/>
    <w:rsid w:val="00E46CD5"/>
    <w:rsid w:val="00E471D6"/>
    <w:rsid w:val="00E473F4"/>
    <w:rsid w:val="00E47502"/>
    <w:rsid w:val="00E500D9"/>
    <w:rsid w:val="00E504BE"/>
    <w:rsid w:val="00E505F4"/>
    <w:rsid w:val="00E505FC"/>
    <w:rsid w:val="00E50778"/>
    <w:rsid w:val="00E50FBC"/>
    <w:rsid w:val="00E518D0"/>
    <w:rsid w:val="00E51AB5"/>
    <w:rsid w:val="00E51C9F"/>
    <w:rsid w:val="00E51DFD"/>
    <w:rsid w:val="00E52345"/>
    <w:rsid w:val="00E52763"/>
    <w:rsid w:val="00E53948"/>
    <w:rsid w:val="00E53DED"/>
    <w:rsid w:val="00E5411A"/>
    <w:rsid w:val="00E54129"/>
    <w:rsid w:val="00E553BC"/>
    <w:rsid w:val="00E55509"/>
    <w:rsid w:val="00E55B9C"/>
    <w:rsid w:val="00E55EC9"/>
    <w:rsid w:val="00E5619A"/>
    <w:rsid w:val="00E5629F"/>
    <w:rsid w:val="00E563AE"/>
    <w:rsid w:val="00E56582"/>
    <w:rsid w:val="00E565DD"/>
    <w:rsid w:val="00E565F4"/>
    <w:rsid w:val="00E568D9"/>
    <w:rsid w:val="00E56D49"/>
    <w:rsid w:val="00E56E35"/>
    <w:rsid w:val="00E57005"/>
    <w:rsid w:val="00E57091"/>
    <w:rsid w:val="00E570AE"/>
    <w:rsid w:val="00E574A2"/>
    <w:rsid w:val="00E57B6E"/>
    <w:rsid w:val="00E60616"/>
    <w:rsid w:val="00E60B3B"/>
    <w:rsid w:val="00E60BDC"/>
    <w:rsid w:val="00E61029"/>
    <w:rsid w:val="00E61462"/>
    <w:rsid w:val="00E61498"/>
    <w:rsid w:val="00E6177F"/>
    <w:rsid w:val="00E61EA6"/>
    <w:rsid w:val="00E62BF6"/>
    <w:rsid w:val="00E62F89"/>
    <w:rsid w:val="00E6376A"/>
    <w:rsid w:val="00E638B2"/>
    <w:rsid w:val="00E63D29"/>
    <w:rsid w:val="00E647AB"/>
    <w:rsid w:val="00E64877"/>
    <w:rsid w:val="00E64A96"/>
    <w:rsid w:val="00E64D8F"/>
    <w:rsid w:val="00E64ED0"/>
    <w:rsid w:val="00E6575A"/>
    <w:rsid w:val="00E6594B"/>
    <w:rsid w:val="00E65B70"/>
    <w:rsid w:val="00E65F7E"/>
    <w:rsid w:val="00E660D8"/>
    <w:rsid w:val="00E66288"/>
    <w:rsid w:val="00E662CD"/>
    <w:rsid w:val="00E66827"/>
    <w:rsid w:val="00E669AB"/>
    <w:rsid w:val="00E66FCC"/>
    <w:rsid w:val="00E67427"/>
    <w:rsid w:val="00E676F1"/>
    <w:rsid w:val="00E67860"/>
    <w:rsid w:val="00E70088"/>
    <w:rsid w:val="00E705FE"/>
    <w:rsid w:val="00E7064C"/>
    <w:rsid w:val="00E7074B"/>
    <w:rsid w:val="00E70C7F"/>
    <w:rsid w:val="00E70EA0"/>
    <w:rsid w:val="00E7186E"/>
    <w:rsid w:val="00E71AE2"/>
    <w:rsid w:val="00E71AF5"/>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80278"/>
    <w:rsid w:val="00E80724"/>
    <w:rsid w:val="00E807BC"/>
    <w:rsid w:val="00E80A85"/>
    <w:rsid w:val="00E80E3F"/>
    <w:rsid w:val="00E814F5"/>
    <w:rsid w:val="00E81B70"/>
    <w:rsid w:val="00E82322"/>
    <w:rsid w:val="00E82556"/>
    <w:rsid w:val="00E82D19"/>
    <w:rsid w:val="00E830E2"/>
    <w:rsid w:val="00E832D1"/>
    <w:rsid w:val="00E83809"/>
    <w:rsid w:val="00E83A40"/>
    <w:rsid w:val="00E84688"/>
    <w:rsid w:val="00E8470D"/>
    <w:rsid w:val="00E8475C"/>
    <w:rsid w:val="00E847C9"/>
    <w:rsid w:val="00E84EB8"/>
    <w:rsid w:val="00E85288"/>
    <w:rsid w:val="00E852EC"/>
    <w:rsid w:val="00E859B8"/>
    <w:rsid w:val="00E85A95"/>
    <w:rsid w:val="00E85CBE"/>
    <w:rsid w:val="00E85EE6"/>
    <w:rsid w:val="00E85F06"/>
    <w:rsid w:val="00E861C4"/>
    <w:rsid w:val="00E86503"/>
    <w:rsid w:val="00E86566"/>
    <w:rsid w:val="00E86641"/>
    <w:rsid w:val="00E866C4"/>
    <w:rsid w:val="00E871CE"/>
    <w:rsid w:val="00E875F5"/>
    <w:rsid w:val="00E903F5"/>
    <w:rsid w:val="00E905D8"/>
    <w:rsid w:val="00E906F6"/>
    <w:rsid w:val="00E90988"/>
    <w:rsid w:val="00E90A23"/>
    <w:rsid w:val="00E91B1C"/>
    <w:rsid w:val="00E91BC3"/>
    <w:rsid w:val="00E91BF5"/>
    <w:rsid w:val="00E91EDB"/>
    <w:rsid w:val="00E92527"/>
    <w:rsid w:val="00E927A6"/>
    <w:rsid w:val="00E92A93"/>
    <w:rsid w:val="00E93620"/>
    <w:rsid w:val="00E93ACF"/>
    <w:rsid w:val="00E93E4F"/>
    <w:rsid w:val="00E941E0"/>
    <w:rsid w:val="00E951D5"/>
    <w:rsid w:val="00E9567F"/>
    <w:rsid w:val="00E95761"/>
    <w:rsid w:val="00E959A0"/>
    <w:rsid w:val="00E95A69"/>
    <w:rsid w:val="00E95A73"/>
    <w:rsid w:val="00E965C3"/>
    <w:rsid w:val="00E96897"/>
    <w:rsid w:val="00E969FC"/>
    <w:rsid w:val="00E97045"/>
    <w:rsid w:val="00E973CF"/>
    <w:rsid w:val="00E976A8"/>
    <w:rsid w:val="00E97B8E"/>
    <w:rsid w:val="00E97DA3"/>
    <w:rsid w:val="00E97E70"/>
    <w:rsid w:val="00EA0038"/>
    <w:rsid w:val="00EA0AE7"/>
    <w:rsid w:val="00EA0CE1"/>
    <w:rsid w:val="00EA1086"/>
    <w:rsid w:val="00EA10B1"/>
    <w:rsid w:val="00EA20D4"/>
    <w:rsid w:val="00EA270C"/>
    <w:rsid w:val="00EA2AE4"/>
    <w:rsid w:val="00EA2ECB"/>
    <w:rsid w:val="00EA2ED7"/>
    <w:rsid w:val="00EA3185"/>
    <w:rsid w:val="00EA36EA"/>
    <w:rsid w:val="00EA413E"/>
    <w:rsid w:val="00EA443F"/>
    <w:rsid w:val="00EA4645"/>
    <w:rsid w:val="00EA466B"/>
    <w:rsid w:val="00EA4A82"/>
    <w:rsid w:val="00EA4FEE"/>
    <w:rsid w:val="00EA5CB5"/>
    <w:rsid w:val="00EA5CF4"/>
    <w:rsid w:val="00EA6548"/>
    <w:rsid w:val="00EA67AD"/>
    <w:rsid w:val="00EA6CF3"/>
    <w:rsid w:val="00EA72D8"/>
    <w:rsid w:val="00EA72FC"/>
    <w:rsid w:val="00EA7303"/>
    <w:rsid w:val="00EA7E45"/>
    <w:rsid w:val="00EB09B9"/>
    <w:rsid w:val="00EB0C2C"/>
    <w:rsid w:val="00EB1714"/>
    <w:rsid w:val="00EB2310"/>
    <w:rsid w:val="00EB2721"/>
    <w:rsid w:val="00EB30BE"/>
    <w:rsid w:val="00EB3404"/>
    <w:rsid w:val="00EB3599"/>
    <w:rsid w:val="00EB3934"/>
    <w:rsid w:val="00EB3BA9"/>
    <w:rsid w:val="00EB3C52"/>
    <w:rsid w:val="00EB3F79"/>
    <w:rsid w:val="00EB41F5"/>
    <w:rsid w:val="00EB45F6"/>
    <w:rsid w:val="00EB4992"/>
    <w:rsid w:val="00EB4F1A"/>
    <w:rsid w:val="00EB50B2"/>
    <w:rsid w:val="00EB5799"/>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1658"/>
    <w:rsid w:val="00EC1877"/>
    <w:rsid w:val="00EC195F"/>
    <w:rsid w:val="00EC1C35"/>
    <w:rsid w:val="00EC1F63"/>
    <w:rsid w:val="00EC22A5"/>
    <w:rsid w:val="00EC358F"/>
    <w:rsid w:val="00EC3CFC"/>
    <w:rsid w:val="00EC3F0C"/>
    <w:rsid w:val="00EC4347"/>
    <w:rsid w:val="00EC498D"/>
    <w:rsid w:val="00EC52C3"/>
    <w:rsid w:val="00EC5C49"/>
    <w:rsid w:val="00EC5E45"/>
    <w:rsid w:val="00EC5ED6"/>
    <w:rsid w:val="00EC608C"/>
    <w:rsid w:val="00EC61C2"/>
    <w:rsid w:val="00EC61FC"/>
    <w:rsid w:val="00EC69B8"/>
    <w:rsid w:val="00EC6A5C"/>
    <w:rsid w:val="00EC6DE5"/>
    <w:rsid w:val="00ED0557"/>
    <w:rsid w:val="00ED0CF0"/>
    <w:rsid w:val="00ED0D6E"/>
    <w:rsid w:val="00ED10FA"/>
    <w:rsid w:val="00ED1407"/>
    <w:rsid w:val="00ED1A74"/>
    <w:rsid w:val="00ED21EF"/>
    <w:rsid w:val="00ED2A29"/>
    <w:rsid w:val="00ED2B62"/>
    <w:rsid w:val="00ED34D4"/>
    <w:rsid w:val="00ED3ADF"/>
    <w:rsid w:val="00ED3D84"/>
    <w:rsid w:val="00ED3D87"/>
    <w:rsid w:val="00ED3E53"/>
    <w:rsid w:val="00ED42FF"/>
    <w:rsid w:val="00ED58B3"/>
    <w:rsid w:val="00ED59A5"/>
    <w:rsid w:val="00ED5E6C"/>
    <w:rsid w:val="00ED74FB"/>
    <w:rsid w:val="00ED766C"/>
    <w:rsid w:val="00ED76FB"/>
    <w:rsid w:val="00ED78A3"/>
    <w:rsid w:val="00ED7C00"/>
    <w:rsid w:val="00EE05C2"/>
    <w:rsid w:val="00EE06A6"/>
    <w:rsid w:val="00EE0D01"/>
    <w:rsid w:val="00EE0EA6"/>
    <w:rsid w:val="00EE11DC"/>
    <w:rsid w:val="00EE124D"/>
    <w:rsid w:val="00EE1C02"/>
    <w:rsid w:val="00EE2358"/>
    <w:rsid w:val="00EE2793"/>
    <w:rsid w:val="00EE27F6"/>
    <w:rsid w:val="00EE296D"/>
    <w:rsid w:val="00EE2A6C"/>
    <w:rsid w:val="00EE30EE"/>
    <w:rsid w:val="00EE3121"/>
    <w:rsid w:val="00EE3C6D"/>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CF"/>
    <w:rsid w:val="00EF057C"/>
    <w:rsid w:val="00EF1D14"/>
    <w:rsid w:val="00EF23A1"/>
    <w:rsid w:val="00EF2755"/>
    <w:rsid w:val="00EF3218"/>
    <w:rsid w:val="00EF334E"/>
    <w:rsid w:val="00EF359E"/>
    <w:rsid w:val="00EF3B45"/>
    <w:rsid w:val="00EF42FB"/>
    <w:rsid w:val="00EF4668"/>
    <w:rsid w:val="00EF4685"/>
    <w:rsid w:val="00EF4852"/>
    <w:rsid w:val="00EF4AEB"/>
    <w:rsid w:val="00EF4FEE"/>
    <w:rsid w:val="00EF542B"/>
    <w:rsid w:val="00EF6873"/>
    <w:rsid w:val="00EF6902"/>
    <w:rsid w:val="00EF6F24"/>
    <w:rsid w:val="00EF7132"/>
    <w:rsid w:val="00EF7143"/>
    <w:rsid w:val="00EF7C7D"/>
    <w:rsid w:val="00F0055F"/>
    <w:rsid w:val="00F0080B"/>
    <w:rsid w:val="00F00BE1"/>
    <w:rsid w:val="00F00DF6"/>
    <w:rsid w:val="00F01122"/>
    <w:rsid w:val="00F01572"/>
    <w:rsid w:val="00F015B1"/>
    <w:rsid w:val="00F01B31"/>
    <w:rsid w:val="00F02322"/>
    <w:rsid w:val="00F02D9C"/>
    <w:rsid w:val="00F037D5"/>
    <w:rsid w:val="00F038D5"/>
    <w:rsid w:val="00F03AB6"/>
    <w:rsid w:val="00F03AB9"/>
    <w:rsid w:val="00F03CD6"/>
    <w:rsid w:val="00F03F08"/>
    <w:rsid w:val="00F03F4E"/>
    <w:rsid w:val="00F0439A"/>
    <w:rsid w:val="00F048EF"/>
    <w:rsid w:val="00F06479"/>
    <w:rsid w:val="00F066CF"/>
    <w:rsid w:val="00F06958"/>
    <w:rsid w:val="00F07241"/>
    <w:rsid w:val="00F07571"/>
    <w:rsid w:val="00F076C5"/>
    <w:rsid w:val="00F07E96"/>
    <w:rsid w:val="00F10B0A"/>
    <w:rsid w:val="00F11537"/>
    <w:rsid w:val="00F120D9"/>
    <w:rsid w:val="00F124BE"/>
    <w:rsid w:val="00F125DE"/>
    <w:rsid w:val="00F12638"/>
    <w:rsid w:val="00F12A36"/>
    <w:rsid w:val="00F12A9F"/>
    <w:rsid w:val="00F13137"/>
    <w:rsid w:val="00F1339B"/>
    <w:rsid w:val="00F14C13"/>
    <w:rsid w:val="00F14CE8"/>
    <w:rsid w:val="00F15FBF"/>
    <w:rsid w:val="00F17174"/>
    <w:rsid w:val="00F172D0"/>
    <w:rsid w:val="00F211DE"/>
    <w:rsid w:val="00F21A9F"/>
    <w:rsid w:val="00F21D2A"/>
    <w:rsid w:val="00F21E63"/>
    <w:rsid w:val="00F21E86"/>
    <w:rsid w:val="00F2254A"/>
    <w:rsid w:val="00F2276D"/>
    <w:rsid w:val="00F22B7B"/>
    <w:rsid w:val="00F22C15"/>
    <w:rsid w:val="00F22DC5"/>
    <w:rsid w:val="00F22EDB"/>
    <w:rsid w:val="00F2304F"/>
    <w:rsid w:val="00F23124"/>
    <w:rsid w:val="00F23423"/>
    <w:rsid w:val="00F23570"/>
    <w:rsid w:val="00F23F06"/>
    <w:rsid w:val="00F23F7D"/>
    <w:rsid w:val="00F2421D"/>
    <w:rsid w:val="00F24232"/>
    <w:rsid w:val="00F2486E"/>
    <w:rsid w:val="00F24E8D"/>
    <w:rsid w:val="00F25177"/>
    <w:rsid w:val="00F2526C"/>
    <w:rsid w:val="00F25420"/>
    <w:rsid w:val="00F256A5"/>
    <w:rsid w:val="00F2586C"/>
    <w:rsid w:val="00F2604B"/>
    <w:rsid w:val="00F261F0"/>
    <w:rsid w:val="00F2659D"/>
    <w:rsid w:val="00F265C5"/>
    <w:rsid w:val="00F27170"/>
    <w:rsid w:val="00F27319"/>
    <w:rsid w:val="00F274A5"/>
    <w:rsid w:val="00F27BB8"/>
    <w:rsid w:val="00F30016"/>
    <w:rsid w:val="00F300F4"/>
    <w:rsid w:val="00F3013E"/>
    <w:rsid w:val="00F3058F"/>
    <w:rsid w:val="00F30A3E"/>
    <w:rsid w:val="00F30C02"/>
    <w:rsid w:val="00F30CE5"/>
    <w:rsid w:val="00F30E85"/>
    <w:rsid w:val="00F30FDC"/>
    <w:rsid w:val="00F313D1"/>
    <w:rsid w:val="00F3144A"/>
    <w:rsid w:val="00F31C75"/>
    <w:rsid w:val="00F31F4C"/>
    <w:rsid w:val="00F31FA1"/>
    <w:rsid w:val="00F32543"/>
    <w:rsid w:val="00F33050"/>
    <w:rsid w:val="00F33277"/>
    <w:rsid w:val="00F33286"/>
    <w:rsid w:val="00F333D8"/>
    <w:rsid w:val="00F339D7"/>
    <w:rsid w:val="00F33CE0"/>
    <w:rsid w:val="00F3402A"/>
    <w:rsid w:val="00F340CD"/>
    <w:rsid w:val="00F3417F"/>
    <w:rsid w:val="00F341B5"/>
    <w:rsid w:val="00F341CC"/>
    <w:rsid w:val="00F342DC"/>
    <w:rsid w:val="00F3481A"/>
    <w:rsid w:val="00F34A3B"/>
    <w:rsid w:val="00F34E67"/>
    <w:rsid w:val="00F35095"/>
    <w:rsid w:val="00F35664"/>
    <w:rsid w:val="00F35C54"/>
    <w:rsid w:val="00F35E63"/>
    <w:rsid w:val="00F35FC7"/>
    <w:rsid w:val="00F364CF"/>
    <w:rsid w:val="00F368CB"/>
    <w:rsid w:val="00F36AE4"/>
    <w:rsid w:val="00F36B6C"/>
    <w:rsid w:val="00F36BCA"/>
    <w:rsid w:val="00F36D10"/>
    <w:rsid w:val="00F36DE3"/>
    <w:rsid w:val="00F370DC"/>
    <w:rsid w:val="00F37487"/>
    <w:rsid w:val="00F37566"/>
    <w:rsid w:val="00F377FC"/>
    <w:rsid w:val="00F37C18"/>
    <w:rsid w:val="00F37E5B"/>
    <w:rsid w:val="00F40508"/>
    <w:rsid w:val="00F406D5"/>
    <w:rsid w:val="00F409C2"/>
    <w:rsid w:val="00F40CAB"/>
    <w:rsid w:val="00F40D09"/>
    <w:rsid w:val="00F42739"/>
    <w:rsid w:val="00F429E5"/>
    <w:rsid w:val="00F432C6"/>
    <w:rsid w:val="00F4352E"/>
    <w:rsid w:val="00F43960"/>
    <w:rsid w:val="00F43C3C"/>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51A"/>
    <w:rsid w:val="00F5068E"/>
    <w:rsid w:val="00F50A8A"/>
    <w:rsid w:val="00F50BFA"/>
    <w:rsid w:val="00F510A6"/>
    <w:rsid w:val="00F515CA"/>
    <w:rsid w:val="00F51D20"/>
    <w:rsid w:val="00F52BF1"/>
    <w:rsid w:val="00F530D0"/>
    <w:rsid w:val="00F53166"/>
    <w:rsid w:val="00F5335D"/>
    <w:rsid w:val="00F53A12"/>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C7C"/>
    <w:rsid w:val="00F56CB9"/>
    <w:rsid w:val="00F572E1"/>
    <w:rsid w:val="00F57650"/>
    <w:rsid w:val="00F579FC"/>
    <w:rsid w:val="00F57FD9"/>
    <w:rsid w:val="00F601CA"/>
    <w:rsid w:val="00F60277"/>
    <w:rsid w:val="00F6089D"/>
    <w:rsid w:val="00F60C74"/>
    <w:rsid w:val="00F61342"/>
    <w:rsid w:val="00F61602"/>
    <w:rsid w:val="00F6161C"/>
    <w:rsid w:val="00F61841"/>
    <w:rsid w:val="00F61E93"/>
    <w:rsid w:val="00F623EC"/>
    <w:rsid w:val="00F62773"/>
    <w:rsid w:val="00F62B95"/>
    <w:rsid w:val="00F62FE5"/>
    <w:rsid w:val="00F6359C"/>
    <w:rsid w:val="00F637C9"/>
    <w:rsid w:val="00F63DDA"/>
    <w:rsid w:val="00F64243"/>
    <w:rsid w:val="00F644C7"/>
    <w:rsid w:val="00F648B2"/>
    <w:rsid w:val="00F64CF8"/>
    <w:rsid w:val="00F64DD3"/>
    <w:rsid w:val="00F64F51"/>
    <w:rsid w:val="00F654E8"/>
    <w:rsid w:val="00F6607F"/>
    <w:rsid w:val="00F66122"/>
    <w:rsid w:val="00F665D5"/>
    <w:rsid w:val="00F666FD"/>
    <w:rsid w:val="00F66EC1"/>
    <w:rsid w:val="00F67099"/>
    <w:rsid w:val="00F672F1"/>
    <w:rsid w:val="00F67302"/>
    <w:rsid w:val="00F677AF"/>
    <w:rsid w:val="00F67A35"/>
    <w:rsid w:val="00F67B7D"/>
    <w:rsid w:val="00F67FC4"/>
    <w:rsid w:val="00F71419"/>
    <w:rsid w:val="00F72357"/>
    <w:rsid w:val="00F72620"/>
    <w:rsid w:val="00F733CC"/>
    <w:rsid w:val="00F73930"/>
    <w:rsid w:val="00F73B70"/>
    <w:rsid w:val="00F74118"/>
    <w:rsid w:val="00F74217"/>
    <w:rsid w:val="00F746A3"/>
    <w:rsid w:val="00F74BBB"/>
    <w:rsid w:val="00F759AD"/>
    <w:rsid w:val="00F75BDF"/>
    <w:rsid w:val="00F765E8"/>
    <w:rsid w:val="00F76851"/>
    <w:rsid w:val="00F76EE1"/>
    <w:rsid w:val="00F77084"/>
    <w:rsid w:val="00F772AD"/>
    <w:rsid w:val="00F7768D"/>
    <w:rsid w:val="00F77E2A"/>
    <w:rsid w:val="00F80A71"/>
    <w:rsid w:val="00F80F3C"/>
    <w:rsid w:val="00F8124E"/>
    <w:rsid w:val="00F81526"/>
    <w:rsid w:val="00F81886"/>
    <w:rsid w:val="00F8200C"/>
    <w:rsid w:val="00F823C1"/>
    <w:rsid w:val="00F82B09"/>
    <w:rsid w:val="00F82F09"/>
    <w:rsid w:val="00F834BC"/>
    <w:rsid w:val="00F83841"/>
    <w:rsid w:val="00F839E0"/>
    <w:rsid w:val="00F83A6F"/>
    <w:rsid w:val="00F84B88"/>
    <w:rsid w:val="00F85244"/>
    <w:rsid w:val="00F856F0"/>
    <w:rsid w:val="00F85AF0"/>
    <w:rsid w:val="00F85D77"/>
    <w:rsid w:val="00F863C8"/>
    <w:rsid w:val="00F86A5E"/>
    <w:rsid w:val="00F86D88"/>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5B0B"/>
    <w:rsid w:val="00F95F58"/>
    <w:rsid w:val="00F963E1"/>
    <w:rsid w:val="00F9721B"/>
    <w:rsid w:val="00F977CB"/>
    <w:rsid w:val="00F97854"/>
    <w:rsid w:val="00F97C49"/>
    <w:rsid w:val="00FA0942"/>
    <w:rsid w:val="00FA0AC9"/>
    <w:rsid w:val="00FA12CC"/>
    <w:rsid w:val="00FA188C"/>
    <w:rsid w:val="00FA1FF2"/>
    <w:rsid w:val="00FA2910"/>
    <w:rsid w:val="00FA29F4"/>
    <w:rsid w:val="00FA2B04"/>
    <w:rsid w:val="00FA362D"/>
    <w:rsid w:val="00FA3D8C"/>
    <w:rsid w:val="00FA3E51"/>
    <w:rsid w:val="00FA403D"/>
    <w:rsid w:val="00FA40A3"/>
    <w:rsid w:val="00FA427F"/>
    <w:rsid w:val="00FA45CD"/>
    <w:rsid w:val="00FA4810"/>
    <w:rsid w:val="00FA4D76"/>
    <w:rsid w:val="00FA52BF"/>
    <w:rsid w:val="00FA5989"/>
    <w:rsid w:val="00FA5A62"/>
    <w:rsid w:val="00FA5B17"/>
    <w:rsid w:val="00FA6330"/>
    <w:rsid w:val="00FA6924"/>
    <w:rsid w:val="00FA69D3"/>
    <w:rsid w:val="00FA6C90"/>
    <w:rsid w:val="00FA7125"/>
    <w:rsid w:val="00FA7131"/>
    <w:rsid w:val="00FA7DF7"/>
    <w:rsid w:val="00FB01CC"/>
    <w:rsid w:val="00FB08F9"/>
    <w:rsid w:val="00FB1350"/>
    <w:rsid w:val="00FB16CA"/>
    <w:rsid w:val="00FB26BD"/>
    <w:rsid w:val="00FB2C23"/>
    <w:rsid w:val="00FB2DE1"/>
    <w:rsid w:val="00FB3325"/>
    <w:rsid w:val="00FB33FA"/>
    <w:rsid w:val="00FB35CC"/>
    <w:rsid w:val="00FB3866"/>
    <w:rsid w:val="00FB386A"/>
    <w:rsid w:val="00FB3966"/>
    <w:rsid w:val="00FB3B56"/>
    <w:rsid w:val="00FB3BA6"/>
    <w:rsid w:val="00FB4411"/>
    <w:rsid w:val="00FB4D65"/>
    <w:rsid w:val="00FB5001"/>
    <w:rsid w:val="00FB56CA"/>
    <w:rsid w:val="00FB5954"/>
    <w:rsid w:val="00FB5B4B"/>
    <w:rsid w:val="00FB5BD1"/>
    <w:rsid w:val="00FB60A1"/>
    <w:rsid w:val="00FB6695"/>
    <w:rsid w:val="00FB7222"/>
    <w:rsid w:val="00FB7397"/>
    <w:rsid w:val="00FC012F"/>
    <w:rsid w:val="00FC0253"/>
    <w:rsid w:val="00FC060B"/>
    <w:rsid w:val="00FC085C"/>
    <w:rsid w:val="00FC0CDF"/>
    <w:rsid w:val="00FC0D7C"/>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50EA"/>
    <w:rsid w:val="00FC51C4"/>
    <w:rsid w:val="00FC51D7"/>
    <w:rsid w:val="00FC5656"/>
    <w:rsid w:val="00FC5661"/>
    <w:rsid w:val="00FC5964"/>
    <w:rsid w:val="00FC5BAE"/>
    <w:rsid w:val="00FC5F90"/>
    <w:rsid w:val="00FC64F3"/>
    <w:rsid w:val="00FC66AD"/>
    <w:rsid w:val="00FC72E0"/>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4073"/>
    <w:rsid w:val="00FD40CF"/>
    <w:rsid w:val="00FD5043"/>
    <w:rsid w:val="00FD510B"/>
    <w:rsid w:val="00FD52F8"/>
    <w:rsid w:val="00FD5360"/>
    <w:rsid w:val="00FD54CC"/>
    <w:rsid w:val="00FD5914"/>
    <w:rsid w:val="00FD5F6C"/>
    <w:rsid w:val="00FD65AD"/>
    <w:rsid w:val="00FD6B34"/>
    <w:rsid w:val="00FD6C8C"/>
    <w:rsid w:val="00FD6DBB"/>
    <w:rsid w:val="00FD7529"/>
    <w:rsid w:val="00FD795C"/>
    <w:rsid w:val="00FD7A8D"/>
    <w:rsid w:val="00FE06A2"/>
    <w:rsid w:val="00FE0CE6"/>
    <w:rsid w:val="00FE0E39"/>
    <w:rsid w:val="00FE0FBC"/>
    <w:rsid w:val="00FE1630"/>
    <w:rsid w:val="00FE169D"/>
    <w:rsid w:val="00FE190A"/>
    <w:rsid w:val="00FE1B04"/>
    <w:rsid w:val="00FE28C8"/>
    <w:rsid w:val="00FE2C3A"/>
    <w:rsid w:val="00FE2E81"/>
    <w:rsid w:val="00FE33B0"/>
    <w:rsid w:val="00FE36BA"/>
    <w:rsid w:val="00FE378C"/>
    <w:rsid w:val="00FE39E1"/>
    <w:rsid w:val="00FE422E"/>
    <w:rsid w:val="00FE4CFC"/>
    <w:rsid w:val="00FE5E92"/>
    <w:rsid w:val="00FE5F93"/>
    <w:rsid w:val="00FE62CD"/>
    <w:rsid w:val="00FE6871"/>
    <w:rsid w:val="00FE6D96"/>
    <w:rsid w:val="00FE6F3B"/>
    <w:rsid w:val="00FE71CB"/>
    <w:rsid w:val="00FE792B"/>
    <w:rsid w:val="00FE79EF"/>
    <w:rsid w:val="00FE7BC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2C4B1A90-55D3-4A21-8A8E-63F54DD6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6672&amp;texto=2b434f4c45474941444f253341253232504c454e4152494f2532322b414e442b2b2532384e554d41434f5244414f253341323433392b4f522b4e554d52454c4143414f25334132343339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3" Type="http://schemas.openxmlformats.org/officeDocument/2006/relationships/hyperlink" Target="https://contas.tcu.gov.br/juris/SvlHighLight?key=ACORDAO-LEGADO-116545&amp;texto=2b434f4c45474941444f253341253232504c454e4152494f2532322b414e442b2b2532384e554d41434f5244414f253341323437302b4f522b4e554d52454c4143414f25334132343730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HighLight?key=ACORDAO-LEGADO-116555&amp;texto=2b434f4c45474941444f253341253232504c454e4152494f2532322b414e442b2b2532384e554d41434f5244414f253341323435392b4f522b4e554d52454c4143414f25334132343539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16640&amp;texto=2b434f4c45474941444f253341253232504c454e4152494f2532322b414e442b2b2532384e554d41434f5244414f253341323433382b4f522b4e554d52454c4143414f25334132343338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tas.tcu.gov.br/juris/SvlHighLight?key=ACORDAO-LEGADO-116564&amp;texto=2b434f4c45474941444f253341253232504c454e4152494f2532322b414e442b2b2532384e554d41434f5244414f253341323435302b4f522b4e554d52454c4143414f25334132343530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tas.tcu.gov.br/juris/SvlHighLight?key=ACORDAO-LEGADO-116543&amp;texto=2b434f4c45474941444f253341253232504c454e4152494f2532322b414e442b2b2532384e554d41434f5244414f253341323433342b4f522b4e554d52454c4143414f25334132343334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4" Type="http://schemas.openxmlformats.org/officeDocument/2006/relationships/hyperlink" Target="mailto:infojuris@tcu.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34D02-94A9-4562-9671-AFA0B0BF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3477</Words>
  <Characters>18780</Characters>
  <Application>Microsoft Office Word</Application>
  <DocSecurity>4</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22213</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2293818</vt:i4>
      </vt:variant>
      <vt:variant>
        <vt:i4>15</vt:i4>
      </vt:variant>
      <vt:variant>
        <vt:i4>0</vt:i4>
      </vt:variant>
      <vt:variant>
        <vt:i4>5</vt:i4>
      </vt:variant>
      <vt:variant>
        <vt:lpwstr>https://contas.tcu.gov.br/juris/SvlHighLight?key=ACORDAO-LEGADO-116545&amp;texto=2b434f4c45474941444f253341253232504c454e4152494f2532322b414e442b2b2532384e554d41434f5244414f253341323437302b4f522b4e554d52454c4143414f253341323437302532392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2293819</vt:i4>
      </vt:variant>
      <vt:variant>
        <vt:i4>12</vt:i4>
      </vt:variant>
      <vt:variant>
        <vt:i4>0</vt:i4>
      </vt:variant>
      <vt:variant>
        <vt:i4>5</vt:i4>
      </vt:variant>
      <vt:variant>
        <vt:lpwstr>https://contas.tcu.gov.br/juris/SvlHighLight?key=ACORDAO-LEGADO-116555&amp;texto=2b434f4c45474941444f253341253232504c454e4152494f2532322b414e442b2b2532384e554d41434f5244414f253341323435392b4f522b4e554d52454c4143414f253341323435392532392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2424890</vt:i4>
      </vt:variant>
      <vt:variant>
        <vt:i4>9</vt:i4>
      </vt:variant>
      <vt:variant>
        <vt:i4>0</vt:i4>
      </vt:variant>
      <vt:variant>
        <vt:i4>5</vt:i4>
      </vt:variant>
      <vt:variant>
        <vt:lpwstr>https://contas.tcu.gov.br/juris/SvlHighLight?key=ACORDAO-LEGADO-116640&amp;texto=2b434f4c45474941444f253341253232504c454e4152494f2532322b414e442b2b2532384e554d41434f5244414f253341323433382b4f522b4e554d52454c4143414f253341323433382532392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2228280</vt:i4>
      </vt:variant>
      <vt:variant>
        <vt:i4>6</vt:i4>
      </vt:variant>
      <vt:variant>
        <vt:i4>0</vt:i4>
      </vt:variant>
      <vt:variant>
        <vt:i4>5</vt:i4>
      </vt:variant>
      <vt:variant>
        <vt:lpwstr>https://contas.tcu.gov.br/juris/SvlHighLight?key=ACORDAO-LEGADO-116564&amp;texto=2b434f4c45474941444f253341253232504c454e4152494f2532322b414e442b2b2532384e554d41434f5244414f253341323435302b4f522b4e554d52454c4143414f253341323435302532392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2424890</vt:i4>
      </vt:variant>
      <vt:variant>
        <vt:i4>3</vt:i4>
      </vt:variant>
      <vt:variant>
        <vt:i4>0</vt:i4>
      </vt:variant>
      <vt:variant>
        <vt:i4>5</vt:i4>
      </vt:variant>
      <vt:variant>
        <vt:lpwstr>https://contas.tcu.gov.br/juris/SvlHighLight?key=ACORDAO-LEGADO-116543&amp;texto=2b434f4c45474941444f253341253232504c454e4152494f2532322b414e442b2b2532384e554d41434f5244414f253341323433342b4f522b4e554d52454c4143414f253341323433342532392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2555961</vt:i4>
      </vt:variant>
      <vt:variant>
        <vt:i4>0</vt:i4>
      </vt:variant>
      <vt:variant>
        <vt:i4>0</vt:i4>
      </vt:variant>
      <vt:variant>
        <vt:i4>5</vt:i4>
      </vt:variant>
      <vt:variant>
        <vt:lpwstr>https://contas.tcu.gov.br/juris/SvlHighLight?key=ACORDAO-LEGADO-116672&amp;texto=2b434f4c45474941444f253341253232504c454e4152494f2532322b414e442b2b2532384e554d41434f5244414f253341323433392b4f522b4e554d52454c4143414f253341323433392532392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2013-07-30T19:47:00Z</cp:lastPrinted>
  <dcterms:created xsi:type="dcterms:W3CDTF">2015-05-07T13:09:00Z</dcterms:created>
  <dcterms:modified xsi:type="dcterms:W3CDTF">2015-05-07T13:09:00Z</dcterms:modified>
</cp:coreProperties>
</file>