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C341B8" w:rsidRDefault="00C341B8" w:rsidP="0008246E">
      <w:pPr>
        <w:pStyle w:val="Ttulo8"/>
        <w:tabs>
          <w:tab w:val="right" w:pos="4423"/>
        </w:tabs>
        <w:spacing w:before="0" w:after="0"/>
        <w:ind w:left="0"/>
        <w:jc w:val="center"/>
        <w:rPr>
          <w:rFonts w:ascii="Times New Roman" w:hAnsi="Times New Roman"/>
          <w:b/>
          <w:i w:val="0"/>
          <w:sz w:val="22"/>
          <w:szCs w:val="22"/>
        </w:rPr>
      </w:pPr>
      <w:r>
        <w:rPr>
          <w:rFonts w:ascii="Times New Roman" w:hAnsi="Times New Roman"/>
          <w:b/>
          <w:i w:val="0"/>
          <w:sz w:val="22"/>
          <w:szCs w:val="22"/>
        </w:rPr>
        <w:t>Número 1</w:t>
      </w:r>
      <w:r w:rsidR="00DA27D7">
        <w:rPr>
          <w:rFonts w:ascii="Times New Roman" w:hAnsi="Times New Roman"/>
          <w:b/>
          <w:i w:val="0"/>
          <w:sz w:val="22"/>
          <w:szCs w:val="22"/>
        </w:rPr>
        <w:t>6</w:t>
      </w:r>
      <w:r w:rsidR="00411268">
        <w:rPr>
          <w:rFonts w:ascii="Times New Roman" w:hAnsi="Times New Roman"/>
          <w:b/>
          <w:i w:val="0"/>
          <w:sz w:val="22"/>
          <w:szCs w:val="22"/>
        </w:rPr>
        <w:t>7</w:t>
      </w:r>
    </w:p>
    <w:p w:rsidR="0008246E" w:rsidRPr="00F2486E" w:rsidRDefault="0008246E" w:rsidP="0008246E">
      <w:pPr>
        <w:pStyle w:val="Ttulo8"/>
        <w:tabs>
          <w:tab w:val="right" w:pos="4423"/>
        </w:tabs>
        <w:spacing w:before="0" w:after="120"/>
        <w:ind w:left="0"/>
        <w:jc w:val="center"/>
        <w:rPr>
          <w:rFonts w:ascii="Times New Roman" w:hAnsi="Times New Roman"/>
          <w:b/>
          <w:i w:val="0"/>
          <w:sz w:val="22"/>
          <w:szCs w:val="22"/>
        </w:rPr>
      </w:pPr>
      <w:r w:rsidRPr="00993B9D">
        <w:rPr>
          <w:rFonts w:ascii="Times New Roman" w:hAnsi="Times New Roman"/>
          <w:b/>
          <w:i w:val="0"/>
          <w:sz w:val="22"/>
          <w:szCs w:val="22"/>
        </w:rPr>
        <w:t>Sessões:</w:t>
      </w:r>
      <w:r w:rsidR="00C341B8">
        <w:rPr>
          <w:rFonts w:ascii="Times New Roman" w:hAnsi="Times New Roman"/>
          <w:b/>
          <w:i w:val="0"/>
          <w:sz w:val="22"/>
          <w:szCs w:val="22"/>
        </w:rPr>
        <w:t xml:space="preserve"> </w:t>
      </w:r>
      <w:r w:rsidR="00411268">
        <w:rPr>
          <w:rFonts w:ascii="Times New Roman" w:hAnsi="Times New Roman"/>
          <w:b/>
          <w:i w:val="0"/>
          <w:sz w:val="22"/>
          <w:szCs w:val="22"/>
        </w:rPr>
        <w:t>3</w:t>
      </w:r>
      <w:r w:rsidR="00E852EC">
        <w:rPr>
          <w:rFonts w:ascii="Times New Roman" w:hAnsi="Times New Roman"/>
          <w:b/>
          <w:i w:val="0"/>
          <w:sz w:val="22"/>
          <w:szCs w:val="22"/>
        </w:rPr>
        <w:t xml:space="preserve"> </w:t>
      </w:r>
      <w:r w:rsidR="00C341B8">
        <w:rPr>
          <w:rFonts w:ascii="Times New Roman" w:hAnsi="Times New Roman"/>
          <w:b/>
          <w:i w:val="0"/>
          <w:sz w:val="22"/>
          <w:szCs w:val="22"/>
        </w:rPr>
        <w:t xml:space="preserve">e </w:t>
      </w:r>
      <w:r w:rsidR="00411268">
        <w:rPr>
          <w:rFonts w:ascii="Times New Roman" w:hAnsi="Times New Roman"/>
          <w:b/>
          <w:i w:val="0"/>
          <w:sz w:val="22"/>
          <w:szCs w:val="22"/>
        </w:rPr>
        <w:t>4</w:t>
      </w:r>
      <w:r w:rsidRPr="00993B9D">
        <w:rPr>
          <w:rFonts w:ascii="Times New Roman" w:hAnsi="Times New Roman"/>
          <w:b/>
          <w:i w:val="0"/>
          <w:sz w:val="22"/>
          <w:szCs w:val="22"/>
        </w:rPr>
        <w:t xml:space="preserve"> de </w:t>
      </w:r>
      <w:r w:rsidR="00411268">
        <w:rPr>
          <w:rFonts w:ascii="Times New Roman" w:hAnsi="Times New Roman"/>
          <w:b/>
          <w:i w:val="0"/>
          <w:sz w:val="22"/>
          <w:szCs w:val="22"/>
        </w:rPr>
        <w:t>setembro</w:t>
      </w:r>
      <w:r w:rsidRPr="00993B9D">
        <w:rPr>
          <w:rFonts w:ascii="Times New Roman" w:hAnsi="Times New Roman"/>
          <w:b/>
          <w:i w:val="0"/>
          <w:sz w:val="22"/>
          <w:szCs w:val="22"/>
        </w:rPr>
        <w:t xml:space="preserve"> de 2013</w:t>
      </w:r>
    </w:p>
    <w:p w:rsidR="0008246E" w:rsidRPr="00542E32" w:rsidRDefault="0008246E" w:rsidP="0008246E">
      <w:pPr>
        <w:pStyle w:val="Corpodetexto2"/>
        <w:spacing w:after="0" w:line="240" w:lineRule="auto"/>
        <w:ind w:left="0"/>
        <w:rPr>
          <w:sz w:val="22"/>
          <w:szCs w:val="22"/>
        </w:rPr>
      </w:pPr>
      <w:r w:rsidRPr="00542E32">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542E32" w:rsidRDefault="0008246E" w:rsidP="0008246E">
      <w:pPr>
        <w:pStyle w:val="Corpodetexto2"/>
        <w:spacing w:after="0" w:line="240" w:lineRule="auto"/>
        <w:ind w:left="0"/>
        <w:rPr>
          <w:sz w:val="22"/>
          <w:szCs w:val="22"/>
        </w:rPr>
      </w:pPr>
    </w:p>
    <w:p w:rsidR="0008246E" w:rsidRPr="00542E32" w:rsidRDefault="0008246E" w:rsidP="0006509C">
      <w:pPr>
        <w:pBdr>
          <w:top w:val="threeDEmboss" w:sz="24" w:space="5" w:color="auto"/>
        </w:pBdr>
        <w:tabs>
          <w:tab w:val="left" w:pos="284"/>
          <w:tab w:val="left" w:pos="4172"/>
          <w:tab w:val="center" w:pos="4818"/>
        </w:tabs>
        <w:spacing w:after="60"/>
        <w:ind w:left="0"/>
        <w:jc w:val="center"/>
        <w:rPr>
          <w:b/>
          <w:bCs/>
          <w:smallCaps/>
          <w:sz w:val="22"/>
          <w:szCs w:val="22"/>
        </w:rPr>
      </w:pPr>
      <w:r w:rsidRPr="00542E32">
        <w:rPr>
          <w:b/>
          <w:bCs/>
          <w:smallCaps/>
          <w:sz w:val="22"/>
          <w:szCs w:val="22"/>
        </w:rPr>
        <w:t>SUMÁRIO</w:t>
      </w:r>
    </w:p>
    <w:p w:rsidR="00175500" w:rsidRPr="00542E32" w:rsidRDefault="0008246E" w:rsidP="00B157BA">
      <w:pPr>
        <w:autoSpaceDE w:val="0"/>
        <w:autoSpaceDN w:val="0"/>
        <w:adjustRightInd w:val="0"/>
        <w:spacing w:after="60"/>
        <w:ind w:left="0"/>
        <w:rPr>
          <w:b/>
          <w:sz w:val="22"/>
          <w:szCs w:val="22"/>
          <w:lang w:eastAsia="pt-BR"/>
        </w:rPr>
      </w:pPr>
      <w:r w:rsidRPr="00542E32">
        <w:rPr>
          <w:b/>
          <w:sz w:val="22"/>
          <w:szCs w:val="22"/>
          <w:lang w:eastAsia="pt-BR"/>
        </w:rPr>
        <w:t>Plenário</w:t>
      </w:r>
    </w:p>
    <w:p w:rsidR="00261BAD" w:rsidRPr="00542E32" w:rsidRDefault="00261BAD" w:rsidP="00B157BA">
      <w:pPr>
        <w:spacing w:after="60"/>
        <w:ind w:left="0"/>
        <w:rPr>
          <w:sz w:val="22"/>
          <w:szCs w:val="22"/>
        </w:rPr>
      </w:pPr>
      <w:r w:rsidRPr="00542E32">
        <w:rPr>
          <w:sz w:val="22"/>
          <w:szCs w:val="22"/>
        </w:rPr>
        <w:t>1. A exigência de apresentação de amostras é compatível com as licitações realizadas mediante pregão, inclusive na forma eletrônica, e deve ser requerida na fase de classificação das propostas e somente do licitante provisoriamente classificado em primeiro lugar.</w:t>
      </w:r>
    </w:p>
    <w:p w:rsidR="00BD5918" w:rsidRDefault="00261BAD" w:rsidP="00B157BA">
      <w:pPr>
        <w:spacing w:after="60"/>
        <w:ind w:left="0"/>
        <w:rPr>
          <w:sz w:val="22"/>
          <w:szCs w:val="22"/>
        </w:rPr>
      </w:pPr>
      <w:r w:rsidRPr="00542E32">
        <w:rPr>
          <w:sz w:val="22"/>
          <w:szCs w:val="22"/>
        </w:rPr>
        <w:t xml:space="preserve">2. </w:t>
      </w:r>
      <w:r w:rsidR="00BD5918" w:rsidRPr="00BD5918">
        <w:rPr>
          <w:sz w:val="22"/>
          <w:szCs w:val="22"/>
        </w:rPr>
        <w:t>O estabelecimento do prazo de validade da ata do sistema de registro de preços é competência privativa da União, tendo em vista sua fixação em norma de caráter geral (art. 15, § 3º, da Lei 8.666/93).</w:t>
      </w:r>
    </w:p>
    <w:p w:rsidR="00BF602F" w:rsidRPr="00BF602F" w:rsidRDefault="00BF602F" w:rsidP="00B157BA">
      <w:pPr>
        <w:spacing w:after="60"/>
        <w:ind w:left="0"/>
        <w:rPr>
          <w:iCs/>
          <w:sz w:val="22"/>
          <w:szCs w:val="22"/>
          <w:lang w:eastAsia="pt-BR"/>
        </w:rPr>
      </w:pPr>
      <w:r w:rsidRPr="00BF602F">
        <w:rPr>
          <w:sz w:val="22"/>
          <w:szCs w:val="22"/>
          <w:lang w:eastAsia="pt-BR"/>
        </w:rPr>
        <w:t>3. Nos termos d</w:t>
      </w:r>
      <w:r w:rsidRPr="00BF602F">
        <w:rPr>
          <w:iCs/>
          <w:sz w:val="22"/>
          <w:szCs w:val="22"/>
          <w:lang w:eastAsia="pt-BR"/>
        </w:rPr>
        <w:t>os artigos 60, parág</w:t>
      </w:r>
      <w:r w:rsidR="00B157BA">
        <w:rPr>
          <w:iCs/>
          <w:sz w:val="22"/>
          <w:szCs w:val="22"/>
          <w:lang w:eastAsia="pt-BR"/>
        </w:rPr>
        <w:t>rafo único, e 62 da Lei 8.666/</w:t>
      </w:r>
      <w:r w:rsidRPr="00BF602F">
        <w:rPr>
          <w:iCs/>
          <w:sz w:val="22"/>
          <w:szCs w:val="22"/>
          <w:lang w:eastAsia="pt-BR"/>
        </w:rPr>
        <w:t>93,</w:t>
      </w:r>
      <w:r w:rsidRPr="00BF602F">
        <w:rPr>
          <w:sz w:val="22"/>
          <w:szCs w:val="22"/>
          <w:lang w:eastAsia="pt-BR"/>
        </w:rPr>
        <w:t xml:space="preserve"> a execução de serviços sem a formalização de termo contratual caracteriza contrato verbal, ainda que o pagamento seja realizado após a assinatura do contrato.</w:t>
      </w:r>
    </w:p>
    <w:p w:rsidR="00323F0D" w:rsidRPr="00542E32" w:rsidRDefault="00717B0D" w:rsidP="00B157BA">
      <w:pPr>
        <w:spacing w:after="60"/>
        <w:ind w:left="0"/>
        <w:rPr>
          <w:bCs/>
          <w:iCs/>
          <w:sz w:val="22"/>
          <w:szCs w:val="22"/>
        </w:rPr>
      </w:pPr>
      <w:r w:rsidRPr="00542E32">
        <w:rPr>
          <w:sz w:val="22"/>
          <w:szCs w:val="22"/>
        </w:rPr>
        <w:t>4.</w:t>
      </w:r>
      <w:r w:rsidRPr="00542E32">
        <w:rPr>
          <w:b/>
          <w:sz w:val="22"/>
          <w:szCs w:val="22"/>
        </w:rPr>
        <w:t xml:space="preserve"> </w:t>
      </w:r>
      <w:r w:rsidR="00323F0D" w:rsidRPr="00542E32">
        <w:rPr>
          <w:bCs/>
          <w:iCs/>
          <w:sz w:val="22"/>
          <w:szCs w:val="22"/>
        </w:rPr>
        <w:t xml:space="preserve">A especificação, no edital, de produto ou bem cuja descrição e características correspondem a modelo exclusivo de determinado fabricante, sem que haja justificativas técnicas, afronta o disposto nos </w:t>
      </w:r>
      <w:proofErr w:type="spellStart"/>
      <w:r w:rsidR="00323F0D" w:rsidRPr="00542E32">
        <w:rPr>
          <w:bCs/>
          <w:iCs/>
          <w:sz w:val="22"/>
          <w:szCs w:val="22"/>
        </w:rPr>
        <w:t>arts</w:t>
      </w:r>
      <w:proofErr w:type="spellEnd"/>
      <w:r w:rsidR="00323F0D" w:rsidRPr="00542E32">
        <w:rPr>
          <w:bCs/>
          <w:iCs/>
          <w:sz w:val="22"/>
          <w:szCs w:val="22"/>
        </w:rPr>
        <w:t xml:space="preserve">. 3º, </w:t>
      </w:r>
      <w:r w:rsidR="00323F0D" w:rsidRPr="00542E32">
        <w:rPr>
          <w:bCs/>
          <w:i/>
          <w:iCs/>
          <w:sz w:val="22"/>
          <w:szCs w:val="22"/>
        </w:rPr>
        <w:t>caput</w:t>
      </w:r>
      <w:r w:rsidR="00323F0D" w:rsidRPr="00542E32">
        <w:rPr>
          <w:bCs/>
          <w:iCs/>
          <w:sz w:val="22"/>
          <w:szCs w:val="22"/>
        </w:rPr>
        <w:t xml:space="preserve"> e §</w:t>
      </w:r>
      <w:r w:rsidR="00B157BA">
        <w:rPr>
          <w:bCs/>
          <w:iCs/>
          <w:sz w:val="22"/>
          <w:szCs w:val="22"/>
        </w:rPr>
        <w:t xml:space="preserve"> 1º, e 7º, § 5º, da Lei 8.666/</w:t>
      </w:r>
      <w:r w:rsidR="00323F0D" w:rsidRPr="00542E32">
        <w:rPr>
          <w:bCs/>
          <w:iCs/>
          <w:sz w:val="22"/>
          <w:szCs w:val="22"/>
        </w:rPr>
        <w:t>9</w:t>
      </w:r>
      <w:r w:rsidR="00B157BA">
        <w:rPr>
          <w:bCs/>
          <w:iCs/>
          <w:sz w:val="22"/>
          <w:szCs w:val="22"/>
        </w:rPr>
        <w:t>3 c/c o art. 9º da Lei 10.520/</w:t>
      </w:r>
      <w:r w:rsidR="00323F0D" w:rsidRPr="00542E32">
        <w:rPr>
          <w:bCs/>
          <w:iCs/>
          <w:sz w:val="22"/>
          <w:szCs w:val="22"/>
        </w:rPr>
        <w:t>02.</w:t>
      </w:r>
    </w:p>
    <w:p w:rsidR="00FA4810" w:rsidRPr="00542E32" w:rsidRDefault="00145B06" w:rsidP="00B157BA">
      <w:pPr>
        <w:spacing w:after="60"/>
        <w:ind w:left="0"/>
        <w:rPr>
          <w:b/>
          <w:iCs/>
          <w:sz w:val="22"/>
          <w:szCs w:val="22"/>
        </w:rPr>
      </w:pPr>
      <w:r w:rsidRPr="00542E32">
        <w:rPr>
          <w:b/>
          <w:iCs/>
          <w:sz w:val="22"/>
          <w:szCs w:val="22"/>
        </w:rPr>
        <w:t xml:space="preserve">Segunda </w:t>
      </w:r>
      <w:r w:rsidR="00FA4810" w:rsidRPr="00542E32">
        <w:rPr>
          <w:b/>
          <w:iCs/>
          <w:sz w:val="22"/>
          <w:szCs w:val="22"/>
        </w:rPr>
        <w:t>Câmara</w:t>
      </w:r>
    </w:p>
    <w:p w:rsidR="00261BAD" w:rsidRPr="00542E32" w:rsidRDefault="00261BAD" w:rsidP="00B157BA">
      <w:pPr>
        <w:autoSpaceDE w:val="0"/>
        <w:autoSpaceDN w:val="0"/>
        <w:adjustRightInd w:val="0"/>
        <w:spacing w:after="60"/>
        <w:ind w:left="0"/>
        <w:rPr>
          <w:sz w:val="22"/>
          <w:szCs w:val="22"/>
        </w:rPr>
      </w:pPr>
      <w:r w:rsidRPr="00542E32">
        <w:rPr>
          <w:sz w:val="22"/>
          <w:szCs w:val="22"/>
        </w:rPr>
        <w:t xml:space="preserve">5. É legítima </w:t>
      </w:r>
      <w:r w:rsidR="00370A1C">
        <w:rPr>
          <w:sz w:val="22"/>
          <w:szCs w:val="22"/>
        </w:rPr>
        <w:t>a adoção da licitação por lotes formados</w:t>
      </w:r>
      <w:r w:rsidRPr="00542E32">
        <w:rPr>
          <w:sz w:val="22"/>
          <w:szCs w:val="22"/>
        </w:rPr>
        <w:t xml:space="preserve"> com elementos de mesma característica, quando restar evidenciado que a licitação por itens isolados exigirá elevado número de processos licitatórios, onerando o trabalho da administração pública, sob o ponto de vista do emprego de recursos humanos e da dificuldade de controle, colocando em risco a economia de escala e a celeridade processual e comprometendo a seleção da proposta mais vantajosa para a administração.</w:t>
      </w:r>
    </w:p>
    <w:p w:rsidR="00B53C88" w:rsidRPr="00542E32" w:rsidRDefault="00B53C88" w:rsidP="00270185">
      <w:pPr>
        <w:autoSpaceDE w:val="0"/>
        <w:autoSpaceDN w:val="0"/>
        <w:adjustRightInd w:val="0"/>
        <w:spacing w:after="0"/>
        <w:ind w:left="0"/>
        <w:rPr>
          <w:sz w:val="22"/>
          <w:szCs w:val="22"/>
        </w:rPr>
      </w:pPr>
    </w:p>
    <w:p w:rsidR="0008246E" w:rsidRPr="00542E32" w:rsidRDefault="0008246E" w:rsidP="00270185">
      <w:pPr>
        <w:pBdr>
          <w:top w:val="threeDEmboss" w:sz="24" w:space="5" w:color="auto"/>
        </w:pBdr>
        <w:tabs>
          <w:tab w:val="left" w:pos="284"/>
          <w:tab w:val="left" w:pos="4172"/>
          <w:tab w:val="center" w:pos="4818"/>
        </w:tabs>
        <w:spacing w:after="0"/>
        <w:ind w:left="0"/>
        <w:jc w:val="center"/>
        <w:rPr>
          <w:b/>
          <w:bCs/>
          <w:smallCaps/>
          <w:sz w:val="22"/>
          <w:szCs w:val="22"/>
        </w:rPr>
      </w:pPr>
      <w:r w:rsidRPr="00542E32">
        <w:rPr>
          <w:b/>
          <w:bCs/>
          <w:smallCaps/>
          <w:sz w:val="22"/>
          <w:szCs w:val="22"/>
        </w:rPr>
        <w:t>PLENÁRIO</w:t>
      </w:r>
    </w:p>
    <w:p w:rsidR="0008246E" w:rsidRPr="00542E32" w:rsidRDefault="0008246E" w:rsidP="00270185">
      <w:pPr>
        <w:pBdr>
          <w:top w:val="threeDEmboss" w:sz="24" w:space="5" w:color="auto"/>
        </w:pBdr>
        <w:tabs>
          <w:tab w:val="left" w:pos="284"/>
          <w:tab w:val="left" w:pos="4172"/>
          <w:tab w:val="center" w:pos="4818"/>
        </w:tabs>
        <w:spacing w:after="0"/>
        <w:ind w:left="0"/>
        <w:rPr>
          <w:b/>
          <w:bCs/>
          <w:smallCaps/>
          <w:sz w:val="22"/>
          <w:szCs w:val="22"/>
        </w:rPr>
      </w:pPr>
    </w:p>
    <w:p w:rsidR="009B1811" w:rsidRPr="00542E32" w:rsidRDefault="009B1811" w:rsidP="009B1811">
      <w:pPr>
        <w:spacing w:after="0"/>
        <w:ind w:left="0"/>
        <w:rPr>
          <w:b/>
          <w:color w:val="FF0000"/>
          <w:sz w:val="22"/>
          <w:szCs w:val="22"/>
        </w:rPr>
      </w:pPr>
      <w:r w:rsidRPr="00542E32">
        <w:rPr>
          <w:b/>
          <w:sz w:val="22"/>
          <w:szCs w:val="22"/>
        </w:rPr>
        <w:t>1. A exigência de apresentação de amostras é compatível com as licitações realizadas mediante pregão, inclusive na forma eletrônica, e deve ser requerida na fase de classificação das propostas e somente do licitante provisoriamente classificado em primeiro lugar.</w:t>
      </w:r>
    </w:p>
    <w:p w:rsidR="009B1811" w:rsidRDefault="009B1811" w:rsidP="009B1811">
      <w:pPr>
        <w:autoSpaceDE w:val="0"/>
        <w:autoSpaceDN w:val="0"/>
        <w:adjustRightInd w:val="0"/>
        <w:spacing w:after="0"/>
        <w:ind w:left="0"/>
        <w:rPr>
          <w:b/>
          <w:i/>
          <w:sz w:val="22"/>
          <w:szCs w:val="22"/>
          <w:lang w:eastAsia="pt-BR"/>
        </w:rPr>
      </w:pPr>
      <w:r w:rsidRPr="00542E32">
        <w:rPr>
          <w:sz w:val="22"/>
          <w:szCs w:val="22"/>
          <w:lang w:eastAsia="pt-BR"/>
        </w:rPr>
        <w:t xml:space="preserve">Pedido de </w:t>
      </w:r>
      <w:r w:rsidR="00A443D1">
        <w:rPr>
          <w:sz w:val="22"/>
          <w:szCs w:val="22"/>
          <w:lang w:eastAsia="pt-BR"/>
        </w:rPr>
        <w:t>R</w:t>
      </w:r>
      <w:r w:rsidRPr="00542E32">
        <w:rPr>
          <w:sz w:val="22"/>
          <w:szCs w:val="22"/>
          <w:lang w:eastAsia="pt-BR"/>
        </w:rPr>
        <w:t xml:space="preserve">eexame contestou deliberação proferida pelo TCU em sede representação, pela qual foram expedidas determinações e assinado prazo para que o Departamento da Merenda da Secretaria Municipal da Educação de São Paulo </w:t>
      </w:r>
      <w:r w:rsidRPr="00542E32">
        <w:rPr>
          <w:bCs/>
          <w:sz w:val="22"/>
          <w:szCs w:val="22"/>
          <w:lang w:eastAsia="pt-BR"/>
        </w:rPr>
        <w:t>(DME/SME/PMSP) anulasse pregão presencial para registro de preços</w:t>
      </w:r>
      <w:r w:rsidRPr="00542E32">
        <w:rPr>
          <w:sz w:val="22"/>
          <w:szCs w:val="22"/>
          <w:lang w:eastAsia="pt-BR"/>
        </w:rPr>
        <w:t>, cujo objeto era a aquisição de suco</w:t>
      </w:r>
      <w:r w:rsidR="00A443D1">
        <w:rPr>
          <w:sz w:val="22"/>
          <w:szCs w:val="22"/>
          <w:lang w:eastAsia="pt-BR"/>
        </w:rPr>
        <w:t>s</w:t>
      </w:r>
      <w:r w:rsidRPr="00542E32">
        <w:rPr>
          <w:sz w:val="22"/>
          <w:szCs w:val="22"/>
          <w:lang w:eastAsia="pt-BR"/>
        </w:rPr>
        <w:t xml:space="preserve"> de laranja integral pasteurizado congelado e de néctar de frutas congelado. A licitação fora viabilizada com recursos do Programa Municipal de Alimentação Escolar e do Programa Nacional de Alimentação Escolar (PNAE). A peça recursal produzida pelo </w:t>
      </w:r>
      <w:r w:rsidRPr="00542E32">
        <w:rPr>
          <w:bCs/>
          <w:sz w:val="22"/>
          <w:szCs w:val="22"/>
          <w:lang w:eastAsia="pt-BR"/>
        </w:rPr>
        <w:t>DME/SME/PMSP insurgira</w:t>
      </w:r>
      <w:r w:rsidR="00A443D1">
        <w:rPr>
          <w:bCs/>
          <w:sz w:val="22"/>
          <w:szCs w:val="22"/>
          <w:lang w:eastAsia="pt-BR"/>
        </w:rPr>
        <w:t>-se</w:t>
      </w:r>
      <w:r w:rsidRPr="00542E32">
        <w:rPr>
          <w:bCs/>
          <w:sz w:val="22"/>
          <w:szCs w:val="22"/>
          <w:lang w:eastAsia="pt-BR"/>
        </w:rPr>
        <w:t xml:space="preserve"> contra três das determinações proferidas, alegando – no que respeita à não adoção de pregão eletrônico e à exigência de amostras de todas as licitantes – que: </w:t>
      </w:r>
      <w:r w:rsidRPr="00542E32">
        <w:rPr>
          <w:bCs/>
          <w:i/>
          <w:sz w:val="22"/>
          <w:szCs w:val="22"/>
          <w:lang w:eastAsia="pt-BR"/>
        </w:rPr>
        <w:t>“(i) é lícito que a apresentação de amostras ocorra antes da fase de lances e seja exigida de todos os licitantes com vistas a afastar empresas aventureiras e a garantir a seriedade do certame; (</w:t>
      </w:r>
      <w:proofErr w:type="spellStart"/>
      <w:r w:rsidRPr="00542E32">
        <w:rPr>
          <w:bCs/>
          <w:i/>
          <w:sz w:val="22"/>
          <w:szCs w:val="22"/>
          <w:lang w:eastAsia="pt-BR"/>
        </w:rPr>
        <w:t>ii</w:t>
      </w:r>
      <w:proofErr w:type="spellEnd"/>
      <w:r w:rsidRPr="00542E32">
        <w:rPr>
          <w:bCs/>
          <w:i/>
          <w:sz w:val="22"/>
          <w:szCs w:val="22"/>
          <w:lang w:eastAsia="pt-BR"/>
        </w:rPr>
        <w:t>) a adoção da modalidade pregão eletrônico é inviável na hipótese vertente, uma vez que dificultaria o recebimento e a análise das amostras”</w:t>
      </w:r>
      <w:r w:rsidRPr="00542E32">
        <w:rPr>
          <w:bCs/>
          <w:sz w:val="22"/>
          <w:szCs w:val="22"/>
          <w:lang w:eastAsia="pt-BR"/>
        </w:rPr>
        <w:t xml:space="preserve">. Em preliminar, assentou o relator que os aportes federais de recursos por meio do PNAE consistem em transferências voluntárias, razão pela qual não se convertem em receita própria do ente beneficiário. Assim, dada sua natureza federal, a aplicação dos recursos deve seguir as regras gerais estabelecidas pela União e a jurisprudência do TCU. No mérito, destacou o relator que </w:t>
      </w:r>
      <w:r w:rsidRPr="00542E32">
        <w:rPr>
          <w:bCs/>
          <w:i/>
          <w:sz w:val="22"/>
          <w:szCs w:val="22"/>
          <w:lang w:eastAsia="pt-BR"/>
        </w:rPr>
        <w:t>“encontra-se consolidado nesta Corte o entendimento de que a exigência de apresentação de amostras é admitida apenas na fase de classificação das propostas, somente do licitante provisoriamente classificado em primeiro lugar e desde que previamente disciplinada e detalhada no instrumento convocatório”</w:t>
      </w:r>
      <w:r w:rsidRPr="00542E32">
        <w:rPr>
          <w:bCs/>
          <w:sz w:val="22"/>
          <w:szCs w:val="22"/>
          <w:lang w:eastAsia="pt-BR"/>
        </w:rPr>
        <w:t xml:space="preserve">. Em seu sentir, a extensão da exigência a todos os licitantes carece de razoabilidade porque </w:t>
      </w:r>
      <w:r w:rsidRPr="00542E32">
        <w:rPr>
          <w:bCs/>
          <w:i/>
          <w:sz w:val="22"/>
          <w:szCs w:val="22"/>
          <w:lang w:eastAsia="pt-BR"/>
        </w:rPr>
        <w:t>“impõe ônus a totalidade dos participantes que, a depender do objeto, pode ser excessivo, encarecendo o custo de participação na licitação e desestimulando a presença de potenciais participantes”</w:t>
      </w:r>
      <w:r w:rsidRPr="00542E32">
        <w:rPr>
          <w:bCs/>
          <w:sz w:val="22"/>
          <w:szCs w:val="22"/>
          <w:lang w:eastAsia="pt-BR"/>
        </w:rPr>
        <w:t xml:space="preserve">. Nesse passo, entendeu o relator que a exigência de amostras, quando requerida apenas do licitante classificado em primeiro lugar, é perfeitamente compatível com as peculiaridades da modalidade pregão, já que </w:t>
      </w:r>
      <w:r w:rsidRPr="00542E32">
        <w:rPr>
          <w:bCs/>
          <w:i/>
          <w:sz w:val="22"/>
          <w:szCs w:val="22"/>
          <w:lang w:eastAsia="pt-BR"/>
        </w:rPr>
        <w:t>“garante a presteza, a perfeição e a eficiência do procedimento sem comprometer a sua celeridade”</w:t>
      </w:r>
      <w:r w:rsidRPr="00542E32">
        <w:rPr>
          <w:bCs/>
          <w:sz w:val="22"/>
          <w:szCs w:val="22"/>
          <w:lang w:eastAsia="pt-BR"/>
        </w:rPr>
        <w:t xml:space="preserve">. Ademais, no que respeita à alegação de que o pregão eletrônico seria inviável na hipótese sob exame, consignou que </w:t>
      </w:r>
      <w:r w:rsidRPr="00542E32">
        <w:rPr>
          <w:bCs/>
          <w:i/>
          <w:sz w:val="22"/>
          <w:szCs w:val="22"/>
          <w:lang w:eastAsia="pt-BR"/>
        </w:rPr>
        <w:t xml:space="preserve">“além de ampliar a competição, o pregão eletrônico não é incompatível com a exigência de amostras, caso o gestor considere-a indispensável, devendo, contudo, caso se trate de aplicação de recursos federais, exigi-la apenas do licitante provisoriamente classificado em primeiro lugar.” </w:t>
      </w:r>
      <w:r w:rsidRPr="00542E32">
        <w:rPr>
          <w:sz w:val="22"/>
          <w:szCs w:val="22"/>
          <w:lang w:eastAsia="pt-BR"/>
        </w:rPr>
        <w:t>Nesses termos, o Tribunal, ao acolher a tese da relatoria, negou provimento ao recurso, mantendo inalteradas as determinações questionadas</w:t>
      </w:r>
      <w:r w:rsidRPr="00B67013">
        <w:rPr>
          <w:b/>
          <w:i/>
          <w:sz w:val="22"/>
          <w:szCs w:val="22"/>
          <w:lang w:eastAsia="pt-BR"/>
        </w:rPr>
        <w:t>.</w:t>
      </w:r>
      <w:r w:rsidR="003C3E2C">
        <w:rPr>
          <w:b/>
          <w:i/>
          <w:sz w:val="22"/>
          <w:szCs w:val="22"/>
          <w:lang w:eastAsia="pt-BR"/>
        </w:rPr>
        <w:t xml:space="preserve"> </w:t>
      </w:r>
      <w:hyperlink r:id="rId8" w:history="1">
        <w:r w:rsidR="003C3E2C" w:rsidRPr="003C3E2C">
          <w:rPr>
            <w:rStyle w:val="Hyperlink"/>
            <w:b/>
            <w:i/>
            <w:sz w:val="22"/>
            <w:szCs w:val="22"/>
            <w:lang w:eastAsia="pt-BR"/>
          </w:rPr>
          <w:t>Acórdão 2368/2013-Plenário</w:t>
        </w:r>
      </w:hyperlink>
      <w:r w:rsidRPr="00542E32">
        <w:rPr>
          <w:b/>
          <w:i/>
          <w:sz w:val="22"/>
          <w:szCs w:val="22"/>
          <w:lang w:eastAsia="pt-BR"/>
        </w:rPr>
        <w:t>,</w:t>
      </w:r>
      <w:r w:rsidR="003C3E2C">
        <w:rPr>
          <w:b/>
          <w:i/>
          <w:sz w:val="22"/>
          <w:szCs w:val="22"/>
          <w:lang w:eastAsia="pt-BR"/>
        </w:rPr>
        <w:t xml:space="preserve"> </w:t>
      </w:r>
      <w:r w:rsidRPr="00542E32">
        <w:rPr>
          <w:b/>
          <w:i/>
          <w:sz w:val="22"/>
          <w:szCs w:val="22"/>
          <w:lang w:eastAsia="pt-BR"/>
        </w:rPr>
        <w:t xml:space="preserve">TC 035.358/2012-2, relator Ministro Benjamin </w:t>
      </w:r>
      <w:proofErr w:type="spellStart"/>
      <w:r w:rsidRPr="00542E32">
        <w:rPr>
          <w:b/>
          <w:i/>
          <w:sz w:val="22"/>
          <w:szCs w:val="22"/>
          <w:lang w:eastAsia="pt-BR"/>
        </w:rPr>
        <w:t>Zymler</w:t>
      </w:r>
      <w:proofErr w:type="spellEnd"/>
      <w:r w:rsidRPr="00542E32">
        <w:rPr>
          <w:b/>
          <w:i/>
          <w:sz w:val="22"/>
          <w:szCs w:val="22"/>
          <w:lang w:eastAsia="pt-BR"/>
        </w:rPr>
        <w:t>, 4.9.2013.</w:t>
      </w:r>
    </w:p>
    <w:p w:rsidR="009B1811" w:rsidRPr="00542E32" w:rsidRDefault="009B1811" w:rsidP="004D0A75">
      <w:pPr>
        <w:spacing w:after="0"/>
        <w:ind w:left="0"/>
        <w:rPr>
          <w:b/>
          <w:sz w:val="22"/>
          <w:szCs w:val="22"/>
        </w:rPr>
      </w:pPr>
    </w:p>
    <w:p w:rsidR="009B1811" w:rsidRPr="00542E32" w:rsidRDefault="009B1811" w:rsidP="009B1811">
      <w:pPr>
        <w:spacing w:after="0"/>
        <w:ind w:left="0"/>
        <w:rPr>
          <w:b/>
          <w:sz w:val="22"/>
          <w:szCs w:val="22"/>
        </w:rPr>
      </w:pPr>
      <w:r w:rsidRPr="00542E32">
        <w:rPr>
          <w:b/>
          <w:sz w:val="22"/>
          <w:szCs w:val="22"/>
        </w:rPr>
        <w:t xml:space="preserve">2. </w:t>
      </w:r>
      <w:r w:rsidR="00BB02EA">
        <w:rPr>
          <w:b/>
          <w:sz w:val="22"/>
          <w:szCs w:val="22"/>
        </w:rPr>
        <w:t>O</w:t>
      </w:r>
      <w:r w:rsidRPr="00542E32">
        <w:rPr>
          <w:b/>
          <w:sz w:val="22"/>
          <w:szCs w:val="22"/>
        </w:rPr>
        <w:t xml:space="preserve"> estabelecimento do prazo de validade da ata do sistema de registro de preços é</w:t>
      </w:r>
      <w:r w:rsidR="00BB02EA">
        <w:rPr>
          <w:b/>
          <w:sz w:val="22"/>
          <w:szCs w:val="22"/>
        </w:rPr>
        <w:t xml:space="preserve"> competência privativa da União,</w:t>
      </w:r>
      <w:r w:rsidR="00BB02EA" w:rsidRPr="00BB02EA">
        <w:rPr>
          <w:b/>
          <w:sz w:val="22"/>
          <w:szCs w:val="22"/>
        </w:rPr>
        <w:t xml:space="preserve"> </w:t>
      </w:r>
      <w:r w:rsidR="00BB02EA">
        <w:rPr>
          <w:b/>
          <w:sz w:val="22"/>
          <w:szCs w:val="22"/>
        </w:rPr>
        <w:t>t</w:t>
      </w:r>
      <w:r w:rsidR="00BB02EA" w:rsidRPr="00542E32">
        <w:rPr>
          <w:b/>
          <w:sz w:val="22"/>
          <w:szCs w:val="22"/>
        </w:rPr>
        <w:t>endo em vista sua fixação em norma de caráter geral (</w:t>
      </w:r>
      <w:r w:rsidR="00BD5918">
        <w:rPr>
          <w:b/>
          <w:sz w:val="22"/>
          <w:szCs w:val="22"/>
        </w:rPr>
        <w:t>art. 15, § 3º, da Lei 8.666/93).</w:t>
      </w:r>
    </w:p>
    <w:p w:rsidR="009B1811" w:rsidRPr="00542E32" w:rsidRDefault="00BB02EA" w:rsidP="009B1811">
      <w:pPr>
        <w:spacing w:after="0"/>
        <w:ind w:left="0"/>
        <w:rPr>
          <w:b/>
          <w:i/>
          <w:sz w:val="22"/>
          <w:szCs w:val="22"/>
          <w:lang w:eastAsia="pt-BR"/>
        </w:rPr>
      </w:pPr>
      <w:r>
        <w:rPr>
          <w:sz w:val="22"/>
          <w:szCs w:val="22"/>
          <w:lang w:eastAsia="pt-BR"/>
        </w:rPr>
        <w:t>Ainda no Pedido de R</w:t>
      </w:r>
      <w:r w:rsidR="009B1811" w:rsidRPr="00542E32">
        <w:rPr>
          <w:sz w:val="22"/>
          <w:szCs w:val="22"/>
          <w:lang w:eastAsia="pt-BR"/>
        </w:rPr>
        <w:t xml:space="preserve">eexame interposto pelo Departamento da Merenda da Secretaria Municipal da Educação de São Paulo </w:t>
      </w:r>
      <w:r w:rsidR="009B1811" w:rsidRPr="00542E32">
        <w:rPr>
          <w:bCs/>
          <w:sz w:val="22"/>
          <w:szCs w:val="22"/>
          <w:lang w:eastAsia="pt-BR"/>
        </w:rPr>
        <w:t xml:space="preserve">(DME/SME/PMSP), fora alegado – no que respeita à determinação relativa ao prazo de validade das atas de registro de preço – que </w:t>
      </w:r>
      <w:r w:rsidR="009B1811" w:rsidRPr="00542E32">
        <w:rPr>
          <w:bCs/>
          <w:i/>
          <w:sz w:val="22"/>
          <w:szCs w:val="22"/>
          <w:lang w:eastAsia="pt-BR"/>
        </w:rPr>
        <w:t>“a vigência da ata de registro de preços por período superior a um ano é regular, tendo em vista que o Município de São Paulo, no exercício de sua competência legislativa suplementar, editou a Lei Municipal 13.278/2012 que, no art. 13, autoriza a prorrogação por um ano”</w:t>
      </w:r>
      <w:r w:rsidR="009B1811" w:rsidRPr="00542E32">
        <w:rPr>
          <w:bCs/>
          <w:sz w:val="22"/>
          <w:szCs w:val="22"/>
          <w:lang w:eastAsia="pt-BR"/>
        </w:rPr>
        <w:t>. Nesse aspecto, relembrou o relator que a determinação fora fundamentada no art. 15, §</w:t>
      </w:r>
      <w:r>
        <w:rPr>
          <w:bCs/>
          <w:sz w:val="22"/>
          <w:szCs w:val="22"/>
          <w:lang w:eastAsia="pt-BR"/>
        </w:rPr>
        <w:t xml:space="preserve"> 3º, inciso III, da Lei 8.666/</w:t>
      </w:r>
      <w:r w:rsidR="009B1811" w:rsidRPr="00542E32">
        <w:rPr>
          <w:bCs/>
          <w:sz w:val="22"/>
          <w:szCs w:val="22"/>
          <w:lang w:eastAsia="pt-BR"/>
        </w:rPr>
        <w:t xml:space="preserve">93, na jurisprudência do TCU e no disposto na Súmula TCU 222, para a qual </w:t>
      </w:r>
      <w:r w:rsidR="009B1811" w:rsidRPr="00542E32">
        <w:rPr>
          <w:bCs/>
          <w:i/>
          <w:sz w:val="22"/>
          <w:szCs w:val="22"/>
          <w:lang w:eastAsia="pt-BR"/>
        </w:rPr>
        <w:t>“as decisões do Tribunal de Contas da União, relativas à aplicação de normas gerais de licitação, sobre as quais cabe privativamente à União legislar, devem ser acatadas pelos administradores dos Poderes da União, dos Estados, do Distrito Federal e dos Municípios”</w:t>
      </w:r>
      <w:r>
        <w:rPr>
          <w:bCs/>
          <w:sz w:val="22"/>
          <w:szCs w:val="22"/>
          <w:lang w:eastAsia="pt-BR"/>
        </w:rPr>
        <w:t>. Destac</w:t>
      </w:r>
      <w:r w:rsidR="009B1811" w:rsidRPr="00542E32">
        <w:rPr>
          <w:bCs/>
          <w:sz w:val="22"/>
          <w:szCs w:val="22"/>
          <w:lang w:eastAsia="pt-BR"/>
        </w:rPr>
        <w:t xml:space="preserve">ou que, nos termos do art. 15, § 3º, da Lei de Licitações, </w:t>
      </w:r>
      <w:r w:rsidR="009B1811" w:rsidRPr="00542E32">
        <w:rPr>
          <w:bCs/>
          <w:i/>
          <w:sz w:val="22"/>
          <w:szCs w:val="22"/>
          <w:lang w:eastAsia="pt-BR"/>
        </w:rPr>
        <w:t>“o sistema de registro de preços será regulamentado por decreto, atendidas as peculiaridades regionais e observadas algumas condições, dentre as quais o limite da validade do registro, que não poderá ser superior a um ano”</w:t>
      </w:r>
      <w:r w:rsidR="009B1811" w:rsidRPr="00542E32">
        <w:rPr>
          <w:bCs/>
          <w:sz w:val="22"/>
          <w:szCs w:val="22"/>
          <w:lang w:eastAsia="pt-BR"/>
        </w:rPr>
        <w:t xml:space="preserve">. Pressupostos, aliás, assentados nas sucessivas regulamentações editadas, incluindo o novel Decreto 7.892/2013, que, em seu art. 12, dispôs que </w:t>
      </w:r>
      <w:r w:rsidR="009B1811" w:rsidRPr="00542E32">
        <w:rPr>
          <w:bCs/>
          <w:i/>
          <w:sz w:val="22"/>
          <w:szCs w:val="22"/>
          <w:lang w:eastAsia="pt-BR"/>
        </w:rPr>
        <w:t>“o prazo de validade da ata de registro de preços não será superior a doze meses, incluídas eventuais prorrogações”</w:t>
      </w:r>
      <w:r w:rsidR="009B1811" w:rsidRPr="00542E32">
        <w:rPr>
          <w:bCs/>
          <w:sz w:val="22"/>
          <w:szCs w:val="22"/>
          <w:lang w:eastAsia="pt-BR"/>
        </w:rPr>
        <w:t xml:space="preserve">. Segundo o relator, a matéria encontra-se disciplinada em </w:t>
      </w:r>
      <w:r w:rsidR="009B1811" w:rsidRPr="00542E32">
        <w:rPr>
          <w:bCs/>
          <w:i/>
          <w:sz w:val="22"/>
          <w:szCs w:val="22"/>
          <w:lang w:eastAsia="pt-BR"/>
        </w:rPr>
        <w:t>“norma geral, dotada de abstração e generalidade e cuja observância é obrigatória por parte dos administradores dos Poderes da União, dos Estados, do Distrito Federal e dos Municípios”</w:t>
      </w:r>
      <w:r w:rsidR="009B1811" w:rsidRPr="00542E32">
        <w:rPr>
          <w:bCs/>
          <w:sz w:val="22"/>
          <w:szCs w:val="22"/>
          <w:lang w:eastAsia="pt-BR"/>
        </w:rPr>
        <w:t xml:space="preserve">. Em conclusão, consignou que </w:t>
      </w:r>
      <w:r w:rsidR="009B1811" w:rsidRPr="00542E32">
        <w:rPr>
          <w:bCs/>
          <w:i/>
          <w:sz w:val="22"/>
          <w:szCs w:val="22"/>
          <w:lang w:eastAsia="pt-BR"/>
        </w:rPr>
        <w:t>“o Município de São Paulo, ao editar a Lei Municipal 13.278/2012, que autoriza a prorrogação do prazo de vigência da ata de registro de preços por mais um ano, legislou concorrentemente, invadindo a competência privativa da União para legislar sobre normas gerais de licitação e contratação”</w:t>
      </w:r>
      <w:r w:rsidR="009B1811" w:rsidRPr="00542E32">
        <w:rPr>
          <w:bCs/>
          <w:sz w:val="22"/>
          <w:szCs w:val="22"/>
          <w:lang w:eastAsia="pt-BR"/>
        </w:rPr>
        <w:t xml:space="preserve">. </w:t>
      </w:r>
      <w:r w:rsidR="009B1811" w:rsidRPr="00542E32">
        <w:rPr>
          <w:sz w:val="22"/>
          <w:szCs w:val="22"/>
          <w:lang w:eastAsia="pt-BR"/>
        </w:rPr>
        <w:t>O Tribunal, acolhendo a proposição do relator, negou provimento ao recurso, mantendo inalteradas as determinações expedidas.</w:t>
      </w:r>
      <w:r w:rsidR="003C3E2C" w:rsidRPr="003C3E2C">
        <w:rPr>
          <w:b/>
          <w:i/>
          <w:sz w:val="22"/>
          <w:szCs w:val="22"/>
          <w:lang w:eastAsia="pt-BR"/>
        </w:rPr>
        <w:t xml:space="preserve"> </w:t>
      </w:r>
      <w:hyperlink r:id="rId9" w:history="1">
        <w:r w:rsidR="003C3E2C" w:rsidRPr="003C3E2C">
          <w:rPr>
            <w:rStyle w:val="Hyperlink"/>
            <w:b/>
            <w:i/>
            <w:sz w:val="22"/>
            <w:szCs w:val="22"/>
            <w:lang w:eastAsia="pt-BR"/>
          </w:rPr>
          <w:t>Acórdão 2368/2013-Plenário</w:t>
        </w:r>
      </w:hyperlink>
      <w:r w:rsidR="003C3E2C">
        <w:rPr>
          <w:b/>
          <w:i/>
          <w:sz w:val="22"/>
          <w:szCs w:val="22"/>
          <w:lang w:eastAsia="pt-BR"/>
        </w:rPr>
        <w:t xml:space="preserve">, </w:t>
      </w:r>
      <w:r w:rsidR="009B1811" w:rsidRPr="00542E32">
        <w:rPr>
          <w:b/>
          <w:i/>
          <w:sz w:val="22"/>
          <w:szCs w:val="22"/>
          <w:lang w:eastAsia="pt-BR"/>
        </w:rPr>
        <w:t xml:space="preserve">TC 035.358/2012-2, relator Ministro Benjamin </w:t>
      </w:r>
      <w:proofErr w:type="spellStart"/>
      <w:r w:rsidR="009B1811" w:rsidRPr="00542E32">
        <w:rPr>
          <w:b/>
          <w:i/>
          <w:sz w:val="22"/>
          <w:szCs w:val="22"/>
          <w:lang w:eastAsia="pt-BR"/>
        </w:rPr>
        <w:t>Zymler</w:t>
      </w:r>
      <w:proofErr w:type="spellEnd"/>
      <w:r w:rsidR="009B1811" w:rsidRPr="00542E32">
        <w:rPr>
          <w:b/>
          <w:i/>
          <w:sz w:val="22"/>
          <w:szCs w:val="22"/>
          <w:lang w:eastAsia="pt-BR"/>
        </w:rPr>
        <w:t>, 4.9.2013.</w:t>
      </w:r>
      <w:r w:rsidR="003C3E2C" w:rsidRPr="003C3E2C">
        <w:rPr>
          <w:b/>
          <w:i/>
          <w:sz w:val="22"/>
          <w:szCs w:val="22"/>
          <w:lang w:eastAsia="pt-BR"/>
        </w:rPr>
        <w:t xml:space="preserve"> </w:t>
      </w:r>
    </w:p>
    <w:p w:rsidR="00717B0D" w:rsidRPr="00542E32" w:rsidRDefault="00717B0D" w:rsidP="004D0A75">
      <w:pPr>
        <w:spacing w:after="0"/>
        <w:ind w:left="0"/>
        <w:rPr>
          <w:b/>
          <w:i/>
          <w:sz w:val="22"/>
          <w:szCs w:val="22"/>
          <w:lang w:eastAsia="pt-BR"/>
        </w:rPr>
      </w:pPr>
    </w:p>
    <w:p w:rsidR="00E91EDB" w:rsidRPr="00BF602F" w:rsidRDefault="00E91EDB" w:rsidP="00717B0D">
      <w:pPr>
        <w:spacing w:after="0"/>
        <w:ind w:left="0"/>
        <w:rPr>
          <w:b/>
          <w:iCs/>
          <w:sz w:val="22"/>
          <w:szCs w:val="22"/>
          <w:lang w:eastAsia="pt-BR"/>
        </w:rPr>
      </w:pPr>
      <w:r w:rsidRPr="00BF602F">
        <w:rPr>
          <w:b/>
          <w:sz w:val="22"/>
          <w:szCs w:val="22"/>
          <w:lang w:eastAsia="pt-BR"/>
        </w:rPr>
        <w:t>3. Nos termos d</w:t>
      </w:r>
      <w:r w:rsidRPr="00BF602F">
        <w:rPr>
          <w:b/>
          <w:iCs/>
          <w:sz w:val="22"/>
          <w:szCs w:val="22"/>
          <w:lang w:eastAsia="pt-BR"/>
        </w:rPr>
        <w:t>os artigos 60, parágrafo único,</w:t>
      </w:r>
      <w:r w:rsidR="00BD5918">
        <w:rPr>
          <w:b/>
          <w:iCs/>
          <w:sz w:val="22"/>
          <w:szCs w:val="22"/>
          <w:lang w:eastAsia="pt-BR"/>
        </w:rPr>
        <w:t xml:space="preserve"> e 62 da Lei 8.666/</w:t>
      </w:r>
      <w:r w:rsidRPr="00BF602F">
        <w:rPr>
          <w:b/>
          <w:iCs/>
          <w:sz w:val="22"/>
          <w:szCs w:val="22"/>
          <w:lang w:eastAsia="pt-BR"/>
        </w:rPr>
        <w:t>93,</w:t>
      </w:r>
      <w:r w:rsidRPr="00BF602F">
        <w:rPr>
          <w:b/>
          <w:sz w:val="22"/>
          <w:szCs w:val="22"/>
          <w:lang w:eastAsia="pt-BR"/>
        </w:rPr>
        <w:t xml:space="preserve"> a execução de serviços sem a formalização de termo contratual caracteriza contrato verbal, ainda que o pagamento seja realizado após a assinatura do contrato.</w:t>
      </w:r>
    </w:p>
    <w:p w:rsidR="00717B0D" w:rsidRPr="00BF602F" w:rsidRDefault="00717B0D" w:rsidP="00717B0D">
      <w:pPr>
        <w:spacing w:after="0"/>
        <w:ind w:left="0"/>
        <w:rPr>
          <w:sz w:val="22"/>
          <w:szCs w:val="22"/>
        </w:rPr>
      </w:pPr>
      <w:bookmarkStart w:id="1" w:name="Hit1"/>
      <w:r w:rsidRPr="00542E32">
        <w:rPr>
          <w:sz w:val="22"/>
          <w:szCs w:val="22"/>
        </w:rPr>
        <w:t>Embargos</w:t>
      </w:r>
      <w:bookmarkEnd w:id="1"/>
      <w:r w:rsidRPr="00542E32">
        <w:rPr>
          <w:sz w:val="22"/>
          <w:szCs w:val="22"/>
        </w:rPr>
        <w:t xml:space="preserve"> de Declaração apontaram omissão em deliberação que julgara irregulares as contas do embargante em razão, dentre outras, de irregularidade relativa à execução de </w:t>
      </w:r>
      <w:r w:rsidRPr="00BF602F">
        <w:rPr>
          <w:sz w:val="22"/>
          <w:szCs w:val="22"/>
        </w:rPr>
        <w:t>serviços</w:t>
      </w:r>
      <w:r w:rsidR="00DF4023" w:rsidRPr="00BF602F">
        <w:rPr>
          <w:sz w:val="22"/>
          <w:szCs w:val="22"/>
        </w:rPr>
        <w:t xml:space="preserve"> </w:t>
      </w:r>
      <w:r w:rsidR="00C3772A" w:rsidRPr="00BF602F">
        <w:rPr>
          <w:sz w:val="22"/>
          <w:szCs w:val="22"/>
        </w:rPr>
        <w:t>para premiação institucional</w:t>
      </w:r>
      <w:r w:rsidRPr="00BF602F">
        <w:rPr>
          <w:sz w:val="22"/>
          <w:szCs w:val="22"/>
        </w:rPr>
        <w:t xml:space="preserve"> sem</w:t>
      </w:r>
      <w:r w:rsidRPr="00542E32">
        <w:rPr>
          <w:sz w:val="22"/>
          <w:szCs w:val="22"/>
        </w:rPr>
        <w:t xml:space="preserve"> amparo contratual. Segundo a recorrente, a omissão estaria caracterizada pela falta de fundamentação da irregularidade, motivo pelo qual solicitara que fosse explicitado </w:t>
      </w:r>
      <w:r w:rsidR="00BD5918">
        <w:rPr>
          <w:i/>
          <w:sz w:val="22"/>
          <w:szCs w:val="22"/>
        </w:rPr>
        <w:t>“</w:t>
      </w:r>
      <w:r w:rsidRPr="00542E32">
        <w:rPr>
          <w:i/>
          <w:sz w:val="22"/>
          <w:szCs w:val="22"/>
        </w:rPr>
        <w:t>por que uma empresa que sabe que será contratada para apresentar o desenho do prêmio e que tem obrigação de apresentar o</w:t>
      </w:r>
      <w:r w:rsidR="00BD5918">
        <w:rPr>
          <w:i/>
          <w:sz w:val="22"/>
          <w:szCs w:val="22"/>
        </w:rPr>
        <w:t xml:space="preserve"> produto no ato da contratação, </w:t>
      </w:r>
      <w:r w:rsidRPr="00542E32">
        <w:rPr>
          <w:i/>
          <w:sz w:val="22"/>
          <w:szCs w:val="22"/>
        </w:rPr>
        <w:t>há de ser considerada como prestadora de serviço sem contrato</w:t>
      </w:r>
      <w:r w:rsidR="00BD5918">
        <w:rPr>
          <w:i/>
          <w:sz w:val="22"/>
          <w:szCs w:val="22"/>
        </w:rPr>
        <w:t>”</w:t>
      </w:r>
      <w:r w:rsidRPr="00542E32">
        <w:rPr>
          <w:sz w:val="22"/>
          <w:szCs w:val="22"/>
        </w:rPr>
        <w:t>. No cas</w:t>
      </w:r>
      <w:r w:rsidR="000505FB">
        <w:rPr>
          <w:sz w:val="22"/>
          <w:szCs w:val="22"/>
        </w:rPr>
        <w:t>o concreto, a empresa fora</w:t>
      </w:r>
      <w:r w:rsidRPr="00542E32">
        <w:rPr>
          <w:sz w:val="22"/>
          <w:szCs w:val="22"/>
        </w:rPr>
        <w:t xml:space="preserve"> contratada por inexigibilidade</w:t>
      </w:r>
      <w:r w:rsidR="00FF675D">
        <w:rPr>
          <w:sz w:val="22"/>
          <w:szCs w:val="22"/>
        </w:rPr>
        <w:t xml:space="preserve"> </w:t>
      </w:r>
      <w:r w:rsidR="00C3772A" w:rsidRPr="00C3772A">
        <w:rPr>
          <w:sz w:val="22"/>
          <w:szCs w:val="22"/>
        </w:rPr>
        <w:t>de licitação</w:t>
      </w:r>
      <w:r w:rsidRPr="00542E32">
        <w:rPr>
          <w:sz w:val="22"/>
          <w:szCs w:val="22"/>
        </w:rPr>
        <w:t>, ao amparo do art</w:t>
      </w:r>
      <w:r w:rsidR="00BD5918">
        <w:rPr>
          <w:sz w:val="22"/>
          <w:szCs w:val="22"/>
        </w:rPr>
        <w:t>. 25, inciso II, da Lei 8.666/</w:t>
      </w:r>
      <w:r w:rsidRPr="00542E32">
        <w:rPr>
          <w:sz w:val="22"/>
          <w:szCs w:val="22"/>
        </w:rPr>
        <w:t>93. A relatora, ao rejeitar a alegação de omissão, destacou trechos do relatório e</w:t>
      </w:r>
      <w:r w:rsidR="00FF675D">
        <w:rPr>
          <w:sz w:val="22"/>
          <w:szCs w:val="22"/>
        </w:rPr>
        <w:t xml:space="preserve"> do</w:t>
      </w:r>
      <w:r w:rsidRPr="00542E32">
        <w:rPr>
          <w:sz w:val="22"/>
          <w:szCs w:val="22"/>
        </w:rPr>
        <w:t xml:space="preserve"> voto condutor da deliberação recorrida que fundamentam a irregularidade: </w:t>
      </w:r>
      <w:r w:rsidR="001577AF">
        <w:rPr>
          <w:sz w:val="22"/>
          <w:szCs w:val="22"/>
        </w:rPr>
        <w:t>"</w:t>
      </w:r>
      <w:r w:rsidRPr="00542E32">
        <w:rPr>
          <w:i/>
          <w:sz w:val="22"/>
          <w:szCs w:val="22"/>
        </w:rPr>
        <w:t xml:space="preserve">Tanto a cláusula primeira, quanto a cláusula quarta do referido contrato </w:t>
      </w:r>
      <w:r w:rsidR="00FC17D5" w:rsidRPr="00C3772A">
        <w:rPr>
          <w:i/>
          <w:sz w:val="22"/>
          <w:szCs w:val="22"/>
        </w:rPr>
        <w:t>(</w:t>
      </w:r>
      <w:r w:rsidRPr="00C3772A">
        <w:rPr>
          <w:i/>
          <w:sz w:val="22"/>
          <w:szCs w:val="22"/>
        </w:rPr>
        <w:t>...</w:t>
      </w:r>
      <w:r w:rsidR="00FC17D5" w:rsidRPr="00C3772A">
        <w:rPr>
          <w:i/>
          <w:sz w:val="22"/>
          <w:szCs w:val="22"/>
        </w:rPr>
        <w:t>)</w:t>
      </w:r>
      <w:r w:rsidRPr="00542E32">
        <w:rPr>
          <w:i/>
          <w:sz w:val="22"/>
          <w:szCs w:val="22"/>
        </w:rPr>
        <w:t xml:space="preserve"> demonstram, de maneira inequívoca, </w:t>
      </w:r>
      <w:r w:rsidRPr="00B169ED">
        <w:rPr>
          <w:i/>
          <w:sz w:val="22"/>
          <w:szCs w:val="22"/>
          <w:u w:val="single"/>
        </w:rPr>
        <w:t>previsão expressa para entrega e pagamento da primeira parcela do objeto do contrato (concepção e desenho), respectivamente, no ato de sua assinatura</w:t>
      </w:r>
      <w:r w:rsidRPr="00542E32">
        <w:rPr>
          <w:i/>
          <w:sz w:val="22"/>
          <w:szCs w:val="22"/>
        </w:rPr>
        <w:t>, circunstância essa que não seria possível se não houve execução da primeira parcela em data anterior à da assinatura. Com isso, fica evidente que a execução da primeira parcela do contrato se deu em data anterior à da assinatura do termo do contrato e, portanto, sem que houvesse formalização do mesmo... Ainda que o pagamento tenha ocorrido em data posterior à da assinatura do contrato, a contratação do serviço se deu em data anterior a celebração do contrato e sem a formalização do termo contratual..."</w:t>
      </w:r>
      <w:r w:rsidR="00B169ED">
        <w:rPr>
          <w:sz w:val="22"/>
          <w:szCs w:val="22"/>
        </w:rPr>
        <w:t xml:space="preserve"> </w:t>
      </w:r>
      <w:r w:rsidR="00B169ED" w:rsidRPr="00C3772A">
        <w:rPr>
          <w:sz w:val="22"/>
          <w:szCs w:val="22"/>
        </w:rPr>
        <w:t>(grifamos)</w:t>
      </w:r>
      <w:r w:rsidRPr="00C3772A">
        <w:rPr>
          <w:i/>
          <w:sz w:val="22"/>
          <w:szCs w:val="22"/>
        </w:rPr>
        <w:t>.</w:t>
      </w:r>
      <w:r w:rsidRPr="00542E32">
        <w:rPr>
          <w:i/>
          <w:sz w:val="22"/>
          <w:szCs w:val="22"/>
        </w:rPr>
        <w:t xml:space="preserve"> </w:t>
      </w:r>
      <w:r w:rsidR="00BD5918">
        <w:rPr>
          <w:sz w:val="22"/>
          <w:szCs w:val="22"/>
        </w:rPr>
        <w:t>Destacou ainda a relatora</w:t>
      </w:r>
      <w:r w:rsidRPr="00542E32">
        <w:rPr>
          <w:sz w:val="22"/>
          <w:szCs w:val="22"/>
        </w:rPr>
        <w:t xml:space="preserve"> que</w:t>
      </w:r>
      <w:r w:rsidRPr="00542E32">
        <w:rPr>
          <w:i/>
          <w:sz w:val="22"/>
          <w:szCs w:val="22"/>
        </w:rPr>
        <w:t xml:space="preserve"> "a assinatura do contrato representou mera formalidade, já que na verdade as partes já haviam celebrado antes um contrato verbal"</w:t>
      </w:r>
      <w:r w:rsidRPr="00542E32">
        <w:rPr>
          <w:sz w:val="22"/>
          <w:szCs w:val="22"/>
        </w:rPr>
        <w:t xml:space="preserve">, </w:t>
      </w:r>
      <w:r w:rsidRPr="00542E32">
        <w:rPr>
          <w:bCs/>
          <w:sz w:val="22"/>
          <w:szCs w:val="22"/>
        </w:rPr>
        <w:t xml:space="preserve">o que afronta a legislação, </w:t>
      </w:r>
      <w:r w:rsidRPr="00542E32">
        <w:rPr>
          <w:sz w:val="22"/>
          <w:szCs w:val="22"/>
        </w:rPr>
        <w:t>que só o admite em situações excepcionais</w:t>
      </w:r>
      <w:r w:rsidRPr="00542E32">
        <w:rPr>
          <w:bCs/>
          <w:sz w:val="22"/>
          <w:szCs w:val="22"/>
        </w:rPr>
        <w:t xml:space="preserve"> (</w:t>
      </w:r>
      <w:proofErr w:type="spellStart"/>
      <w:r w:rsidR="00C33E55">
        <w:rPr>
          <w:bCs/>
          <w:sz w:val="22"/>
          <w:szCs w:val="22"/>
        </w:rPr>
        <w:t>arts</w:t>
      </w:r>
      <w:proofErr w:type="spellEnd"/>
      <w:r w:rsidR="00C33E55">
        <w:rPr>
          <w:bCs/>
          <w:sz w:val="22"/>
          <w:szCs w:val="22"/>
        </w:rPr>
        <w:t>. 60, parágra</w:t>
      </w:r>
      <w:r w:rsidRPr="00542E32">
        <w:rPr>
          <w:bCs/>
          <w:sz w:val="22"/>
          <w:szCs w:val="22"/>
        </w:rPr>
        <w:t>fo único</w:t>
      </w:r>
      <w:r w:rsidR="00C33E55">
        <w:rPr>
          <w:bCs/>
          <w:sz w:val="22"/>
          <w:szCs w:val="22"/>
        </w:rPr>
        <w:t>,</w:t>
      </w:r>
      <w:r w:rsidRPr="00542E32">
        <w:rPr>
          <w:bCs/>
          <w:sz w:val="22"/>
          <w:szCs w:val="22"/>
        </w:rPr>
        <w:t xml:space="preserve"> </w:t>
      </w:r>
      <w:r w:rsidRPr="00542E32">
        <w:rPr>
          <w:sz w:val="22"/>
          <w:szCs w:val="22"/>
        </w:rPr>
        <w:t xml:space="preserve">e </w:t>
      </w:r>
      <w:r w:rsidRPr="00542E32">
        <w:rPr>
          <w:bCs/>
          <w:sz w:val="22"/>
          <w:szCs w:val="22"/>
        </w:rPr>
        <w:t>62</w:t>
      </w:r>
      <w:r w:rsidR="00C33E55">
        <w:rPr>
          <w:bCs/>
          <w:sz w:val="22"/>
          <w:szCs w:val="22"/>
        </w:rPr>
        <w:t xml:space="preserve"> d</w:t>
      </w:r>
      <w:r w:rsidRPr="00542E32">
        <w:rPr>
          <w:bCs/>
          <w:sz w:val="22"/>
          <w:szCs w:val="22"/>
        </w:rPr>
        <w:t>a Lei 8.666/1993). Considerando que não houve a omissão alegada, o Tribunal negou provimento ao recurso.</w:t>
      </w:r>
      <w:r w:rsidRPr="00542E32">
        <w:rPr>
          <w:sz w:val="22"/>
          <w:szCs w:val="22"/>
        </w:rPr>
        <w:t xml:space="preserve"> </w:t>
      </w:r>
      <w:hyperlink r:id="rId10" w:history="1">
        <w:r w:rsidR="00BF602F" w:rsidRPr="00BF602F">
          <w:rPr>
            <w:rStyle w:val="Hyperlink"/>
            <w:b/>
            <w:i/>
            <w:sz w:val="22"/>
            <w:szCs w:val="22"/>
          </w:rPr>
          <w:t>Acórdão 2380/2013-Plenário</w:t>
        </w:r>
      </w:hyperlink>
      <w:r w:rsidRPr="00542E32">
        <w:rPr>
          <w:b/>
          <w:i/>
          <w:sz w:val="22"/>
          <w:szCs w:val="22"/>
          <w:lang w:eastAsia="pt-BR"/>
        </w:rPr>
        <w:t>, TC 015.335/2006-8, relatora Ministra Ana Arraes, 4.9.2013.</w:t>
      </w:r>
    </w:p>
    <w:p w:rsidR="00BF602F" w:rsidRDefault="00BF602F" w:rsidP="00717B0D">
      <w:pPr>
        <w:spacing w:after="0"/>
        <w:ind w:left="0"/>
        <w:rPr>
          <w:b/>
          <w:i/>
          <w:sz w:val="22"/>
          <w:szCs w:val="22"/>
          <w:lang w:eastAsia="pt-BR"/>
        </w:rPr>
      </w:pPr>
    </w:p>
    <w:p w:rsidR="004D0A75" w:rsidRPr="00542E32" w:rsidRDefault="00717B0D" w:rsidP="004D0A75">
      <w:pPr>
        <w:spacing w:after="0"/>
        <w:ind w:left="0"/>
        <w:rPr>
          <w:b/>
          <w:bCs/>
          <w:iCs/>
          <w:sz w:val="22"/>
          <w:szCs w:val="22"/>
        </w:rPr>
      </w:pPr>
      <w:r w:rsidRPr="00542E32">
        <w:rPr>
          <w:b/>
          <w:sz w:val="22"/>
          <w:szCs w:val="22"/>
        </w:rPr>
        <w:t>4</w:t>
      </w:r>
      <w:r w:rsidR="004D0A75" w:rsidRPr="00542E32">
        <w:rPr>
          <w:b/>
          <w:sz w:val="22"/>
          <w:szCs w:val="22"/>
        </w:rPr>
        <w:t xml:space="preserve">. A </w:t>
      </w:r>
      <w:r w:rsidR="004D0A75" w:rsidRPr="00542E32">
        <w:rPr>
          <w:b/>
          <w:bCs/>
          <w:iCs/>
          <w:sz w:val="22"/>
          <w:szCs w:val="22"/>
        </w:rPr>
        <w:t xml:space="preserve">especificação, no edital, de produto ou bem cuja descrição e características correspondem a modelo exclusivo de determinado fabricante, sem que haja justificativas técnicas, afronta o disposto nos </w:t>
      </w:r>
      <w:proofErr w:type="spellStart"/>
      <w:r w:rsidR="004D0A75" w:rsidRPr="00542E32">
        <w:rPr>
          <w:b/>
          <w:bCs/>
          <w:iCs/>
          <w:sz w:val="22"/>
          <w:szCs w:val="22"/>
        </w:rPr>
        <w:t>arts</w:t>
      </w:r>
      <w:proofErr w:type="spellEnd"/>
      <w:r w:rsidR="004D0A75" w:rsidRPr="00542E32">
        <w:rPr>
          <w:b/>
          <w:bCs/>
          <w:iCs/>
          <w:sz w:val="22"/>
          <w:szCs w:val="22"/>
        </w:rPr>
        <w:t xml:space="preserve">. 3º, </w:t>
      </w:r>
      <w:r w:rsidR="004D0A75" w:rsidRPr="00542E32">
        <w:rPr>
          <w:b/>
          <w:bCs/>
          <w:i/>
          <w:iCs/>
          <w:sz w:val="22"/>
          <w:szCs w:val="22"/>
        </w:rPr>
        <w:t>caput</w:t>
      </w:r>
      <w:r w:rsidR="004D0A75" w:rsidRPr="00542E32">
        <w:rPr>
          <w:b/>
          <w:bCs/>
          <w:iCs/>
          <w:sz w:val="22"/>
          <w:szCs w:val="22"/>
        </w:rPr>
        <w:t xml:space="preserve"> e §</w:t>
      </w:r>
      <w:r w:rsidR="00B157BA">
        <w:rPr>
          <w:b/>
          <w:bCs/>
          <w:iCs/>
          <w:sz w:val="22"/>
          <w:szCs w:val="22"/>
        </w:rPr>
        <w:t xml:space="preserve"> 1º, e 7º, § 5º, da Lei 8.666/</w:t>
      </w:r>
      <w:r w:rsidR="004D0A75" w:rsidRPr="00542E32">
        <w:rPr>
          <w:b/>
          <w:bCs/>
          <w:iCs/>
          <w:sz w:val="22"/>
          <w:szCs w:val="22"/>
        </w:rPr>
        <w:t>93 c/</w:t>
      </w:r>
      <w:r w:rsidR="00B157BA">
        <w:rPr>
          <w:b/>
          <w:bCs/>
          <w:iCs/>
          <w:sz w:val="22"/>
          <w:szCs w:val="22"/>
        </w:rPr>
        <w:t>c o art. 9º da Lei 10.520/</w:t>
      </w:r>
      <w:r w:rsidR="004D0A75" w:rsidRPr="00542E32">
        <w:rPr>
          <w:b/>
          <w:bCs/>
          <w:iCs/>
          <w:sz w:val="22"/>
          <w:szCs w:val="22"/>
        </w:rPr>
        <w:t>02.</w:t>
      </w:r>
    </w:p>
    <w:p w:rsidR="004D0A75" w:rsidRPr="00542E32" w:rsidRDefault="004D0A75" w:rsidP="004D0A75">
      <w:pPr>
        <w:spacing w:after="0"/>
        <w:ind w:left="0"/>
        <w:rPr>
          <w:b/>
          <w:i/>
          <w:sz w:val="22"/>
          <w:szCs w:val="22"/>
          <w:lang w:eastAsia="pt-BR"/>
        </w:rPr>
      </w:pPr>
      <w:r w:rsidRPr="00542E32">
        <w:rPr>
          <w:sz w:val="22"/>
          <w:szCs w:val="22"/>
          <w:lang w:eastAsia="pt-BR"/>
        </w:rPr>
        <w:t>Representação versando sobre pregão eletrônico realizado pela Prefeitura Mun</w:t>
      </w:r>
      <w:r w:rsidR="001A4287">
        <w:rPr>
          <w:sz w:val="22"/>
          <w:szCs w:val="22"/>
          <w:lang w:eastAsia="pt-BR"/>
        </w:rPr>
        <w:t>icipal de Seringueiras/TO para</w:t>
      </w:r>
      <w:r w:rsidRPr="00542E32">
        <w:rPr>
          <w:sz w:val="22"/>
          <w:szCs w:val="22"/>
          <w:lang w:eastAsia="pt-BR"/>
        </w:rPr>
        <w:t xml:space="preserve"> aquisição de cultivadores motorizados com enxada rotativa, mediante emprego de recursos federais oriundos de convênio,</w:t>
      </w:r>
      <w:r w:rsidRPr="00542E32">
        <w:rPr>
          <w:color w:val="FF0000"/>
          <w:sz w:val="22"/>
          <w:szCs w:val="22"/>
          <w:lang w:eastAsia="pt-BR"/>
        </w:rPr>
        <w:t xml:space="preserve"> </w:t>
      </w:r>
      <w:r w:rsidRPr="00542E32">
        <w:rPr>
          <w:sz w:val="22"/>
          <w:szCs w:val="22"/>
          <w:lang w:eastAsia="pt-BR"/>
        </w:rPr>
        <w:t>apontara irregularidade no edital relativa à "</w:t>
      </w:r>
      <w:r w:rsidRPr="00542E32">
        <w:rPr>
          <w:i/>
          <w:iCs/>
          <w:sz w:val="22"/>
          <w:szCs w:val="22"/>
          <w:lang w:eastAsia="pt-BR"/>
        </w:rPr>
        <w:t xml:space="preserve">especificação de cultivador motorizado acoplado a enxada rotativa TA49 ...cuja descrição e características correspondem aos modelos exclusivos do fabricante </w:t>
      </w:r>
      <w:proofErr w:type="spellStart"/>
      <w:r w:rsidRPr="00542E32">
        <w:rPr>
          <w:i/>
          <w:iCs/>
          <w:sz w:val="22"/>
          <w:szCs w:val="22"/>
          <w:lang w:eastAsia="pt-BR"/>
        </w:rPr>
        <w:t>Agritech</w:t>
      </w:r>
      <w:proofErr w:type="spellEnd"/>
      <w:r w:rsidRPr="00542E32">
        <w:rPr>
          <w:i/>
          <w:iCs/>
          <w:sz w:val="22"/>
          <w:szCs w:val="22"/>
          <w:lang w:eastAsia="pt-BR"/>
        </w:rPr>
        <w:t xml:space="preserve"> </w:t>
      </w:r>
      <w:proofErr w:type="spellStart"/>
      <w:r w:rsidRPr="00542E32">
        <w:rPr>
          <w:i/>
          <w:iCs/>
          <w:sz w:val="22"/>
          <w:szCs w:val="22"/>
          <w:lang w:eastAsia="pt-BR"/>
        </w:rPr>
        <w:t>Lavrale</w:t>
      </w:r>
      <w:proofErr w:type="spellEnd"/>
      <w:r w:rsidRPr="00542E32">
        <w:rPr>
          <w:i/>
          <w:iCs/>
          <w:sz w:val="22"/>
          <w:szCs w:val="22"/>
          <w:lang w:eastAsia="pt-BR"/>
        </w:rPr>
        <w:t xml:space="preserve"> S.A.</w:t>
      </w:r>
      <w:r w:rsidRPr="00542E32">
        <w:rPr>
          <w:iCs/>
          <w:sz w:val="22"/>
          <w:szCs w:val="22"/>
          <w:lang w:eastAsia="pt-BR"/>
        </w:rPr>
        <w:t>".</w:t>
      </w:r>
      <w:r w:rsidRPr="00542E32">
        <w:rPr>
          <w:i/>
          <w:iCs/>
          <w:sz w:val="22"/>
          <w:szCs w:val="22"/>
          <w:lang w:eastAsia="pt-BR"/>
        </w:rPr>
        <w:t xml:space="preserve"> </w:t>
      </w:r>
      <w:r w:rsidRPr="00542E32">
        <w:rPr>
          <w:sz w:val="22"/>
          <w:szCs w:val="22"/>
          <w:lang w:eastAsia="pt-BR"/>
        </w:rPr>
        <w:t xml:space="preserve">Em juízo de mérito, o relator anotou que, a despeito da mencionada descrição constar do </w:t>
      </w:r>
      <w:r w:rsidR="001A4287">
        <w:rPr>
          <w:sz w:val="22"/>
          <w:szCs w:val="22"/>
          <w:lang w:eastAsia="pt-BR"/>
        </w:rPr>
        <w:t>plano de t</w:t>
      </w:r>
      <w:r w:rsidRPr="00542E32">
        <w:rPr>
          <w:sz w:val="22"/>
          <w:szCs w:val="22"/>
          <w:lang w:eastAsia="pt-BR"/>
        </w:rPr>
        <w:t>rabalho que integra o convênio, "</w:t>
      </w:r>
      <w:r w:rsidRPr="00542E32">
        <w:rPr>
          <w:i/>
          <w:sz w:val="22"/>
          <w:szCs w:val="22"/>
          <w:lang w:eastAsia="pt-BR"/>
        </w:rPr>
        <w:t>a especificação constante do edital não atende ao disposto no art. 7º, § 5º, da Lei 8.666/1993, segundo o qual '</w:t>
      </w:r>
      <w:r w:rsidRPr="00542E32">
        <w:rPr>
          <w:i/>
          <w:iCs/>
          <w:sz w:val="22"/>
          <w:szCs w:val="22"/>
          <w:lang w:eastAsia="pt-BR"/>
        </w:rPr>
        <w:t>É vedada a realização de licitação cujo objeto inclua bens e serviços sem similaridade ou de marcas, características e especificações exclusivas, salvo nos</w:t>
      </w:r>
      <w:r w:rsidRPr="00542E32">
        <w:rPr>
          <w:i/>
          <w:sz w:val="22"/>
          <w:szCs w:val="22"/>
          <w:lang w:eastAsia="pt-BR"/>
        </w:rPr>
        <w:t xml:space="preserve"> </w:t>
      </w:r>
      <w:r w:rsidRPr="00542E32">
        <w:rPr>
          <w:i/>
          <w:iCs/>
          <w:sz w:val="22"/>
          <w:szCs w:val="22"/>
          <w:lang w:eastAsia="pt-BR"/>
        </w:rPr>
        <w:t>casos em que for tecnicamente justificável, ou ainda quando o fornecimento de tais materiais e</w:t>
      </w:r>
      <w:r w:rsidRPr="00542E32">
        <w:rPr>
          <w:i/>
          <w:sz w:val="22"/>
          <w:szCs w:val="22"/>
          <w:lang w:eastAsia="pt-BR"/>
        </w:rPr>
        <w:t xml:space="preserve"> </w:t>
      </w:r>
      <w:r w:rsidRPr="00542E32">
        <w:rPr>
          <w:i/>
          <w:iCs/>
          <w:sz w:val="22"/>
          <w:szCs w:val="22"/>
          <w:lang w:eastAsia="pt-BR"/>
        </w:rPr>
        <w:t>serviços for feito sob o regime de administração contratada, previsto e discriminado no ato</w:t>
      </w:r>
      <w:r w:rsidRPr="00542E32">
        <w:rPr>
          <w:i/>
          <w:sz w:val="22"/>
          <w:szCs w:val="22"/>
          <w:lang w:eastAsia="pt-BR"/>
        </w:rPr>
        <w:t xml:space="preserve"> </w:t>
      </w:r>
      <w:r w:rsidRPr="00542E32">
        <w:rPr>
          <w:i/>
          <w:iCs/>
          <w:sz w:val="22"/>
          <w:szCs w:val="22"/>
          <w:lang w:eastAsia="pt-BR"/>
        </w:rPr>
        <w:t>convocatório</w:t>
      </w:r>
      <w:r w:rsidR="001A4287">
        <w:rPr>
          <w:i/>
          <w:iCs/>
          <w:sz w:val="22"/>
          <w:szCs w:val="22"/>
          <w:lang w:eastAsia="pt-BR"/>
        </w:rPr>
        <w:t>’</w:t>
      </w:r>
      <w:r w:rsidRPr="00542E32">
        <w:rPr>
          <w:i/>
          <w:iCs/>
          <w:sz w:val="22"/>
          <w:szCs w:val="22"/>
          <w:lang w:eastAsia="pt-BR"/>
        </w:rPr>
        <w:t>”</w:t>
      </w:r>
      <w:r w:rsidR="001A4287">
        <w:rPr>
          <w:i/>
          <w:iCs/>
          <w:sz w:val="22"/>
          <w:szCs w:val="22"/>
          <w:lang w:eastAsia="pt-BR"/>
        </w:rPr>
        <w:t>.</w:t>
      </w:r>
      <w:r w:rsidRPr="00542E32">
        <w:rPr>
          <w:sz w:val="22"/>
          <w:szCs w:val="22"/>
          <w:lang w:eastAsia="pt-BR"/>
        </w:rPr>
        <w:t xml:space="preserve"> Acrescentou que o referido dispositivo legal, aplicado subsidiariamente ao pregão, permite a adoção de características e especificações exclusivas nos casos em qu</w:t>
      </w:r>
      <w:r w:rsidR="001A4287">
        <w:rPr>
          <w:sz w:val="22"/>
          <w:szCs w:val="22"/>
          <w:lang w:eastAsia="pt-BR"/>
        </w:rPr>
        <w:t xml:space="preserve">e for tecnicamente justificável, </w:t>
      </w:r>
      <w:r w:rsidRPr="00542E32">
        <w:rPr>
          <w:sz w:val="22"/>
          <w:szCs w:val="22"/>
          <w:lang w:eastAsia="pt-BR"/>
        </w:rPr>
        <w:t>"</w:t>
      </w:r>
      <w:r w:rsidRPr="00542E32">
        <w:rPr>
          <w:i/>
          <w:sz w:val="22"/>
          <w:szCs w:val="22"/>
          <w:lang w:eastAsia="pt-BR"/>
        </w:rPr>
        <w:t>situação não demonstrada pela administração municipal contratante</w:t>
      </w:r>
      <w:r w:rsidR="001A4287">
        <w:rPr>
          <w:sz w:val="22"/>
          <w:szCs w:val="22"/>
          <w:lang w:eastAsia="pt-BR"/>
        </w:rPr>
        <w:t xml:space="preserve">". Ressaltou, </w:t>
      </w:r>
      <w:r w:rsidRPr="00542E32">
        <w:rPr>
          <w:sz w:val="22"/>
          <w:szCs w:val="22"/>
          <w:lang w:eastAsia="pt-BR"/>
        </w:rPr>
        <w:t xml:space="preserve">por fim, que embora existam diversas marcas e modelos de cultivador motorizado com enxada rotativa, a descrição enxada rotativa “TA49” somente foi encontrada nos produtos da empresa </w:t>
      </w:r>
      <w:proofErr w:type="spellStart"/>
      <w:r w:rsidRPr="00542E32">
        <w:rPr>
          <w:sz w:val="22"/>
          <w:szCs w:val="22"/>
          <w:lang w:eastAsia="pt-BR"/>
        </w:rPr>
        <w:t>Agritech</w:t>
      </w:r>
      <w:proofErr w:type="spellEnd"/>
      <w:r w:rsidRPr="00542E32">
        <w:rPr>
          <w:sz w:val="22"/>
          <w:szCs w:val="22"/>
          <w:lang w:eastAsia="pt-BR"/>
        </w:rPr>
        <w:t>, o que teria causado restrição indevida do caráter competitivo do certame. Nesse sentido, o Tribunal, acolhendo a proposta do relator, determinou a anulação do certame, sem prejuízo de cientificar a prefeitura da irregularidade, bem como o concedente e a instituição financeira</w:t>
      </w:r>
      <w:r w:rsidR="00B83972">
        <w:rPr>
          <w:sz w:val="22"/>
          <w:szCs w:val="22"/>
          <w:lang w:eastAsia="pt-BR"/>
        </w:rPr>
        <w:t xml:space="preserve"> </w:t>
      </w:r>
      <w:r w:rsidR="00C3772A">
        <w:rPr>
          <w:sz w:val="22"/>
          <w:szCs w:val="22"/>
          <w:lang w:eastAsia="pt-BR"/>
        </w:rPr>
        <w:t>interveniente</w:t>
      </w:r>
      <w:r w:rsidR="001A4287">
        <w:rPr>
          <w:sz w:val="22"/>
          <w:szCs w:val="22"/>
          <w:lang w:eastAsia="pt-BR"/>
        </w:rPr>
        <w:t xml:space="preserve"> da falha incorrida no plano de t</w:t>
      </w:r>
      <w:r w:rsidRPr="00542E32">
        <w:rPr>
          <w:sz w:val="22"/>
          <w:szCs w:val="22"/>
          <w:lang w:eastAsia="pt-BR"/>
        </w:rPr>
        <w:t>rabalho do convênio.</w:t>
      </w:r>
      <w:r w:rsidRPr="00542E32">
        <w:rPr>
          <w:b/>
          <w:bCs/>
          <w:iCs/>
          <w:sz w:val="22"/>
          <w:szCs w:val="22"/>
        </w:rPr>
        <w:t xml:space="preserve"> </w:t>
      </w:r>
      <w:hyperlink r:id="rId11" w:history="1">
        <w:r w:rsidR="00BF602F" w:rsidRPr="00BF602F">
          <w:rPr>
            <w:rStyle w:val="Hyperlink"/>
            <w:b/>
            <w:i/>
            <w:sz w:val="22"/>
            <w:szCs w:val="22"/>
            <w:lang w:eastAsia="pt-BR"/>
          </w:rPr>
          <w:t>Acórdão 2387/2013-Plenário</w:t>
        </w:r>
      </w:hyperlink>
      <w:r w:rsidRPr="00542E32">
        <w:rPr>
          <w:b/>
          <w:i/>
          <w:sz w:val="22"/>
          <w:szCs w:val="22"/>
          <w:lang w:eastAsia="pt-BR"/>
        </w:rPr>
        <w:t>, TC 009.818/2013-8, relator Ministro</w:t>
      </w:r>
      <w:r w:rsidR="001A4287">
        <w:rPr>
          <w:b/>
          <w:i/>
          <w:sz w:val="22"/>
          <w:szCs w:val="22"/>
          <w:lang w:eastAsia="pt-BR"/>
        </w:rPr>
        <w:t>-Substituto</w:t>
      </w:r>
      <w:r w:rsidRPr="00542E32">
        <w:rPr>
          <w:b/>
          <w:i/>
          <w:sz w:val="22"/>
          <w:szCs w:val="22"/>
          <w:lang w:eastAsia="pt-BR"/>
        </w:rPr>
        <w:t xml:space="preserve"> Augusto </w:t>
      </w:r>
      <w:proofErr w:type="spellStart"/>
      <w:r w:rsidRPr="00542E32">
        <w:rPr>
          <w:b/>
          <w:i/>
          <w:sz w:val="22"/>
          <w:szCs w:val="22"/>
          <w:lang w:eastAsia="pt-BR"/>
        </w:rPr>
        <w:t>Sherman</w:t>
      </w:r>
      <w:proofErr w:type="spellEnd"/>
      <w:r w:rsidRPr="00542E32">
        <w:rPr>
          <w:b/>
          <w:i/>
          <w:sz w:val="22"/>
          <w:szCs w:val="22"/>
          <w:lang w:eastAsia="pt-BR"/>
        </w:rPr>
        <w:t xml:space="preserve"> Cavalcanti, 4.9.2013.</w:t>
      </w:r>
    </w:p>
    <w:p w:rsidR="004D0A75" w:rsidRPr="00542E32" w:rsidRDefault="004D0A75" w:rsidP="004D0A75">
      <w:pPr>
        <w:spacing w:after="0"/>
        <w:ind w:left="0"/>
        <w:rPr>
          <w:b/>
          <w:sz w:val="22"/>
          <w:szCs w:val="22"/>
          <w:lang w:eastAsia="pt-BR"/>
        </w:rPr>
      </w:pPr>
    </w:p>
    <w:p w:rsidR="005F3A57" w:rsidRPr="00542E32" w:rsidRDefault="005F3A57" w:rsidP="005F3A57">
      <w:pPr>
        <w:pBdr>
          <w:top w:val="threeDEmboss" w:sz="24" w:space="5" w:color="auto"/>
        </w:pBdr>
        <w:tabs>
          <w:tab w:val="left" w:pos="284"/>
          <w:tab w:val="left" w:pos="4172"/>
          <w:tab w:val="center" w:pos="4818"/>
        </w:tabs>
        <w:spacing w:after="0"/>
        <w:ind w:left="0"/>
        <w:jc w:val="center"/>
        <w:rPr>
          <w:b/>
          <w:bCs/>
          <w:smallCaps/>
          <w:sz w:val="22"/>
          <w:szCs w:val="22"/>
        </w:rPr>
      </w:pPr>
      <w:r w:rsidRPr="00542E32">
        <w:rPr>
          <w:b/>
          <w:bCs/>
          <w:smallCaps/>
          <w:sz w:val="22"/>
          <w:szCs w:val="22"/>
        </w:rPr>
        <w:t>SEGUNDA CÂMARA</w:t>
      </w:r>
    </w:p>
    <w:p w:rsidR="005F3A57" w:rsidRPr="00542E32" w:rsidRDefault="005F3A57" w:rsidP="005F3A57">
      <w:pPr>
        <w:spacing w:after="0"/>
        <w:ind w:left="0"/>
        <w:rPr>
          <w:b/>
          <w:sz w:val="22"/>
          <w:szCs w:val="22"/>
        </w:rPr>
      </w:pPr>
    </w:p>
    <w:p w:rsidR="006C30CF" w:rsidRPr="00542E32" w:rsidRDefault="006C30CF" w:rsidP="006C30CF">
      <w:pPr>
        <w:spacing w:after="0"/>
        <w:ind w:left="0"/>
        <w:rPr>
          <w:b/>
          <w:sz w:val="22"/>
          <w:szCs w:val="22"/>
          <w:lang w:eastAsia="pt-BR"/>
        </w:rPr>
      </w:pPr>
      <w:r w:rsidRPr="00542E32">
        <w:rPr>
          <w:b/>
          <w:sz w:val="22"/>
          <w:szCs w:val="22"/>
        </w:rPr>
        <w:t>5. É legítima a</w:t>
      </w:r>
      <w:r w:rsidR="00370A1C">
        <w:rPr>
          <w:b/>
          <w:sz w:val="22"/>
          <w:szCs w:val="22"/>
          <w:lang w:eastAsia="pt-BR"/>
        </w:rPr>
        <w:t xml:space="preserve"> adoção da licitação por lotes formados</w:t>
      </w:r>
      <w:r w:rsidRPr="00542E32">
        <w:rPr>
          <w:b/>
          <w:sz w:val="22"/>
          <w:szCs w:val="22"/>
          <w:lang w:eastAsia="pt-BR"/>
        </w:rPr>
        <w:t xml:space="preserve"> com elementos de mesma característica, quando restar evidenciado que a licitação por itens isolados exigirá elevado número de processos licitatórios, onerando o trabalho da administração pública, sob o ponto de vista do emprego de recursos humanos e da dificuldade de controle, colocando em risco a economia de escala e a celeridade processual e comprometendo a seleção da proposta mais vantajosa para a administração.</w:t>
      </w:r>
    </w:p>
    <w:p w:rsidR="006C30CF" w:rsidRDefault="006C30CF" w:rsidP="006C30CF">
      <w:pPr>
        <w:spacing w:after="0"/>
        <w:ind w:left="0"/>
        <w:rPr>
          <w:b/>
          <w:i/>
          <w:sz w:val="22"/>
          <w:szCs w:val="22"/>
          <w:lang w:eastAsia="pt-BR"/>
        </w:rPr>
      </w:pPr>
      <w:r w:rsidRPr="00542E32">
        <w:rPr>
          <w:sz w:val="22"/>
          <w:szCs w:val="22"/>
          <w:lang w:eastAsia="pt-BR"/>
        </w:rPr>
        <w:t>Representação oferecida por Procurador da República, versando sobre suposta irregularidade em pregão presencial conduzido pelo município de Floriano/PI com recursos do FNDE no âmbito do PNAE, destinado à aquisição de gêneros alimentícios para a merenda escolar, apontara possível restrição à competitividade decorrente do parcelamento do objeto da licitação em lotes de</w:t>
      </w:r>
      <w:r w:rsidR="00370A1C">
        <w:rPr>
          <w:sz w:val="22"/>
          <w:szCs w:val="22"/>
          <w:lang w:eastAsia="pt-BR"/>
        </w:rPr>
        <w:t xml:space="preserve"> itens. O representante alegara</w:t>
      </w:r>
      <w:r w:rsidRPr="00542E32">
        <w:rPr>
          <w:sz w:val="22"/>
          <w:szCs w:val="22"/>
          <w:lang w:eastAsia="pt-BR"/>
        </w:rPr>
        <w:t xml:space="preserve">, a partir de relatório da CGU, </w:t>
      </w:r>
      <w:r w:rsidRPr="00542E32">
        <w:rPr>
          <w:i/>
          <w:sz w:val="22"/>
          <w:szCs w:val="22"/>
          <w:lang w:eastAsia="pt-BR"/>
        </w:rPr>
        <w:t xml:space="preserve">“que seria indevido agrupar itens em lotes, pois tal procedimento afrontaria o disposto nos </w:t>
      </w:r>
      <w:proofErr w:type="spellStart"/>
      <w:r w:rsidRPr="00542E32">
        <w:rPr>
          <w:i/>
          <w:sz w:val="22"/>
          <w:szCs w:val="22"/>
          <w:lang w:eastAsia="pt-BR"/>
        </w:rPr>
        <w:t>arts</w:t>
      </w:r>
      <w:proofErr w:type="spellEnd"/>
      <w:r w:rsidRPr="00542E32">
        <w:rPr>
          <w:i/>
          <w:sz w:val="22"/>
          <w:szCs w:val="22"/>
          <w:lang w:eastAsia="pt-BR"/>
        </w:rPr>
        <w:t>. 15, inciso IV, e 23, § 1º, da Lei nº 8.666, de 21 de junho de 1993, defendendo que a divisão por itens melhor atenderia ao aproveitamento dos recursos disponíveis no mercado local e impediria a participação de médias e grandes empresas locais, citando, para tanto, precedentes jurisprudenciais do TCU”</w:t>
      </w:r>
      <w:r w:rsidRPr="00542E32">
        <w:rPr>
          <w:sz w:val="22"/>
          <w:szCs w:val="22"/>
          <w:lang w:eastAsia="pt-BR"/>
        </w:rPr>
        <w:t xml:space="preserve">. Em sentido oposto, e também citando precedentes do Tribunal, o município argumentara que </w:t>
      </w:r>
      <w:r w:rsidRPr="00542E32">
        <w:rPr>
          <w:i/>
          <w:sz w:val="22"/>
          <w:szCs w:val="22"/>
          <w:lang w:eastAsia="pt-BR"/>
        </w:rPr>
        <w:t>“os dispositivos legais citados pela CGU estabelecem entendimento contrário, no sentido de que as compras, sempre que possível, devem ser divididas em tantas parcelas quanto forem necessárias ao aproveitamento das peculiaridades do mercado, em obediência ao princípio da economicidade, aduzindo que, por essa razão, a licitação foi dividida em dezesseis lotes, cujos itens foram grupados conforme as particularidades de cada produto”</w:t>
      </w:r>
      <w:r w:rsidRPr="00542E32">
        <w:rPr>
          <w:sz w:val="22"/>
          <w:szCs w:val="22"/>
          <w:lang w:eastAsia="pt-BR"/>
        </w:rPr>
        <w:t xml:space="preserve">. Analisando o feito, anotou o relator a pertinência da representação, </w:t>
      </w:r>
      <w:r w:rsidRPr="00542E32">
        <w:rPr>
          <w:i/>
          <w:sz w:val="22"/>
          <w:szCs w:val="22"/>
          <w:lang w:eastAsia="pt-BR"/>
        </w:rPr>
        <w:t>“haja vista não ser a matéria, como visto, pacífica no âmbito do TCU, de sorte que, de certa maneira, enseja a análise de situações concretas, para que se possa concluir se houve, ou não, afronta à competitividade do certame</w:t>
      </w:r>
      <w:r w:rsidRPr="00542E32">
        <w:rPr>
          <w:sz w:val="22"/>
          <w:szCs w:val="22"/>
          <w:lang w:eastAsia="pt-BR"/>
        </w:rPr>
        <w:t xml:space="preserve">”. No caso vertente, em que 16 lotes contemplaram 107 itens, o relator consignou que a adoção da licitação por itens isolados exigiria </w:t>
      </w:r>
      <w:r w:rsidRPr="00542E32">
        <w:rPr>
          <w:i/>
          <w:sz w:val="22"/>
          <w:szCs w:val="22"/>
          <w:lang w:eastAsia="pt-BR"/>
        </w:rPr>
        <w:t>“elevado número de procedimentos para seleção”</w:t>
      </w:r>
      <w:r w:rsidRPr="00542E32">
        <w:rPr>
          <w:sz w:val="22"/>
          <w:szCs w:val="22"/>
          <w:lang w:eastAsia="pt-BR"/>
        </w:rPr>
        <w:t xml:space="preserve">, o que </w:t>
      </w:r>
      <w:r w:rsidRPr="00542E32">
        <w:rPr>
          <w:i/>
          <w:sz w:val="22"/>
          <w:szCs w:val="22"/>
          <w:lang w:eastAsia="pt-BR"/>
        </w:rPr>
        <w:t>“tornaria bem mais oneroso o trabalho da administração pública, sob o ponto de vista do emprego de recursos humanos e da dificuldade de controle, de sorte que poderia colocar em risco a economia de escala e a celeridade processual, comprometendo a seleção da proposta mais vantajosa para a administração”</w:t>
      </w:r>
      <w:r w:rsidRPr="00542E32">
        <w:rPr>
          <w:sz w:val="22"/>
          <w:szCs w:val="22"/>
          <w:lang w:eastAsia="pt-BR"/>
        </w:rPr>
        <w:t xml:space="preserve">. E concluiu no sentido de considerar, diante de irregularidade formal apurada, a representação parcialmente procedente, anotando que </w:t>
      </w:r>
      <w:r w:rsidRPr="00542E32">
        <w:rPr>
          <w:i/>
          <w:sz w:val="22"/>
          <w:szCs w:val="22"/>
          <w:lang w:eastAsia="pt-BR"/>
        </w:rPr>
        <w:t>“diante das peculiares circunstâncias do presente caso concreto (...) a licitação por itens isolados poderia trazer indesejáveis riscos à administração pública, mostrando-se adequado, pois, o agrupamento desses itens em lotes, com elementos de mesma característica”</w:t>
      </w:r>
      <w:r w:rsidRPr="00542E32">
        <w:rPr>
          <w:sz w:val="22"/>
          <w:szCs w:val="22"/>
          <w:lang w:eastAsia="pt-BR"/>
        </w:rPr>
        <w:t>. O Plenário do TCU, ao acolher a proposta da relatoria, julgou parcialmente procedente a representação.</w:t>
      </w:r>
      <w:r w:rsidR="00BF602F">
        <w:rPr>
          <w:sz w:val="22"/>
          <w:szCs w:val="22"/>
          <w:lang w:eastAsia="pt-BR"/>
        </w:rPr>
        <w:t xml:space="preserve"> </w:t>
      </w:r>
      <w:hyperlink r:id="rId12" w:history="1">
        <w:r w:rsidR="00BF602F" w:rsidRPr="00BF602F">
          <w:rPr>
            <w:rStyle w:val="Hyperlink"/>
            <w:b/>
            <w:i/>
            <w:sz w:val="22"/>
            <w:szCs w:val="22"/>
            <w:lang w:eastAsia="pt-BR"/>
          </w:rPr>
          <w:t>Acórdão 5301/2013-Segunda Câmara</w:t>
        </w:r>
      </w:hyperlink>
      <w:r w:rsidRPr="00542E32">
        <w:rPr>
          <w:b/>
          <w:i/>
          <w:sz w:val="22"/>
          <w:szCs w:val="22"/>
          <w:lang w:eastAsia="pt-BR"/>
        </w:rPr>
        <w:t xml:space="preserve">, TC </w:t>
      </w:r>
      <w:r w:rsidRPr="00A4514F">
        <w:rPr>
          <w:b/>
          <w:i/>
          <w:sz w:val="22"/>
          <w:szCs w:val="22"/>
        </w:rPr>
        <w:t>009.965/2013-0</w:t>
      </w:r>
      <w:r w:rsidRPr="00A4514F">
        <w:rPr>
          <w:b/>
          <w:i/>
          <w:sz w:val="22"/>
          <w:szCs w:val="22"/>
          <w:lang w:eastAsia="pt-BR"/>
        </w:rPr>
        <w:t>, relator</w:t>
      </w:r>
      <w:r w:rsidRPr="00542E32">
        <w:rPr>
          <w:b/>
          <w:i/>
          <w:sz w:val="22"/>
          <w:szCs w:val="22"/>
          <w:lang w:eastAsia="pt-BR"/>
        </w:rPr>
        <w:t xml:space="preserve"> Ministro-Substituto André Luís de Carvalho, 3.9.2013.</w:t>
      </w:r>
    </w:p>
    <w:p w:rsidR="00BF602F" w:rsidRPr="00542E32" w:rsidRDefault="00BF602F" w:rsidP="006C30CF">
      <w:pPr>
        <w:spacing w:after="0"/>
        <w:ind w:left="0"/>
        <w:rPr>
          <w:sz w:val="22"/>
          <w:szCs w:val="22"/>
          <w:lang w:eastAsia="pt-BR"/>
        </w:rPr>
      </w:pPr>
    </w:p>
    <w:p w:rsidR="00DD4AE9" w:rsidRPr="00542E32" w:rsidRDefault="00DD4AE9" w:rsidP="00175500">
      <w:pPr>
        <w:spacing w:after="0"/>
        <w:ind w:left="0"/>
        <w:rPr>
          <w:sz w:val="22"/>
          <w:szCs w:val="22"/>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3" w:history="1">
              <w:r w:rsidRPr="009E1BEB">
                <w:rPr>
                  <w:rStyle w:val="Hyperlink"/>
                  <w:b/>
                  <w:i/>
                  <w:color w:val="auto"/>
                  <w:sz w:val="18"/>
                  <w:szCs w:val="18"/>
                </w:rPr>
                <w:t>infojuris@tcu.gov.br</w:t>
              </w:r>
            </w:hyperlink>
          </w:p>
        </w:tc>
      </w:tr>
    </w:tbl>
    <w:p w:rsidR="00F3058F" w:rsidRPr="00175500" w:rsidRDefault="00F3058F" w:rsidP="00925431">
      <w:pPr>
        <w:pStyle w:val="Ttulo8"/>
        <w:tabs>
          <w:tab w:val="right" w:pos="4423"/>
        </w:tabs>
        <w:spacing w:before="0" w:after="0"/>
        <w:ind w:left="0"/>
        <w:rPr>
          <w:b/>
          <w:sz w:val="22"/>
        </w:rPr>
      </w:pPr>
    </w:p>
    <w:sectPr w:rsidR="00F3058F" w:rsidRPr="00175500" w:rsidSect="00616945">
      <w:headerReference w:type="default" r:id="rId14"/>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0D" w:rsidRDefault="00E34A0D" w:rsidP="008B0547">
      <w:pPr>
        <w:spacing w:after="0"/>
      </w:pPr>
      <w:r>
        <w:separator/>
      </w:r>
    </w:p>
  </w:endnote>
  <w:endnote w:type="continuationSeparator" w:id="0">
    <w:p w:rsidR="00E34A0D" w:rsidRDefault="00E34A0D"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Pr="00C906CD" w:rsidRDefault="003D4AA0" w:rsidP="004E357A">
    <w:pPr>
      <w:pStyle w:val="Rodap"/>
      <w:jc w:val="right"/>
      <w:rPr>
        <w:sz w:val="20"/>
        <w:szCs w:val="20"/>
      </w:rPr>
    </w:pPr>
    <w:r w:rsidRPr="00C906CD">
      <w:rPr>
        <w:sz w:val="20"/>
        <w:szCs w:val="20"/>
      </w:rPr>
      <w:fldChar w:fldCharType="begin"/>
    </w:r>
    <w:r w:rsidR="0018763E" w:rsidRPr="00C906CD">
      <w:rPr>
        <w:sz w:val="20"/>
        <w:szCs w:val="20"/>
      </w:rPr>
      <w:instrText xml:space="preserve"> PAGE   \* MERGEFORMAT </w:instrText>
    </w:r>
    <w:r w:rsidRPr="00C906CD">
      <w:rPr>
        <w:sz w:val="20"/>
        <w:szCs w:val="20"/>
      </w:rPr>
      <w:fldChar w:fldCharType="separate"/>
    </w:r>
    <w:r w:rsidR="00B229C2">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0D" w:rsidRDefault="00E34A0D" w:rsidP="008B0547">
      <w:pPr>
        <w:spacing w:after="0"/>
      </w:pPr>
      <w:r>
        <w:separator/>
      </w:r>
    </w:p>
  </w:footnote>
  <w:footnote w:type="continuationSeparator" w:id="0">
    <w:p w:rsidR="00E34A0D" w:rsidRDefault="00E34A0D"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18763E">
    <w:pPr>
      <w:pStyle w:val="Cabealho"/>
    </w:pPr>
  </w:p>
  <w:p w:rsidR="0018763E" w:rsidRDefault="001876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D3084D" w:rsidP="009D05A4">
    <w:pPr>
      <w:pStyle w:val="Cabealho"/>
      <w:ind w:left="0"/>
    </w:pPr>
    <w:r w:rsidRPr="00DB7C03">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4">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8">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9">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5">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14"/>
    <w:lvlOverride w:ilvl="0">
      <w:startOverride w:val="1"/>
    </w:lvlOverride>
  </w:num>
  <w:num w:numId="4">
    <w:abstractNumId w:val="8"/>
  </w:num>
  <w:num w:numId="5">
    <w:abstractNumId w:val="5"/>
  </w:num>
  <w:num w:numId="6">
    <w:abstractNumId w:val="4"/>
  </w:num>
  <w:num w:numId="7">
    <w:abstractNumId w:val="7"/>
  </w:num>
  <w:num w:numId="8">
    <w:abstractNumId w:val="9"/>
  </w:num>
  <w:num w:numId="9">
    <w:abstractNumId w:val="2"/>
  </w:num>
  <w:num w:numId="10">
    <w:abstractNumId w:val="3"/>
  </w:num>
  <w:num w:numId="11">
    <w:abstractNumId w:val="10"/>
  </w:num>
  <w:num w:numId="12">
    <w:abstractNumId w:val="11"/>
  </w:num>
  <w:num w:numId="13">
    <w:abstractNumId w:val="13"/>
  </w:num>
  <w:num w:numId="14">
    <w:abstractNumId w:val="12"/>
  </w:num>
  <w:num w:numId="15">
    <w:abstractNumId w:val="15"/>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A8B"/>
    <w:rsid w:val="0000153E"/>
    <w:rsid w:val="00001878"/>
    <w:rsid w:val="00001B69"/>
    <w:rsid w:val="000021D2"/>
    <w:rsid w:val="000023EE"/>
    <w:rsid w:val="000028E3"/>
    <w:rsid w:val="00003CEA"/>
    <w:rsid w:val="00003D44"/>
    <w:rsid w:val="000042F4"/>
    <w:rsid w:val="00004614"/>
    <w:rsid w:val="00004C3B"/>
    <w:rsid w:val="00004C47"/>
    <w:rsid w:val="00004D04"/>
    <w:rsid w:val="00005142"/>
    <w:rsid w:val="00005435"/>
    <w:rsid w:val="0000560C"/>
    <w:rsid w:val="00005BA5"/>
    <w:rsid w:val="00005E1E"/>
    <w:rsid w:val="00005F57"/>
    <w:rsid w:val="0000636F"/>
    <w:rsid w:val="000069F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E81"/>
    <w:rsid w:val="000161F7"/>
    <w:rsid w:val="0001636D"/>
    <w:rsid w:val="0001643A"/>
    <w:rsid w:val="00016730"/>
    <w:rsid w:val="00016A5D"/>
    <w:rsid w:val="0001776E"/>
    <w:rsid w:val="000179E2"/>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53D1"/>
    <w:rsid w:val="00025450"/>
    <w:rsid w:val="00025753"/>
    <w:rsid w:val="00025A32"/>
    <w:rsid w:val="00025AA0"/>
    <w:rsid w:val="000262E8"/>
    <w:rsid w:val="0002663F"/>
    <w:rsid w:val="00026CE8"/>
    <w:rsid w:val="000271FA"/>
    <w:rsid w:val="0002751C"/>
    <w:rsid w:val="00027B2E"/>
    <w:rsid w:val="00027C86"/>
    <w:rsid w:val="000300A2"/>
    <w:rsid w:val="000304BD"/>
    <w:rsid w:val="00030EC2"/>
    <w:rsid w:val="0003113F"/>
    <w:rsid w:val="00031B9D"/>
    <w:rsid w:val="00032198"/>
    <w:rsid w:val="0003282A"/>
    <w:rsid w:val="00032CA1"/>
    <w:rsid w:val="00032CE9"/>
    <w:rsid w:val="00032D47"/>
    <w:rsid w:val="00033551"/>
    <w:rsid w:val="00033B3E"/>
    <w:rsid w:val="0003422F"/>
    <w:rsid w:val="00035593"/>
    <w:rsid w:val="00035A82"/>
    <w:rsid w:val="00035D4C"/>
    <w:rsid w:val="00035FBF"/>
    <w:rsid w:val="000360F1"/>
    <w:rsid w:val="00036F23"/>
    <w:rsid w:val="000371C1"/>
    <w:rsid w:val="00037DCE"/>
    <w:rsid w:val="00041337"/>
    <w:rsid w:val="00041450"/>
    <w:rsid w:val="000415DA"/>
    <w:rsid w:val="00042393"/>
    <w:rsid w:val="000431BD"/>
    <w:rsid w:val="000436B0"/>
    <w:rsid w:val="000438FC"/>
    <w:rsid w:val="00044536"/>
    <w:rsid w:val="00044732"/>
    <w:rsid w:val="000447EE"/>
    <w:rsid w:val="00044B21"/>
    <w:rsid w:val="00044F32"/>
    <w:rsid w:val="00045C61"/>
    <w:rsid w:val="00045FC1"/>
    <w:rsid w:val="000460E4"/>
    <w:rsid w:val="00046313"/>
    <w:rsid w:val="0004660A"/>
    <w:rsid w:val="00046CF7"/>
    <w:rsid w:val="00047011"/>
    <w:rsid w:val="0004791A"/>
    <w:rsid w:val="00047C67"/>
    <w:rsid w:val="00047E71"/>
    <w:rsid w:val="00050483"/>
    <w:rsid w:val="000505FB"/>
    <w:rsid w:val="00050BA0"/>
    <w:rsid w:val="0005133B"/>
    <w:rsid w:val="000513D0"/>
    <w:rsid w:val="00051AAB"/>
    <w:rsid w:val="00051D57"/>
    <w:rsid w:val="0005205F"/>
    <w:rsid w:val="00052B15"/>
    <w:rsid w:val="00052BCA"/>
    <w:rsid w:val="00052E07"/>
    <w:rsid w:val="00052FC7"/>
    <w:rsid w:val="0005356E"/>
    <w:rsid w:val="000536ED"/>
    <w:rsid w:val="00053BB0"/>
    <w:rsid w:val="000540FC"/>
    <w:rsid w:val="0005412B"/>
    <w:rsid w:val="0005426B"/>
    <w:rsid w:val="00054432"/>
    <w:rsid w:val="0005485B"/>
    <w:rsid w:val="00054C16"/>
    <w:rsid w:val="00054D93"/>
    <w:rsid w:val="00054FBE"/>
    <w:rsid w:val="00055143"/>
    <w:rsid w:val="00055A5C"/>
    <w:rsid w:val="00055D4F"/>
    <w:rsid w:val="000562CD"/>
    <w:rsid w:val="0005656B"/>
    <w:rsid w:val="00056A5A"/>
    <w:rsid w:val="00056A5F"/>
    <w:rsid w:val="00056D51"/>
    <w:rsid w:val="0005724A"/>
    <w:rsid w:val="0005737C"/>
    <w:rsid w:val="00057892"/>
    <w:rsid w:val="00057D5A"/>
    <w:rsid w:val="0006028E"/>
    <w:rsid w:val="000605A0"/>
    <w:rsid w:val="0006070E"/>
    <w:rsid w:val="00060728"/>
    <w:rsid w:val="00060856"/>
    <w:rsid w:val="00060CE3"/>
    <w:rsid w:val="00061A56"/>
    <w:rsid w:val="00061C2E"/>
    <w:rsid w:val="00061EF5"/>
    <w:rsid w:val="000622E0"/>
    <w:rsid w:val="000624FA"/>
    <w:rsid w:val="00062B46"/>
    <w:rsid w:val="00062D0E"/>
    <w:rsid w:val="00063C6E"/>
    <w:rsid w:val="000647B1"/>
    <w:rsid w:val="0006509C"/>
    <w:rsid w:val="0006592B"/>
    <w:rsid w:val="00065A49"/>
    <w:rsid w:val="00065A8B"/>
    <w:rsid w:val="00065B97"/>
    <w:rsid w:val="00065E95"/>
    <w:rsid w:val="00066126"/>
    <w:rsid w:val="00066E66"/>
    <w:rsid w:val="00066F26"/>
    <w:rsid w:val="0006707B"/>
    <w:rsid w:val="000675D5"/>
    <w:rsid w:val="00067E95"/>
    <w:rsid w:val="0007073D"/>
    <w:rsid w:val="00070785"/>
    <w:rsid w:val="0007120E"/>
    <w:rsid w:val="00071457"/>
    <w:rsid w:val="000717D9"/>
    <w:rsid w:val="000717EC"/>
    <w:rsid w:val="00071FB7"/>
    <w:rsid w:val="0007259B"/>
    <w:rsid w:val="0007275A"/>
    <w:rsid w:val="000727DB"/>
    <w:rsid w:val="00072916"/>
    <w:rsid w:val="00072F56"/>
    <w:rsid w:val="00073231"/>
    <w:rsid w:val="000735D1"/>
    <w:rsid w:val="00074384"/>
    <w:rsid w:val="00074AC5"/>
    <w:rsid w:val="000756E7"/>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1635"/>
    <w:rsid w:val="00081A4D"/>
    <w:rsid w:val="00081DD6"/>
    <w:rsid w:val="00081DFB"/>
    <w:rsid w:val="0008246E"/>
    <w:rsid w:val="000824AF"/>
    <w:rsid w:val="00083289"/>
    <w:rsid w:val="0008343E"/>
    <w:rsid w:val="00083514"/>
    <w:rsid w:val="000835D8"/>
    <w:rsid w:val="0008397F"/>
    <w:rsid w:val="00084282"/>
    <w:rsid w:val="00084727"/>
    <w:rsid w:val="00084A99"/>
    <w:rsid w:val="000858BB"/>
    <w:rsid w:val="000858EF"/>
    <w:rsid w:val="00086210"/>
    <w:rsid w:val="00086489"/>
    <w:rsid w:val="000867E7"/>
    <w:rsid w:val="00086836"/>
    <w:rsid w:val="00086943"/>
    <w:rsid w:val="00086A39"/>
    <w:rsid w:val="00086BAA"/>
    <w:rsid w:val="00087006"/>
    <w:rsid w:val="00087431"/>
    <w:rsid w:val="00087894"/>
    <w:rsid w:val="00087C6C"/>
    <w:rsid w:val="00090377"/>
    <w:rsid w:val="0009058C"/>
    <w:rsid w:val="00090B8F"/>
    <w:rsid w:val="00090C97"/>
    <w:rsid w:val="00090D8A"/>
    <w:rsid w:val="00090E2E"/>
    <w:rsid w:val="0009133A"/>
    <w:rsid w:val="000916AF"/>
    <w:rsid w:val="000919D7"/>
    <w:rsid w:val="00091F93"/>
    <w:rsid w:val="000923FB"/>
    <w:rsid w:val="000929ED"/>
    <w:rsid w:val="00092C2E"/>
    <w:rsid w:val="00092E24"/>
    <w:rsid w:val="00093088"/>
    <w:rsid w:val="000937B7"/>
    <w:rsid w:val="00093937"/>
    <w:rsid w:val="000940A9"/>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BDB"/>
    <w:rsid w:val="00096C1B"/>
    <w:rsid w:val="000971B8"/>
    <w:rsid w:val="0009748C"/>
    <w:rsid w:val="00097614"/>
    <w:rsid w:val="0009780B"/>
    <w:rsid w:val="00097863"/>
    <w:rsid w:val="00097ABD"/>
    <w:rsid w:val="00097BF6"/>
    <w:rsid w:val="00097DEB"/>
    <w:rsid w:val="00097FC4"/>
    <w:rsid w:val="000A0291"/>
    <w:rsid w:val="000A0EF8"/>
    <w:rsid w:val="000A152A"/>
    <w:rsid w:val="000A1EBD"/>
    <w:rsid w:val="000A246C"/>
    <w:rsid w:val="000A261A"/>
    <w:rsid w:val="000A2C56"/>
    <w:rsid w:val="000A37A7"/>
    <w:rsid w:val="000A402F"/>
    <w:rsid w:val="000A4632"/>
    <w:rsid w:val="000A47EA"/>
    <w:rsid w:val="000A4E36"/>
    <w:rsid w:val="000A504A"/>
    <w:rsid w:val="000A57DA"/>
    <w:rsid w:val="000A599E"/>
    <w:rsid w:val="000A6269"/>
    <w:rsid w:val="000A62BD"/>
    <w:rsid w:val="000A6645"/>
    <w:rsid w:val="000A6CDC"/>
    <w:rsid w:val="000A75EF"/>
    <w:rsid w:val="000A77BB"/>
    <w:rsid w:val="000A78E5"/>
    <w:rsid w:val="000B0ECB"/>
    <w:rsid w:val="000B0FEA"/>
    <w:rsid w:val="000B1052"/>
    <w:rsid w:val="000B1627"/>
    <w:rsid w:val="000B1A59"/>
    <w:rsid w:val="000B1B9E"/>
    <w:rsid w:val="000B2AFA"/>
    <w:rsid w:val="000B3015"/>
    <w:rsid w:val="000B3444"/>
    <w:rsid w:val="000B395E"/>
    <w:rsid w:val="000B3C52"/>
    <w:rsid w:val="000B4439"/>
    <w:rsid w:val="000B4534"/>
    <w:rsid w:val="000B4AF2"/>
    <w:rsid w:val="000B4B33"/>
    <w:rsid w:val="000B4C5B"/>
    <w:rsid w:val="000B4EBB"/>
    <w:rsid w:val="000B5A1A"/>
    <w:rsid w:val="000B5DB2"/>
    <w:rsid w:val="000B5DD4"/>
    <w:rsid w:val="000B639F"/>
    <w:rsid w:val="000B6475"/>
    <w:rsid w:val="000B6BC1"/>
    <w:rsid w:val="000B706C"/>
    <w:rsid w:val="000B759E"/>
    <w:rsid w:val="000B775A"/>
    <w:rsid w:val="000B79DD"/>
    <w:rsid w:val="000C0013"/>
    <w:rsid w:val="000C02AD"/>
    <w:rsid w:val="000C049A"/>
    <w:rsid w:val="000C0AA8"/>
    <w:rsid w:val="000C0D07"/>
    <w:rsid w:val="000C1585"/>
    <w:rsid w:val="000C1A3E"/>
    <w:rsid w:val="000C1AFC"/>
    <w:rsid w:val="000C22BE"/>
    <w:rsid w:val="000C22C0"/>
    <w:rsid w:val="000C28CC"/>
    <w:rsid w:val="000C2CBC"/>
    <w:rsid w:val="000C3BD5"/>
    <w:rsid w:val="000C3DAB"/>
    <w:rsid w:val="000C42A5"/>
    <w:rsid w:val="000C4611"/>
    <w:rsid w:val="000C4A10"/>
    <w:rsid w:val="000C4AC9"/>
    <w:rsid w:val="000C4BA1"/>
    <w:rsid w:val="000C5199"/>
    <w:rsid w:val="000C51DE"/>
    <w:rsid w:val="000C5799"/>
    <w:rsid w:val="000C5FDE"/>
    <w:rsid w:val="000C61FA"/>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CBD"/>
    <w:rsid w:val="000D359B"/>
    <w:rsid w:val="000D37B0"/>
    <w:rsid w:val="000D3E44"/>
    <w:rsid w:val="000D52D9"/>
    <w:rsid w:val="000D6373"/>
    <w:rsid w:val="000D6388"/>
    <w:rsid w:val="000D6418"/>
    <w:rsid w:val="000D6479"/>
    <w:rsid w:val="000D6839"/>
    <w:rsid w:val="000D6906"/>
    <w:rsid w:val="000D6C9E"/>
    <w:rsid w:val="000D7BA8"/>
    <w:rsid w:val="000D7DB6"/>
    <w:rsid w:val="000D7DD6"/>
    <w:rsid w:val="000D7DED"/>
    <w:rsid w:val="000E020F"/>
    <w:rsid w:val="000E10DB"/>
    <w:rsid w:val="000E12F7"/>
    <w:rsid w:val="000E1A4B"/>
    <w:rsid w:val="000E1D37"/>
    <w:rsid w:val="000E23D2"/>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5B4"/>
    <w:rsid w:val="000E69A6"/>
    <w:rsid w:val="000E6B37"/>
    <w:rsid w:val="000E730B"/>
    <w:rsid w:val="000E78A6"/>
    <w:rsid w:val="000E7FD4"/>
    <w:rsid w:val="000F05AC"/>
    <w:rsid w:val="000F0A64"/>
    <w:rsid w:val="000F13F3"/>
    <w:rsid w:val="000F1450"/>
    <w:rsid w:val="000F1786"/>
    <w:rsid w:val="000F2133"/>
    <w:rsid w:val="000F28B2"/>
    <w:rsid w:val="000F28E9"/>
    <w:rsid w:val="000F2975"/>
    <w:rsid w:val="000F2D05"/>
    <w:rsid w:val="000F2D48"/>
    <w:rsid w:val="000F2F92"/>
    <w:rsid w:val="000F2FD9"/>
    <w:rsid w:val="000F3282"/>
    <w:rsid w:val="000F33B5"/>
    <w:rsid w:val="000F3E8F"/>
    <w:rsid w:val="000F47C1"/>
    <w:rsid w:val="000F48B1"/>
    <w:rsid w:val="000F495D"/>
    <w:rsid w:val="000F4B18"/>
    <w:rsid w:val="000F4B82"/>
    <w:rsid w:val="000F4CC1"/>
    <w:rsid w:val="000F5135"/>
    <w:rsid w:val="000F6986"/>
    <w:rsid w:val="000F69B8"/>
    <w:rsid w:val="000F6A43"/>
    <w:rsid w:val="000F6A5D"/>
    <w:rsid w:val="000F6D85"/>
    <w:rsid w:val="000F73F1"/>
    <w:rsid w:val="000F7B66"/>
    <w:rsid w:val="000F7CEE"/>
    <w:rsid w:val="000F7D84"/>
    <w:rsid w:val="001001F4"/>
    <w:rsid w:val="001005A8"/>
    <w:rsid w:val="00101707"/>
    <w:rsid w:val="00101EE1"/>
    <w:rsid w:val="00101F01"/>
    <w:rsid w:val="00102031"/>
    <w:rsid w:val="00102D37"/>
    <w:rsid w:val="00102DC0"/>
    <w:rsid w:val="00103A3E"/>
    <w:rsid w:val="00103C24"/>
    <w:rsid w:val="00103E5B"/>
    <w:rsid w:val="001041ED"/>
    <w:rsid w:val="001043C0"/>
    <w:rsid w:val="00104AAD"/>
    <w:rsid w:val="00104C71"/>
    <w:rsid w:val="001064E1"/>
    <w:rsid w:val="001071C7"/>
    <w:rsid w:val="001072E1"/>
    <w:rsid w:val="00107486"/>
    <w:rsid w:val="00107AC8"/>
    <w:rsid w:val="0011038F"/>
    <w:rsid w:val="0011039E"/>
    <w:rsid w:val="001104BA"/>
    <w:rsid w:val="00111441"/>
    <w:rsid w:val="00111A2A"/>
    <w:rsid w:val="00111A71"/>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48D"/>
    <w:rsid w:val="001174F7"/>
    <w:rsid w:val="00117A9F"/>
    <w:rsid w:val="00117E95"/>
    <w:rsid w:val="001203BE"/>
    <w:rsid w:val="00121290"/>
    <w:rsid w:val="001212BD"/>
    <w:rsid w:val="00121782"/>
    <w:rsid w:val="001217A0"/>
    <w:rsid w:val="00121BE3"/>
    <w:rsid w:val="00121EDA"/>
    <w:rsid w:val="00122950"/>
    <w:rsid w:val="00122F63"/>
    <w:rsid w:val="00123E4E"/>
    <w:rsid w:val="00123E5C"/>
    <w:rsid w:val="00123E6B"/>
    <w:rsid w:val="00125476"/>
    <w:rsid w:val="00125B0B"/>
    <w:rsid w:val="00125F9A"/>
    <w:rsid w:val="00126026"/>
    <w:rsid w:val="001260FC"/>
    <w:rsid w:val="00126198"/>
    <w:rsid w:val="001263AF"/>
    <w:rsid w:val="0012665C"/>
    <w:rsid w:val="0012676F"/>
    <w:rsid w:val="00126A9F"/>
    <w:rsid w:val="00126AB1"/>
    <w:rsid w:val="001278E8"/>
    <w:rsid w:val="00127C1D"/>
    <w:rsid w:val="00130032"/>
    <w:rsid w:val="00130752"/>
    <w:rsid w:val="00130A0C"/>
    <w:rsid w:val="00130B06"/>
    <w:rsid w:val="00130EF3"/>
    <w:rsid w:val="001316FC"/>
    <w:rsid w:val="00131767"/>
    <w:rsid w:val="00132D82"/>
    <w:rsid w:val="00132E48"/>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735A"/>
    <w:rsid w:val="001374E3"/>
    <w:rsid w:val="001378A3"/>
    <w:rsid w:val="00137908"/>
    <w:rsid w:val="00137A34"/>
    <w:rsid w:val="00137B22"/>
    <w:rsid w:val="00137FE3"/>
    <w:rsid w:val="00140984"/>
    <w:rsid w:val="00140C58"/>
    <w:rsid w:val="00140FED"/>
    <w:rsid w:val="00141D7A"/>
    <w:rsid w:val="00141DE9"/>
    <w:rsid w:val="001420D1"/>
    <w:rsid w:val="001420FE"/>
    <w:rsid w:val="00142621"/>
    <w:rsid w:val="0014299D"/>
    <w:rsid w:val="00142A39"/>
    <w:rsid w:val="00142C16"/>
    <w:rsid w:val="001430DC"/>
    <w:rsid w:val="001438E6"/>
    <w:rsid w:val="001441C9"/>
    <w:rsid w:val="001444A2"/>
    <w:rsid w:val="00144987"/>
    <w:rsid w:val="00144EBC"/>
    <w:rsid w:val="00145B06"/>
    <w:rsid w:val="00145B71"/>
    <w:rsid w:val="00146C4A"/>
    <w:rsid w:val="00146F56"/>
    <w:rsid w:val="00147AE1"/>
    <w:rsid w:val="001504AD"/>
    <w:rsid w:val="0015086F"/>
    <w:rsid w:val="00150CBB"/>
    <w:rsid w:val="00151660"/>
    <w:rsid w:val="00151F92"/>
    <w:rsid w:val="0015258E"/>
    <w:rsid w:val="001529CF"/>
    <w:rsid w:val="00152ECC"/>
    <w:rsid w:val="00152F0D"/>
    <w:rsid w:val="001530A6"/>
    <w:rsid w:val="00153276"/>
    <w:rsid w:val="001532E4"/>
    <w:rsid w:val="001534C8"/>
    <w:rsid w:val="00154349"/>
    <w:rsid w:val="001547F6"/>
    <w:rsid w:val="00154C79"/>
    <w:rsid w:val="00154DF8"/>
    <w:rsid w:val="00155D65"/>
    <w:rsid w:val="0015648A"/>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C0"/>
    <w:rsid w:val="001614AF"/>
    <w:rsid w:val="0016160E"/>
    <w:rsid w:val="001616F8"/>
    <w:rsid w:val="00161AFB"/>
    <w:rsid w:val="00161E4F"/>
    <w:rsid w:val="001623BD"/>
    <w:rsid w:val="001634AE"/>
    <w:rsid w:val="0016352E"/>
    <w:rsid w:val="00164355"/>
    <w:rsid w:val="00164DAA"/>
    <w:rsid w:val="0016510E"/>
    <w:rsid w:val="0016572F"/>
    <w:rsid w:val="001658D6"/>
    <w:rsid w:val="001665B9"/>
    <w:rsid w:val="001667C0"/>
    <w:rsid w:val="00166B40"/>
    <w:rsid w:val="00166C60"/>
    <w:rsid w:val="00167274"/>
    <w:rsid w:val="00167F39"/>
    <w:rsid w:val="00170A9D"/>
    <w:rsid w:val="0017110F"/>
    <w:rsid w:val="00171DD5"/>
    <w:rsid w:val="00171E89"/>
    <w:rsid w:val="0017217D"/>
    <w:rsid w:val="00173174"/>
    <w:rsid w:val="001737F7"/>
    <w:rsid w:val="00173E98"/>
    <w:rsid w:val="001744B4"/>
    <w:rsid w:val="001744E7"/>
    <w:rsid w:val="00174554"/>
    <w:rsid w:val="0017459B"/>
    <w:rsid w:val="00174651"/>
    <w:rsid w:val="001747AF"/>
    <w:rsid w:val="00174C1E"/>
    <w:rsid w:val="00174E4D"/>
    <w:rsid w:val="00175500"/>
    <w:rsid w:val="00175B3C"/>
    <w:rsid w:val="00176024"/>
    <w:rsid w:val="00176287"/>
    <w:rsid w:val="00176375"/>
    <w:rsid w:val="001766A9"/>
    <w:rsid w:val="001777EF"/>
    <w:rsid w:val="0018021C"/>
    <w:rsid w:val="00180774"/>
    <w:rsid w:val="00180EAA"/>
    <w:rsid w:val="00181005"/>
    <w:rsid w:val="0018106F"/>
    <w:rsid w:val="00181339"/>
    <w:rsid w:val="00181596"/>
    <w:rsid w:val="00181680"/>
    <w:rsid w:val="00181817"/>
    <w:rsid w:val="00181848"/>
    <w:rsid w:val="00181DF3"/>
    <w:rsid w:val="001829A6"/>
    <w:rsid w:val="00183A7D"/>
    <w:rsid w:val="00183DA4"/>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FE2"/>
    <w:rsid w:val="001912D8"/>
    <w:rsid w:val="00191554"/>
    <w:rsid w:val="00191CF7"/>
    <w:rsid w:val="00191FCE"/>
    <w:rsid w:val="00192052"/>
    <w:rsid w:val="00192483"/>
    <w:rsid w:val="0019284D"/>
    <w:rsid w:val="00192929"/>
    <w:rsid w:val="00192DC1"/>
    <w:rsid w:val="00194053"/>
    <w:rsid w:val="001943EB"/>
    <w:rsid w:val="00194BE9"/>
    <w:rsid w:val="00194C5E"/>
    <w:rsid w:val="00194CA4"/>
    <w:rsid w:val="00194EDA"/>
    <w:rsid w:val="00195023"/>
    <w:rsid w:val="001951C9"/>
    <w:rsid w:val="001956E2"/>
    <w:rsid w:val="00195F77"/>
    <w:rsid w:val="00196098"/>
    <w:rsid w:val="00196898"/>
    <w:rsid w:val="00196E11"/>
    <w:rsid w:val="0019736D"/>
    <w:rsid w:val="001977ED"/>
    <w:rsid w:val="00197C2F"/>
    <w:rsid w:val="001A052D"/>
    <w:rsid w:val="001A0725"/>
    <w:rsid w:val="001A0B42"/>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4287"/>
    <w:rsid w:val="001A430F"/>
    <w:rsid w:val="001A4C6F"/>
    <w:rsid w:val="001A56C7"/>
    <w:rsid w:val="001A58D8"/>
    <w:rsid w:val="001A5C45"/>
    <w:rsid w:val="001A60A2"/>
    <w:rsid w:val="001A6C2E"/>
    <w:rsid w:val="001A6F68"/>
    <w:rsid w:val="001A727F"/>
    <w:rsid w:val="001A75FE"/>
    <w:rsid w:val="001A79D3"/>
    <w:rsid w:val="001A7BF5"/>
    <w:rsid w:val="001A7FC7"/>
    <w:rsid w:val="001B08E7"/>
    <w:rsid w:val="001B0C66"/>
    <w:rsid w:val="001B1669"/>
    <w:rsid w:val="001B19FF"/>
    <w:rsid w:val="001B2580"/>
    <w:rsid w:val="001B2809"/>
    <w:rsid w:val="001B2931"/>
    <w:rsid w:val="001B2A46"/>
    <w:rsid w:val="001B3729"/>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852"/>
    <w:rsid w:val="001C2950"/>
    <w:rsid w:val="001C2CD1"/>
    <w:rsid w:val="001C3CF9"/>
    <w:rsid w:val="001C412B"/>
    <w:rsid w:val="001C423E"/>
    <w:rsid w:val="001C437E"/>
    <w:rsid w:val="001C4F39"/>
    <w:rsid w:val="001C4FE9"/>
    <w:rsid w:val="001C51E4"/>
    <w:rsid w:val="001C536B"/>
    <w:rsid w:val="001C5777"/>
    <w:rsid w:val="001C5B47"/>
    <w:rsid w:val="001C5C51"/>
    <w:rsid w:val="001C5CDF"/>
    <w:rsid w:val="001C6395"/>
    <w:rsid w:val="001C641C"/>
    <w:rsid w:val="001C6A2C"/>
    <w:rsid w:val="001C6D43"/>
    <w:rsid w:val="001C6E55"/>
    <w:rsid w:val="001C71E3"/>
    <w:rsid w:val="001C729A"/>
    <w:rsid w:val="001C72D6"/>
    <w:rsid w:val="001C7892"/>
    <w:rsid w:val="001C7BF3"/>
    <w:rsid w:val="001C7DC4"/>
    <w:rsid w:val="001C7FD4"/>
    <w:rsid w:val="001D0208"/>
    <w:rsid w:val="001D03C7"/>
    <w:rsid w:val="001D0FAF"/>
    <w:rsid w:val="001D1478"/>
    <w:rsid w:val="001D1E52"/>
    <w:rsid w:val="001D1ECA"/>
    <w:rsid w:val="001D2746"/>
    <w:rsid w:val="001D2BC5"/>
    <w:rsid w:val="001D34EB"/>
    <w:rsid w:val="001D35B4"/>
    <w:rsid w:val="001D4515"/>
    <w:rsid w:val="001D4A98"/>
    <w:rsid w:val="001D5190"/>
    <w:rsid w:val="001D5339"/>
    <w:rsid w:val="001D559E"/>
    <w:rsid w:val="001D56C3"/>
    <w:rsid w:val="001D5F66"/>
    <w:rsid w:val="001D5FB0"/>
    <w:rsid w:val="001D6198"/>
    <w:rsid w:val="001D670F"/>
    <w:rsid w:val="001D6B86"/>
    <w:rsid w:val="001D6E5D"/>
    <w:rsid w:val="001D73B6"/>
    <w:rsid w:val="001D74CE"/>
    <w:rsid w:val="001D7622"/>
    <w:rsid w:val="001D76EB"/>
    <w:rsid w:val="001D78F3"/>
    <w:rsid w:val="001D79D0"/>
    <w:rsid w:val="001D7AC7"/>
    <w:rsid w:val="001E0BF1"/>
    <w:rsid w:val="001E1E28"/>
    <w:rsid w:val="001E2620"/>
    <w:rsid w:val="001E2B28"/>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7D"/>
    <w:rsid w:val="001E76DA"/>
    <w:rsid w:val="001E7C3D"/>
    <w:rsid w:val="001E7F81"/>
    <w:rsid w:val="001F00DF"/>
    <w:rsid w:val="001F01E5"/>
    <w:rsid w:val="001F02E1"/>
    <w:rsid w:val="001F0951"/>
    <w:rsid w:val="001F1223"/>
    <w:rsid w:val="001F182A"/>
    <w:rsid w:val="001F1E8F"/>
    <w:rsid w:val="001F1FE2"/>
    <w:rsid w:val="001F2327"/>
    <w:rsid w:val="001F2B05"/>
    <w:rsid w:val="001F348E"/>
    <w:rsid w:val="001F4DA1"/>
    <w:rsid w:val="001F5268"/>
    <w:rsid w:val="001F553C"/>
    <w:rsid w:val="001F5E50"/>
    <w:rsid w:val="001F5EB4"/>
    <w:rsid w:val="001F6448"/>
    <w:rsid w:val="001F64D1"/>
    <w:rsid w:val="001F6BB0"/>
    <w:rsid w:val="001F6D5B"/>
    <w:rsid w:val="001F6FDB"/>
    <w:rsid w:val="001F7B59"/>
    <w:rsid w:val="00200260"/>
    <w:rsid w:val="002002CE"/>
    <w:rsid w:val="0020066F"/>
    <w:rsid w:val="0020107A"/>
    <w:rsid w:val="002011BD"/>
    <w:rsid w:val="0020135D"/>
    <w:rsid w:val="00201BA3"/>
    <w:rsid w:val="00201D77"/>
    <w:rsid w:val="00201FED"/>
    <w:rsid w:val="00202061"/>
    <w:rsid w:val="00202EAD"/>
    <w:rsid w:val="0020328F"/>
    <w:rsid w:val="00203A6F"/>
    <w:rsid w:val="00203D3B"/>
    <w:rsid w:val="00204511"/>
    <w:rsid w:val="002046F3"/>
    <w:rsid w:val="00204DE0"/>
    <w:rsid w:val="002056E7"/>
    <w:rsid w:val="0020621C"/>
    <w:rsid w:val="00206C2E"/>
    <w:rsid w:val="00206CDA"/>
    <w:rsid w:val="0020734D"/>
    <w:rsid w:val="00207BF8"/>
    <w:rsid w:val="00210018"/>
    <w:rsid w:val="0021001C"/>
    <w:rsid w:val="00211194"/>
    <w:rsid w:val="0021149E"/>
    <w:rsid w:val="00211816"/>
    <w:rsid w:val="00211C55"/>
    <w:rsid w:val="00212A4A"/>
    <w:rsid w:val="00212BA4"/>
    <w:rsid w:val="00212BDC"/>
    <w:rsid w:val="00212E42"/>
    <w:rsid w:val="0021340B"/>
    <w:rsid w:val="002139A2"/>
    <w:rsid w:val="00213B3D"/>
    <w:rsid w:val="00214569"/>
    <w:rsid w:val="00215156"/>
    <w:rsid w:val="0021517D"/>
    <w:rsid w:val="002157BF"/>
    <w:rsid w:val="00216157"/>
    <w:rsid w:val="00217566"/>
    <w:rsid w:val="00217B1B"/>
    <w:rsid w:val="002204A9"/>
    <w:rsid w:val="00220D43"/>
    <w:rsid w:val="00220D69"/>
    <w:rsid w:val="002210F5"/>
    <w:rsid w:val="0022160D"/>
    <w:rsid w:val="00221B97"/>
    <w:rsid w:val="00221C99"/>
    <w:rsid w:val="00221D51"/>
    <w:rsid w:val="00222123"/>
    <w:rsid w:val="0022213A"/>
    <w:rsid w:val="002222A1"/>
    <w:rsid w:val="00222CF1"/>
    <w:rsid w:val="002236FC"/>
    <w:rsid w:val="00223BB9"/>
    <w:rsid w:val="00223C6C"/>
    <w:rsid w:val="00224EA9"/>
    <w:rsid w:val="00224F04"/>
    <w:rsid w:val="00225155"/>
    <w:rsid w:val="0022552E"/>
    <w:rsid w:val="002255BA"/>
    <w:rsid w:val="00225D42"/>
    <w:rsid w:val="00226AEF"/>
    <w:rsid w:val="00226D9D"/>
    <w:rsid w:val="00227776"/>
    <w:rsid w:val="00230096"/>
    <w:rsid w:val="002304EE"/>
    <w:rsid w:val="002308C7"/>
    <w:rsid w:val="00230CAD"/>
    <w:rsid w:val="00232158"/>
    <w:rsid w:val="0023253B"/>
    <w:rsid w:val="0023279B"/>
    <w:rsid w:val="002328F9"/>
    <w:rsid w:val="0023395B"/>
    <w:rsid w:val="00233CE3"/>
    <w:rsid w:val="00234285"/>
    <w:rsid w:val="002343BF"/>
    <w:rsid w:val="002344C1"/>
    <w:rsid w:val="00234556"/>
    <w:rsid w:val="00234634"/>
    <w:rsid w:val="0023535A"/>
    <w:rsid w:val="0023535F"/>
    <w:rsid w:val="002353E9"/>
    <w:rsid w:val="00235738"/>
    <w:rsid w:val="00235B29"/>
    <w:rsid w:val="00235D4C"/>
    <w:rsid w:val="002364A9"/>
    <w:rsid w:val="002366B7"/>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FC"/>
    <w:rsid w:val="00243797"/>
    <w:rsid w:val="002442D9"/>
    <w:rsid w:val="00244A11"/>
    <w:rsid w:val="00244BA7"/>
    <w:rsid w:val="00244CA2"/>
    <w:rsid w:val="0024506F"/>
    <w:rsid w:val="00245351"/>
    <w:rsid w:val="00245432"/>
    <w:rsid w:val="0024593F"/>
    <w:rsid w:val="00245B87"/>
    <w:rsid w:val="00245CC7"/>
    <w:rsid w:val="00246827"/>
    <w:rsid w:val="00246897"/>
    <w:rsid w:val="002468A3"/>
    <w:rsid w:val="00246C03"/>
    <w:rsid w:val="002476B6"/>
    <w:rsid w:val="00247E76"/>
    <w:rsid w:val="00247E8F"/>
    <w:rsid w:val="00250146"/>
    <w:rsid w:val="00250C0E"/>
    <w:rsid w:val="002510D5"/>
    <w:rsid w:val="00251572"/>
    <w:rsid w:val="0025173D"/>
    <w:rsid w:val="002523CF"/>
    <w:rsid w:val="0025280C"/>
    <w:rsid w:val="00252907"/>
    <w:rsid w:val="00252BB0"/>
    <w:rsid w:val="00253242"/>
    <w:rsid w:val="002537C5"/>
    <w:rsid w:val="00253A05"/>
    <w:rsid w:val="00253D3A"/>
    <w:rsid w:val="00254590"/>
    <w:rsid w:val="002549FC"/>
    <w:rsid w:val="00254B75"/>
    <w:rsid w:val="00254B8C"/>
    <w:rsid w:val="002551C8"/>
    <w:rsid w:val="0025529E"/>
    <w:rsid w:val="002556B1"/>
    <w:rsid w:val="00255B58"/>
    <w:rsid w:val="00255CF8"/>
    <w:rsid w:val="00255E00"/>
    <w:rsid w:val="00256044"/>
    <w:rsid w:val="0025663C"/>
    <w:rsid w:val="00256A50"/>
    <w:rsid w:val="00256D8B"/>
    <w:rsid w:val="00256FE1"/>
    <w:rsid w:val="00257178"/>
    <w:rsid w:val="00257B6B"/>
    <w:rsid w:val="00257D8A"/>
    <w:rsid w:val="00257F42"/>
    <w:rsid w:val="00257F96"/>
    <w:rsid w:val="0026064B"/>
    <w:rsid w:val="00260A2D"/>
    <w:rsid w:val="00260B38"/>
    <w:rsid w:val="002612B0"/>
    <w:rsid w:val="00261488"/>
    <w:rsid w:val="0026195C"/>
    <w:rsid w:val="00261BAD"/>
    <w:rsid w:val="00261DAC"/>
    <w:rsid w:val="002621B8"/>
    <w:rsid w:val="002621BD"/>
    <w:rsid w:val="0026222C"/>
    <w:rsid w:val="00262359"/>
    <w:rsid w:val="00262490"/>
    <w:rsid w:val="0026283B"/>
    <w:rsid w:val="00262969"/>
    <w:rsid w:val="002633D9"/>
    <w:rsid w:val="0026340E"/>
    <w:rsid w:val="0026362E"/>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EAC"/>
    <w:rsid w:val="00271A81"/>
    <w:rsid w:val="00271CD7"/>
    <w:rsid w:val="00271CF2"/>
    <w:rsid w:val="00271D81"/>
    <w:rsid w:val="0027213F"/>
    <w:rsid w:val="002722BD"/>
    <w:rsid w:val="0027267D"/>
    <w:rsid w:val="002727E6"/>
    <w:rsid w:val="00272D1C"/>
    <w:rsid w:val="00273058"/>
    <w:rsid w:val="002731B9"/>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A63"/>
    <w:rsid w:val="00277BC9"/>
    <w:rsid w:val="00277D5C"/>
    <w:rsid w:val="00277F47"/>
    <w:rsid w:val="00280026"/>
    <w:rsid w:val="0028064F"/>
    <w:rsid w:val="00280F3D"/>
    <w:rsid w:val="002810D9"/>
    <w:rsid w:val="002814EE"/>
    <w:rsid w:val="00281830"/>
    <w:rsid w:val="0028195E"/>
    <w:rsid w:val="00281B57"/>
    <w:rsid w:val="00281D9E"/>
    <w:rsid w:val="00282593"/>
    <w:rsid w:val="002830F6"/>
    <w:rsid w:val="002836D4"/>
    <w:rsid w:val="002836ED"/>
    <w:rsid w:val="00283DD1"/>
    <w:rsid w:val="00283F64"/>
    <w:rsid w:val="00284442"/>
    <w:rsid w:val="00284CE8"/>
    <w:rsid w:val="00285482"/>
    <w:rsid w:val="00285886"/>
    <w:rsid w:val="00285A5E"/>
    <w:rsid w:val="00285F7B"/>
    <w:rsid w:val="002862A3"/>
    <w:rsid w:val="002864F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66"/>
    <w:rsid w:val="0029450E"/>
    <w:rsid w:val="00294B1A"/>
    <w:rsid w:val="00294C0F"/>
    <w:rsid w:val="00294F77"/>
    <w:rsid w:val="0029551E"/>
    <w:rsid w:val="00295922"/>
    <w:rsid w:val="002962CB"/>
    <w:rsid w:val="0029691D"/>
    <w:rsid w:val="002977B4"/>
    <w:rsid w:val="00297A00"/>
    <w:rsid w:val="00297BFE"/>
    <w:rsid w:val="00297F8C"/>
    <w:rsid w:val="002A0113"/>
    <w:rsid w:val="002A03ED"/>
    <w:rsid w:val="002A040F"/>
    <w:rsid w:val="002A0BC9"/>
    <w:rsid w:val="002A190F"/>
    <w:rsid w:val="002A1B25"/>
    <w:rsid w:val="002A1B2A"/>
    <w:rsid w:val="002A2129"/>
    <w:rsid w:val="002A2FA2"/>
    <w:rsid w:val="002A3215"/>
    <w:rsid w:val="002A33F4"/>
    <w:rsid w:val="002A3796"/>
    <w:rsid w:val="002A38CF"/>
    <w:rsid w:val="002A3B3F"/>
    <w:rsid w:val="002A46F7"/>
    <w:rsid w:val="002A4859"/>
    <w:rsid w:val="002A4F74"/>
    <w:rsid w:val="002A538D"/>
    <w:rsid w:val="002A5A02"/>
    <w:rsid w:val="002A5F01"/>
    <w:rsid w:val="002A5FBE"/>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DD"/>
    <w:rsid w:val="002B3968"/>
    <w:rsid w:val="002B4001"/>
    <w:rsid w:val="002B409B"/>
    <w:rsid w:val="002B40EA"/>
    <w:rsid w:val="002B4392"/>
    <w:rsid w:val="002B4A50"/>
    <w:rsid w:val="002B5562"/>
    <w:rsid w:val="002B56C3"/>
    <w:rsid w:val="002B595B"/>
    <w:rsid w:val="002B5AD5"/>
    <w:rsid w:val="002B5C5A"/>
    <w:rsid w:val="002B6038"/>
    <w:rsid w:val="002B61FF"/>
    <w:rsid w:val="002B6422"/>
    <w:rsid w:val="002B6ABA"/>
    <w:rsid w:val="002B71BA"/>
    <w:rsid w:val="002B742B"/>
    <w:rsid w:val="002B782F"/>
    <w:rsid w:val="002B7843"/>
    <w:rsid w:val="002B7B4D"/>
    <w:rsid w:val="002C0291"/>
    <w:rsid w:val="002C0625"/>
    <w:rsid w:val="002C0678"/>
    <w:rsid w:val="002C1252"/>
    <w:rsid w:val="002C15D5"/>
    <w:rsid w:val="002C171E"/>
    <w:rsid w:val="002C182C"/>
    <w:rsid w:val="002C208E"/>
    <w:rsid w:val="002C2F67"/>
    <w:rsid w:val="002C3355"/>
    <w:rsid w:val="002C34A6"/>
    <w:rsid w:val="002C3609"/>
    <w:rsid w:val="002C3A60"/>
    <w:rsid w:val="002C3C63"/>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C7C42"/>
    <w:rsid w:val="002D00FA"/>
    <w:rsid w:val="002D049F"/>
    <w:rsid w:val="002D0987"/>
    <w:rsid w:val="002D0B7C"/>
    <w:rsid w:val="002D0D1A"/>
    <w:rsid w:val="002D0E54"/>
    <w:rsid w:val="002D155C"/>
    <w:rsid w:val="002D1637"/>
    <w:rsid w:val="002D1688"/>
    <w:rsid w:val="002D16B8"/>
    <w:rsid w:val="002D1819"/>
    <w:rsid w:val="002D1B69"/>
    <w:rsid w:val="002D1BA5"/>
    <w:rsid w:val="002D1C46"/>
    <w:rsid w:val="002D26EC"/>
    <w:rsid w:val="002D2BF5"/>
    <w:rsid w:val="002D3043"/>
    <w:rsid w:val="002D35F5"/>
    <w:rsid w:val="002D3B6D"/>
    <w:rsid w:val="002D3D5A"/>
    <w:rsid w:val="002D3E5B"/>
    <w:rsid w:val="002D4510"/>
    <w:rsid w:val="002D47FE"/>
    <w:rsid w:val="002D4B1D"/>
    <w:rsid w:val="002D532D"/>
    <w:rsid w:val="002D5D7D"/>
    <w:rsid w:val="002D5FDF"/>
    <w:rsid w:val="002D607B"/>
    <w:rsid w:val="002D6582"/>
    <w:rsid w:val="002D65E2"/>
    <w:rsid w:val="002D6B7B"/>
    <w:rsid w:val="002D739A"/>
    <w:rsid w:val="002D73BD"/>
    <w:rsid w:val="002D76AB"/>
    <w:rsid w:val="002D786D"/>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C"/>
    <w:rsid w:val="002E3943"/>
    <w:rsid w:val="002E3EAF"/>
    <w:rsid w:val="002E3F7C"/>
    <w:rsid w:val="002E4254"/>
    <w:rsid w:val="002E44C3"/>
    <w:rsid w:val="002E4691"/>
    <w:rsid w:val="002E4695"/>
    <w:rsid w:val="002E4F13"/>
    <w:rsid w:val="002E4FB7"/>
    <w:rsid w:val="002E5213"/>
    <w:rsid w:val="002E543D"/>
    <w:rsid w:val="002E577D"/>
    <w:rsid w:val="002E63EE"/>
    <w:rsid w:val="002E6712"/>
    <w:rsid w:val="002E6FDB"/>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556F"/>
    <w:rsid w:val="002F5678"/>
    <w:rsid w:val="002F5F3B"/>
    <w:rsid w:val="002F64E5"/>
    <w:rsid w:val="002F693C"/>
    <w:rsid w:val="002F69BB"/>
    <w:rsid w:val="002F6EC5"/>
    <w:rsid w:val="002F6FAD"/>
    <w:rsid w:val="002F797B"/>
    <w:rsid w:val="002F7A9E"/>
    <w:rsid w:val="002F7C6D"/>
    <w:rsid w:val="0030120B"/>
    <w:rsid w:val="003020F4"/>
    <w:rsid w:val="003023A1"/>
    <w:rsid w:val="003025C7"/>
    <w:rsid w:val="0030360F"/>
    <w:rsid w:val="00303790"/>
    <w:rsid w:val="00303984"/>
    <w:rsid w:val="00304161"/>
    <w:rsid w:val="003043A7"/>
    <w:rsid w:val="00304618"/>
    <w:rsid w:val="00304643"/>
    <w:rsid w:val="0030477F"/>
    <w:rsid w:val="003047D2"/>
    <w:rsid w:val="00304A73"/>
    <w:rsid w:val="00304AFB"/>
    <w:rsid w:val="00304DFD"/>
    <w:rsid w:val="00304FE5"/>
    <w:rsid w:val="003057F7"/>
    <w:rsid w:val="00305842"/>
    <w:rsid w:val="0030597C"/>
    <w:rsid w:val="003059A3"/>
    <w:rsid w:val="00305D69"/>
    <w:rsid w:val="003063A5"/>
    <w:rsid w:val="00306864"/>
    <w:rsid w:val="003069F9"/>
    <w:rsid w:val="00306C90"/>
    <w:rsid w:val="00307669"/>
    <w:rsid w:val="00307951"/>
    <w:rsid w:val="00307AEA"/>
    <w:rsid w:val="00307DB7"/>
    <w:rsid w:val="00307F99"/>
    <w:rsid w:val="00310040"/>
    <w:rsid w:val="00310208"/>
    <w:rsid w:val="00310371"/>
    <w:rsid w:val="0031042D"/>
    <w:rsid w:val="0031058F"/>
    <w:rsid w:val="0031089E"/>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70A7"/>
    <w:rsid w:val="003179E3"/>
    <w:rsid w:val="00317B6B"/>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E78"/>
    <w:rsid w:val="003250C3"/>
    <w:rsid w:val="00325246"/>
    <w:rsid w:val="003253A1"/>
    <w:rsid w:val="00325869"/>
    <w:rsid w:val="00325A8A"/>
    <w:rsid w:val="00325A8C"/>
    <w:rsid w:val="00325B90"/>
    <w:rsid w:val="00325D35"/>
    <w:rsid w:val="00326448"/>
    <w:rsid w:val="0032650F"/>
    <w:rsid w:val="0032662E"/>
    <w:rsid w:val="00326854"/>
    <w:rsid w:val="00326F42"/>
    <w:rsid w:val="00327220"/>
    <w:rsid w:val="003272AF"/>
    <w:rsid w:val="003275E4"/>
    <w:rsid w:val="003278A7"/>
    <w:rsid w:val="00327F0D"/>
    <w:rsid w:val="00330069"/>
    <w:rsid w:val="00330144"/>
    <w:rsid w:val="003302D8"/>
    <w:rsid w:val="0033032C"/>
    <w:rsid w:val="003304A1"/>
    <w:rsid w:val="00330999"/>
    <w:rsid w:val="00331316"/>
    <w:rsid w:val="0033133C"/>
    <w:rsid w:val="00331864"/>
    <w:rsid w:val="0033244F"/>
    <w:rsid w:val="00332C1D"/>
    <w:rsid w:val="00332EF9"/>
    <w:rsid w:val="00333005"/>
    <w:rsid w:val="00333597"/>
    <w:rsid w:val="00334500"/>
    <w:rsid w:val="00334E58"/>
    <w:rsid w:val="00335707"/>
    <w:rsid w:val="0033572F"/>
    <w:rsid w:val="00335F31"/>
    <w:rsid w:val="0033634D"/>
    <w:rsid w:val="003370E6"/>
    <w:rsid w:val="00337740"/>
    <w:rsid w:val="00337743"/>
    <w:rsid w:val="00337E16"/>
    <w:rsid w:val="00340E66"/>
    <w:rsid w:val="00340F10"/>
    <w:rsid w:val="00341092"/>
    <w:rsid w:val="00341469"/>
    <w:rsid w:val="00341C89"/>
    <w:rsid w:val="00341D56"/>
    <w:rsid w:val="003423FA"/>
    <w:rsid w:val="00342629"/>
    <w:rsid w:val="003426CB"/>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63B5"/>
    <w:rsid w:val="0034659F"/>
    <w:rsid w:val="0034675B"/>
    <w:rsid w:val="00347465"/>
    <w:rsid w:val="0034796E"/>
    <w:rsid w:val="00347B56"/>
    <w:rsid w:val="00347E1A"/>
    <w:rsid w:val="00347FA9"/>
    <w:rsid w:val="003506E7"/>
    <w:rsid w:val="0035080A"/>
    <w:rsid w:val="00350A54"/>
    <w:rsid w:val="00350BE7"/>
    <w:rsid w:val="00350C4D"/>
    <w:rsid w:val="00350CDA"/>
    <w:rsid w:val="00350E87"/>
    <w:rsid w:val="00350ECA"/>
    <w:rsid w:val="00351286"/>
    <w:rsid w:val="00351609"/>
    <w:rsid w:val="00352B17"/>
    <w:rsid w:val="00352C98"/>
    <w:rsid w:val="00353018"/>
    <w:rsid w:val="003536BB"/>
    <w:rsid w:val="00353B7C"/>
    <w:rsid w:val="00353BE4"/>
    <w:rsid w:val="00353D60"/>
    <w:rsid w:val="0035402B"/>
    <w:rsid w:val="0035438E"/>
    <w:rsid w:val="003547C0"/>
    <w:rsid w:val="003557D3"/>
    <w:rsid w:val="00355828"/>
    <w:rsid w:val="00355872"/>
    <w:rsid w:val="00355C09"/>
    <w:rsid w:val="003561EE"/>
    <w:rsid w:val="00356418"/>
    <w:rsid w:val="00356D90"/>
    <w:rsid w:val="00356E38"/>
    <w:rsid w:val="0035721C"/>
    <w:rsid w:val="003576DA"/>
    <w:rsid w:val="00357CBE"/>
    <w:rsid w:val="00357D66"/>
    <w:rsid w:val="0036046F"/>
    <w:rsid w:val="003609A7"/>
    <w:rsid w:val="00360C13"/>
    <w:rsid w:val="00361427"/>
    <w:rsid w:val="00361487"/>
    <w:rsid w:val="00361661"/>
    <w:rsid w:val="0036199D"/>
    <w:rsid w:val="00362905"/>
    <w:rsid w:val="003629D8"/>
    <w:rsid w:val="00363230"/>
    <w:rsid w:val="003644B2"/>
    <w:rsid w:val="00364B80"/>
    <w:rsid w:val="00364D53"/>
    <w:rsid w:val="00364FD8"/>
    <w:rsid w:val="003654A7"/>
    <w:rsid w:val="00365669"/>
    <w:rsid w:val="0036610E"/>
    <w:rsid w:val="00366735"/>
    <w:rsid w:val="0036674E"/>
    <w:rsid w:val="0036675B"/>
    <w:rsid w:val="00366EBB"/>
    <w:rsid w:val="0036772F"/>
    <w:rsid w:val="00367BD2"/>
    <w:rsid w:val="00370A1C"/>
    <w:rsid w:val="00370AD3"/>
    <w:rsid w:val="00370BC7"/>
    <w:rsid w:val="00371059"/>
    <w:rsid w:val="003715D6"/>
    <w:rsid w:val="003717C6"/>
    <w:rsid w:val="00371822"/>
    <w:rsid w:val="003719DE"/>
    <w:rsid w:val="00371A15"/>
    <w:rsid w:val="00371A33"/>
    <w:rsid w:val="00372E83"/>
    <w:rsid w:val="0037314C"/>
    <w:rsid w:val="003731C2"/>
    <w:rsid w:val="00373747"/>
    <w:rsid w:val="00373860"/>
    <w:rsid w:val="00373DBC"/>
    <w:rsid w:val="00374226"/>
    <w:rsid w:val="00374B8C"/>
    <w:rsid w:val="00375080"/>
    <w:rsid w:val="00375772"/>
    <w:rsid w:val="0037593A"/>
    <w:rsid w:val="00376575"/>
    <w:rsid w:val="003766A1"/>
    <w:rsid w:val="0037696B"/>
    <w:rsid w:val="00376B8B"/>
    <w:rsid w:val="00376C51"/>
    <w:rsid w:val="00376CE2"/>
    <w:rsid w:val="00376D6D"/>
    <w:rsid w:val="00377407"/>
    <w:rsid w:val="003775AA"/>
    <w:rsid w:val="00380026"/>
    <w:rsid w:val="0038073F"/>
    <w:rsid w:val="0038081D"/>
    <w:rsid w:val="003808DB"/>
    <w:rsid w:val="00380993"/>
    <w:rsid w:val="00381332"/>
    <w:rsid w:val="00381780"/>
    <w:rsid w:val="00381B26"/>
    <w:rsid w:val="00381FDA"/>
    <w:rsid w:val="003820FF"/>
    <w:rsid w:val="003824E4"/>
    <w:rsid w:val="00382610"/>
    <w:rsid w:val="003827AA"/>
    <w:rsid w:val="00382B1B"/>
    <w:rsid w:val="0038351E"/>
    <w:rsid w:val="0038370D"/>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C17"/>
    <w:rsid w:val="00387CA6"/>
    <w:rsid w:val="00387CBD"/>
    <w:rsid w:val="003900C7"/>
    <w:rsid w:val="00390154"/>
    <w:rsid w:val="0039039F"/>
    <w:rsid w:val="00390480"/>
    <w:rsid w:val="00390ED6"/>
    <w:rsid w:val="00391955"/>
    <w:rsid w:val="00391B5C"/>
    <w:rsid w:val="00392509"/>
    <w:rsid w:val="003925E5"/>
    <w:rsid w:val="00392CD3"/>
    <w:rsid w:val="00392EB9"/>
    <w:rsid w:val="003931DD"/>
    <w:rsid w:val="003933B2"/>
    <w:rsid w:val="003933F3"/>
    <w:rsid w:val="00393865"/>
    <w:rsid w:val="00393C76"/>
    <w:rsid w:val="00393FCC"/>
    <w:rsid w:val="003943E5"/>
    <w:rsid w:val="00394793"/>
    <w:rsid w:val="003947BD"/>
    <w:rsid w:val="00394A7E"/>
    <w:rsid w:val="00394BEA"/>
    <w:rsid w:val="00394D47"/>
    <w:rsid w:val="003955E6"/>
    <w:rsid w:val="00395950"/>
    <w:rsid w:val="00396FE3"/>
    <w:rsid w:val="0039763E"/>
    <w:rsid w:val="0039797F"/>
    <w:rsid w:val="00397D8E"/>
    <w:rsid w:val="003A008A"/>
    <w:rsid w:val="003A08E5"/>
    <w:rsid w:val="003A105C"/>
    <w:rsid w:val="003A19D7"/>
    <w:rsid w:val="003A1E70"/>
    <w:rsid w:val="003A21CC"/>
    <w:rsid w:val="003A2222"/>
    <w:rsid w:val="003A233D"/>
    <w:rsid w:val="003A289A"/>
    <w:rsid w:val="003A2AE0"/>
    <w:rsid w:val="003A3262"/>
    <w:rsid w:val="003A39F5"/>
    <w:rsid w:val="003A434B"/>
    <w:rsid w:val="003A4371"/>
    <w:rsid w:val="003A4F18"/>
    <w:rsid w:val="003A5479"/>
    <w:rsid w:val="003A5C1B"/>
    <w:rsid w:val="003A5F8F"/>
    <w:rsid w:val="003A60B9"/>
    <w:rsid w:val="003A6665"/>
    <w:rsid w:val="003A6CF4"/>
    <w:rsid w:val="003A7971"/>
    <w:rsid w:val="003A7C7F"/>
    <w:rsid w:val="003A7FDB"/>
    <w:rsid w:val="003B0162"/>
    <w:rsid w:val="003B023B"/>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62EA"/>
    <w:rsid w:val="003B6508"/>
    <w:rsid w:val="003B6CDF"/>
    <w:rsid w:val="003B79D6"/>
    <w:rsid w:val="003B7CC1"/>
    <w:rsid w:val="003C00C3"/>
    <w:rsid w:val="003C0338"/>
    <w:rsid w:val="003C04DA"/>
    <w:rsid w:val="003C0DAF"/>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9E6"/>
    <w:rsid w:val="003C3A11"/>
    <w:rsid w:val="003C3E2C"/>
    <w:rsid w:val="003C40A3"/>
    <w:rsid w:val="003C43EB"/>
    <w:rsid w:val="003C46AE"/>
    <w:rsid w:val="003C4AFE"/>
    <w:rsid w:val="003C5187"/>
    <w:rsid w:val="003C526E"/>
    <w:rsid w:val="003C64B0"/>
    <w:rsid w:val="003C6957"/>
    <w:rsid w:val="003C6CF0"/>
    <w:rsid w:val="003C6DEB"/>
    <w:rsid w:val="003C6EFC"/>
    <w:rsid w:val="003C73CA"/>
    <w:rsid w:val="003C748D"/>
    <w:rsid w:val="003C7585"/>
    <w:rsid w:val="003C7734"/>
    <w:rsid w:val="003C7A5C"/>
    <w:rsid w:val="003C7A6B"/>
    <w:rsid w:val="003D0153"/>
    <w:rsid w:val="003D0526"/>
    <w:rsid w:val="003D095D"/>
    <w:rsid w:val="003D0AAF"/>
    <w:rsid w:val="003D17E0"/>
    <w:rsid w:val="003D17F1"/>
    <w:rsid w:val="003D198F"/>
    <w:rsid w:val="003D201E"/>
    <w:rsid w:val="003D2665"/>
    <w:rsid w:val="003D314A"/>
    <w:rsid w:val="003D331D"/>
    <w:rsid w:val="003D3574"/>
    <w:rsid w:val="003D3857"/>
    <w:rsid w:val="003D3A0C"/>
    <w:rsid w:val="003D4149"/>
    <w:rsid w:val="003D4AA0"/>
    <w:rsid w:val="003D660C"/>
    <w:rsid w:val="003D73BD"/>
    <w:rsid w:val="003D7CCE"/>
    <w:rsid w:val="003E040C"/>
    <w:rsid w:val="003E0864"/>
    <w:rsid w:val="003E099A"/>
    <w:rsid w:val="003E0BAC"/>
    <w:rsid w:val="003E0D8C"/>
    <w:rsid w:val="003E0DCE"/>
    <w:rsid w:val="003E154A"/>
    <w:rsid w:val="003E15A3"/>
    <w:rsid w:val="003E19C7"/>
    <w:rsid w:val="003E1B68"/>
    <w:rsid w:val="003E21AD"/>
    <w:rsid w:val="003E21C8"/>
    <w:rsid w:val="003E2417"/>
    <w:rsid w:val="003E2594"/>
    <w:rsid w:val="003E2601"/>
    <w:rsid w:val="003E2E52"/>
    <w:rsid w:val="003E3D77"/>
    <w:rsid w:val="003E4100"/>
    <w:rsid w:val="003E4408"/>
    <w:rsid w:val="003E5242"/>
    <w:rsid w:val="003E5930"/>
    <w:rsid w:val="003E5FC5"/>
    <w:rsid w:val="003E63A2"/>
    <w:rsid w:val="003E65D7"/>
    <w:rsid w:val="003E7465"/>
    <w:rsid w:val="003E7483"/>
    <w:rsid w:val="003F0515"/>
    <w:rsid w:val="003F057F"/>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4000C9"/>
    <w:rsid w:val="0040048C"/>
    <w:rsid w:val="00400533"/>
    <w:rsid w:val="00400C90"/>
    <w:rsid w:val="00400F7F"/>
    <w:rsid w:val="00401930"/>
    <w:rsid w:val="00401ABD"/>
    <w:rsid w:val="00401B73"/>
    <w:rsid w:val="004023F7"/>
    <w:rsid w:val="00402C93"/>
    <w:rsid w:val="0040363C"/>
    <w:rsid w:val="004036AF"/>
    <w:rsid w:val="00403A0F"/>
    <w:rsid w:val="00403BE7"/>
    <w:rsid w:val="0040424B"/>
    <w:rsid w:val="0040434E"/>
    <w:rsid w:val="004045DC"/>
    <w:rsid w:val="004048E5"/>
    <w:rsid w:val="00404D1E"/>
    <w:rsid w:val="00405316"/>
    <w:rsid w:val="004057B0"/>
    <w:rsid w:val="00405876"/>
    <w:rsid w:val="004065C0"/>
    <w:rsid w:val="00406623"/>
    <w:rsid w:val="00410ED3"/>
    <w:rsid w:val="00411268"/>
    <w:rsid w:val="0041153E"/>
    <w:rsid w:val="004117A3"/>
    <w:rsid w:val="00411E35"/>
    <w:rsid w:val="00412488"/>
    <w:rsid w:val="004127C7"/>
    <w:rsid w:val="00412B7F"/>
    <w:rsid w:val="00412C6F"/>
    <w:rsid w:val="00412CEF"/>
    <w:rsid w:val="004141A8"/>
    <w:rsid w:val="004142D6"/>
    <w:rsid w:val="004145D9"/>
    <w:rsid w:val="00414D86"/>
    <w:rsid w:val="00414E59"/>
    <w:rsid w:val="00415A4B"/>
    <w:rsid w:val="00415F33"/>
    <w:rsid w:val="00415F59"/>
    <w:rsid w:val="00416404"/>
    <w:rsid w:val="004165B8"/>
    <w:rsid w:val="004169D8"/>
    <w:rsid w:val="00416AE2"/>
    <w:rsid w:val="00417048"/>
    <w:rsid w:val="00417956"/>
    <w:rsid w:val="00420098"/>
    <w:rsid w:val="004201AF"/>
    <w:rsid w:val="004202C4"/>
    <w:rsid w:val="00420B07"/>
    <w:rsid w:val="00420C22"/>
    <w:rsid w:val="00420DF0"/>
    <w:rsid w:val="004213F9"/>
    <w:rsid w:val="004214FF"/>
    <w:rsid w:val="004217F1"/>
    <w:rsid w:val="00421A79"/>
    <w:rsid w:val="00421E70"/>
    <w:rsid w:val="004224E7"/>
    <w:rsid w:val="004229FE"/>
    <w:rsid w:val="00422BF5"/>
    <w:rsid w:val="0042327F"/>
    <w:rsid w:val="00423B76"/>
    <w:rsid w:val="00423F07"/>
    <w:rsid w:val="00424303"/>
    <w:rsid w:val="004243AB"/>
    <w:rsid w:val="00424835"/>
    <w:rsid w:val="00425431"/>
    <w:rsid w:val="004254F2"/>
    <w:rsid w:val="004257A8"/>
    <w:rsid w:val="00425D34"/>
    <w:rsid w:val="00425FF9"/>
    <w:rsid w:val="00426328"/>
    <w:rsid w:val="004266DC"/>
    <w:rsid w:val="0042677E"/>
    <w:rsid w:val="0042706F"/>
    <w:rsid w:val="004279A3"/>
    <w:rsid w:val="004279C7"/>
    <w:rsid w:val="00427B3B"/>
    <w:rsid w:val="00427C8C"/>
    <w:rsid w:val="00427D4C"/>
    <w:rsid w:val="00427EBF"/>
    <w:rsid w:val="0043004B"/>
    <w:rsid w:val="0043072D"/>
    <w:rsid w:val="00430832"/>
    <w:rsid w:val="00431085"/>
    <w:rsid w:val="004313B0"/>
    <w:rsid w:val="004314AB"/>
    <w:rsid w:val="0043152E"/>
    <w:rsid w:val="00431AA2"/>
    <w:rsid w:val="00432278"/>
    <w:rsid w:val="00432CD9"/>
    <w:rsid w:val="00432FAF"/>
    <w:rsid w:val="00434EDF"/>
    <w:rsid w:val="00435149"/>
    <w:rsid w:val="00435269"/>
    <w:rsid w:val="00435805"/>
    <w:rsid w:val="00435EC1"/>
    <w:rsid w:val="004362AB"/>
    <w:rsid w:val="004367E0"/>
    <w:rsid w:val="00437337"/>
    <w:rsid w:val="0043763C"/>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38B7"/>
    <w:rsid w:val="0044417A"/>
    <w:rsid w:val="0044434A"/>
    <w:rsid w:val="0044437F"/>
    <w:rsid w:val="004446ED"/>
    <w:rsid w:val="004452BC"/>
    <w:rsid w:val="004453D0"/>
    <w:rsid w:val="004459D3"/>
    <w:rsid w:val="00445A25"/>
    <w:rsid w:val="00445AC4"/>
    <w:rsid w:val="00445C7A"/>
    <w:rsid w:val="00445E76"/>
    <w:rsid w:val="0044620A"/>
    <w:rsid w:val="0044655B"/>
    <w:rsid w:val="00446606"/>
    <w:rsid w:val="004471BC"/>
    <w:rsid w:val="00447217"/>
    <w:rsid w:val="00447508"/>
    <w:rsid w:val="004477E9"/>
    <w:rsid w:val="00447B50"/>
    <w:rsid w:val="004501F3"/>
    <w:rsid w:val="00450515"/>
    <w:rsid w:val="00450AD8"/>
    <w:rsid w:val="00450F0D"/>
    <w:rsid w:val="00451450"/>
    <w:rsid w:val="00451471"/>
    <w:rsid w:val="00451B50"/>
    <w:rsid w:val="0045211C"/>
    <w:rsid w:val="00452756"/>
    <w:rsid w:val="00452C60"/>
    <w:rsid w:val="00452DBE"/>
    <w:rsid w:val="004530CC"/>
    <w:rsid w:val="00453294"/>
    <w:rsid w:val="0045343E"/>
    <w:rsid w:val="00453626"/>
    <w:rsid w:val="00453704"/>
    <w:rsid w:val="00453FC2"/>
    <w:rsid w:val="0045404D"/>
    <w:rsid w:val="004544ED"/>
    <w:rsid w:val="00454D9A"/>
    <w:rsid w:val="0045665B"/>
    <w:rsid w:val="00456C61"/>
    <w:rsid w:val="00457013"/>
    <w:rsid w:val="004571D3"/>
    <w:rsid w:val="004573D3"/>
    <w:rsid w:val="004578EA"/>
    <w:rsid w:val="00457AAC"/>
    <w:rsid w:val="00457F93"/>
    <w:rsid w:val="00460326"/>
    <w:rsid w:val="00460547"/>
    <w:rsid w:val="00460682"/>
    <w:rsid w:val="00460B6C"/>
    <w:rsid w:val="00460E6C"/>
    <w:rsid w:val="00460F1B"/>
    <w:rsid w:val="0046113E"/>
    <w:rsid w:val="004617A9"/>
    <w:rsid w:val="00461B70"/>
    <w:rsid w:val="00462285"/>
    <w:rsid w:val="0046258E"/>
    <w:rsid w:val="0046291A"/>
    <w:rsid w:val="00462932"/>
    <w:rsid w:val="00462CEB"/>
    <w:rsid w:val="00462DCA"/>
    <w:rsid w:val="00462EA8"/>
    <w:rsid w:val="0046384E"/>
    <w:rsid w:val="00464C2B"/>
    <w:rsid w:val="00464CF4"/>
    <w:rsid w:val="00465562"/>
    <w:rsid w:val="00465C8E"/>
    <w:rsid w:val="00465DFD"/>
    <w:rsid w:val="004663C3"/>
    <w:rsid w:val="004666C7"/>
    <w:rsid w:val="00466E73"/>
    <w:rsid w:val="00466F69"/>
    <w:rsid w:val="0046706B"/>
    <w:rsid w:val="00467815"/>
    <w:rsid w:val="00467916"/>
    <w:rsid w:val="00467D9B"/>
    <w:rsid w:val="004703CF"/>
    <w:rsid w:val="004709A0"/>
    <w:rsid w:val="00470D19"/>
    <w:rsid w:val="00471284"/>
    <w:rsid w:val="004712D4"/>
    <w:rsid w:val="00472BF3"/>
    <w:rsid w:val="00472FB0"/>
    <w:rsid w:val="00473696"/>
    <w:rsid w:val="00473721"/>
    <w:rsid w:val="00473A4B"/>
    <w:rsid w:val="004741FD"/>
    <w:rsid w:val="004747C0"/>
    <w:rsid w:val="004748DC"/>
    <w:rsid w:val="0047491E"/>
    <w:rsid w:val="00474986"/>
    <w:rsid w:val="00474A6A"/>
    <w:rsid w:val="00474EF0"/>
    <w:rsid w:val="00475233"/>
    <w:rsid w:val="00475CA4"/>
    <w:rsid w:val="0047608F"/>
    <w:rsid w:val="0047658E"/>
    <w:rsid w:val="00477413"/>
    <w:rsid w:val="00477496"/>
    <w:rsid w:val="00477716"/>
    <w:rsid w:val="00477863"/>
    <w:rsid w:val="00477BFC"/>
    <w:rsid w:val="00477D8A"/>
    <w:rsid w:val="00477DE9"/>
    <w:rsid w:val="00477F47"/>
    <w:rsid w:val="00480439"/>
    <w:rsid w:val="00480618"/>
    <w:rsid w:val="0048086E"/>
    <w:rsid w:val="00480E9A"/>
    <w:rsid w:val="00480F71"/>
    <w:rsid w:val="0048213A"/>
    <w:rsid w:val="00482764"/>
    <w:rsid w:val="0048278B"/>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F3"/>
    <w:rsid w:val="004854A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3BD"/>
    <w:rsid w:val="00492E3F"/>
    <w:rsid w:val="004930B3"/>
    <w:rsid w:val="00493F5C"/>
    <w:rsid w:val="0049412A"/>
    <w:rsid w:val="00494269"/>
    <w:rsid w:val="004945E3"/>
    <w:rsid w:val="0049469C"/>
    <w:rsid w:val="00494EB3"/>
    <w:rsid w:val="0049560D"/>
    <w:rsid w:val="00495DB3"/>
    <w:rsid w:val="00495F43"/>
    <w:rsid w:val="00497F5E"/>
    <w:rsid w:val="004A00B0"/>
    <w:rsid w:val="004A16BB"/>
    <w:rsid w:val="004A171B"/>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67A5"/>
    <w:rsid w:val="004A69D0"/>
    <w:rsid w:val="004A75D0"/>
    <w:rsid w:val="004A7912"/>
    <w:rsid w:val="004A7BA8"/>
    <w:rsid w:val="004A7C53"/>
    <w:rsid w:val="004B0194"/>
    <w:rsid w:val="004B0271"/>
    <w:rsid w:val="004B089F"/>
    <w:rsid w:val="004B0B94"/>
    <w:rsid w:val="004B1113"/>
    <w:rsid w:val="004B1248"/>
    <w:rsid w:val="004B176A"/>
    <w:rsid w:val="004B1DC3"/>
    <w:rsid w:val="004B1E80"/>
    <w:rsid w:val="004B2835"/>
    <w:rsid w:val="004B28C5"/>
    <w:rsid w:val="004B326B"/>
    <w:rsid w:val="004B32F8"/>
    <w:rsid w:val="004B36AE"/>
    <w:rsid w:val="004B3FAE"/>
    <w:rsid w:val="004B4672"/>
    <w:rsid w:val="004B4766"/>
    <w:rsid w:val="004B5819"/>
    <w:rsid w:val="004B58F5"/>
    <w:rsid w:val="004B5E52"/>
    <w:rsid w:val="004B605A"/>
    <w:rsid w:val="004B6663"/>
    <w:rsid w:val="004B67A4"/>
    <w:rsid w:val="004B6A3D"/>
    <w:rsid w:val="004B7414"/>
    <w:rsid w:val="004B74AD"/>
    <w:rsid w:val="004B7FE2"/>
    <w:rsid w:val="004C07BD"/>
    <w:rsid w:val="004C0EF4"/>
    <w:rsid w:val="004C109F"/>
    <w:rsid w:val="004C14B1"/>
    <w:rsid w:val="004C289A"/>
    <w:rsid w:val="004C2ADF"/>
    <w:rsid w:val="004C31BF"/>
    <w:rsid w:val="004C3427"/>
    <w:rsid w:val="004C4453"/>
    <w:rsid w:val="004C4A77"/>
    <w:rsid w:val="004C4D53"/>
    <w:rsid w:val="004C5692"/>
    <w:rsid w:val="004C5A50"/>
    <w:rsid w:val="004C60F8"/>
    <w:rsid w:val="004C6173"/>
    <w:rsid w:val="004C61A3"/>
    <w:rsid w:val="004C6E03"/>
    <w:rsid w:val="004C6F47"/>
    <w:rsid w:val="004C780C"/>
    <w:rsid w:val="004C7AA2"/>
    <w:rsid w:val="004D03BA"/>
    <w:rsid w:val="004D0A75"/>
    <w:rsid w:val="004D0F17"/>
    <w:rsid w:val="004D0FAE"/>
    <w:rsid w:val="004D118A"/>
    <w:rsid w:val="004D20F4"/>
    <w:rsid w:val="004D2E74"/>
    <w:rsid w:val="004D301C"/>
    <w:rsid w:val="004D3100"/>
    <w:rsid w:val="004D32EE"/>
    <w:rsid w:val="004D3441"/>
    <w:rsid w:val="004D349D"/>
    <w:rsid w:val="004D357C"/>
    <w:rsid w:val="004D3E0B"/>
    <w:rsid w:val="004D42B9"/>
    <w:rsid w:val="004D42DD"/>
    <w:rsid w:val="004D45C8"/>
    <w:rsid w:val="004D4ED8"/>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357A"/>
    <w:rsid w:val="004E3800"/>
    <w:rsid w:val="004E3861"/>
    <w:rsid w:val="004E5000"/>
    <w:rsid w:val="004E5251"/>
    <w:rsid w:val="004E530F"/>
    <w:rsid w:val="004E5331"/>
    <w:rsid w:val="004E5599"/>
    <w:rsid w:val="004E55D4"/>
    <w:rsid w:val="004E586B"/>
    <w:rsid w:val="004E5CB8"/>
    <w:rsid w:val="004E65EB"/>
    <w:rsid w:val="004E67F2"/>
    <w:rsid w:val="004E7114"/>
    <w:rsid w:val="004E722D"/>
    <w:rsid w:val="004E7341"/>
    <w:rsid w:val="004E7E7E"/>
    <w:rsid w:val="004F0244"/>
    <w:rsid w:val="004F0772"/>
    <w:rsid w:val="004F09A1"/>
    <w:rsid w:val="004F0A27"/>
    <w:rsid w:val="004F0A45"/>
    <w:rsid w:val="004F19B6"/>
    <w:rsid w:val="004F23B6"/>
    <w:rsid w:val="004F26FA"/>
    <w:rsid w:val="004F282C"/>
    <w:rsid w:val="004F2903"/>
    <w:rsid w:val="004F3035"/>
    <w:rsid w:val="004F368A"/>
    <w:rsid w:val="004F379F"/>
    <w:rsid w:val="004F3D4A"/>
    <w:rsid w:val="004F3E0F"/>
    <w:rsid w:val="004F401E"/>
    <w:rsid w:val="004F43AB"/>
    <w:rsid w:val="004F50EE"/>
    <w:rsid w:val="004F5614"/>
    <w:rsid w:val="004F58BE"/>
    <w:rsid w:val="004F7174"/>
    <w:rsid w:val="004F7AF1"/>
    <w:rsid w:val="004F7E98"/>
    <w:rsid w:val="005005C8"/>
    <w:rsid w:val="00500DD0"/>
    <w:rsid w:val="00500EDC"/>
    <w:rsid w:val="00500F5E"/>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B43"/>
    <w:rsid w:val="00504188"/>
    <w:rsid w:val="00504345"/>
    <w:rsid w:val="00504560"/>
    <w:rsid w:val="00504655"/>
    <w:rsid w:val="00504A31"/>
    <w:rsid w:val="00504D3B"/>
    <w:rsid w:val="00504F8B"/>
    <w:rsid w:val="005055B5"/>
    <w:rsid w:val="00505C75"/>
    <w:rsid w:val="005063A0"/>
    <w:rsid w:val="005063D2"/>
    <w:rsid w:val="00506619"/>
    <w:rsid w:val="0050690E"/>
    <w:rsid w:val="00507A54"/>
    <w:rsid w:val="00507E53"/>
    <w:rsid w:val="00510257"/>
    <w:rsid w:val="00510D1D"/>
    <w:rsid w:val="00510E99"/>
    <w:rsid w:val="00511033"/>
    <w:rsid w:val="00511104"/>
    <w:rsid w:val="00511A4E"/>
    <w:rsid w:val="00511B5E"/>
    <w:rsid w:val="00511BBF"/>
    <w:rsid w:val="00511BDC"/>
    <w:rsid w:val="00511FE7"/>
    <w:rsid w:val="00512785"/>
    <w:rsid w:val="00512E62"/>
    <w:rsid w:val="0051361B"/>
    <w:rsid w:val="0051373C"/>
    <w:rsid w:val="005138B3"/>
    <w:rsid w:val="00513D0A"/>
    <w:rsid w:val="00513EBA"/>
    <w:rsid w:val="00513F43"/>
    <w:rsid w:val="00514985"/>
    <w:rsid w:val="00514E64"/>
    <w:rsid w:val="00514F92"/>
    <w:rsid w:val="00515A6A"/>
    <w:rsid w:val="00515D3E"/>
    <w:rsid w:val="00515E7B"/>
    <w:rsid w:val="005162FD"/>
    <w:rsid w:val="005165B0"/>
    <w:rsid w:val="00516F04"/>
    <w:rsid w:val="00517005"/>
    <w:rsid w:val="00517153"/>
    <w:rsid w:val="005171D1"/>
    <w:rsid w:val="005174C6"/>
    <w:rsid w:val="00517868"/>
    <w:rsid w:val="00520142"/>
    <w:rsid w:val="0052017C"/>
    <w:rsid w:val="0052072A"/>
    <w:rsid w:val="00520894"/>
    <w:rsid w:val="00520BC0"/>
    <w:rsid w:val="00520BF7"/>
    <w:rsid w:val="00520C6E"/>
    <w:rsid w:val="005215A2"/>
    <w:rsid w:val="005217F8"/>
    <w:rsid w:val="005219E0"/>
    <w:rsid w:val="00521B41"/>
    <w:rsid w:val="005220A9"/>
    <w:rsid w:val="00522490"/>
    <w:rsid w:val="0052267A"/>
    <w:rsid w:val="005226D4"/>
    <w:rsid w:val="005234D4"/>
    <w:rsid w:val="0052382F"/>
    <w:rsid w:val="005239DD"/>
    <w:rsid w:val="00523BB0"/>
    <w:rsid w:val="00523CA1"/>
    <w:rsid w:val="00523EB9"/>
    <w:rsid w:val="0052417B"/>
    <w:rsid w:val="00524A9C"/>
    <w:rsid w:val="00525956"/>
    <w:rsid w:val="00525BED"/>
    <w:rsid w:val="0052633E"/>
    <w:rsid w:val="005266F4"/>
    <w:rsid w:val="0052675C"/>
    <w:rsid w:val="0052679A"/>
    <w:rsid w:val="00526931"/>
    <w:rsid w:val="00526CEC"/>
    <w:rsid w:val="00526D46"/>
    <w:rsid w:val="00527C5D"/>
    <w:rsid w:val="005303B5"/>
    <w:rsid w:val="005303E3"/>
    <w:rsid w:val="00530D4E"/>
    <w:rsid w:val="00531094"/>
    <w:rsid w:val="00531143"/>
    <w:rsid w:val="0053173F"/>
    <w:rsid w:val="0053186B"/>
    <w:rsid w:val="00531C5C"/>
    <w:rsid w:val="00532870"/>
    <w:rsid w:val="00532A23"/>
    <w:rsid w:val="00532BC3"/>
    <w:rsid w:val="005331E8"/>
    <w:rsid w:val="00533351"/>
    <w:rsid w:val="0053337C"/>
    <w:rsid w:val="005340EA"/>
    <w:rsid w:val="00534664"/>
    <w:rsid w:val="00534787"/>
    <w:rsid w:val="005348FA"/>
    <w:rsid w:val="00534A44"/>
    <w:rsid w:val="00535A9B"/>
    <w:rsid w:val="00535CE3"/>
    <w:rsid w:val="00535F4E"/>
    <w:rsid w:val="00536332"/>
    <w:rsid w:val="0053655B"/>
    <w:rsid w:val="00536601"/>
    <w:rsid w:val="00536B78"/>
    <w:rsid w:val="00536BE9"/>
    <w:rsid w:val="005373DF"/>
    <w:rsid w:val="00537433"/>
    <w:rsid w:val="005376F2"/>
    <w:rsid w:val="00537A19"/>
    <w:rsid w:val="00540D81"/>
    <w:rsid w:val="00541BF0"/>
    <w:rsid w:val="00541C34"/>
    <w:rsid w:val="00542821"/>
    <w:rsid w:val="00542CA8"/>
    <w:rsid w:val="00542E32"/>
    <w:rsid w:val="00543514"/>
    <w:rsid w:val="0054368B"/>
    <w:rsid w:val="005438A1"/>
    <w:rsid w:val="00543B81"/>
    <w:rsid w:val="00543C00"/>
    <w:rsid w:val="00543CEA"/>
    <w:rsid w:val="00543EB8"/>
    <w:rsid w:val="00543F41"/>
    <w:rsid w:val="005441AB"/>
    <w:rsid w:val="005444F5"/>
    <w:rsid w:val="00544550"/>
    <w:rsid w:val="0054482E"/>
    <w:rsid w:val="0054485E"/>
    <w:rsid w:val="00544FCF"/>
    <w:rsid w:val="005450DC"/>
    <w:rsid w:val="005452E6"/>
    <w:rsid w:val="0054533C"/>
    <w:rsid w:val="005455FC"/>
    <w:rsid w:val="00545A47"/>
    <w:rsid w:val="00545FC7"/>
    <w:rsid w:val="0054634E"/>
    <w:rsid w:val="005469B4"/>
    <w:rsid w:val="00546A4F"/>
    <w:rsid w:val="00546B67"/>
    <w:rsid w:val="0054707A"/>
    <w:rsid w:val="0054710E"/>
    <w:rsid w:val="005474C7"/>
    <w:rsid w:val="00547B37"/>
    <w:rsid w:val="00550490"/>
    <w:rsid w:val="00550986"/>
    <w:rsid w:val="00550F71"/>
    <w:rsid w:val="00551167"/>
    <w:rsid w:val="005512D3"/>
    <w:rsid w:val="00551C0E"/>
    <w:rsid w:val="00551F46"/>
    <w:rsid w:val="005521F2"/>
    <w:rsid w:val="00552561"/>
    <w:rsid w:val="00552812"/>
    <w:rsid w:val="00552840"/>
    <w:rsid w:val="00552B31"/>
    <w:rsid w:val="00552B71"/>
    <w:rsid w:val="00552BB0"/>
    <w:rsid w:val="00552C14"/>
    <w:rsid w:val="00553290"/>
    <w:rsid w:val="00553C45"/>
    <w:rsid w:val="005542D6"/>
    <w:rsid w:val="005544FA"/>
    <w:rsid w:val="00554723"/>
    <w:rsid w:val="00554A33"/>
    <w:rsid w:val="00554F2F"/>
    <w:rsid w:val="00554FCF"/>
    <w:rsid w:val="0055525E"/>
    <w:rsid w:val="0055588A"/>
    <w:rsid w:val="0055597A"/>
    <w:rsid w:val="00555A7F"/>
    <w:rsid w:val="0055716D"/>
    <w:rsid w:val="005571A6"/>
    <w:rsid w:val="005572B8"/>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0D2"/>
    <w:rsid w:val="005635AD"/>
    <w:rsid w:val="005636B0"/>
    <w:rsid w:val="005637ED"/>
    <w:rsid w:val="00563CAB"/>
    <w:rsid w:val="00564070"/>
    <w:rsid w:val="005640E1"/>
    <w:rsid w:val="005647B6"/>
    <w:rsid w:val="00564EA1"/>
    <w:rsid w:val="0056534C"/>
    <w:rsid w:val="00566E81"/>
    <w:rsid w:val="00566F7A"/>
    <w:rsid w:val="005670FC"/>
    <w:rsid w:val="005677CF"/>
    <w:rsid w:val="00567AEE"/>
    <w:rsid w:val="00567CEE"/>
    <w:rsid w:val="00567F7D"/>
    <w:rsid w:val="005702BD"/>
    <w:rsid w:val="0057040F"/>
    <w:rsid w:val="0057096F"/>
    <w:rsid w:val="00570D57"/>
    <w:rsid w:val="005713EC"/>
    <w:rsid w:val="005713F4"/>
    <w:rsid w:val="0057154B"/>
    <w:rsid w:val="00571BB1"/>
    <w:rsid w:val="00571E64"/>
    <w:rsid w:val="0057201E"/>
    <w:rsid w:val="00572B78"/>
    <w:rsid w:val="00573ADD"/>
    <w:rsid w:val="00573D3B"/>
    <w:rsid w:val="00573EE2"/>
    <w:rsid w:val="00573F6A"/>
    <w:rsid w:val="0057432C"/>
    <w:rsid w:val="00574657"/>
    <w:rsid w:val="00574676"/>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3133"/>
    <w:rsid w:val="005834E6"/>
    <w:rsid w:val="005839B5"/>
    <w:rsid w:val="00583C0E"/>
    <w:rsid w:val="00583FDB"/>
    <w:rsid w:val="00584056"/>
    <w:rsid w:val="005841BC"/>
    <w:rsid w:val="0058427E"/>
    <w:rsid w:val="005845E7"/>
    <w:rsid w:val="00584A97"/>
    <w:rsid w:val="00584FEF"/>
    <w:rsid w:val="005853EF"/>
    <w:rsid w:val="00585972"/>
    <w:rsid w:val="00585B10"/>
    <w:rsid w:val="00586045"/>
    <w:rsid w:val="005864FA"/>
    <w:rsid w:val="005865AA"/>
    <w:rsid w:val="00586848"/>
    <w:rsid w:val="00586D7F"/>
    <w:rsid w:val="00587048"/>
    <w:rsid w:val="005875A3"/>
    <w:rsid w:val="00587652"/>
    <w:rsid w:val="0058773A"/>
    <w:rsid w:val="00587BD5"/>
    <w:rsid w:val="00587C5F"/>
    <w:rsid w:val="00587CCA"/>
    <w:rsid w:val="00590750"/>
    <w:rsid w:val="00590907"/>
    <w:rsid w:val="00592283"/>
    <w:rsid w:val="0059241D"/>
    <w:rsid w:val="00592491"/>
    <w:rsid w:val="0059346F"/>
    <w:rsid w:val="00593875"/>
    <w:rsid w:val="00593E2F"/>
    <w:rsid w:val="005943C5"/>
    <w:rsid w:val="005948C2"/>
    <w:rsid w:val="00594A7B"/>
    <w:rsid w:val="00595102"/>
    <w:rsid w:val="005952ED"/>
    <w:rsid w:val="005963CE"/>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EAB"/>
    <w:rsid w:val="005A270C"/>
    <w:rsid w:val="005A297A"/>
    <w:rsid w:val="005A2D82"/>
    <w:rsid w:val="005A30F1"/>
    <w:rsid w:val="005A323A"/>
    <w:rsid w:val="005A3789"/>
    <w:rsid w:val="005A3835"/>
    <w:rsid w:val="005A389E"/>
    <w:rsid w:val="005A3950"/>
    <w:rsid w:val="005A3AEC"/>
    <w:rsid w:val="005A3F9E"/>
    <w:rsid w:val="005A40C0"/>
    <w:rsid w:val="005A4634"/>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2194"/>
    <w:rsid w:val="005B2BC3"/>
    <w:rsid w:val="005B344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832"/>
    <w:rsid w:val="005C18EE"/>
    <w:rsid w:val="005C1960"/>
    <w:rsid w:val="005C19A6"/>
    <w:rsid w:val="005C1A79"/>
    <w:rsid w:val="005C239B"/>
    <w:rsid w:val="005C303E"/>
    <w:rsid w:val="005C30DE"/>
    <w:rsid w:val="005C39AD"/>
    <w:rsid w:val="005C3B26"/>
    <w:rsid w:val="005C3C95"/>
    <w:rsid w:val="005C3EDF"/>
    <w:rsid w:val="005C4397"/>
    <w:rsid w:val="005C45EA"/>
    <w:rsid w:val="005C48CC"/>
    <w:rsid w:val="005C63B5"/>
    <w:rsid w:val="005C674D"/>
    <w:rsid w:val="005C6842"/>
    <w:rsid w:val="005C6C37"/>
    <w:rsid w:val="005C7356"/>
    <w:rsid w:val="005C7644"/>
    <w:rsid w:val="005C77FD"/>
    <w:rsid w:val="005C791C"/>
    <w:rsid w:val="005C7B31"/>
    <w:rsid w:val="005C7BF4"/>
    <w:rsid w:val="005D029E"/>
    <w:rsid w:val="005D0574"/>
    <w:rsid w:val="005D0745"/>
    <w:rsid w:val="005D1A69"/>
    <w:rsid w:val="005D1B66"/>
    <w:rsid w:val="005D1FDF"/>
    <w:rsid w:val="005D27FF"/>
    <w:rsid w:val="005D2A1B"/>
    <w:rsid w:val="005D2B0F"/>
    <w:rsid w:val="005D30FC"/>
    <w:rsid w:val="005D323E"/>
    <w:rsid w:val="005D3352"/>
    <w:rsid w:val="005D363D"/>
    <w:rsid w:val="005D3A17"/>
    <w:rsid w:val="005D3ACE"/>
    <w:rsid w:val="005D3D1E"/>
    <w:rsid w:val="005D3ECD"/>
    <w:rsid w:val="005D4D03"/>
    <w:rsid w:val="005D50D9"/>
    <w:rsid w:val="005D529B"/>
    <w:rsid w:val="005D5E15"/>
    <w:rsid w:val="005D6A61"/>
    <w:rsid w:val="005D6D68"/>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D0E"/>
    <w:rsid w:val="005E3EC0"/>
    <w:rsid w:val="005E491A"/>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E46"/>
    <w:rsid w:val="005F135B"/>
    <w:rsid w:val="005F1942"/>
    <w:rsid w:val="005F1BB0"/>
    <w:rsid w:val="005F22B3"/>
    <w:rsid w:val="005F2426"/>
    <w:rsid w:val="005F24DF"/>
    <w:rsid w:val="005F335B"/>
    <w:rsid w:val="005F353B"/>
    <w:rsid w:val="005F3709"/>
    <w:rsid w:val="005F3A57"/>
    <w:rsid w:val="005F3C7E"/>
    <w:rsid w:val="005F3EAB"/>
    <w:rsid w:val="005F4027"/>
    <w:rsid w:val="005F42BB"/>
    <w:rsid w:val="005F45DB"/>
    <w:rsid w:val="005F4E54"/>
    <w:rsid w:val="005F4EAE"/>
    <w:rsid w:val="005F574A"/>
    <w:rsid w:val="005F5DC9"/>
    <w:rsid w:val="005F6186"/>
    <w:rsid w:val="005F676C"/>
    <w:rsid w:val="005F70B6"/>
    <w:rsid w:val="005F73B3"/>
    <w:rsid w:val="005F7518"/>
    <w:rsid w:val="005F778D"/>
    <w:rsid w:val="005F7A87"/>
    <w:rsid w:val="005F7BA0"/>
    <w:rsid w:val="005F7C34"/>
    <w:rsid w:val="005F7F41"/>
    <w:rsid w:val="00600905"/>
    <w:rsid w:val="006009D3"/>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7C2"/>
    <w:rsid w:val="006058CF"/>
    <w:rsid w:val="00605BCD"/>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917"/>
    <w:rsid w:val="006109E3"/>
    <w:rsid w:val="00610A2A"/>
    <w:rsid w:val="00610D2E"/>
    <w:rsid w:val="0061183C"/>
    <w:rsid w:val="00611B68"/>
    <w:rsid w:val="00611C07"/>
    <w:rsid w:val="00611C8F"/>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66"/>
    <w:rsid w:val="00614490"/>
    <w:rsid w:val="00614679"/>
    <w:rsid w:val="00614786"/>
    <w:rsid w:val="00614BD6"/>
    <w:rsid w:val="00614EDE"/>
    <w:rsid w:val="00615808"/>
    <w:rsid w:val="00615D37"/>
    <w:rsid w:val="00615E47"/>
    <w:rsid w:val="00616910"/>
    <w:rsid w:val="00616945"/>
    <w:rsid w:val="006169EE"/>
    <w:rsid w:val="006171E9"/>
    <w:rsid w:val="00617982"/>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75F3"/>
    <w:rsid w:val="00627733"/>
    <w:rsid w:val="00627921"/>
    <w:rsid w:val="0063016C"/>
    <w:rsid w:val="00630A86"/>
    <w:rsid w:val="00631786"/>
    <w:rsid w:val="00631B1E"/>
    <w:rsid w:val="00631FE7"/>
    <w:rsid w:val="006321EA"/>
    <w:rsid w:val="006324E6"/>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E34"/>
    <w:rsid w:val="0063608A"/>
    <w:rsid w:val="00637056"/>
    <w:rsid w:val="0063793A"/>
    <w:rsid w:val="00637E9B"/>
    <w:rsid w:val="00637FDD"/>
    <w:rsid w:val="00640129"/>
    <w:rsid w:val="006407E3"/>
    <w:rsid w:val="0064090D"/>
    <w:rsid w:val="00641E57"/>
    <w:rsid w:val="0064260D"/>
    <w:rsid w:val="00642A39"/>
    <w:rsid w:val="00642DBC"/>
    <w:rsid w:val="0064307F"/>
    <w:rsid w:val="006430E6"/>
    <w:rsid w:val="00643CED"/>
    <w:rsid w:val="00643D90"/>
    <w:rsid w:val="00644234"/>
    <w:rsid w:val="00644878"/>
    <w:rsid w:val="00644DE2"/>
    <w:rsid w:val="006458F4"/>
    <w:rsid w:val="00645F03"/>
    <w:rsid w:val="00646486"/>
    <w:rsid w:val="00646602"/>
    <w:rsid w:val="00646BC4"/>
    <w:rsid w:val="00646D0E"/>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BD2"/>
    <w:rsid w:val="00661CDB"/>
    <w:rsid w:val="006625C0"/>
    <w:rsid w:val="006627BD"/>
    <w:rsid w:val="00662B7A"/>
    <w:rsid w:val="00663175"/>
    <w:rsid w:val="006631C4"/>
    <w:rsid w:val="0066326A"/>
    <w:rsid w:val="006632D0"/>
    <w:rsid w:val="006635FA"/>
    <w:rsid w:val="00663B35"/>
    <w:rsid w:val="00663CF1"/>
    <w:rsid w:val="00663F1B"/>
    <w:rsid w:val="00663FC5"/>
    <w:rsid w:val="0066419E"/>
    <w:rsid w:val="006645AF"/>
    <w:rsid w:val="00664AB8"/>
    <w:rsid w:val="0066529F"/>
    <w:rsid w:val="0066571F"/>
    <w:rsid w:val="00665DA2"/>
    <w:rsid w:val="006660F5"/>
    <w:rsid w:val="00666285"/>
    <w:rsid w:val="00666443"/>
    <w:rsid w:val="00666480"/>
    <w:rsid w:val="006667CC"/>
    <w:rsid w:val="00666D34"/>
    <w:rsid w:val="0066731A"/>
    <w:rsid w:val="00667476"/>
    <w:rsid w:val="00667E3E"/>
    <w:rsid w:val="00670BE7"/>
    <w:rsid w:val="00670FEA"/>
    <w:rsid w:val="00671874"/>
    <w:rsid w:val="00671CD0"/>
    <w:rsid w:val="00671DC9"/>
    <w:rsid w:val="0067252D"/>
    <w:rsid w:val="00672C31"/>
    <w:rsid w:val="006730AC"/>
    <w:rsid w:val="006733E9"/>
    <w:rsid w:val="006734AA"/>
    <w:rsid w:val="006734B3"/>
    <w:rsid w:val="0067353C"/>
    <w:rsid w:val="00673735"/>
    <w:rsid w:val="00674093"/>
    <w:rsid w:val="00674BC6"/>
    <w:rsid w:val="00675403"/>
    <w:rsid w:val="00675BE6"/>
    <w:rsid w:val="00676163"/>
    <w:rsid w:val="00676216"/>
    <w:rsid w:val="006764C4"/>
    <w:rsid w:val="00676F76"/>
    <w:rsid w:val="006776E6"/>
    <w:rsid w:val="00677763"/>
    <w:rsid w:val="006777E4"/>
    <w:rsid w:val="00677C1A"/>
    <w:rsid w:val="00677C22"/>
    <w:rsid w:val="00677C95"/>
    <w:rsid w:val="00677FB0"/>
    <w:rsid w:val="006808CC"/>
    <w:rsid w:val="006809AA"/>
    <w:rsid w:val="00680AF4"/>
    <w:rsid w:val="00681495"/>
    <w:rsid w:val="0068171A"/>
    <w:rsid w:val="006817D4"/>
    <w:rsid w:val="00681F18"/>
    <w:rsid w:val="00682369"/>
    <w:rsid w:val="0068281F"/>
    <w:rsid w:val="00682C7C"/>
    <w:rsid w:val="00682E20"/>
    <w:rsid w:val="00682F4C"/>
    <w:rsid w:val="00683141"/>
    <w:rsid w:val="006838D8"/>
    <w:rsid w:val="006838DF"/>
    <w:rsid w:val="00683F2A"/>
    <w:rsid w:val="006842B9"/>
    <w:rsid w:val="00684966"/>
    <w:rsid w:val="00684BAF"/>
    <w:rsid w:val="006856FD"/>
    <w:rsid w:val="00685899"/>
    <w:rsid w:val="006859DA"/>
    <w:rsid w:val="00686772"/>
    <w:rsid w:val="00687642"/>
    <w:rsid w:val="0069023B"/>
    <w:rsid w:val="00690667"/>
    <w:rsid w:val="0069080B"/>
    <w:rsid w:val="006908E3"/>
    <w:rsid w:val="00690AAE"/>
    <w:rsid w:val="00690CBB"/>
    <w:rsid w:val="00690CC0"/>
    <w:rsid w:val="00691611"/>
    <w:rsid w:val="0069172E"/>
    <w:rsid w:val="00691895"/>
    <w:rsid w:val="00691932"/>
    <w:rsid w:val="006919FB"/>
    <w:rsid w:val="0069213E"/>
    <w:rsid w:val="00692162"/>
    <w:rsid w:val="0069246E"/>
    <w:rsid w:val="0069297F"/>
    <w:rsid w:val="00692D30"/>
    <w:rsid w:val="00692E71"/>
    <w:rsid w:val="00692F53"/>
    <w:rsid w:val="00692F6A"/>
    <w:rsid w:val="006934C4"/>
    <w:rsid w:val="00694124"/>
    <w:rsid w:val="006941DC"/>
    <w:rsid w:val="006952A8"/>
    <w:rsid w:val="00695597"/>
    <w:rsid w:val="00695EF1"/>
    <w:rsid w:val="00696411"/>
    <w:rsid w:val="00696A89"/>
    <w:rsid w:val="00696F75"/>
    <w:rsid w:val="00696FEC"/>
    <w:rsid w:val="00697165"/>
    <w:rsid w:val="00697477"/>
    <w:rsid w:val="00697D97"/>
    <w:rsid w:val="006A0116"/>
    <w:rsid w:val="006A037E"/>
    <w:rsid w:val="006A1D7D"/>
    <w:rsid w:val="006A1E12"/>
    <w:rsid w:val="006A2019"/>
    <w:rsid w:val="006A21CC"/>
    <w:rsid w:val="006A294D"/>
    <w:rsid w:val="006A30E6"/>
    <w:rsid w:val="006A3D41"/>
    <w:rsid w:val="006A4022"/>
    <w:rsid w:val="006A4C19"/>
    <w:rsid w:val="006A511D"/>
    <w:rsid w:val="006A53F3"/>
    <w:rsid w:val="006A5833"/>
    <w:rsid w:val="006A5B87"/>
    <w:rsid w:val="006A6143"/>
    <w:rsid w:val="006A72F8"/>
    <w:rsid w:val="006A7354"/>
    <w:rsid w:val="006A7796"/>
    <w:rsid w:val="006A7C96"/>
    <w:rsid w:val="006A7F83"/>
    <w:rsid w:val="006B0495"/>
    <w:rsid w:val="006B0DCB"/>
    <w:rsid w:val="006B0EAB"/>
    <w:rsid w:val="006B0EE5"/>
    <w:rsid w:val="006B15DB"/>
    <w:rsid w:val="006B2344"/>
    <w:rsid w:val="006B2408"/>
    <w:rsid w:val="006B299D"/>
    <w:rsid w:val="006B3325"/>
    <w:rsid w:val="006B33F7"/>
    <w:rsid w:val="006B3AF9"/>
    <w:rsid w:val="006B3C91"/>
    <w:rsid w:val="006B414C"/>
    <w:rsid w:val="006B48AB"/>
    <w:rsid w:val="006B4B0F"/>
    <w:rsid w:val="006B4BC6"/>
    <w:rsid w:val="006B5474"/>
    <w:rsid w:val="006B62A0"/>
    <w:rsid w:val="006B650F"/>
    <w:rsid w:val="006B6584"/>
    <w:rsid w:val="006C0449"/>
    <w:rsid w:val="006C0D0F"/>
    <w:rsid w:val="006C0E39"/>
    <w:rsid w:val="006C0E74"/>
    <w:rsid w:val="006C1394"/>
    <w:rsid w:val="006C1417"/>
    <w:rsid w:val="006C1721"/>
    <w:rsid w:val="006C183C"/>
    <w:rsid w:val="006C26D6"/>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61F"/>
    <w:rsid w:val="006C7815"/>
    <w:rsid w:val="006C7DE0"/>
    <w:rsid w:val="006D024B"/>
    <w:rsid w:val="006D0616"/>
    <w:rsid w:val="006D092B"/>
    <w:rsid w:val="006D0EDF"/>
    <w:rsid w:val="006D0F52"/>
    <w:rsid w:val="006D0FAB"/>
    <w:rsid w:val="006D1314"/>
    <w:rsid w:val="006D150C"/>
    <w:rsid w:val="006D15EE"/>
    <w:rsid w:val="006D16CA"/>
    <w:rsid w:val="006D1793"/>
    <w:rsid w:val="006D18A4"/>
    <w:rsid w:val="006D1ABE"/>
    <w:rsid w:val="006D1D06"/>
    <w:rsid w:val="006D2162"/>
    <w:rsid w:val="006D23EE"/>
    <w:rsid w:val="006D252A"/>
    <w:rsid w:val="006D2AB0"/>
    <w:rsid w:val="006D364F"/>
    <w:rsid w:val="006D3693"/>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A87"/>
    <w:rsid w:val="006E0A93"/>
    <w:rsid w:val="006E1B15"/>
    <w:rsid w:val="006E1CC8"/>
    <w:rsid w:val="006E346A"/>
    <w:rsid w:val="006E3C8A"/>
    <w:rsid w:val="006E3E0D"/>
    <w:rsid w:val="006E4064"/>
    <w:rsid w:val="006E4806"/>
    <w:rsid w:val="006E4C0D"/>
    <w:rsid w:val="006E58EA"/>
    <w:rsid w:val="006E5BF8"/>
    <w:rsid w:val="006E643B"/>
    <w:rsid w:val="006E67A4"/>
    <w:rsid w:val="006E6A02"/>
    <w:rsid w:val="006E6B01"/>
    <w:rsid w:val="006E6B82"/>
    <w:rsid w:val="006E6D16"/>
    <w:rsid w:val="006E6D29"/>
    <w:rsid w:val="006E783D"/>
    <w:rsid w:val="006E799D"/>
    <w:rsid w:val="006E79FB"/>
    <w:rsid w:val="006F0036"/>
    <w:rsid w:val="006F024E"/>
    <w:rsid w:val="006F0D97"/>
    <w:rsid w:val="006F10D4"/>
    <w:rsid w:val="006F1233"/>
    <w:rsid w:val="006F1244"/>
    <w:rsid w:val="006F27E0"/>
    <w:rsid w:val="006F28D9"/>
    <w:rsid w:val="006F2F67"/>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700B08"/>
    <w:rsid w:val="007016DE"/>
    <w:rsid w:val="007019B8"/>
    <w:rsid w:val="007025BA"/>
    <w:rsid w:val="007027C6"/>
    <w:rsid w:val="00702BB8"/>
    <w:rsid w:val="00702DE7"/>
    <w:rsid w:val="00702F4D"/>
    <w:rsid w:val="0070333C"/>
    <w:rsid w:val="00703533"/>
    <w:rsid w:val="0070385B"/>
    <w:rsid w:val="00703981"/>
    <w:rsid w:val="00703A33"/>
    <w:rsid w:val="00703A74"/>
    <w:rsid w:val="00703C5B"/>
    <w:rsid w:val="00703F00"/>
    <w:rsid w:val="0070407E"/>
    <w:rsid w:val="00704530"/>
    <w:rsid w:val="0070494F"/>
    <w:rsid w:val="00704969"/>
    <w:rsid w:val="00704BB0"/>
    <w:rsid w:val="00704EDF"/>
    <w:rsid w:val="00705423"/>
    <w:rsid w:val="00705758"/>
    <w:rsid w:val="00705840"/>
    <w:rsid w:val="00705E4A"/>
    <w:rsid w:val="0070688B"/>
    <w:rsid w:val="00706997"/>
    <w:rsid w:val="0070707A"/>
    <w:rsid w:val="0070710A"/>
    <w:rsid w:val="0070717A"/>
    <w:rsid w:val="00707244"/>
    <w:rsid w:val="00710AE5"/>
    <w:rsid w:val="007111CC"/>
    <w:rsid w:val="00711427"/>
    <w:rsid w:val="007114BF"/>
    <w:rsid w:val="0071151C"/>
    <w:rsid w:val="00711CBA"/>
    <w:rsid w:val="00712B2B"/>
    <w:rsid w:val="00712CCC"/>
    <w:rsid w:val="00712E48"/>
    <w:rsid w:val="0071303A"/>
    <w:rsid w:val="00713618"/>
    <w:rsid w:val="007136E9"/>
    <w:rsid w:val="00713739"/>
    <w:rsid w:val="0071378C"/>
    <w:rsid w:val="00713B78"/>
    <w:rsid w:val="00713DE5"/>
    <w:rsid w:val="00713ED0"/>
    <w:rsid w:val="00713F39"/>
    <w:rsid w:val="00714569"/>
    <w:rsid w:val="00714634"/>
    <w:rsid w:val="0071481A"/>
    <w:rsid w:val="007153A5"/>
    <w:rsid w:val="007155D9"/>
    <w:rsid w:val="007157A0"/>
    <w:rsid w:val="0071623B"/>
    <w:rsid w:val="00716CAD"/>
    <w:rsid w:val="007174DA"/>
    <w:rsid w:val="007178AF"/>
    <w:rsid w:val="007179F7"/>
    <w:rsid w:val="00717B0D"/>
    <w:rsid w:val="00717F41"/>
    <w:rsid w:val="00720910"/>
    <w:rsid w:val="00720F29"/>
    <w:rsid w:val="00720FF8"/>
    <w:rsid w:val="00721038"/>
    <w:rsid w:val="007210B3"/>
    <w:rsid w:val="007213A5"/>
    <w:rsid w:val="00721682"/>
    <w:rsid w:val="0072168A"/>
    <w:rsid w:val="00721B60"/>
    <w:rsid w:val="00721E12"/>
    <w:rsid w:val="007224C2"/>
    <w:rsid w:val="00722C19"/>
    <w:rsid w:val="00722D1E"/>
    <w:rsid w:val="00722DD1"/>
    <w:rsid w:val="007235B1"/>
    <w:rsid w:val="00723840"/>
    <w:rsid w:val="00723B3D"/>
    <w:rsid w:val="0072537E"/>
    <w:rsid w:val="00726000"/>
    <w:rsid w:val="0072603B"/>
    <w:rsid w:val="007262B2"/>
    <w:rsid w:val="007265DB"/>
    <w:rsid w:val="00726756"/>
    <w:rsid w:val="00726989"/>
    <w:rsid w:val="00726A30"/>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A5"/>
    <w:rsid w:val="007332C1"/>
    <w:rsid w:val="007334B1"/>
    <w:rsid w:val="00733510"/>
    <w:rsid w:val="007339F3"/>
    <w:rsid w:val="00733EB2"/>
    <w:rsid w:val="00733EF8"/>
    <w:rsid w:val="007340CF"/>
    <w:rsid w:val="00734270"/>
    <w:rsid w:val="00734400"/>
    <w:rsid w:val="00734898"/>
    <w:rsid w:val="007348EE"/>
    <w:rsid w:val="00734E65"/>
    <w:rsid w:val="00735107"/>
    <w:rsid w:val="007356BF"/>
    <w:rsid w:val="00736376"/>
    <w:rsid w:val="00737424"/>
    <w:rsid w:val="007378AD"/>
    <w:rsid w:val="00737FEC"/>
    <w:rsid w:val="00740292"/>
    <w:rsid w:val="00740D16"/>
    <w:rsid w:val="00740FB1"/>
    <w:rsid w:val="007424E5"/>
    <w:rsid w:val="0074262A"/>
    <w:rsid w:val="0074269A"/>
    <w:rsid w:val="00742B07"/>
    <w:rsid w:val="00742DB5"/>
    <w:rsid w:val="00743059"/>
    <w:rsid w:val="00743DFD"/>
    <w:rsid w:val="00744619"/>
    <w:rsid w:val="0074462C"/>
    <w:rsid w:val="0074497C"/>
    <w:rsid w:val="00744D93"/>
    <w:rsid w:val="00746BA2"/>
    <w:rsid w:val="00746E0F"/>
    <w:rsid w:val="0075064C"/>
    <w:rsid w:val="00750E7E"/>
    <w:rsid w:val="00751AAF"/>
    <w:rsid w:val="00752285"/>
    <w:rsid w:val="00752801"/>
    <w:rsid w:val="00752B96"/>
    <w:rsid w:val="00752E39"/>
    <w:rsid w:val="0075451A"/>
    <w:rsid w:val="00754E06"/>
    <w:rsid w:val="00755374"/>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E6B"/>
    <w:rsid w:val="00761FC2"/>
    <w:rsid w:val="007622F8"/>
    <w:rsid w:val="00762D4F"/>
    <w:rsid w:val="00763097"/>
    <w:rsid w:val="00763A41"/>
    <w:rsid w:val="00764C54"/>
    <w:rsid w:val="00764CB0"/>
    <w:rsid w:val="007651A7"/>
    <w:rsid w:val="00765229"/>
    <w:rsid w:val="007660A1"/>
    <w:rsid w:val="0076613D"/>
    <w:rsid w:val="0076641B"/>
    <w:rsid w:val="0076651A"/>
    <w:rsid w:val="007666D8"/>
    <w:rsid w:val="00766D03"/>
    <w:rsid w:val="00766F2A"/>
    <w:rsid w:val="007671B6"/>
    <w:rsid w:val="007671DA"/>
    <w:rsid w:val="0076767E"/>
    <w:rsid w:val="00767ADE"/>
    <w:rsid w:val="00767C28"/>
    <w:rsid w:val="00770C72"/>
    <w:rsid w:val="00770FBF"/>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3B5"/>
    <w:rsid w:val="00775AAA"/>
    <w:rsid w:val="00776EDA"/>
    <w:rsid w:val="00777599"/>
    <w:rsid w:val="007779A0"/>
    <w:rsid w:val="00777A2C"/>
    <w:rsid w:val="00780F1B"/>
    <w:rsid w:val="00780FEA"/>
    <w:rsid w:val="0078165D"/>
    <w:rsid w:val="00781C97"/>
    <w:rsid w:val="00782B59"/>
    <w:rsid w:val="00782D66"/>
    <w:rsid w:val="00782F57"/>
    <w:rsid w:val="00783603"/>
    <w:rsid w:val="00783786"/>
    <w:rsid w:val="00783D34"/>
    <w:rsid w:val="00784F4F"/>
    <w:rsid w:val="00785646"/>
    <w:rsid w:val="00785CF8"/>
    <w:rsid w:val="00785EA1"/>
    <w:rsid w:val="007860F9"/>
    <w:rsid w:val="007862B1"/>
    <w:rsid w:val="00786628"/>
    <w:rsid w:val="00786B64"/>
    <w:rsid w:val="0078734E"/>
    <w:rsid w:val="00787700"/>
    <w:rsid w:val="00790A3E"/>
    <w:rsid w:val="00790BBC"/>
    <w:rsid w:val="00790BE6"/>
    <w:rsid w:val="00790F87"/>
    <w:rsid w:val="00791119"/>
    <w:rsid w:val="0079147B"/>
    <w:rsid w:val="00791A59"/>
    <w:rsid w:val="00791B62"/>
    <w:rsid w:val="00792A24"/>
    <w:rsid w:val="0079304F"/>
    <w:rsid w:val="00793277"/>
    <w:rsid w:val="007934FB"/>
    <w:rsid w:val="00793987"/>
    <w:rsid w:val="0079435F"/>
    <w:rsid w:val="00794F40"/>
    <w:rsid w:val="007951D5"/>
    <w:rsid w:val="00795A23"/>
    <w:rsid w:val="00796068"/>
    <w:rsid w:val="00796163"/>
    <w:rsid w:val="00796472"/>
    <w:rsid w:val="00796CC0"/>
    <w:rsid w:val="00796CF1"/>
    <w:rsid w:val="007974AF"/>
    <w:rsid w:val="007979EA"/>
    <w:rsid w:val="00797A74"/>
    <w:rsid w:val="00797ACF"/>
    <w:rsid w:val="00797C1C"/>
    <w:rsid w:val="007A1151"/>
    <w:rsid w:val="007A1397"/>
    <w:rsid w:val="007A1456"/>
    <w:rsid w:val="007A17A6"/>
    <w:rsid w:val="007A1970"/>
    <w:rsid w:val="007A19BC"/>
    <w:rsid w:val="007A1A35"/>
    <w:rsid w:val="007A2166"/>
    <w:rsid w:val="007A2B7F"/>
    <w:rsid w:val="007A3059"/>
    <w:rsid w:val="007A336F"/>
    <w:rsid w:val="007A33FA"/>
    <w:rsid w:val="007A3811"/>
    <w:rsid w:val="007A3A89"/>
    <w:rsid w:val="007A45A6"/>
    <w:rsid w:val="007A536B"/>
    <w:rsid w:val="007A5409"/>
    <w:rsid w:val="007A5922"/>
    <w:rsid w:val="007A5924"/>
    <w:rsid w:val="007A5969"/>
    <w:rsid w:val="007A5AAE"/>
    <w:rsid w:val="007A63D4"/>
    <w:rsid w:val="007A7750"/>
    <w:rsid w:val="007A77BF"/>
    <w:rsid w:val="007A7AA2"/>
    <w:rsid w:val="007A7C23"/>
    <w:rsid w:val="007B05AC"/>
    <w:rsid w:val="007B07A6"/>
    <w:rsid w:val="007B09E9"/>
    <w:rsid w:val="007B0A30"/>
    <w:rsid w:val="007B0BF2"/>
    <w:rsid w:val="007B100F"/>
    <w:rsid w:val="007B1ABA"/>
    <w:rsid w:val="007B2070"/>
    <w:rsid w:val="007B221D"/>
    <w:rsid w:val="007B24B8"/>
    <w:rsid w:val="007B259B"/>
    <w:rsid w:val="007B322F"/>
    <w:rsid w:val="007B38E3"/>
    <w:rsid w:val="007B3F28"/>
    <w:rsid w:val="007B434A"/>
    <w:rsid w:val="007B452C"/>
    <w:rsid w:val="007B459E"/>
    <w:rsid w:val="007B471E"/>
    <w:rsid w:val="007B4ACA"/>
    <w:rsid w:val="007B4E1A"/>
    <w:rsid w:val="007B5018"/>
    <w:rsid w:val="007B53DE"/>
    <w:rsid w:val="007B53E7"/>
    <w:rsid w:val="007B6129"/>
    <w:rsid w:val="007B65B3"/>
    <w:rsid w:val="007B66B8"/>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3515"/>
    <w:rsid w:val="007C38F7"/>
    <w:rsid w:val="007C3908"/>
    <w:rsid w:val="007C3AA6"/>
    <w:rsid w:val="007C4290"/>
    <w:rsid w:val="007C42FB"/>
    <w:rsid w:val="007C4499"/>
    <w:rsid w:val="007C4E99"/>
    <w:rsid w:val="007C5151"/>
    <w:rsid w:val="007C546B"/>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DF2"/>
    <w:rsid w:val="007D0B2E"/>
    <w:rsid w:val="007D0C56"/>
    <w:rsid w:val="007D0CD1"/>
    <w:rsid w:val="007D0ED0"/>
    <w:rsid w:val="007D1005"/>
    <w:rsid w:val="007D1F01"/>
    <w:rsid w:val="007D246B"/>
    <w:rsid w:val="007D250D"/>
    <w:rsid w:val="007D3500"/>
    <w:rsid w:val="007D3868"/>
    <w:rsid w:val="007D3E0E"/>
    <w:rsid w:val="007D3F48"/>
    <w:rsid w:val="007D4104"/>
    <w:rsid w:val="007D420F"/>
    <w:rsid w:val="007D48CF"/>
    <w:rsid w:val="007D4A4A"/>
    <w:rsid w:val="007D4C4B"/>
    <w:rsid w:val="007D560E"/>
    <w:rsid w:val="007D5D5F"/>
    <w:rsid w:val="007D5F85"/>
    <w:rsid w:val="007D7606"/>
    <w:rsid w:val="007D77EB"/>
    <w:rsid w:val="007E018B"/>
    <w:rsid w:val="007E0637"/>
    <w:rsid w:val="007E0721"/>
    <w:rsid w:val="007E0B69"/>
    <w:rsid w:val="007E0C58"/>
    <w:rsid w:val="007E0CC7"/>
    <w:rsid w:val="007E0CF4"/>
    <w:rsid w:val="007E0D6F"/>
    <w:rsid w:val="007E0E05"/>
    <w:rsid w:val="007E0E11"/>
    <w:rsid w:val="007E133A"/>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E7D7E"/>
    <w:rsid w:val="007F00D0"/>
    <w:rsid w:val="007F0546"/>
    <w:rsid w:val="007F0635"/>
    <w:rsid w:val="007F0754"/>
    <w:rsid w:val="007F1691"/>
    <w:rsid w:val="007F1B7A"/>
    <w:rsid w:val="007F1DEB"/>
    <w:rsid w:val="007F2142"/>
    <w:rsid w:val="007F22A5"/>
    <w:rsid w:val="007F27A7"/>
    <w:rsid w:val="007F2A0B"/>
    <w:rsid w:val="007F2DC4"/>
    <w:rsid w:val="007F2E4B"/>
    <w:rsid w:val="007F367E"/>
    <w:rsid w:val="007F3B8F"/>
    <w:rsid w:val="007F3D93"/>
    <w:rsid w:val="007F413A"/>
    <w:rsid w:val="007F421D"/>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11F2"/>
    <w:rsid w:val="00801385"/>
    <w:rsid w:val="0080157F"/>
    <w:rsid w:val="00801588"/>
    <w:rsid w:val="00802807"/>
    <w:rsid w:val="00802CC5"/>
    <w:rsid w:val="00802DA0"/>
    <w:rsid w:val="00803139"/>
    <w:rsid w:val="00803CE2"/>
    <w:rsid w:val="008043A4"/>
    <w:rsid w:val="00804983"/>
    <w:rsid w:val="008051DE"/>
    <w:rsid w:val="00805594"/>
    <w:rsid w:val="00805656"/>
    <w:rsid w:val="00805659"/>
    <w:rsid w:val="0080593E"/>
    <w:rsid w:val="00805F9A"/>
    <w:rsid w:val="008069B2"/>
    <w:rsid w:val="0080733E"/>
    <w:rsid w:val="0080783D"/>
    <w:rsid w:val="008100B2"/>
    <w:rsid w:val="00810B66"/>
    <w:rsid w:val="00810CC2"/>
    <w:rsid w:val="00811B4D"/>
    <w:rsid w:val="008124CB"/>
    <w:rsid w:val="00812C2A"/>
    <w:rsid w:val="00812FCB"/>
    <w:rsid w:val="00813052"/>
    <w:rsid w:val="0081324B"/>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3CB"/>
    <w:rsid w:val="008209BC"/>
    <w:rsid w:val="0082117C"/>
    <w:rsid w:val="00821702"/>
    <w:rsid w:val="008218ED"/>
    <w:rsid w:val="00822563"/>
    <w:rsid w:val="00823472"/>
    <w:rsid w:val="008234BD"/>
    <w:rsid w:val="00823663"/>
    <w:rsid w:val="00823997"/>
    <w:rsid w:val="00823A7E"/>
    <w:rsid w:val="00824A8C"/>
    <w:rsid w:val="00825155"/>
    <w:rsid w:val="00825D4C"/>
    <w:rsid w:val="00825EB9"/>
    <w:rsid w:val="008261E9"/>
    <w:rsid w:val="00826614"/>
    <w:rsid w:val="0082668A"/>
    <w:rsid w:val="00826786"/>
    <w:rsid w:val="00827461"/>
    <w:rsid w:val="008277BF"/>
    <w:rsid w:val="00827D75"/>
    <w:rsid w:val="00830099"/>
    <w:rsid w:val="008301A9"/>
    <w:rsid w:val="008301B7"/>
    <w:rsid w:val="008303E2"/>
    <w:rsid w:val="00830537"/>
    <w:rsid w:val="00830917"/>
    <w:rsid w:val="00830D99"/>
    <w:rsid w:val="00830FFD"/>
    <w:rsid w:val="00831194"/>
    <w:rsid w:val="00831589"/>
    <w:rsid w:val="0083169F"/>
    <w:rsid w:val="00831B7E"/>
    <w:rsid w:val="00832496"/>
    <w:rsid w:val="0083324B"/>
    <w:rsid w:val="00833A8F"/>
    <w:rsid w:val="00833C13"/>
    <w:rsid w:val="00833D53"/>
    <w:rsid w:val="00834123"/>
    <w:rsid w:val="008341F8"/>
    <w:rsid w:val="00834892"/>
    <w:rsid w:val="008359DA"/>
    <w:rsid w:val="008359F3"/>
    <w:rsid w:val="00835C7F"/>
    <w:rsid w:val="00835DB6"/>
    <w:rsid w:val="00836113"/>
    <w:rsid w:val="00836AC2"/>
    <w:rsid w:val="00836D7F"/>
    <w:rsid w:val="0083711B"/>
    <w:rsid w:val="00837188"/>
    <w:rsid w:val="008376FE"/>
    <w:rsid w:val="00837C00"/>
    <w:rsid w:val="00837D13"/>
    <w:rsid w:val="0084005B"/>
    <w:rsid w:val="0084051D"/>
    <w:rsid w:val="008406D5"/>
    <w:rsid w:val="008417E1"/>
    <w:rsid w:val="00841D7F"/>
    <w:rsid w:val="008425EB"/>
    <w:rsid w:val="00842833"/>
    <w:rsid w:val="0084289D"/>
    <w:rsid w:val="00842941"/>
    <w:rsid w:val="00843779"/>
    <w:rsid w:val="00843798"/>
    <w:rsid w:val="00843BED"/>
    <w:rsid w:val="00843FB3"/>
    <w:rsid w:val="008444E7"/>
    <w:rsid w:val="008447C8"/>
    <w:rsid w:val="00844C5B"/>
    <w:rsid w:val="00844F50"/>
    <w:rsid w:val="008451F5"/>
    <w:rsid w:val="00845856"/>
    <w:rsid w:val="00845944"/>
    <w:rsid w:val="00845DFB"/>
    <w:rsid w:val="00846833"/>
    <w:rsid w:val="008475D6"/>
    <w:rsid w:val="00847B37"/>
    <w:rsid w:val="008501A4"/>
    <w:rsid w:val="008502F2"/>
    <w:rsid w:val="008505A1"/>
    <w:rsid w:val="00850817"/>
    <w:rsid w:val="008508FD"/>
    <w:rsid w:val="00850D6A"/>
    <w:rsid w:val="00850D70"/>
    <w:rsid w:val="008511F2"/>
    <w:rsid w:val="00851D16"/>
    <w:rsid w:val="00851E54"/>
    <w:rsid w:val="00852005"/>
    <w:rsid w:val="0085284B"/>
    <w:rsid w:val="0085292C"/>
    <w:rsid w:val="0085292E"/>
    <w:rsid w:val="00852B02"/>
    <w:rsid w:val="00852B27"/>
    <w:rsid w:val="00853A16"/>
    <w:rsid w:val="00853B91"/>
    <w:rsid w:val="00853F97"/>
    <w:rsid w:val="0085433A"/>
    <w:rsid w:val="00854A85"/>
    <w:rsid w:val="00854B32"/>
    <w:rsid w:val="00854DD3"/>
    <w:rsid w:val="0085553C"/>
    <w:rsid w:val="00855F2B"/>
    <w:rsid w:val="00855FBE"/>
    <w:rsid w:val="00856252"/>
    <w:rsid w:val="00856C76"/>
    <w:rsid w:val="008570DF"/>
    <w:rsid w:val="008571A7"/>
    <w:rsid w:val="00857554"/>
    <w:rsid w:val="00857634"/>
    <w:rsid w:val="008577C7"/>
    <w:rsid w:val="008578B7"/>
    <w:rsid w:val="00857FFB"/>
    <w:rsid w:val="00860B38"/>
    <w:rsid w:val="0086124E"/>
    <w:rsid w:val="00861AF9"/>
    <w:rsid w:val="00861B74"/>
    <w:rsid w:val="00861DF4"/>
    <w:rsid w:val="00862DB7"/>
    <w:rsid w:val="00863C6A"/>
    <w:rsid w:val="00864A10"/>
    <w:rsid w:val="00864F86"/>
    <w:rsid w:val="00865089"/>
    <w:rsid w:val="008652C9"/>
    <w:rsid w:val="00865D8B"/>
    <w:rsid w:val="00866084"/>
    <w:rsid w:val="00866992"/>
    <w:rsid w:val="00866CA9"/>
    <w:rsid w:val="008676DF"/>
    <w:rsid w:val="00867897"/>
    <w:rsid w:val="00867AD6"/>
    <w:rsid w:val="00867C5B"/>
    <w:rsid w:val="00867E32"/>
    <w:rsid w:val="0087057E"/>
    <w:rsid w:val="00870AAD"/>
    <w:rsid w:val="00871909"/>
    <w:rsid w:val="008720A6"/>
    <w:rsid w:val="00872942"/>
    <w:rsid w:val="0087361A"/>
    <w:rsid w:val="00873B76"/>
    <w:rsid w:val="0087469C"/>
    <w:rsid w:val="00874DB9"/>
    <w:rsid w:val="0087504D"/>
    <w:rsid w:val="008754CA"/>
    <w:rsid w:val="0087568C"/>
    <w:rsid w:val="0087572F"/>
    <w:rsid w:val="00875991"/>
    <w:rsid w:val="00875BB1"/>
    <w:rsid w:val="00875BB5"/>
    <w:rsid w:val="008760C3"/>
    <w:rsid w:val="00876F26"/>
    <w:rsid w:val="008770A8"/>
    <w:rsid w:val="008771B6"/>
    <w:rsid w:val="008774D0"/>
    <w:rsid w:val="00877865"/>
    <w:rsid w:val="00877D1E"/>
    <w:rsid w:val="00877E86"/>
    <w:rsid w:val="00877FDD"/>
    <w:rsid w:val="0088015B"/>
    <w:rsid w:val="00880815"/>
    <w:rsid w:val="00880FED"/>
    <w:rsid w:val="00881415"/>
    <w:rsid w:val="0088186D"/>
    <w:rsid w:val="00881987"/>
    <w:rsid w:val="00881B40"/>
    <w:rsid w:val="00882A96"/>
    <w:rsid w:val="008841C8"/>
    <w:rsid w:val="0088463A"/>
    <w:rsid w:val="0088469F"/>
    <w:rsid w:val="0088480B"/>
    <w:rsid w:val="00884B9A"/>
    <w:rsid w:val="00884BD3"/>
    <w:rsid w:val="00885367"/>
    <w:rsid w:val="008853CE"/>
    <w:rsid w:val="008855A4"/>
    <w:rsid w:val="00885871"/>
    <w:rsid w:val="00885989"/>
    <w:rsid w:val="00885B0B"/>
    <w:rsid w:val="00885D27"/>
    <w:rsid w:val="00886050"/>
    <w:rsid w:val="008867F4"/>
    <w:rsid w:val="0088692D"/>
    <w:rsid w:val="00886EE2"/>
    <w:rsid w:val="00887082"/>
    <w:rsid w:val="0088722F"/>
    <w:rsid w:val="00887546"/>
    <w:rsid w:val="00887C8D"/>
    <w:rsid w:val="00887DC7"/>
    <w:rsid w:val="00890821"/>
    <w:rsid w:val="00890CE4"/>
    <w:rsid w:val="00890D3C"/>
    <w:rsid w:val="00891434"/>
    <w:rsid w:val="00891A0E"/>
    <w:rsid w:val="00891ADA"/>
    <w:rsid w:val="00891FCC"/>
    <w:rsid w:val="00892702"/>
    <w:rsid w:val="00892841"/>
    <w:rsid w:val="008928A8"/>
    <w:rsid w:val="00892ABE"/>
    <w:rsid w:val="00892BB8"/>
    <w:rsid w:val="00893014"/>
    <w:rsid w:val="008939C2"/>
    <w:rsid w:val="00893BAF"/>
    <w:rsid w:val="00894600"/>
    <w:rsid w:val="0089513A"/>
    <w:rsid w:val="008953B7"/>
    <w:rsid w:val="008954E8"/>
    <w:rsid w:val="00895D68"/>
    <w:rsid w:val="008961D5"/>
    <w:rsid w:val="008965FF"/>
    <w:rsid w:val="00896755"/>
    <w:rsid w:val="00896F38"/>
    <w:rsid w:val="00897A55"/>
    <w:rsid w:val="008A019D"/>
    <w:rsid w:val="008A0423"/>
    <w:rsid w:val="008A086B"/>
    <w:rsid w:val="008A0993"/>
    <w:rsid w:val="008A0F0E"/>
    <w:rsid w:val="008A12E6"/>
    <w:rsid w:val="008A140B"/>
    <w:rsid w:val="008A1565"/>
    <w:rsid w:val="008A195C"/>
    <w:rsid w:val="008A1C9E"/>
    <w:rsid w:val="008A2417"/>
    <w:rsid w:val="008A273A"/>
    <w:rsid w:val="008A2B57"/>
    <w:rsid w:val="008A2C79"/>
    <w:rsid w:val="008A344D"/>
    <w:rsid w:val="008A3976"/>
    <w:rsid w:val="008A4647"/>
    <w:rsid w:val="008A47EC"/>
    <w:rsid w:val="008A4A7A"/>
    <w:rsid w:val="008A4D6C"/>
    <w:rsid w:val="008A5034"/>
    <w:rsid w:val="008A553E"/>
    <w:rsid w:val="008A55C0"/>
    <w:rsid w:val="008A5D49"/>
    <w:rsid w:val="008A5D4A"/>
    <w:rsid w:val="008A60C7"/>
    <w:rsid w:val="008A63CF"/>
    <w:rsid w:val="008A6414"/>
    <w:rsid w:val="008A6952"/>
    <w:rsid w:val="008A69D6"/>
    <w:rsid w:val="008A6BDC"/>
    <w:rsid w:val="008A7333"/>
    <w:rsid w:val="008A7429"/>
    <w:rsid w:val="008A751E"/>
    <w:rsid w:val="008A756C"/>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D72"/>
    <w:rsid w:val="008B3DF6"/>
    <w:rsid w:val="008B3ED8"/>
    <w:rsid w:val="008B411A"/>
    <w:rsid w:val="008B434A"/>
    <w:rsid w:val="008B4A47"/>
    <w:rsid w:val="008B50D8"/>
    <w:rsid w:val="008B5688"/>
    <w:rsid w:val="008B58F9"/>
    <w:rsid w:val="008B5DA7"/>
    <w:rsid w:val="008B6640"/>
    <w:rsid w:val="008B756E"/>
    <w:rsid w:val="008B79A7"/>
    <w:rsid w:val="008B7B55"/>
    <w:rsid w:val="008B7E1F"/>
    <w:rsid w:val="008C0339"/>
    <w:rsid w:val="008C12EF"/>
    <w:rsid w:val="008C15C2"/>
    <w:rsid w:val="008C1A4A"/>
    <w:rsid w:val="008C1AFD"/>
    <w:rsid w:val="008C25D0"/>
    <w:rsid w:val="008C2691"/>
    <w:rsid w:val="008C26D0"/>
    <w:rsid w:val="008C29EE"/>
    <w:rsid w:val="008C2ABC"/>
    <w:rsid w:val="008C31CD"/>
    <w:rsid w:val="008C3730"/>
    <w:rsid w:val="008C39CB"/>
    <w:rsid w:val="008C3A5B"/>
    <w:rsid w:val="008C3D50"/>
    <w:rsid w:val="008C437D"/>
    <w:rsid w:val="008C4823"/>
    <w:rsid w:val="008C4EF9"/>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FE1"/>
    <w:rsid w:val="008D2382"/>
    <w:rsid w:val="008D23DC"/>
    <w:rsid w:val="008D290D"/>
    <w:rsid w:val="008D2D76"/>
    <w:rsid w:val="008D2EB8"/>
    <w:rsid w:val="008D2F21"/>
    <w:rsid w:val="008D3521"/>
    <w:rsid w:val="008D3570"/>
    <w:rsid w:val="008D3C87"/>
    <w:rsid w:val="008D40B3"/>
    <w:rsid w:val="008D421A"/>
    <w:rsid w:val="008D4846"/>
    <w:rsid w:val="008D5667"/>
    <w:rsid w:val="008D61B7"/>
    <w:rsid w:val="008D62A6"/>
    <w:rsid w:val="008D675C"/>
    <w:rsid w:val="008D6B2F"/>
    <w:rsid w:val="008D6F5D"/>
    <w:rsid w:val="008D7CB3"/>
    <w:rsid w:val="008D7CB8"/>
    <w:rsid w:val="008D7F62"/>
    <w:rsid w:val="008E003A"/>
    <w:rsid w:val="008E08A4"/>
    <w:rsid w:val="008E15E3"/>
    <w:rsid w:val="008E197E"/>
    <w:rsid w:val="008E2045"/>
    <w:rsid w:val="008E28AE"/>
    <w:rsid w:val="008E3380"/>
    <w:rsid w:val="008E3AC0"/>
    <w:rsid w:val="008E3F76"/>
    <w:rsid w:val="008E4027"/>
    <w:rsid w:val="008E477B"/>
    <w:rsid w:val="008E4A1F"/>
    <w:rsid w:val="008E4C62"/>
    <w:rsid w:val="008E4E55"/>
    <w:rsid w:val="008E537D"/>
    <w:rsid w:val="008E6003"/>
    <w:rsid w:val="008E6A21"/>
    <w:rsid w:val="008E6BEC"/>
    <w:rsid w:val="008E6F9F"/>
    <w:rsid w:val="008E727E"/>
    <w:rsid w:val="008E72E1"/>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912"/>
    <w:rsid w:val="008F4047"/>
    <w:rsid w:val="008F4111"/>
    <w:rsid w:val="008F4593"/>
    <w:rsid w:val="008F4FDF"/>
    <w:rsid w:val="008F50FE"/>
    <w:rsid w:val="008F5604"/>
    <w:rsid w:val="008F5AE6"/>
    <w:rsid w:val="008F6220"/>
    <w:rsid w:val="008F660B"/>
    <w:rsid w:val="008F695F"/>
    <w:rsid w:val="008F6E12"/>
    <w:rsid w:val="008F7290"/>
    <w:rsid w:val="00900057"/>
    <w:rsid w:val="0090019D"/>
    <w:rsid w:val="00900516"/>
    <w:rsid w:val="009005CE"/>
    <w:rsid w:val="00900822"/>
    <w:rsid w:val="00900C17"/>
    <w:rsid w:val="00900CF2"/>
    <w:rsid w:val="00901376"/>
    <w:rsid w:val="0090187D"/>
    <w:rsid w:val="0090188B"/>
    <w:rsid w:val="00901AF4"/>
    <w:rsid w:val="00901EE5"/>
    <w:rsid w:val="00901F83"/>
    <w:rsid w:val="009021A4"/>
    <w:rsid w:val="009027FA"/>
    <w:rsid w:val="009028CD"/>
    <w:rsid w:val="00902A54"/>
    <w:rsid w:val="0090306F"/>
    <w:rsid w:val="00903309"/>
    <w:rsid w:val="00904305"/>
    <w:rsid w:val="00904362"/>
    <w:rsid w:val="0090441C"/>
    <w:rsid w:val="009045D3"/>
    <w:rsid w:val="00904986"/>
    <w:rsid w:val="00904C5A"/>
    <w:rsid w:val="00904EC5"/>
    <w:rsid w:val="009104A9"/>
    <w:rsid w:val="00910550"/>
    <w:rsid w:val="00910A48"/>
    <w:rsid w:val="00910C0D"/>
    <w:rsid w:val="0091159F"/>
    <w:rsid w:val="0091267A"/>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5779"/>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1B79"/>
    <w:rsid w:val="00922061"/>
    <w:rsid w:val="009226F4"/>
    <w:rsid w:val="00922CD3"/>
    <w:rsid w:val="0092336E"/>
    <w:rsid w:val="009236AA"/>
    <w:rsid w:val="009238AF"/>
    <w:rsid w:val="009239AA"/>
    <w:rsid w:val="00924173"/>
    <w:rsid w:val="0092425D"/>
    <w:rsid w:val="009245B5"/>
    <w:rsid w:val="009245D0"/>
    <w:rsid w:val="00924AB4"/>
    <w:rsid w:val="009252B5"/>
    <w:rsid w:val="00925431"/>
    <w:rsid w:val="0092578D"/>
    <w:rsid w:val="00925DF7"/>
    <w:rsid w:val="00925EF2"/>
    <w:rsid w:val="00925F3C"/>
    <w:rsid w:val="00926204"/>
    <w:rsid w:val="009264C7"/>
    <w:rsid w:val="009265A0"/>
    <w:rsid w:val="00926984"/>
    <w:rsid w:val="009269E3"/>
    <w:rsid w:val="009274C7"/>
    <w:rsid w:val="00927CC9"/>
    <w:rsid w:val="0093097F"/>
    <w:rsid w:val="00930F0E"/>
    <w:rsid w:val="00932208"/>
    <w:rsid w:val="00932259"/>
    <w:rsid w:val="009327C5"/>
    <w:rsid w:val="00932814"/>
    <w:rsid w:val="00932973"/>
    <w:rsid w:val="00932ED6"/>
    <w:rsid w:val="009332F5"/>
    <w:rsid w:val="009336C8"/>
    <w:rsid w:val="009339EB"/>
    <w:rsid w:val="00933A1D"/>
    <w:rsid w:val="009346EA"/>
    <w:rsid w:val="00934BAF"/>
    <w:rsid w:val="00934D8A"/>
    <w:rsid w:val="00934F64"/>
    <w:rsid w:val="00934F6D"/>
    <w:rsid w:val="00935493"/>
    <w:rsid w:val="009354B8"/>
    <w:rsid w:val="009355A2"/>
    <w:rsid w:val="00935803"/>
    <w:rsid w:val="00935A19"/>
    <w:rsid w:val="00935B29"/>
    <w:rsid w:val="00935B3E"/>
    <w:rsid w:val="00935C40"/>
    <w:rsid w:val="00935C79"/>
    <w:rsid w:val="00935F4D"/>
    <w:rsid w:val="00936158"/>
    <w:rsid w:val="009361D3"/>
    <w:rsid w:val="00936798"/>
    <w:rsid w:val="0093685C"/>
    <w:rsid w:val="00936B5E"/>
    <w:rsid w:val="00936BFE"/>
    <w:rsid w:val="00936C7F"/>
    <w:rsid w:val="009373EF"/>
    <w:rsid w:val="009377EA"/>
    <w:rsid w:val="0093795C"/>
    <w:rsid w:val="00937DCB"/>
    <w:rsid w:val="00937EC9"/>
    <w:rsid w:val="00937F7E"/>
    <w:rsid w:val="0094001E"/>
    <w:rsid w:val="00940576"/>
    <w:rsid w:val="0094104B"/>
    <w:rsid w:val="0094141F"/>
    <w:rsid w:val="00942022"/>
    <w:rsid w:val="009425D0"/>
    <w:rsid w:val="00942814"/>
    <w:rsid w:val="00943395"/>
    <w:rsid w:val="00943453"/>
    <w:rsid w:val="00943F9A"/>
    <w:rsid w:val="009440DE"/>
    <w:rsid w:val="00944198"/>
    <w:rsid w:val="0094429F"/>
    <w:rsid w:val="009444E6"/>
    <w:rsid w:val="009449E0"/>
    <w:rsid w:val="00944A8E"/>
    <w:rsid w:val="009450F0"/>
    <w:rsid w:val="009453E9"/>
    <w:rsid w:val="0094541F"/>
    <w:rsid w:val="009455E6"/>
    <w:rsid w:val="0094589B"/>
    <w:rsid w:val="00946A49"/>
    <w:rsid w:val="00947AEE"/>
    <w:rsid w:val="00950775"/>
    <w:rsid w:val="009509C0"/>
    <w:rsid w:val="00950AFF"/>
    <w:rsid w:val="00951313"/>
    <w:rsid w:val="00951938"/>
    <w:rsid w:val="00952A65"/>
    <w:rsid w:val="00952B9C"/>
    <w:rsid w:val="00952E93"/>
    <w:rsid w:val="009530DC"/>
    <w:rsid w:val="00953422"/>
    <w:rsid w:val="00953B70"/>
    <w:rsid w:val="00953CCB"/>
    <w:rsid w:val="00954978"/>
    <w:rsid w:val="00954C38"/>
    <w:rsid w:val="00955620"/>
    <w:rsid w:val="00955E2A"/>
    <w:rsid w:val="00956330"/>
    <w:rsid w:val="00956348"/>
    <w:rsid w:val="00956BA7"/>
    <w:rsid w:val="00956FD8"/>
    <w:rsid w:val="009575F7"/>
    <w:rsid w:val="009577D1"/>
    <w:rsid w:val="00957A98"/>
    <w:rsid w:val="00957B9A"/>
    <w:rsid w:val="00957E4B"/>
    <w:rsid w:val="0096021A"/>
    <w:rsid w:val="0096053C"/>
    <w:rsid w:val="00960F73"/>
    <w:rsid w:val="00961346"/>
    <w:rsid w:val="0096169A"/>
    <w:rsid w:val="00961A86"/>
    <w:rsid w:val="00961F29"/>
    <w:rsid w:val="009622D8"/>
    <w:rsid w:val="00962337"/>
    <w:rsid w:val="009624DE"/>
    <w:rsid w:val="00962C94"/>
    <w:rsid w:val="00962F11"/>
    <w:rsid w:val="009635FB"/>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3A7"/>
    <w:rsid w:val="009705AB"/>
    <w:rsid w:val="009707B6"/>
    <w:rsid w:val="009709EC"/>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D85"/>
    <w:rsid w:val="00980C3D"/>
    <w:rsid w:val="0098103C"/>
    <w:rsid w:val="00981234"/>
    <w:rsid w:val="009812A8"/>
    <w:rsid w:val="00981632"/>
    <w:rsid w:val="00981F17"/>
    <w:rsid w:val="00981FA0"/>
    <w:rsid w:val="00982496"/>
    <w:rsid w:val="009825AE"/>
    <w:rsid w:val="0098263A"/>
    <w:rsid w:val="00983541"/>
    <w:rsid w:val="00983A7B"/>
    <w:rsid w:val="00984046"/>
    <w:rsid w:val="00984366"/>
    <w:rsid w:val="00984666"/>
    <w:rsid w:val="009848A7"/>
    <w:rsid w:val="00984E80"/>
    <w:rsid w:val="00985656"/>
    <w:rsid w:val="00985B6F"/>
    <w:rsid w:val="009861A8"/>
    <w:rsid w:val="0098634E"/>
    <w:rsid w:val="0098690F"/>
    <w:rsid w:val="00986A7E"/>
    <w:rsid w:val="00986FBE"/>
    <w:rsid w:val="0098701B"/>
    <w:rsid w:val="00987088"/>
    <w:rsid w:val="009870A0"/>
    <w:rsid w:val="0098752A"/>
    <w:rsid w:val="00987994"/>
    <w:rsid w:val="00987A84"/>
    <w:rsid w:val="00987ACF"/>
    <w:rsid w:val="00987B36"/>
    <w:rsid w:val="00987C66"/>
    <w:rsid w:val="00987EE5"/>
    <w:rsid w:val="009900F0"/>
    <w:rsid w:val="00990180"/>
    <w:rsid w:val="00990C67"/>
    <w:rsid w:val="00990E8A"/>
    <w:rsid w:val="00991CD8"/>
    <w:rsid w:val="00991EBE"/>
    <w:rsid w:val="009923AC"/>
    <w:rsid w:val="00992830"/>
    <w:rsid w:val="009928B3"/>
    <w:rsid w:val="00992A4A"/>
    <w:rsid w:val="00992B6B"/>
    <w:rsid w:val="00992C88"/>
    <w:rsid w:val="00993431"/>
    <w:rsid w:val="00993495"/>
    <w:rsid w:val="00993B9D"/>
    <w:rsid w:val="00993C2E"/>
    <w:rsid w:val="00993D33"/>
    <w:rsid w:val="0099454E"/>
    <w:rsid w:val="0099456D"/>
    <w:rsid w:val="00994618"/>
    <w:rsid w:val="00994F60"/>
    <w:rsid w:val="00995151"/>
    <w:rsid w:val="00995BF1"/>
    <w:rsid w:val="00995DF2"/>
    <w:rsid w:val="00997832"/>
    <w:rsid w:val="00997905"/>
    <w:rsid w:val="00997A8C"/>
    <w:rsid w:val="00997B51"/>
    <w:rsid w:val="00997B80"/>
    <w:rsid w:val="00997C8A"/>
    <w:rsid w:val="009A019F"/>
    <w:rsid w:val="009A0493"/>
    <w:rsid w:val="009A0547"/>
    <w:rsid w:val="009A0CFB"/>
    <w:rsid w:val="009A0E89"/>
    <w:rsid w:val="009A0F40"/>
    <w:rsid w:val="009A0F9E"/>
    <w:rsid w:val="009A11C4"/>
    <w:rsid w:val="009A1339"/>
    <w:rsid w:val="009A188A"/>
    <w:rsid w:val="009A1A95"/>
    <w:rsid w:val="009A1BCF"/>
    <w:rsid w:val="009A1C41"/>
    <w:rsid w:val="009A1D11"/>
    <w:rsid w:val="009A26E9"/>
    <w:rsid w:val="009A2C26"/>
    <w:rsid w:val="009A2CCC"/>
    <w:rsid w:val="009A2F68"/>
    <w:rsid w:val="009A3006"/>
    <w:rsid w:val="009A3994"/>
    <w:rsid w:val="009A3BB3"/>
    <w:rsid w:val="009A4241"/>
    <w:rsid w:val="009A42F6"/>
    <w:rsid w:val="009A45C8"/>
    <w:rsid w:val="009A4EAD"/>
    <w:rsid w:val="009A50CD"/>
    <w:rsid w:val="009A52F3"/>
    <w:rsid w:val="009A532D"/>
    <w:rsid w:val="009A59FF"/>
    <w:rsid w:val="009A65F4"/>
    <w:rsid w:val="009B03E8"/>
    <w:rsid w:val="009B06C0"/>
    <w:rsid w:val="009B09BF"/>
    <w:rsid w:val="009B0B80"/>
    <w:rsid w:val="009B0E76"/>
    <w:rsid w:val="009B0F4A"/>
    <w:rsid w:val="009B1811"/>
    <w:rsid w:val="009B1B10"/>
    <w:rsid w:val="009B1DAD"/>
    <w:rsid w:val="009B2107"/>
    <w:rsid w:val="009B23FD"/>
    <w:rsid w:val="009B2839"/>
    <w:rsid w:val="009B2CAA"/>
    <w:rsid w:val="009B2FB9"/>
    <w:rsid w:val="009B3134"/>
    <w:rsid w:val="009B3668"/>
    <w:rsid w:val="009B436E"/>
    <w:rsid w:val="009B4598"/>
    <w:rsid w:val="009B45C4"/>
    <w:rsid w:val="009B4C24"/>
    <w:rsid w:val="009B4E58"/>
    <w:rsid w:val="009B57F6"/>
    <w:rsid w:val="009B5B02"/>
    <w:rsid w:val="009B5B0F"/>
    <w:rsid w:val="009B5BD6"/>
    <w:rsid w:val="009B5D6F"/>
    <w:rsid w:val="009B62AF"/>
    <w:rsid w:val="009B6745"/>
    <w:rsid w:val="009B68AF"/>
    <w:rsid w:val="009B6ED3"/>
    <w:rsid w:val="009B74EA"/>
    <w:rsid w:val="009B7549"/>
    <w:rsid w:val="009B7AB7"/>
    <w:rsid w:val="009B7AB9"/>
    <w:rsid w:val="009C0567"/>
    <w:rsid w:val="009C0894"/>
    <w:rsid w:val="009C0C4E"/>
    <w:rsid w:val="009C1101"/>
    <w:rsid w:val="009C1647"/>
    <w:rsid w:val="009C1D47"/>
    <w:rsid w:val="009C22E6"/>
    <w:rsid w:val="009C2E9D"/>
    <w:rsid w:val="009C33CA"/>
    <w:rsid w:val="009C39AF"/>
    <w:rsid w:val="009C3EB1"/>
    <w:rsid w:val="009C4359"/>
    <w:rsid w:val="009C4B6D"/>
    <w:rsid w:val="009C57AC"/>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062"/>
    <w:rsid w:val="009D45C8"/>
    <w:rsid w:val="009D4D44"/>
    <w:rsid w:val="009D4FF7"/>
    <w:rsid w:val="009D5393"/>
    <w:rsid w:val="009D5445"/>
    <w:rsid w:val="009D5604"/>
    <w:rsid w:val="009D565F"/>
    <w:rsid w:val="009D6026"/>
    <w:rsid w:val="009D65B9"/>
    <w:rsid w:val="009D6C11"/>
    <w:rsid w:val="009D6C99"/>
    <w:rsid w:val="009D70EE"/>
    <w:rsid w:val="009D7194"/>
    <w:rsid w:val="009D733B"/>
    <w:rsid w:val="009D7949"/>
    <w:rsid w:val="009E0488"/>
    <w:rsid w:val="009E04DC"/>
    <w:rsid w:val="009E0931"/>
    <w:rsid w:val="009E0FB3"/>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6EE"/>
    <w:rsid w:val="009E681A"/>
    <w:rsid w:val="009E733E"/>
    <w:rsid w:val="009E74C5"/>
    <w:rsid w:val="009F015D"/>
    <w:rsid w:val="009F01DB"/>
    <w:rsid w:val="009F1041"/>
    <w:rsid w:val="009F18E8"/>
    <w:rsid w:val="009F202B"/>
    <w:rsid w:val="009F20C6"/>
    <w:rsid w:val="009F2E7E"/>
    <w:rsid w:val="009F37BF"/>
    <w:rsid w:val="009F3DA5"/>
    <w:rsid w:val="009F4326"/>
    <w:rsid w:val="009F43AF"/>
    <w:rsid w:val="009F4D5E"/>
    <w:rsid w:val="009F519F"/>
    <w:rsid w:val="009F5834"/>
    <w:rsid w:val="009F5ABD"/>
    <w:rsid w:val="009F5E79"/>
    <w:rsid w:val="009F7078"/>
    <w:rsid w:val="009F7379"/>
    <w:rsid w:val="009F73DA"/>
    <w:rsid w:val="009F7B0A"/>
    <w:rsid w:val="009F7BB2"/>
    <w:rsid w:val="009F7FA6"/>
    <w:rsid w:val="00A00005"/>
    <w:rsid w:val="00A00028"/>
    <w:rsid w:val="00A001C8"/>
    <w:rsid w:val="00A0032D"/>
    <w:rsid w:val="00A0082F"/>
    <w:rsid w:val="00A00AE7"/>
    <w:rsid w:val="00A01593"/>
    <w:rsid w:val="00A016AA"/>
    <w:rsid w:val="00A01B3E"/>
    <w:rsid w:val="00A0244C"/>
    <w:rsid w:val="00A02A53"/>
    <w:rsid w:val="00A02EFA"/>
    <w:rsid w:val="00A033FF"/>
    <w:rsid w:val="00A038D7"/>
    <w:rsid w:val="00A03FA4"/>
    <w:rsid w:val="00A0409E"/>
    <w:rsid w:val="00A046C7"/>
    <w:rsid w:val="00A04E2C"/>
    <w:rsid w:val="00A04EDA"/>
    <w:rsid w:val="00A05840"/>
    <w:rsid w:val="00A05843"/>
    <w:rsid w:val="00A06137"/>
    <w:rsid w:val="00A063FE"/>
    <w:rsid w:val="00A06C38"/>
    <w:rsid w:val="00A06EDB"/>
    <w:rsid w:val="00A07ACC"/>
    <w:rsid w:val="00A11259"/>
    <w:rsid w:val="00A11430"/>
    <w:rsid w:val="00A1184F"/>
    <w:rsid w:val="00A11BFE"/>
    <w:rsid w:val="00A122A9"/>
    <w:rsid w:val="00A122C5"/>
    <w:rsid w:val="00A123F2"/>
    <w:rsid w:val="00A131A1"/>
    <w:rsid w:val="00A1329C"/>
    <w:rsid w:val="00A138CF"/>
    <w:rsid w:val="00A13A8C"/>
    <w:rsid w:val="00A13DEE"/>
    <w:rsid w:val="00A13E26"/>
    <w:rsid w:val="00A141DC"/>
    <w:rsid w:val="00A14503"/>
    <w:rsid w:val="00A14928"/>
    <w:rsid w:val="00A14E25"/>
    <w:rsid w:val="00A14E81"/>
    <w:rsid w:val="00A15901"/>
    <w:rsid w:val="00A15EDC"/>
    <w:rsid w:val="00A160DD"/>
    <w:rsid w:val="00A16331"/>
    <w:rsid w:val="00A163B8"/>
    <w:rsid w:val="00A1640D"/>
    <w:rsid w:val="00A16896"/>
    <w:rsid w:val="00A16A60"/>
    <w:rsid w:val="00A16A7B"/>
    <w:rsid w:val="00A17A3D"/>
    <w:rsid w:val="00A17BC7"/>
    <w:rsid w:val="00A20252"/>
    <w:rsid w:val="00A203C2"/>
    <w:rsid w:val="00A2062A"/>
    <w:rsid w:val="00A2065D"/>
    <w:rsid w:val="00A2066E"/>
    <w:rsid w:val="00A20765"/>
    <w:rsid w:val="00A210E7"/>
    <w:rsid w:val="00A21D7A"/>
    <w:rsid w:val="00A21E19"/>
    <w:rsid w:val="00A21EE2"/>
    <w:rsid w:val="00A22796"/>
    <w:rsid w:val="00A22B7C"/>
    <w:rsid w:val="00A22C2E"/>
    <w:rsid w:val="00A2308C"/>
    <w:rsid w:val="00A233F6"/>
    <w:rsid w:val="00A2348F"/>
    <w:rsid w:val="00A236A1"/>
    <w:rsid w:val="00A239A8"/>
    <w:rsid w:val="00A24599"/>
    <w:rsid w:val="00A24FBC"/>
    <w:rsid w:val="00A25B79"/>
    <w:rsid w:val="00A25D7B"/>
    <w:rsid w:val="00A260A0"/>
    <w:rsid w:val="00A273A9"/>
    <w:rsid w:val="00A27FF0"/>
    <w:rsid w:val="00A30007"/>
    <w:rsid w:val="00A300CB"/>
    <w:rsid w:val="00A3064C"/>
    <w:rsid w:val="00A30683"/>
    <w:rsid w:val="00A307BD"/>
    <w:rsid w:val="00A3101A"/>
    <w:rsid w:val="00A3115F"/>
    <w:rsid w:val="00A3194F"/>
    <w:rsid w:val="00A31BFC"/>
    <w:rsid w:val="00A31E6C"/>
    <w:rsid w:val="00A32209"/>
    <w:rsid w:val="00A324D8"/>
    <w:rsid w:val="00A32BA0"/>
    <w:rsid w:val="00A32BC7"/>
    <w:rsid w:val="00A32D77"/>
    <w:rsid w:val="00A32DFD"/>
    <w:rsid w:val="00A32F2C"/>
    <w:rsid w:val="00A33030"/>
    <w:rsid w:val="00A3314D"/>
    <w:rsid w:val="00A34307"/>
    <w:rsid w:val="00A35595"/>
    <w:rsid w:val="00A35A7A"/>
    <w:rsid w:val="00A36427"/>
    <w:rsid w:val="00A36845"/>
    <w:rsid w:val="00A36BDF"/>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5C7"/>
    <w:rsid w:val="00A4568D"/>
    <w:rsid w:val="00A45893"/>
    <w:rsid w:val="00A459E6"/>
    <w:rsid w:val="00A45A7F"/>
    <w:rsid w:val="00A4679A"/>
    <w:rsid w:val="00A473D7"/>
    <w:rsid w:val="00A477C6"/>
    <w:rsid w:val="00A478FA"/>
    <w:rsid w:val="00A47D31"/>
    <w:rsid w:val="00A50BCE"/>
    <w:rsid w:val="00A51CBF"/>
    <w:rsid w:val="00A51DF8"/>
    <w:rsid w:val="00A5205B"/>
    <w:rsid w:val="00A5219C"/>
    <w:rsid w:val="00A5256F"/>
    <w:rsid w:val="00A52D8E"/>
    <w:rsid w:val="00A52DA1"/>
    <w:rsid w:val="00A53AA9"/>
    <w:rsid w:val="00A54367"/>
    <w:rsid w:val="00A544CD"/>
    <w:rsid w:val="00A5485E"/>
    <w:rsid w:val="00A5499C"/>
    <w:rsid w:val="00A54CCB"/>
    <w:rsid w:val="00A54E77"/>
    <w:rsid w:val="00A55C52"/>
    <w:rsid w:val="00A5605D"/>
    <w:rsid w:val="00A560D5"/>
    <w:rsid w:val="00A56A2B"/>
    <w:rsid w:val="00A57301"/>
    <w:rsid w:val="00A574C8"/>
    <w:rsid w:val="00A574DE"/>
    <w:rsid w:val="00A5757E"/>
    <w:rsid w:val="00A57A93"/>
    <w:rsid w:val="00A60A6E"/>
    <w:rsid w:val="00A60F52"/>
    <w:rsid w:val="00A61DFE"/>
    <w:rsid w:val="00A61F91"/>
    <w:rsid w:val="00A62AA8"/>
    <w:rsid w:val="00A63062"/>
    <w:rsid w:val="00A630D8"/>
    <w:rsid w:val="00A637A4"/>
    <w:rsid w:val="00A63B4C"/>
    <w:rsid w:val="00A63F67"/>
    <w:rsid w:val="00A64067"/>
    <w:rsid w:val="00A640B1"/>
    <w:rsid w:val="00A6508F"/>
    <w:rsid w:val="00A6526F"/>
    <w:rsid w:val="00A65284"/>
    <w:rsid w:val="00A65373"/>
    <w:rsid w:val="00A65854"/>
    <w:rsid w:val="00A6594D"/>
    <w:rsid w:val="00A6604B"/>
    <w:rsid w:val="00A6633B"/>
    <w:rsid w:val="00A664AD"/>
    <w:rsid w:val="00A664E7"/>
    <w:rsid w:val="00A66C39"/>
    <w:rsid w:val="00A66E7F"/>
    <w:rsid w:val="00A66F54"/>
    <w:rsid w:val="00A671A4"/>
    <w:rsid w:val="00A673A7"/>
    <w:rsid w:val="00A675F4"/>
    <w:rsid w:val="00A67670"/>
    <w:rsid w:val="00A6781C"/>
    <w:rsid w:val="00A6786C"/>
    <w:rsid w:val="00A678AB"/>
    <w:rsid w:val="00A67917"/>
    <w:rsid w:val="00A679B0"/>
    <w:rsid w:val="00A67A14"/>
    <w:rsid w:val="00A67F19"/>
    <w:rsid w:val="00A70225"/>
    <w:rsid w:val="00A70517"/>
    <w:rsid w:val="00A708DF"/>
    <w:rsid w:val="00A70904"/>
    <w:rsid w:val="00A709BB"/>
    <w:rsid w:val="00A717CF"/>
    <w:rsid w:val="00A71BA3"/>
    <w:rsid w:val="00A72239"/>
    <w:rsid w:val="00A722E2"/>
    <w:rsid w:val="00A72D44"/>
    <w:rsid w:val="00A72FAC"/>
    <w:rsid w:val="00A73406"/>
    <w:rsid w:val="00A735A4"/>
    <w:rsid w:val="00A7377A"/>
    <w:rsid w:val="00A740EA"/>
    <w:rsid w:val="00A7424A"/>
    <w:rsid w:val="00A74597"/>
    <w:rsid w:val="00A74A7D"/>
    <w:rsid w:val="00A7542C"/>
    <w:rsid w:val="00A756FE"/>
    <w:rsid w:val="00A757F9"/>
    <w:rsid w:val="00A759BE"/>
    <w:rsid w:val="00A75BC4"/>
    <w:rsid w:val="00A75C52"/>
    <w:rsid w:val="00A764E0"/>
    <w:rsid w:val="00A767B2"/>
    <w:rsid w:val="00A76BDD"/>
    <w:rsid w:val="00A7717C"/>
    <w:rsid w:val="00A774B2"/>
    <w:rsid w:val="00A77C30"/>
    <w:rsid w:val="00A77C6C"/>
    <w:rsid w:val="00A77CCE"/>
    <w:rsid w:val="00A80549"/>
    <w:rsid w:val="00A809BE"/>
    <w:rsid w:val="00A80B0C"/>
    <w:rsid w:val="00A81234"/>
    <w:rsid w:val="00A81367"/>
    <w:rsid w:val="00A819D7"/>
    <w:rsid w:val="00A81B11"/>
    <w:rsid w:val="00A82229"/>
    <w:rsid w:val="00A82323"/>
    <w:rsid w:val="00A8244E"/>
    <w:rsid w:val="00A82662"/>
    <w:rsid w:val="00A827FC"/>
    <w:rsid w:val="00A82B9E"/>
    <w:rsid w:val="00A82D16"/>
    <w:rsid w:val="00A82F78"/>
    <w:rsid w:val="00A831CF"/>
    <w:rsid w:val="00A831FB"/>
    <w:rsid w:val="00A833BB"/>
    <w:rsid w:val="00A8358F"/>
    <w:rsid w:val="00A83BC5"/>
    <w:rsid w:val="00A84186"/>
    <w:rsid w:val="00A846F1"/>
    <w:rsid w:val="00A84937"/>
    <w:rsid w:val="00A857B4"/>
    <w:rsid w:val="00A85B14"/>
    <w:rsid w:val="00A85B90"/>
    <w:rsid w:val="00A8674E"/>
    <w:rsid w:val="00A875C0"/>
    <w:rsid w:val="00A87C15"/>
    <w:rsid w:val="00A90925"/>
    <w:rsid w:val="00A90DDB"/>
    <w:rsid w:val="00A925D7"/>
    <w:rsid w:val="00A92706"/>
    <w:rsid w:val="00A9281E"/>
    <w:rsid w:val="00A92939"/>
    <w:rsid w:val="00A92CF1"/>
    <w:rsid w:val="00A93190"/>
    <w:rsid w:val="00A93DAF"/>
    <w:rsid w:val="00A93E6F"/>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B2"/>
    <w:rsid w:val="00AA3DB9"/>
    <w:rsid w:val="00AA421C"/>
    <w:rsid w:val="00AA4590"/>
    <w:rsid w:val="00AA46CC"/>
    <w:rsid w:val="00AA46CE"/>
    <w:rsid w:val="00AA49AF"/>
    <w:rsid w:val="00AA4F2F"/>
    <w:rsid w:val="00AA57CE"/>
    <w:rsid w:val="00AA5AD2"/>
    <w:rsid w:val="00AA5ADC"/>
    <w:rsid w:val="00AA5D14"/>
    <w:rsid w:val="00AA5D22"/>
    <w:rsid w:val="00AA5DF4"/>
    <w:rsid w:val="00AA5E45"/>
    <w:rsid w:val="00AA6C4B"/>
    <w:rsid w:val="00AA6CB3"/>
    <w:rsid w:val="00AA6E1B"/>
    <w:rsid w:val="00AA7078"/>
    <w:rsid w:val="00AA7211"/>
    <w:rsid w:val="00AA7540"/>
    <w:rsid w:val="00AA7779"/>
    <w:rsid w:val="00AA780F"/>
    <w:rsid w:val="00AA7B8C"/>
    <w:rsid w:val="00AB0B9C"/>
    <w:rsid w:val="00AB0EAC"/>
    <w:rsid w:val="00AB10A3"/>
    <w:rsid w:val="00AB12C8"/>
    <w:rsid w:val="00AB146D"/>
    <w:rsid w:val="00AB1BB4"/>
    <w:rsid w:val="00AB1DEB"/>
    <w:rsid w:val="00AB2769"/>
    <w:rsid w:val="00AB27AA"/>
    <w:rsid w:val="00AB2A85"/>
    <w:rsid w:val="00AB3283"/>
    <w:rsid w:val="00AB38AD"/>
    <w:rsid w:val="00AB3C8A"/>
    <w:rsid w:val="00AB3E6B"/>
    <w:rsid w:val="00AB4C48"/>
    <w:rsid w:val="00AB4D0B"/>
    <w:rsid w:val="00AB51C8"/>
    <w:rsid w:val="00AB5586"/>
    <w:rsid w:val="00AB5FC3"/>
    <w:rsid w:val="00AB61E4"/>
    <w:rsid w:val="00AB6406"/>
    <w:rsid w:val="00AB65B4"/>
    <w:rsid w:val="00AB737B"/>
    <w:rsid w:val="00AB7918"/>
    <w:rsid w:val="00AB7B25"/>
    <w:rsid w:val="00AB7CB8"/>
    <w:rsid w:val="00AC00E7"/>
    <w:rsid w:val="00AC06DB"/>
    <w:rsid w:val="00AC0BAE"/>
    <w:rsid w:val="00AC0E78"/>
    <w:rsid w:val="00AC10AA"/>
    <w:rsid w:val="00AC126F"/>
    <w:rsid w:val="00AC13D9"/>
    <w:rsid w:val="00AC13F7"/>
    <w:rsid w:val="00AC1BD7"/>
    <w:rsid w:val="00AC1E9C"/>
    <w:rsid w:val="00AC2005"/>
    <w:rsid w:val="00AC265D"/>
    <w:rsid w:val="00AC2A1F"/>
    <w:rsid w:val="00AC3256"/>
    <w:rsid w:val="00AC3304"/>
    <w:rsid w:val="00AC3DC0"/>
    <w:rsid w:val="00AC409D"/>
    <w:rsid w:val="00AC426D"/>
    <w:rsid w:val="00AC43D2"/>
    <w:rsid w:val="00AC47AE"/>
    <w:rsid w:val="00AC4A94"/>
    <w:rsid w:val="00AC4B34"/>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D0007"/>
    <w:rsid w:val="00AD05A6"/>
    <w:rsid w:val="00AD06AC"/>
    <w:rsid w:val="00AD0ABD"/>
    <w:rsid w:val="00AD2262"/>
    <w:rsid w:val="00AD22C5"/>
    <w:rsid w:val="00AD2519"/>
    <w:rsid w:val="00AD283D"/>
    <w:rsid w:val="00AD294A"/>
    <w:rsid w:val="00AD3115"/>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F4"/>
    <w:rsid w:val="00AE1AB0"/>
    <w:rsid w:val="00AE1DF8"/>
    <w:rsid w:val="00AE1E93"/>
    <w:rsid w:val="00AE2143"/>
    <w:rsid w:val="00AE2192"/>
    <w:rsid w:val="00AE2609"/>
    <w:rsid w:val="00AE2684"/>
    <w:rsid w:val="00AE29A8"/>
    <w:rsid w:val="00AE3960"/>
    <w:rsid w:val="00AE4074"/>
    <w:rsid w:val="00AE439A"/>
    <w:rsid w:val="00AE54D5"/>
    <w:rsid w:val="00AE591D"/>
    <w:rsid w:val="00AE617A"/>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FFD"/>
    <w:rsid w:val="00AF3458"/>
    <w:rsid w:val="00AF37F7"/>
    <w:rsid w:val="00AF3888"/>
    <w:rsid w:val="00AF3A05"/>
    <w:rsid w:val="00AF44C8"/>
    <w:rsid w:val="00AF4BF4"/>
    <w:rsid w:val="00AF4BF9"/>
    <w:rsid w:val="00AF551F"/>
    <w:rsid w:val="00AF55FA"/>
    <w:rsid w:val="00AF5706"/>
    <w:rsid w:val="00AF5967"/>
    <w:rsid w:val="00AF5A88"/>
    <w:rsid w:val="00AF5AE8"/>
    <w:rsid w:val="00AF5F84"/>
    <w:rsid w:val="00AF6EEF"/>
    <w:rsid w:val="00AF735A"/>
    <w:rsid w:val="00AF75FC"/>
    <w:rsid w:val="00B0025D"/>
    <w:rsid w:val="00B006D8"/>
    <w:rsid w:val="00B0073B"/>
    <w:rsid w:val="00B02174"/>
    <w:rsid w:val="00B02209"/>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231B"/>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BDD"/>
    <w:rsid w:val="00B17CA4"/>
    <w:rsid w:val="00B17FBB"/>
    <w:rsid w:val="00B200F2"/>
    <w:rsid w:val="00B20223"/>
    <w:rsid w:val="00B20496"/>
    <w:rsid w:val="00B20833"/>
    <w:rsid w:val="00B20BDB"/>
    <w:rsid w:val="00B21343"/>
    <w:rsid w:val="00B21776"/>
    <w:rsid w:val="00B219AA"/>
    <w:rsid w:val="00B21A5B"/>
    <w:rsid w:val="00B21D99"/>
    <w:rsid w:val="00B221C7"/>
    <w:rsid w:val="00B22260"/>
    <w:rsid w:val="00B22402"/>
    <w:rsid w:val="00B22549"/>
    <w:rsid w:val="00B2279B"/>
    <w:rsid w:val="00B229C2"/>
    <w:rsid w:val="00B22BFA"/>
    <w:rsid w:val="00B22D6E"/>
    <w:rsid w:val="00B230E1"/>
    <w:rsid w:val="00B23135"/>
    <w:rsid w:val="00B232FE"/>
    <w:rsid w:val="00B23522"/>
    <w:rsid w:val="00B2376E"/>
    <w:rsid w:val="00B2388A"/>
    <w:rsid w:val="00B23EB7"/>
    <w:rsid w:val="00B23FFE"/>
    <w:rsid w:val="00B240EE"/>
    <w:rsid w:val="00B243EB"/>
    <w:rsid w:val="00B24C80"/>
    <w:rsid w:val="00B24FB1"/>
    <w:rsid w:val="00B25143"/>
    <w:rsid w:val="00B251DE"/>
    <w:rsid w:val="00B25825"/>
    <w:rsid w:val="00B2585D"/>
    <w:rsid w:val="00B25962"/>
    <w:rsid w:val="00B25E57"/>
    <w:rsid w:val="00B266FA"/>
    <w:rsid w:val="00B269DB"/>
    <w:rsid w:val="00B26A9C"/>
    <w:rsid w:val="00B26C40"/>
    <w:rsid w:val="00B26D82"/>
    <w:rsid w:val="00B27359"/>
    <w:rsid w:val="00B308E6"/>
    <w:rsid w:val="00B30B4B"/>
    <w:rsid w:val="00B30BA2"/>
    <w:rsid w:val="00B30D09"/>
    <w:rsid w:val="00B30E29"/>
    <w:rsid w:val="00B30F71"/>
    <w:rsid w:val="00B3172B"/>
    <w:rsid w:val="00B3194F"/>
    <w:rsid w:val="00B31C49"/>
    <w:rsid w:val="00B31DDF"/>
    <w:rsid w:val="00B32EB9"/>
    <w:rsid w:val="00B3312D"/>
    <w:rsid w:val="00B333F8"/>
    <w:rsid w:val="00B3374A"/>
    <w:rsid w:val="00B33974"/>
    <w:rsid w:val="00B33B47"/>
    <w:rsid w:val="00B33D16"/>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6577"/>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D97"/>
    <w:rsid w:val="00B42DCD"/>
    <w:rsid w:val="00B431BA"/>
    <w:rsid w:val="00B43B2D"/>
    <w:rsid w:val="00B44029"/>
    <w:rsid w:val="00B44C12"/>
    <w:rsid w:val="00B44FFA"/>
    <w:rsid w:val="00B451D8"/>
    <w:rsid w:val="00B45428"/>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919"/>
    <w:rsid w:val="00B51A42"/>
    <w:rsid w:val="00B527BF"/>
    <w:rsid w:val="00B52AF7"/>
    <w:rsid w:val="00B52C0E"/>
    <w:rsid w:val="00B52DC6"/>
    <w:rsid w:val="00B530FD"/>
    <w:rsid w:val="00B53159"/>
    <w:rsid w:val="00B531DC"/>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609C5"/>
    <w:rsid w:val="00B60B63"/>
    <w:rsid w:val="00B60C3E"/>
    <w:rsid w:val="00B610BA"/>
    <w:rsid w:val="00B615CB"/>
    <w:rsid w:val="00B616D8"/>
    <w:rsid w:val="00B617A9"/>
    <w:rsid w:val="00B61D95"/>
    <w:rsid w:val="00B61E41"/>
    <w:rsid w:val="00B61ED5"/>
    <w:rsid w:val="00B62AE0"/>
    <w:rsid w:val="00B63284"/>
    <w:rsid w:val="00B6373D"/>
    <w:rsid w:val="00B63964"/>
    <w:rsid w:val="00B63E30"/>
    <w:rsid w:val="00B645FA"/>
    <w:rsid w:val="00B64775"/>
    <w:rsid w:val="00B64F04"/>
    <w:rsid w:val="00B6520E"/>
    <w:rsid w:val="00B65660"/>
    <w:rsid w:val="00B657AB"/>
    <w:rsid w:val="00B657E6"/>
    <w:rsid w:val="00B65AF9"/>
    <w:rsid w:val="00B65FF0"/>
    <w:rsid w:val="00B663CD"/>
    <w:rsid w:val="00B665C8"/>
    <w:rsid w:val="00B67013"/>
    <w:rsid w:val="00B67AB1"/>
    <w:rsid w:val="00B67B4F"/>
    <w:rsid w:val="00B67E6B"/>
    <w:rsid w:val="00B702CD"/>
    <w:rsid w:val="00B7041C"/>
    <w:rsid w:val="00B71A1D"/>
    <w:rsid w:val="00B71BBB"/>
    <w:rsid w:val="00B71D73"/>
    <w:rsid w:val="00B72089"/>
    <w:rsid w:val="00B726F8"/>
    <w:rsid w:val="00B7273E"/>
    <w:rsid w:val="00B72EBB"/>
    <w:rsid w:val="00B7305E"/>
    <w:rsid w:val="00B7316F"/>
    <w:rsid w:val="00B73288"/>
    <w:rsid w:val="00B7350D"/>
    <w:rsid w:val="00B73B28"/>
    <w:rsid w:val="00B74251"/>
    <w:rsid w:val="00B74FE2"/>
    <w:rsid w:val="00B75317"/>
    <w:rsid w:val="00B763BE"/>
    <w:rsid w:val="00B76FCB"/>
    <w:rsid w:val="00B7749A"/>
    <w:rsid w:val="00B77582"/>
    <w:rsid w:val="00B779BB"/>
    <w:rsid w:val="00B77A5A"/>
    <w:rsid w:val="00B77B07"/>
    <w:rsid w:val="00B77BB8"/>
    <w:rsid w:val="00B77E78"/>
    <w:rsid w:val="00B800EC"/>
    <w:rsid w:val="00B80561"/>
    <w:rsid w:val="00B8103D"/>
    <w:rsid w:val="00B81718"/>
    <w:rsid w:val="00B8179E"/>
    <w:rsid w:val="00B81A37"/>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F73"/>
    <w:rsid w:val="00B877AA"/>
    <w:rsid w:val="00B87C87"/>
    <w:rsid w:val="00B87E3D"/>
    <w:rsid w:val="00B87FCD"/>
    <w:rsid w:val="00B90556"/>
    <w:rsid w:val="00B909D7"/>
    <w:rsid w:val="00B909E7"/>
    <w:rsid w:val="00B9121D"/>
    <w:rsid w:val="00B915C5"/>
    <w:rsid w:val="00B91A5D"/>
    <w:rsid w:val="00B91C52"/>
    <w:rsid w:val="00B91F21"/>
    <w:rsid w:val="00B92713"/>
    <w:rsid w:val="00B92BC7"/>
    <w:rsid w:val="00B9307F"/>
    <w:rsid w:val="00B93378"/>
    <w:rsid w:val="00B93455"/>
    <w:rsid w:val="00B9389E"/>
    <w:rsid w:val="00B93B9C"/>
    <w:rsid w:val="00B93E85"/>
    <w:rsid w:val="00B946A8"/>
    <w:rsid w:val="00B94A6A"/>
    <w:rsid w:val="00B94D4C"/>
    <w:rsid w:val="00B94DFE"/>
    <w:rsid w:val="00B94EB5"/>
    <w:rsid w:val="00B95110"/>
    <w:rsid w:val="00B95F6F"/>
    <w:rsid w:val="00B95FC8"/>
    <w:rsid w:val="00B966FB"/>
    <w:rsid w:val="00B96EA4"/>
    <w:rsid w:val="00B97282"/>
    <w:rsid w:val="00B975D7"/>
    <w:rsid w:val="00B97A3E"/>
    <w:rsid w:val="00B97A65"/>
    <w:rsid w:val="00B97D3D"/>
    <w:rsid w:val="00B97DE9"/>
    <w:rsid w:val="00BA07B1"/>
    <w:rsid w:val="00BA101D"/>
    <w:rsid w:val="00BA14BA"/>
    <w:rsid w:val="00BA1FFF"/>
    <w:rsid w:val="00BA2089"/>
    <w:rsid w:val="00BA267F"/>
    <w:rsid w:val="00BA2F02"/>
    <w:rsid w:val="00BA2FFD"/>
    <w:rsid w:val="00BA3254"/>
    <w:rsid w:val="00BA3492"/>
    <w:rsid w:val="00BA3608"/>
    <w:rsid w:val="00BA428A"/>
    <w:rsid w:val="00BA4ED9"/>
    <w:rsid w:val="00BA5023"/>
    <w:rsid w:val="00BA5365"/>
    <w:rsid w:val="00BA56EB"/>
    <w:rsid w:val="00BA58B6"/>
    <w:rsid w:val="00BA5B30"/>
    <w:rsid w:val="00BA5B72"/>
    <w:rsid w:val="00BA62AD"/>
    <w:rsid w:val="00BA664A"/>
    <w:rsid w:val="00BA678B"/>
    <w:rsid w:val="00BA6C22"/>
    <w:rsid w:val="00BA6DBD"/>
    <w:rsid w:val="00BB0267"/>
    <w:rsid w:val="00BB02EA"/>
    <w:rsid w:val="00BB078B"/>
    <w:rsid w:val="00BB0DE7"/>
    <w:rsid w:val="00BB0E0C"/>
    <w:rsid w:val="00BB112C"/>
    <w:rsid w:val="00BB135F"/>
    <w:rsid w:val="00BB209C"/>
    <w:rsid w:val="00BB2B25"/>
    <w:rsid w:val="00BB2ED7"/>
    <w:rsid w:val="00BB30EA"/>
    <w:rsid w:val="00BB35B6"/>
    <w:rsid w:val="00BB37AF"/>
    <w:rsid w:val="00BB3BBC"/>
    <w:rsid w:val="00BB4011"/>
    <w:rsid w:val="00BB4769"/>
    <w:rsid w:val="00BB49D4"/>
    <w:rsid w:val="00BB4AF9"/>
    <w:rsid w:val="00BB4C08"/>
    <w:rsid w:val="00BB4FDA"/>
    <w:rsid w:val="00BB61BE"/>
    <w:rsid w:val="00BB66B2"/>
    <w:rsid w:val="00BB6891"/>
    <w:rsid w:val="00BB6AC3"/>
    <w:rsid w:val="00BB6C49"/>
    <w:rsid w:val="00BB7373"/>
    <w:rsid w:val="00BB779D"/>
    <w:rsid w:val="00BB7C9F"/>
    <w:rsid w:val="00BC050A"/>
    <w:rsid w:val="00BC066A"/>
    <w:rsid w:val="00BC072F"/>
    <w:rsid w:val="00BC122C"/>
    <w:rsid w:val="00BC15CC"/>
    <w:rsid w:val="00BC174B"/>
    <w:rsid w:val="00BC17A9"/>
    <w:rsid w:val="00BC1866"/>
    <w:rsid w:val="00BC1DBD"/>
    <w:rsid w:val="00BC220C"/>
    <w:rsid w:val="00BC2414"/>
    <w:rsid w:val="00BC2A25"/>
    <w:rsid w:val="00BC322A"/>
    <w:rsid w:val="00BC45D9"/>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DA1"/>
    <w:rsid w:val="00BD11FF"/>
    <w:rsid w:val="00BD151C"/>
    <w:rsid w:val="00BD1747"/>
    <w:rsid w:val="00BD386A"/>
    <w:rsid w:val="00BD3A51"/>
    <w:rsid w:val="00BD3C1A"/>
    <w:rsid w:val="00BD3C68"/>
    <w:rsid w:val="00BD421D"/>
    <w:rsid w:val="00BD4493"/>
    <w:rsid w:val="00BD5052"/>
    <w:rsid w:val="00BD5160"/>
    <w:rsid w:val="00BD521E"/>
    <w:rsid w:val="00BD5413"/>
    <w:rsid w:val="00BD58AC"/>
    <w:rsid w:val="00BD5918"/>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C9C"/>
    <w:rsid w:val="00BE3F6E"/>
    <w:rsid w:val="00BE4614"/>
    <w:rsid w:val="00BE4E6F"/>
    <w:rsid w:val="00BE5100"/>
    <w:rsid w:val="00BE529D"/>
    <w:rsid w:val="00BE53DD"/>
    <w:rsid w:val="00BE573E"/>
    <w:rsid w:val="00BE59E2"/>
    <w:rsid w:val="00BE5D1B"/>
    <w:rsid w:val="00BE6584"/>
    <w:rsid w:val="00BE6637"/>
    <w:rsid w:val="00BE6690"/>
    <w:rsid w:val="00BE6F2B"/>
    <w:rsid w:val="00BE6FD4"/>
    <w:rsid w:val="00BE7090"/>
    <w:rsid w:val="00BE749B"/>
    <w:rsid w:val="00BE7D8D"/>
    <w:rsid w:val="00BF05CA"/>
    <w:rsid w:val="00BF10E8"/>
    <w:rsid w:val="00BF1376"/>
    <w:rsid w:val="00BF1B38"/>
    <w:rsid w:val="00BF1B73"/>
    <w:rsid w:val="00BF1D1B"/>
    <w:rsid w:val="00BF2033"/>
    <w:rsid w:val="00BF2320"/>
    <w:rsid w:val="00BF2C93"/>
    <w:rsid w:val="00BF3158"/>
    <w:rsid w:val="00BF3169"/>
    <w:rsid w:val="00BF34E0"/>
    <w:rsid w:val="00BF3911"/>
    <w:rsid w:val="00BF3BD1"/>
    <w:rsid w:val="00BF3D31"/>
    <w:rsid w:val="00BF412D"/>
    <w:rsid w:val="00BF5023"/>
    <w:rsid w:val="00BF51B7"/>
    <w:rsid w:val="00BF5491"/>
    <w:rsid w:val="00BF56BE"/>
    <w:rsid w:val="00BF602F"/>
    <w:rsid w:val="00BF6229"/>
    <w:rsid w:val="00BF6676"/>
    <w:rsid w:val="00BF670D"/>
    <w:rsid w:val="00BF6B8D"/>
    <w:rsid w:val="00BF6EA0"/>
    <w:rsid w:val="00BF725A"/>
    <w:rsid w:val="00BF7B60"/>
    <w:rsid w:val="00BF7BD9"/>
    <w:rsid w:val="00BF7F14"/>
    <w:rsid w:val="00C004DD"/>
    <w:rsid w:val="00C00723"/>
    <w:rsid w:val="00C00953"/>
    <w:rsid w:val="00C00C95"/>
    <w:rsid w:val="00C00F38"/>
    <w:rsid w:val="00C021B2"/>
    <w:rsid w:val="00C02493"/>
    <w:rsid w:val="00C02802"/>
    <w:rsid w:val="00C0314D"/>
    <w:rsid w:val="00C03312"/>
    <w:rsid w:val="00C03532"/>
    <w:rsid w:val="00C03605"/>
    <w:rsid w:val="00C039A5"/>
    <w:rsid w:val="00C03A04"/>
    <w:rsid w:val="00C03C67"/>
    <w:rsid w:val="00C0441D"/>
    <w:rsid w:val="00C046F7"/>
    <w:rsid w:val="00C062B9"/>
    <w:rsid w:val="00C06374"/>
    <w:rsid w:val="00C064FE"/>
    <w:rsid w:val="00C066AB"/>
    <w:rsid w:val="00C06EA1"/>
    <w:rsid w:val="00C070F7"/>
    <w:rsid w:val="00C071E1"/>
    <w:rsid w:val="00C07795"/>
    <w:rsid w:val="00C079DE"/>
    <w:rsid w:val="00C07A9D"/>
    <w:rsid w:val="00C07B5B"/>
    <w:rsid w:val="00C07D9B"/>
    <w:rsid w:val="00C104D1"/>
    <w:rsid w:val="00C10C0B"/>
    <w:rsid w:val="00C10DD5"/>
    <w:rsid w:val="00C10F51"/>
    <w:rsid w:val="00C1122F"/>
    <w:rsid w:val="00C116FB"/>
    <w:rsid w:val="00C11A6C"/>
    <w:rsid w:val="00C11F76"/>
    <w:rsid w:val="00C12197"/>
    <w:rsid w:val="00C124A6"/>
    <w:rsid w:val="00C12944"/>
    <w:rsid w:val="00C12989"/>
    <w:rsid w:val="00C13567"/>
    <w:rsid w:val="00C13C61"/>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9D9"/>
    <w:rsid w:val="00C22C7B"/>
    <w:rsid w:val="00C22F12"/>
    <w:rsid w:val="00C2305C"/>
    <w:rsid w:val="00C233D0"/>
    <w:rsid w:val="00C234A2"/>
    <w:rsid w:val="00C2380D"/>
    <w:rsid w:val="00C23EEE"/>
    <w:rsid w:val="00C23F25"/>
    <w:rsid w:val="00C240E7"/>
    <w:rsid w:val="00C24162"/>
    <w:rsid w:val="00C24C34"/>
    <w:rsid w:val="00C24CF8"/>
    <w:rsid w:val="00C24E5C"/>
    <w:rsid w:val="00C24E78"/>
    <w:rsid w:val="00C2509D"/>
    <w:rsid w:val="00C2514A"/>
    <w:rsid w:val="00C25769"/>
    <w:rsid w:val="00C25816"/>
    <w:rsid w:val="00C25854"/>
    <w:rsid w:val="00C25AD4"/>
    <w:rsid w:val="00C25C99"/>
    <w:rsid w:val="00C25DA4"/>
    <w:rsid w:val="00C26BEC"/>
    <w:rsid w:val="00C26C06"/>
    <w:rsid w:val="00C27175"/>
    <w:rsid w:val="00C2796E"/>
    <w:rsid w:val="00C27A2E"/>
    <w:rsid w:val="00C30008"/>
    <w:rsid w:val="00C302BD"/>
    <w:rsid w:val="00C30BF7"/>
    <w:rsid w:val="00C3140F"/>
    <w:rsid w:val="00C31921"/>
    <w:rsid w:val="00C31A5B"/>
    <w:rsid w:val="00C31AB7"/>
    <w:rsid w:val="00C32176"/>
    <w:rsid w:val="00C32A02"/>
    <w:rsid w:val="00C32A16"/>
    <w:rsid w:val="00C32EA6"/>
    <w:rsid w:val="00C33356"/>
    <w:rsid w:val="00C33E55"/>
    <w:rsid w:val="00C341B8"/>
    <w:rsid w:val="00C344DC"/>
    <w:rsid w:val="00C34ABD"/>
    <w:rsid w:val="00C351DF"/>
    <w:rsid w:val="00C353CF"/>
    <w:rsid w:val="00C35F0A"/>
    <w:rsid w:val="00C35F43"/>
    <w:rsid w:val="00C360CA"/>
    <w:rsid w:val="00C363A9"/>
    <w:rsid w:val="00C364A5"/>
    <w:rsid w:val="00C36603"/>
    <w:rsid w:val="00C369A4"/>
    <w:rsid w:val="00C36C5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30EE"/>
    <w:rsid w:val="00C432EC"/>
    <w:rsid w:val="00C43801"/>
    <w:rsid w:val="00C4383F"/>
    <w:rsid w:val="00C438BB"/>
    <w:rsid w:val="00C43A90"/>
    <w:rsid w:val="00C43AD9"/>
    <w:rsid w:val="00C440B0"/>
    <w:rsid w:val="00C44372"/>
    <w:rsid w:val="00C4467E"/>
    <w:rsid w:val="00C44A07"/>
    <w:rsid w:val="00C44BDC"/>
    <w:rsid w:val="00C45BFB"/>
    <w:rsid w:val="00C45DCE"/>
    <w:rsid w:val="00C46085"/>
    <w:rsid w:val="00C460FC"/>
    <w:rsid w:val="00C46D15"/>
    <w:rsid w:val="00C47127"/>
    <w:rsid w:val="00C4768C"/>
    <w:rsid w:val="00C47AA0"/>
    <w:rsid w:val="00C500A8"/>
    <w:rsid w:val="00C503C8"/>
    <w:rsid w:val="00C50C7D"/>
    <w:rsid w:val="00C50FF9"/>
    <w:rsid w:val="00C5116D"/>
    <w:rsid w:val="00C511CC"/>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4AE"/>
    <w:rsid w:val="00C57B3F"/>
    <w:rsid w:val="00C60320"/>
    <w:rsid w:val="00C60A94"/>
    <w:rsid w:val="00C60ED3"/>
    <w:rsid w:val="00C624FC"/>
    <w:rsid w:val="00C62BAA"/>
    <w:rsid w:val="00C6352A"/>
    <w:rsid w:val="00C635CC"/>
    <w:rsid w:val="00C63B29"/>
    <w:rsid w:val="00C63D29"/>
    <w:rsid w:val="00C64538"/>
    <w:rsid w:val="00C64E85"/>
    <w:rsid w:val="00C64FE6"/>
    <w:rsid w:val="00C65B2D"/>
    <w:rsid w:val="00C65C5D"/>
    <w:rsid w:val="00C65DA0"/>
    <w:rsid w:val="00C65EC2"/>
    <w:rsid w:val="00C66083"/>
    <w:rsid w:val="00C6656A"/>
    <w:rsid w:val="00C666E9"/>
    <w:rsid w:val="00C6671F"/>
    <w:rsid w:val="00C6688A"/>
    <w:rsid w:val="00C66C03"/>
    <w:rsid w:val="00C67057"/>
    <w:rsid w:val="00C67158"/>
    <w:rsid w:val="00C6724A"/>
    <w:rsid w:val="00C70383"/>
    <w:rsid w:val="00C70731"/>
    <w:rsid w:val="00C71104"/>
    <w:rsid w:val="00C711E5"/>
    <w:rsid w:val="00C716F1"/>
    <w:rsid w:val="00C72816"/>
    <w:rsid w:val="00C729C9"/>
    <w:rsid w:val="00C72B1D"/>
    <w:rsid w:val="00C730CB"/>
    <w:rsid w:val="00C731FC"/>
    <w:rsid w:val="00C73586"/>
    <w:rsid w:val="00C73782"/>
    <w:rsid w:val="00C73B8D"/>
    <w:rsid w:val="00C73F9C"/>
    <w:rsid w:val="00C74107"/>
    <w:rsid w:val="00C74430"/>
    <w:rsid w:val="00C745E5"/>
    <w:rsid w:val="00C754A0"/>
    <w:rsid w:val="00C754FF"/>
    <w:rsid w:val="00C7593A"/>
    <w:rsid w:val="00C76D32"/>
    <w:rsid w:val="00C778A2"/>
    <w:rsid w:val="00C77E68"/>
    <w:rsid w:val="00C80D90"/>
    <w:rsid w:val="00C8104E"/>
    <w:rsid w:val="00C81245"/>
    <w:rsid w:val="00C815D0"/>
    <w:rsid w:val="00C81B05"/>
    <w:rsid w:val="00C82179"/>
    <w:rsid w:val="00C8228A"/>
    <w:rsid w:val="00C83607"/>
    <w:rsid w:val="00C836EE"/>
    <w:rsid w:val="00C83ADF"/>
    <w:rsid w:val="00C83AEE"/>
    <w:rsid w:val="00C83B2A"/>
    <w:rsid w:val="00C83D33"/>
    <w:rsid w:val="00C842BA"/>
    <w:rsid w:val="00C84A7D"/>
    <w:rsid w:val="00C84CAA"/>
    <w:rsid w:val="00C85531"/>
    <w:rsid w:val="00C85563"/>
    <w:rsid w:val="00C85AC7"/>
    <w:rsid w:val="00C85B0B"/>
    <w:rsid w:val="00C85DAD"/>
    <w:rsid w:val="00C8628E"/>
    <w:rsid w:val="00C86DDF"/>
    <w:rsid w:val="00C874D1"/>
    <w:rsid w:val="00C87BA6"/>
    <w:rsid w:val="00C87F13"/>
    <w:rsid w:val="00C9003E"/>
    <w:rsid w:val="00C9045E"/>
    <w:rsid w:val="00C90466"/>
    <w:rsid w:val="00C904F9"/>
    <w:rsid w:val="00C906CD"/>
    <w:rsid w:val="00C90962"/>
    <w:rsid w:val="00C90C8A"/>
    <w:rsid w:val="00C90F10"/>
    <w:rsid w:val="00C911E0"/>
    <w:rsid w:val="00C91325"/>
    <w:rsid w:val="00C9133D"/>
    <w:rsid w:val="00C918B8"/>
    <w:rsid w:val="00C91F02"/>
    <w:rsid w:val="00C92117"/>
    <w:rsid w:val="00C92840"/>
    <w:rsid w:val="00C93301"/>
    <w:rsid w:val="00C934E0"/>
    <w:rsid w:val="00C94A2F"/>
    <w:rsid w:val="00C94BDC"/>
    <w:rsid w:val="00C94CF0"/>
    <w:rsid w:val="00C95005"/>
    <w:rsid w:val="00C9557C"/>
    <w:rsid w:val="00C9579D"/>
    <w:rsid w:val="00C961CA"/>
    <w:rsid w:val="00C96242"/>
    <w:rsid w:val="00C96454"/>
    <w:rsid w:val="00C96501"/>
    <w:rsid w:val="00C96747"/>
    <w:rsid w:val="00C96897"/>
    <w:rsid w:val="00C97075"/>
    <w:rsid w:val="00C97276"/>
    <w:rsid w:val="00C97C47"/>
    <w:rsid w:val="00CA0704"/>
    <w:rsid w:val="00CA08DA"/>
    <w:rsid w:val="00CA0CE8"/>
    <w:rsid w:val="00CA0FB8"/>
    <w:rsid w:val="00CA107A"/>
    <w:rsid w:val="00CA15F3"/>
    <w:rsid w:val="00CA2056"/>
    <w:rsid w:val="00CA2680"/>
    <w:rsid w:val="00CA3312"/>
    <w:rsid w:val="00CA4C2D"/>
    <w:rsid w:val="00CA4C35"/>
    <w:rsid w:val="00CA4D23"/>
    <w:rsid w:val="00CA4FA9"/>
    <w:rsid w:val="00CA50CD"/>
    <w:rsid w:val="00CA522F"/>
    <w:rsid w:val="00CA5262"/>
    <w:rsid w:val="00CA52D2"/>
    <w:rsid w:val="00CA563C"/>
    <w:rsid w:val="00CA567B"/>
    <w:rsid w:val="00CA5B9D"/>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FD2"/>
    <w:rsid w:val="00CB225B"/>
    <w:rsid w:val="00CB2391"/>
    <w:rsid w:val="00CB2A98"/>
    <w:rsid w:val="00CB2E78"/>
    <w:rsid w:val="00CB2EAD"/>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7E9"/>
    <w:rsid w:val="00CC18C0"/>
    <w:rsid w:val="00CC1939"/>
    <w:rsid w:val="00CC1F80"/>
    <w:rsid w:val="00CC23EB"/>
    <w:rsid w:val="00CC2A2C"/>
    <w:rsid w:val="00CC42D4"/>
    <w:rsid w:val="00CC4364"/>
    <w:rsid w:val="00CC472C"/>
    <w:rsid w:val="00CC4E16"/>
    <w:rsid w:val="00CC5628"/>
    <w:rsid w:val="00CC5ABF"/>
    <w:rsid w:val="00CC64E3"/>
    <w:rsid w:val="00CC727E"/>
    <w:rsid w:val="00CC7712"/>
    <w:rsid w:val="00CC774A"/>
    <w:rsid w:val="00CC7DDA"/>
    <w:rsid w:val="00CD054D"/>
    <w:rsid w:val="00CD16A5"/>
    <w:rsid w:val="00CD179A"/>
    <w:rsid w:val="00CD1B50"/>
    <w:rsid w:val="00CD2030"/>
    <w:rsid w:val="00CD2536"/>
    <w:rsid w:val="00CD307F"/>
    <w:rsid w:val="00CD3369"/>
    <w:rsid w:val="00CD3DB8"/>
    <w:rsid w:val="00CD3EBA"/>
    <w:rsid w:val="00CD3F00"/>
    <w:rsid w:val="00CD407F"/>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37"/>
    <w:rsid w:val="00CE0BA7"/>
    <w:rsid w:val="00CE15A4"/>
    <w:rsid w:val="00CE16B9"/>
    <w:rsid w:val="00CE19D0"/>
    <w:rsid w:val="00CE1D09"/>
    <w:rsid w:val="00CE27DA"/>
    <w:rsid w:val="00CE2942"/>
    <w:rsid w:val="00CE2DFC"/>
    <w:rsid w:val="00CE2FAA"/>
    <w:rsid w:val="00CE36EF"/>
    <w:rsid w:val="00CE3783"/>
    <w:rsid w:val="00CE3839"/>
    <w:rsid w:val="00CE3B18"/>
    <w:rsid w:val="00CE3FC3"/>
    <w:rsid w:val="00CE45BD"/>
    <w:rsid w:val="00CE4C13"/>
    <w:rsid w:val="00CE552B"/>
    <w:rsid w:val="00CE570B"/>
    <w:rsid w:val="00CE631A"/>
    <w:rsid w:val="00CE6822"/>
    <w:rsid w:val="00CE6ACB"/>
    <w:rsid w:val="00CE6D09"/>
    <w:rsid w:val="00CE72DC"/>
    <w:rsid w:val="00CE757F"/>
    <w:rsid w:val="00CE79AB"/>
    <w:rsid w:val="00CF0105"/>
    <w:rsid w:val="00CF099B"/>
    <w:rsid w:val="00CF0E4D"/>
    <w:rsid w:val="00CF1081"/>
    <w:rsid w:val="00CF109E"/>
    <w:rsid w:val="00CF180F"/>
    <w:rsid w:val="00CF19C6"/>
    <w:rsid w:val="00CF1E9A"/>
    <w:rsid w:val="00CF230D"/>
    <w:rsid w:val="00CF2A98"/>
    <w:rsid w:val="00CF4349"/>
    <w:rsid w:val="00CF43C6"/>
    <w:rsid w:val="00CF454F"/>
    <w:rsid w:val="00CF48A5"/>
    <w:rsid w:val="00CF4B22"/>
    <w:rsid w:val="00CF4ED1"/>
    <w:rsid w:val="00CF5489"/>
    <w:rsid w:val="00CF6B84"/>
    <w:rsid w:val="00CF6DDB"/>
    <w:rsid w:val="00CF7111"/>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613"/>
    <w:rsid w:val="00D04AF3"/>
    <w:rsid w:val="00D04C4B"/>
    <w:rsid w:val="00D04CB3"/>
    <w:rsid w:val="00D04D9F"/>
    <w:rsid w:val="00D05C77"/>
    <w:rsid w:val="00D05CDE"/>
    <w:rsid w:val="00D06784"/>
    <w:rsid w:val="00D067C5"/>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514"/>
    <w:rsid w:val="00D137EC"/>
    <w:rsid w:val="00D13AC5"/>
    <w:rsid w:val="00D13C39"/>
    <w:rsid w:val="00D13D2F"/>
    <w:rsid w:val="00D13E32"/>
    <w:rsid w:val="00D14237"/>
    <w:rsid w:val="00D142C5"/>
    <w:rsid w:val="00D148EB"/>
    <w:rsid w:val="00D149CF"/>
    <w:rsid w:val="00D14A15"/>
    <w:rsid w:val="00D14C59"/>
    <w:rsid w:val="00D14E5F"/>
    <w:rsid w:val="00D14F7D"/>
    <w:rsid w:val="00D14FA3"/>
    <w:rsid w:val="00D14FB2"/>
    <w:rsid w:val="00D157A1"/>
    <w:rsid w:val="00D15B6C"/>
    <w:rsid w:val="00D15C72"/>
    <w:rsid w:val="00D164EA"/>
    <w:rsid w:val="00D164FD"/>
    <w:rsid w:val="00D16754"/>
    <w:rsid w:val="00D16827"/>
    <w:rsid w:val="00D16AE5"/>
    <w:rsid w:val="00D16E89"/>
    <w:rsid w:val="00D17548"/>
    <w:rsid w:val="00D17604"/>
    <w:rsid w:val="00D17A20"/>
    <w:rsid w:val="00D17A85"/>
    <w:rsid w:val="00D17CC6"/>
    <w:rsid w:val="00D17E0C"/>
    <w:rsid w:val="00D17E48"/>
    <w:rsid w:val="00D2041E"/>
    <w:rsid w:val="00D20454"/>
    <w:rsid w:val="00D2058E"/>
    <w:rsid w:val="00D206CA"/>
    <w:rsid w:val="00D20B8F"/>
    <w:rsid w:val="00D20D10"/>
    <w:rsid w:val="00D20D1D"/>
    <w:rsid w:val="00D20FEA"/>
    <w:rsid w:val="00D2153B"/>
    <w:rsid w:val="00D216BC"/>
    <w:rsid w:val="00D219FB"/>
    <w:rsid w:val="00D21ADC"/>
    <w:rsid w:val="00D21EFF"/>
    <w:rsid w:val="00D22DD2"/>
    <w:rsid w:val="00D23801"/>
    <w:rsid w:val="00D24035"/>
    <w:rsid w:val="00D24CA3"/>
    <w:rsid w:val="00D24DAB"/>
    <w:rsid w:val="00D2516D"/>
    <w:rsid w:val="00D251AC"/>
    <w:rsid w:val="00D257FD"/>
    <w:rsid w:val="00D25AEC"/>
    <w:rsid w:val="00D25B2F"/>
    <w:rsid w:val="00D25CC0"/>
    <w:rsid w:val="00D25F2E"/>
    <w:rsid w:val="00D2608B"/>
    <w:rsid w:val="00D26A86"/>
    <w:rsid w:val="00D274CE"/>
    <w:rsid w:val="00D2772C"/>
    <w:rsid w:val="00D27D36"/>
    <w:rsid w:val="00D27E10"/>
    <w:rsid w:val="00D27E9B"/>
    <w:rsid w:val="00D3037E"/>
    <w:rsid w:val="00D30454"/>
    <w:rsid w:val="00D305AC"/>
    <w:rsid w:val="00D3067A"/>
    <w:rsid w:val="00D30789"/>
    <w:rsid w:val="00D3084D"/>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93E"/>
    <w:rsid w:val="00D37E78"/>
    <w:rsid w:val="00D37FB2"/>
    <w:rsid w:val="00D4024B"/>
    <w:rsid w:val="00D404C7"/>
    <w:rsid w:val="00D41A6A"/>
    <w:rsid w:val="00D420E0"/>
    <w:rsid w:val="00D4233A"/>
    <w:rsid w:val="00D423E8"/>
    <w:rsid w:val="00D42A1E"/>
    <w:rsid w:val="00D43015"/>
    <w:rsid w:val="00D438C4"/>
    <w:rsid w:val="00D43B76"/>
    <w:rsid w:val="00D43DDA"/>
    <w:rsid w:val="00D43E3F"/>
    <w:rsid w:val="00D4446B"/>
    <w:rsid w:val="00D44B3D"/>
    <w:rsid w:val="00D45047"/>
    <w:rsid w:val="00D45108"/>
    <w:rsid w:val="00D453A0"/>
    <w:rsid w:val="00D4541B"/>
    <w:rsid w:val="00D45872"/>
    <w:rsid w:val="00D45A0C"/>
    <w:rsid w:val="00D462F6"/>
    <w:rsid w:val="00D464D7"/>
    <w:rsid w:val="00D46787"/>
    <w:rsid w:val="00D4691A"/>
    <w:rsid w:val="00D46C4C"/>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4B4"/>
    <w:rsid w:val="00D65A49"/>
    <w:rsid w:val="00D66008"/>
    <w:rsid w:val="00D662FC"/>
    <w:rsid w:val="00D66381"/>
    <w:rsid w:val="00D66410"/>
    <w:rsid w:val="00D66472"/>
    <w:rsid w:val="00D6679A"/>
    <w:rsid w:val="00D66D20"/>
    <w:rsid w:val="00D66F17"/>
    <w:rsid w:val="00D66F26"/>
    <w:rsid w:val="00D672A3"/>
    <w:rsid w:val="00D6744F"/>
    <w:rsid w:val="00D67B55"/>
    <w:rsid w:val="00D700E5"/>
    <w:rsid w:val="00D70900"/>
    <w:rsid w:val="00D70E28"/>
    <w:rsid w:val="00D71B77"/>
    <w:rsid w:val="00D725CA"/>
    <w:rsid w:val="00D7374B"/>
    <w:rsid w:val="00D741F4"/>
    <w:rsid w:val="00D74A87"/>
    <w:rsid w:val="00D7517B"/>
    <w:rsid w:val="00D755DE"/>
    <w:rsid w:val="00D7587B"/>
    <w:rsid w:val="00D75B80"/>
    <w:rsid w:val="00D75CE3"/>
    <w:rsid w:val="00D76186"/>
    <w:rsid w:val="00D76320"/>
    <w:rsid w:val="00D76513"/>
    <w:rsid w:val="00D7678D"/>
    <w:rsid w:val="00D768A4"/>
    <w:rsid w:val="00D76AB6"/>
    <w:rsid w:val="00D76BE7"/>
    <w:rsid w:val="00D76C33"/>
    <w:rsid w:val="00D771E9"/>
    <w:rsid w:val="00D7771F"/>
    <w:rsid w:val="00D77800"/>
    <w:rsid w:val="00D77DB1"/>
    <w:rsid w:val="00D80898"/>
    <w:rsid w:val="00D80DF6"/>
    <w:rsid w:val="00D8114A"/>
    <w:rsid w:val="00D817F1"/>
    <w:rsid w:val="00D818F2"/>
    <w:rsid w:val="00D825BC"/>
    <w:rsid w:val="00D82676"/>
    <w:rsid w:val="00D82706"/>
    <w:rsid w:val="00D8312E"/>
    <w:rsid w:val="00D8414C"/>
    <w:rsid w:val="00D841A5"/>
    <w:rsid w:val="00D844B1"/>
    <w:rsid w:val="00D8469F"/>
    <w:rsid w:val="00D84E4D"/>
    <w:rsid w:val="00D8603D"/>
    <w:rsid w:val="00D86C20"/>
    <w:rsid w:val="00D86DD4"/>
    <w:rsid w:val="00D90046"/>
    <w:rsid w:val="00D9038D"/>
    <w:rsid w:val="00D90898"/>
    <w:rsid w:val="00D90998"/>
    <w:rsid w:val="00D909BB"/>
    <w:rsid w:val="00D9111B"/>
    <w:rsid w:val="00D91D92"/>
    <w:rsid w:val="00D92529"/>
    <w:rsid w:val="00D92870"/>
    <w:rsid w:val="00D92B67"/>
    <w:rsid w:val="00D92F08"/>
    <w:rsid w:val="00D93743"/>
    <w:rsid w:val="00D9420E"/>
    <w:rsid w:val="00D94BD0"/>
    <w:rsid w:val="00D9558B"/>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1613"/>
    <w:rsid w:val="00DA1868"/>
    <w:rsid w:val="00DA18EE"/>
    <w:rsid w:val="00DA1A4B"/>
    <w:rsid w:val="00DA2074"/>
    <w:rsid w:val="00DA240D"/>
    <w:rsid w:val="00DA2675"/>
    <w:rsid w:val="00DA27D7"/>
    <w:rsid w:val="00DA29C5"/>
    <w:rsid w:val="00DA2AEB"/>
    <w:rsid w:val="00DA301E"/>
    <w:rsid w:val="00DA330A"/>
    <w:rsid w:val="00DA4300"/>
    <w:rsid w:val="00DA453C"/>
    <w:rsid w:val="00DA51E1"/>
    <w:rsid w:val="00DA5AAB"/>
    <w:rsid w:val="00DA5B18"/>
    <w:rsid w:val="00DA5F70"/>
    <w:rsid w:val="00DA663C"/>
    <w:rsid w:val="00DA671A"/>
    <w:rsid w:val="00DA6858"/>
    <w:rsid w:val="00DA7233"/>
    <w:rsid w:val="00DA7266"/>
    <w:rsid w:val="00DA7496"/>
    <w:rsid w:val="00DA7904"/>
    <w:rsid w:val="00DA7A9F"/>
    <w:rsid w:val="00DA7AFF"/>
    <w:rsid w:val="00DA7CBB"/>
    <w:rsid w:val="00DA7EC2"/>
    <w:rsid w:val="00DB0380"/>
    <w:rsid w:val="00DB08FA"/>
    <w:rsid w:val="00DB1637"/>
    <w:rsid w:val="00DB1CD7"/>
    <w:rsid w:val="00DB2086"/>
    <w:rsid w:val="00DB24A2"/>
    <w:rsid w:val="00DB2651"/>
    <w:rsid w:val="00DB2768"/>
    <w:rsid w:val="00DB28B4"/>
    <w:rsid w:val="00DB2A1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178"/>
    <w:rsid w:val="00DB7320"/>
    <w:rsid w:val="00DB75E7"/>
    <w:rsid w:val="00DB78E8"/>
    <w:rsid w:val="00DB79D5"/>
    <w:rsid w:val="00DB7C03"/>
    <w:rsid w:val="00DB7F7B"/>
    <w:rsid w:val="00DB7F8E"/>
    <w:rsid w:val="00DC00E8"/>
    <w:rsid w:val="00DC0CC3"/>
    <w:rsid w:val="00DC0F8C"/>
    <w:rsid w:val="00DC12C8"/>
    <w:rsid w:val="00DC1C61"/>
    <w:rsid w:val="00DC2232"/>
    <w:rsid w:val="00DC2611"/>
    <w:rsid w:val="00DC343C"/>
    <w:rsid w:val="00DC36E8"/>
    <w:rsid w:val="00DC3B0F"/>
    <w:rsid w:val="00DC3F3D"/>
    <w:rsid w:val="00DC4AC6"/>
    <w:rsid w:val="00DC56F0"/>
    <w:rsid w:val="00DC570A"/>
    <w:rsid w:val="00DC5C68"/>
    <w:rsid w:val="00DC5D8F"/>
    <w:rsid w:val="00DC6AB5"/>
    <w:rsid w:val="00DC6CD0"/>
    <w:rsid w:val="00DC6F31"/>
    <w:rsid w:val="00DC7004"/>
    <w:rsid w:val="00DC7070"/>
    <w:rsid w:val="00DC72FE"/>
    <w:rsid w:val="00DC7BF7"/>
    <w:rsid w:val="00DC7FFD"/>
    <w:rsid w:val="00DD0277"/>
    <w:rsid w:val="00DD0698"/>
    <w:rsid w:val="00DD1129"/>
    <w:rsid w:val="00DD15C7"/>
    <w:rsid w:val="00DD1B11"/>
    <w:rsid w:val="00DD1B33"/>
    <w:rsid w:val="00DD1B59"/>
    <w:rsid w:val="00DD1CE2"/>
    <w:rsid w:val="00DD2F5E"/>
    <w:rsid w:val="00DD371B"/>
    <w:rsid w:val="00DD4238"/>
    <w:rsid w:val="00DD4AE9"/>
    <w:rsid w:val="00DD4F6E"/>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240"/>
    <w:rsid w:val="00DE1258"/>
    <w:rsid w:val="00DE1852"/>
    <w:rsid w:val="00DE1AA5"/>
    <w:rsid w:val="00DE1C68"/>
    <w:rsid w:val="00DE1E1F"/>
    <w:rsid w:val="00DE231A"/>
    <w:rsid w:val="00DE23D6"/>
    <w:rsid w:val="00DE2825"/>
    <w:rsid w:val="00DE29B9"/>
    <w:rsid w:val="00DE2CB6"/>
    <w:rsid w:val="00DE2D48"/>
    <w:rsid w:val="00DE2DDE"/>
    <w:rsid w:val="00DE30B8"/>
    <w:rsid w:val="00DE310A"/>
    <w:rsid w:val="00DE395F"/>
    <w:rsid w:val="00DE3E1D"/>
    <w:rsid w:val="00DE423F"/>
    <w:rsid w:val="00DE4567"/>
    <w:rsid w:val="00DE4978"/>
    <w:rsid w:val="00DE4A0A"/>
    <w:rsid w:val="00DE4CAF"/>
    <w:rsid w:val="00DE5039"/>
    <w:rsid w:val="00DE5414"/>
    <w:rsid w:val="00DE563D"/>
    <w:rsid w:val="00DE5B1E"/>
    <w:rsid w:val="00DE5BAE"/>
    <w:rsid w:val="00DE7267"/>
    <w:rsid w:val="00DE74A8"/>
    <w:rsid w:val="00DE7566"/>
    <w:rsid w:val="00DE7D4D"/>
    <w:rsid w:val="00DE7E46"/>
    <w:rsid w:val="00DF066D"/>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4023"/>
    <w:rsid w:val="00DF404D"/>
    <w:rsid w:val="00DF4E2C"/>
    <w:rsid w:val="00DF4E34"/>
    <w:rsid w:val="00DF4F1B"/>
    <w:rsid w:val="00DF51A8"/>
    <w:rsid w:val="00DF5ACC"/>
    <w:rsid w:val="00DF5CAC"/>
    <w:rsid w:val="00DF5CF7"/>
    <w:rsid w:val="00DF5DC3"/>
    <w:rsid w:val="00DF6022"/>
    <w:rsid w:val="00DF6A93"/>
    <w:rsid w:val="00DF6AC3"/>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1C"/>
    <w:rsid w:val="00E02392"/>
    <w:rsid w:val="00E025BF"/>
    <w:rsid w:val="00E0312F"/>
    <w:rsid w:val="00E03889"/>
    <w:rsid w:val="00E03BA3"/>
    <w:rsid w:val="00E03BA8"/>
    <w:rsid w:val="00E0429D"/>
    <w:rsid w:val="00E04C48"/>
    <w:rsid w:val="00E0584B"/>
    <w:rsid w:val="00E058F4"/>
    <w:rsid w:val="00E05C97"/>
    <w:rsid w:val="00E05DA6"/>
    <w:rsid w:val="00E05F35"/>
    <w:rsid w:val="00E06065"/>
    <w:rsid w:val="00E0668C"/>
    <w:rsid w:val="00E066F2"/>
    <w:rsid w:val="00E06A81"/>
    <w:rsid w:val="00E06B51"/>
    <w:rsid w:val="00E07772"/>
    <w:rsid w:val="00E07901"/>
    <w:rsid w:val="00E079C6"/>
    <w:rsid w:val="00E10AE7"/>
    <w:rsid w:val="00E10BFA"/>
    <w:rsid w:val="00E1133A"/>
    <w:rsid w:val="00E11428"/>
    <w:rsid w:val="00E116C6"/>
    <w:rsid w:val="00E12030"/>
    <w:rsid w:val="00E1239C"/>
    <w:rsid w:val="00E1262D"/>
    <w:rsid w:val="00E1273C"/>
    <w:rsid w:val="00E128A2"/>
    <w:rsid w:val="00E12AD1"/>
    <w:rsid w:val="00E13207"/>
    <w:rsid w:val="00E134FE"/>
    <w:rsid w:val="00E13958"/>
    <w:rsid w:val="00E1434A"/>
    <w:rsid w:val="00E14600"/>
    <w:rsid w:val="00E146CF"/>
    <w:rsid w:val="00E1488A"/>
    <w:rsid w:val="00E14BED"/>
    <w:rsid w:val="00E15048"/>
    <w:rsid w:val="00E15606"/>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D6C"/>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F14"/>
    <w:rsid w:val="00E271DE"/>
    <w:rsid w:val="00E27664"/>
    <w:rsid w:val="00E27927"/>
    <w:rsid w:val="00E27EBF"/>
    <w:rsid w:val="00E27F00"/>
    <w:rsid w:val="00E27F70"/>
    <w:rsid w:val="00E301A0"/>
    <w:rsid w:val="00E3021E"/>
    <w:rsid w:val="00E302AD"/>
    <w:rsid w:val="00E30431"/>
    <w:rsid w:val="00E304EB"/>
    <w:rsid w:val="00E30EF7"/>
    <w:rsid w:val="00E3187A"/>
    <w:rsid w:val="00E31FA1"/>
    <w:rsid w:val="00E32086"/>
    <w:rsid w:val="00E3273D"/>
    <w:rsid w:val="00E329D0"/>
    <w:rsid w:val="00E32C08"/>
    <w:rsid w:val="00E330AD"/>
    <w:rsid w:val="00E33746"/>
    <w:rsid w:val="00E33AFF"/>
    <w:rsid w:val="00E33DEF"/>
    <w:rsid w:val="00E34127"/>
    <w:rsid w:val="00E3422F"/>
    <w:rsid w:val="00E342B3"/>
    <w:rsid w:val="00E3451F"/>
    <w:rsid w:val="00E3469B"/>
    <w:rsid w:val="00E34969"/>
    <w:rsid w:val="00E34A0D"/>
    <w:rsid w:val="00E34B80"/>
    <w:rsid w:val="00E34CC9"/>
    <w:rsid w:val="00E34DDA"/>
    <w:rsid w:val="00E34EE9"/>
    <w:rsid w:val="00E3590B"/>
    <w:rsid w:val="00E36ADF"/>
    <w:rsid w:val="00E36B53"/>
    <w:rsid w:val="00E3705A"/>
    <w:rsid w:val="00E37585"/>
    <w:rsid w:val="00E40652"/>
    <w:rsid w:val="00E40942"/>
    <w:rsid w:val="00E40A18"/>
    <w:rsid w:val="00E40C48"/>
    <w:rsid w:val="00E4159F"/>
    <w:rsid w:val="00E419F3"/>
    <w:rsid w:val="00E41B64"/>
    <w:rsid w:val="00E41E78"/>
    <w:rsid w:val="00E41F4B"/>
    <w:rsid w:val="00E4203F"/>
    <w:rsid w:val="00E422B5"/>
    <w:rsid w:val="00E42C35"/>
    <w:rsid w:val="00E42E41"/>
    <w:rsid w:val="00E42EE0"/>
    <w:rsid w:val="00E432D2"/>
    <w:rsid w:val="00E43ACE"/>
    <w:rsid w:val="00E43E70"/>
    <w:rsid w:val="00E447D5"/>
    <w:rsid w:val="00E4492C"/>
    <w:rsid w:val="00E44995"/>
    <w:rsid w:val="00E45452"/>
    <w:rsid w:val="00E4557B"/>
    <w:rsid w:val="00E45816"/>
    <w:rsid w:val="00E460C8"/>
    <w:rsid w:val="00E463D1"/>
    <w:rsid w:val="00E469D5"/>
    <w:rsid w:val="00E46B25"/>
    <w:rsid w:val="00E46CD5"/>
    <w:rsid w:val="00E471D6"/>
    <w:rsid w:val="00E473F4"/>
    <w:rsid w:val="00E47502"/>
    <w:rsid w:val="00E500D9"/>
    <w:rsid w:val="00E504BE"/>
    <w:rsid w:val="00E505F4"/>
    <w:rsid w:val="00E505FC"/>
    <w:rsid w:val="00E50778"/>
    <w:rsid w:val="00E50FBC"/>
    <w:rsid w:val="00E51AB5"/>
    <w:rsid w:val="00E51C9F"/>
    <w:rsid w:val="00E51DFD"/>
    <w:rsid w:val="00E52345"/>
    <w:rsid w:val="00E52763"/>
    <w:rsid w:val="00E53948"/>
    <w:rsid w:val="00E53DED"/>
    <w:rsid w:val="00E5411A"/>
    <w:rsid w:val="00E54129"/>
    <w:rsid w:val="00E553BC"/>
    <w:rsid w:val="00E55509"/>
    <w:rsid w:val="00E55B9C"/>
    <w:rsid w:val="00E55EC9"/>
    <w:rsid w:val="00E5619A"/>
    <w:rsid w:val="00E5629F"/>
    <w:rsid w:val="00E563AE"/>
    <w:rsid w:val="00E56582"/>
    <w:rsid w:val="00E565DD"/>
    <w:rsid w:val="00E565F4"/>
    <w:rsid w:val="00E568D9"/>
    <w:rsid w:val="00E56D49"/>
    <w:rsid w:val="00E56E35"/>
    <w:rsid w:val="00E57005"/>
    <w:rsid w:val="00E57091"/>
    <w:rsid w:val="00E570AE"/>
    <w:rsid w:val="00E574A2"/>
    <w:rsid w:val="00E57B6E"/>
    <w:rsid w:val="00E60616"/>
    <w:rsid w:val="00E60B3B"/>
    <w:rsid w:val="00E60BDC"/>
    <w:rsid w:val="00E61029"/>
    <w:rsid w:val="00E61462"/>
    <w:rsid w:val="00E61498"/>
    <w:rsid w:val="00E6177F"/>
    <w:rsid w:val="00E61EA6"/>
    <w:rsid w:val="00E62BF6"/>
    <w:rsid w:val="00E62F89"/>
    <w:rsid w:val="00E6376A"/>
    <w:rsid w:val="00E638B2"/>
    <w:rsid w:val="00E63D29"/>
    <w:rsid w:val="00E647AB"/>
    <w:rsid w:val="00E64877"/>
    <w:rsid w:val="00E64A96"/>
    <w:rsid w:val="00E64D8F"/>
    <w:rsid w:val="00E6575A"/>
    <w:rsid w:val="00E6594B"/>
    <w:rsid w:val="00E65B70"/>
    <w:rsid w:val="00E65F7E"/>
    <w:rsid w:val="00E660D8"/>
    <w:rsid w:val="00E66288"/>
    <w:rsid w:val="00E662CD"/>
    <w:rsid w:val="00E66827"/>
    <w:rsid w:val="00E669AB"/>
    <w:rsid w:val="00E66FCC"/>
    <w:rsid w:val="00E67427"/>
    <w:rsid w:val="00E676F1"/>
    <w:rsid w:val="00E67860"/>
    <w:rsid w:val="00E70088"/>
    <w:rsid w:val="00E705FE"/>
    <w:rsid w:val="00E7064C"/>
    <w:rsid w:val="00E7074B"/>
    <w:rsid w:val="00E70C7F"/>
    <w:rsid w:val="00E70EA0"/>
    <w:rsid w:val="00E7186E"/>
    <w:rsid w:val="00E71AE2"/>
    <w:rsid w:val="00E71AF5"/>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80278"/>
    <w:rsid w:val="00E80724"/>
    <w:rsid w:val="00E807BC"/>
    <w:rsid w:val="00E80A85"/>
    <w:rsid w:val="00E80E3F"/>
    <w:rsid w:val="00E814F5"/>
    <w:rsid w:val="00E81B70"/>
    <w:rsid w:val="00E82322"/>
    <w:rsid w:val="00E82556"/>
    <w:rsid w:val="00E82D19"/>
    <w:rsid w:val="00E830E2"/>
    <w:rsid w:val="00E832D1"/>
    <w:rsid w:val="00E83809"/>
    <w:rsid w:val="00E83A40"/>
    <w:rsid w:val="00E84688"/>
    <w:rsid w:val="00E8470D"/>
    <w:rsid w:val="00E8475C"/>
    <w:rsid w:val="00E847C9"/>
    <w:rsid w:val="00E84EB8"/>
    <w:rsid w:val="00E85288"/>
    <w:rsid w:val="00E852EC"/>
    <w:rsid w:val="00E859B8"/>
    <w:rsid w:val="00E85A95"/>
    <w:rsid w:val="00E85CBE"/>
    <w:rsid w:val="00E85EE6"/>
    <w:rsid w:val="00E85F06"/>
    <w:rsid w:val="00E861C4"/>
    <w:rsid w:val="00E86503"/>
    <w:rsid w:val="00E86566"/>
    <w:rsid w:val="00E86641"/>
    <w:rsid w:val="00E866C4"/>
    <w:rsid w:val="00E871CE"/>
    <w:rsid w:val="00E875F5"/>
    <w:rsid w:val="00E903F5"/>
    <w:rsid w:val="00E905D8"/>
    <w:rsid w:val="00E906F6"/>
    <w:rsid w:val="00E90988"/>
    <w:rsid w:val="00E90A23"/>
    <w:rsid w:val="00E91B1C"/>
    <w:rsid w:val="00E91BC3"/>
    <w:rsid w:val="00E91BF5"/>
    <w:rsid w:val="00E91EDB"/>
    <w:rsid w:val="00E92527"/>
    <w:rsid w:val="00E927A6"/>
    <w:rsid w:val="00E92A93"/>
    <w:rsid w:val="00E93620"/>
    <w:rsid w:val="00E93ACF"/>
    <w:rsid w:val="00E93E4F"/>
    <w:rsid w:val="00E941E0"/>
    <w:rsid w:val="00E951D5"/>
    <w:rsid w:val="00E9567F"/>
    <w:rsid w:val="00E95761"/>
    <w:rsid w:val="00E959A0"/>
    <w:rsid w:val="00E95A69"/>
    <w:rsid w:val="00E95A73"/>
    <w:rsid w:val="00E96897"/>
    <w:rsid w:val="00E969FC"/>
    <w:rsid w:val="00E97045"/>
    <w:rsid w:val="00E973CF"/>
    <w:rsid w:val="00E976A8"/>
    <w:rsid w:val="00E97B8E"/>
    <w:rsid w:val="00E97DA3"/>
    <w:rsid w:val="00E97E70"/>
    <w:rsid w:val="00EA0038"/>
    <w:rsid w:val="00EA0AE7"/>
    <w:rsid w:val="00EA0CE1"/>
    <w:rsid w:val="00EA1086"/>
    <w:rsid w:val="00EA10B1"/>
    <w:rsid w:val="00EA20D4"/>
    <w:rsid w:val="00EA270C"/>
    <w:rsid w:val="00EA2AE4"/>
    <w:rsid w:val="00EA2ECB"/>
    <w:rsid w:val="00EA2ED7"/>
    <w:rsid w:val="00EA3185"/>
    <w:rsid w:val="00EA36EA"/>
    <w:rsid w:val="00EA413E"/>
    <w:rsid w:val="00EA443F"/>
    <w:rsid w:val="00EA4645"/>
    <w:rsid w:val="00EA466B"/>
    <w:rsid w:val="00EA4A82"/>
    <w:rsid w:val="00EA4FEE"/>
    <w:rsid w:val="00EA5CB5"/>
    <w:rsid w:val="00EA5CF4"/>
    <w:rsid w:val="00EA67AD"/>
    <w:rsid w:val="00EA6CF3"/>
    <w:rsid w:val="00EA72D8"/>
    <w:rsid w:val="00EA72FC"/>
    <w:rsid w:val="00EA7303"/>
    <w:rsid w:val="00EA7E45"/>
    <w:rsid w:val="00EB09B9"/>
    <w:rsid w:val="00EB0C2C"/>
    <w:rsid w:val="00EB1714"/>
    <w:rsid w:val="00EB2310"/>
    <w:rsid w:val="00EB2721"/>
    <w:rsid w:val="00EB30BE"/>
    <w:rsid w:val="00EB3404"/>
    <w:rsid w:val="00EB3599"/>
    <w:rsid w:val="00EB3934"/>
    <w:rsid w:val="00EB3BA9"/>
    <w:rsid w:val="00EB3C52"/>
    <w:rsid w:val="00EB3F79"/>
    <w:rsid w:val="00EB41F5"/>
    <w:rsid w:val="00EB45F6"/>
    <w:rsid w:val="00EB4992"/>
    <w:rsid w:val="00EB50B2"/>
    <w:rsid w:val="00EB5799"/>
    <w:rsid w:val="00EB659F"/>
    <w:rsid w:val="00EB76F7"/>
    <w:rsid w:val="00EB77B7"/>
    <w:rsid w:val="00EB793B"/>
    <w:rsid w:val="00EB7C5B"/>
    <w:rsid w:val="00EB7CB1"/>
    <w:rsid w:val="00EC01B9"/>
    <w:rsid w:val="00EC04E1"/>
    <w:rsid w:val="00EC0569"/>
    <w:rsid w:val="00EC0715"/>
    <w:rsid w:val="00EC084D"/>
    <w:rsid w:val="00EC0C7B"/>
    <w:rsid w:val="00EC1658"/>
    <w:rsid w:val="00EC1877"/>
    <w:rsid w:val="00EC195F"/>
    <w:rsid w:val="00EC1C3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9B8"/>
    <w:rsid w:val="00EC6A5C"/>
    <w:rsid w:val="00EC6DE5"/>
    <w:rsid w:val="00ED0557"/>
    <w:rsid w:val="00ED0CF0"/>
    <w:rsid w:val="00ED0D6E"/>
    <w:rsid w:val="00ED10FA"/>
    <w:rsid w:val="00ED1407"/>
    <w:rsid w:val="00ED1A74"/>
    <w:rsid w:val="00ED21EF"/>
    <w:rsid w:val="00ED2B62"/>
    <w:rsid w:val="00ED34D4"/>
    <w:rsid w:val="00ED3ADF"/>
    <w:rsid w:val="00ED3D84"/>
    <w:rsid w:val="00ED3D87"/>
    <w:rsid w:val="00ED3E53"/>
    <w:rsid w:val="00ED42FF"/>
    <w:rsid w:val="00ED58B3"/>
    <w:rsid w:val="00ED59A5"/>
    <w:rsid w:val="00ED5E6C"/>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30EE"/>
    <w:rsid w:val="00EE3121"/>
    <w:rsid w:val="00EE3C6D"/>
    <w:rsid w:val="00EE4028"/>
    <w:rsid w:val="00EE4551"/>
    <w:rsid w:val="00EE4999"/>
    <w:rsid w:val="00EE4C6E"/>
    <w:rsid w:val="00EE4E97"/>
    <w:rsid w:val="00EE4F89"/>
    <w:rsid w:val="00EE5135"/>
    <w:rsid w:val="00EE558C"/>
    <w:rsid w:val="00EE5783"/>
    <w:rsid w:val="00EE6019"/>
    <w:rsid w:val="00EE61BE"/>
    <w:rsid w:val="00EE696B"/>
    <w:rsid w:val="00EE6DE6"/>
    <w:rsid w:val="00EE7904"/>
    <w:rsid w:val="00EE790F"/>
    <w:rsid w:val="00EE7CCF"/>
    <w:rsid w:val="00EF057C"/>
    <w:rsid w:val="00EF1D14"/>
    <w:rsid w:val="00EF23A1"/>
    <w:rsid w:val="00EF2755"/>
    <w:rsid w:val="00EF3218"/>
    <w:rsid w:val="00EF334E"/>
    <w:rsid w:val="00EF359E"/>
    <w:rsid w:val="00EF3B45"/>
    <w:rsid w:val="00EF42FB"/>
    <w:rsid w:val="00EF4668"/>
    <w:rsid w:val="00EF4685"/>
    <w:rsid w:val="00EF4AEB"/>
    <w:rsid w:val="00EF4FEE"/>
    <w:rsid w:val="00EF542B"/>
    <w:rsid w:val="00EF6873"/>
    <w:rsid w:val="00EF6902"/>
    <w:rsid w:val="00EF6F24"/>
    <w:rsid w:val="00EF7132"/>
    <w:rsid w:val="00EF7143"/>
    <w:rsid w:val="00EF7C7D"/>
    <w:rsid w:val="00F0055F"/>
    <w:rsid w:val="00F0080B"/>
    <w:rsid w:val="00F00BE1"/>
    <w:rsid w:val="00F00DF6"/>
    <w:rsid w:val="00F01122"/>
    <w:rsid w:val="00F01572"/>
    <w:rsid w:val="00F015B1"/>
    <w:rsid w:val="00F01B31"/>
    <w:rsid w:val="00F02322"/>
    <w:rsid w:val="00F02D9C"/>
    <w:rsid w:val="00F037D5"/>
    <w:rsid w:val="00F038D5"/>
    <w:rsid w:val="00F03AB6"/>
    <w:rsid w:val="00F03AB9"/>
    <w:rsid w:val="00F03CD6"/>
    <w:rsid w:val="00F03F08"/>
    <w:rsid w:val="00F03F4E"/>
    <w:rsid w:val="00F0439A"/>
    <w:rsid w:val="00F048EF"/>
    <w:rsid w:val="00F06479"/>
    <w:rsid w:val="00F066CF"/>
    <w:rsid w:val="00F06958"/>
    <w:rsid w:val="00F07241"/>
    <w:rsid w:val="00F07571"/>
    <w:rsid w:val="00F076C5"/>
    <w:rsid w:val="00F07E96"/>
    <w:rsid w:val="00F10B0A"/>
    <w:rsid w:val="00F11537"/>
    <w:rsid w:val="00F120D9"/>
    <w:rsid w:val="00F124BE"/>
    <w:rsid w:val="00F125DE"/>
    <w:rsid w:val="00F12638"/>
    <w:rsid w:val="00F12A36"/>
    <w:rsid w:val="00F12A9F"/>
    <w:rsid w:val="00F13137"/>
    <w:rsid w:val="00F1339B"/>
    <w:rsid w:val="00F14C13"/>
    <w:rsid w:val="00F14CE8"/>
    <w:rsid w:val="00F15FBF"/>
    <w:rsid w:val="00F17174"/>
    <w:rsid w:val="00F172D0"/>
    <w:rsid w:val="00F211DE"/>
    <w:rsid w:val="00F21A9F"/>
    <w:rsid w:val="00F21D2A"/>
    <w:rsid w:val="00F21E63"/>
    <w:rsid w:val="00F21E86"/>
    <w:rsid w:val="00F2254A"/>
    <w:rsid w:val="00F2276D"/>
    <w:rsid w:val="00F22B7B"/>
    <w:rsid w:val="00F22C15"/>
    <w:rsid w:val="00F22DC5"/>
    <w:rsid w:val="00F22EDB"/>
    <w:rsid w:val="00F2304F"/>
    <w:rsid w:val="00F23124"/>
    <w:rsid w:val="00F23423"/>
    <w:rsid w:val="00F23570"/>
    <w:rsid w:val="00F23F06"/>
    <w:rsid w:val="00F23F7D"/>
    <w:rsid w:val="00F2421D"/>
    <w:rsid w:val="00F24232"/>
    <w:rsid w:val="00F2486E"/>
    <w:rsid w:val="00F24E8D"/>
    <w:rsid w:val="00F25177"/>
    <w:rsid w:val="00F2526C"/>
    <w:rsid w:val="00F25420"/>
    <w:rsid w:val="00F256A5"/>
    <w:rsid w:val="00F2586C"/>
    <w:rsid w:val="00F2604B"/>
    <w:rsid w:val="00F261F0"/>
    <w:rsid w:val="00F2659D"/>
    <w:rsid w:val="00F265C5"/>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C75"/>
    <w:rsid w:val="00F31F4C"/>
    <w:rsid w:val="00F31FA1"/>
    <w:rsid w:val="00F32543"/>
    <w:rsid w:val="00F33050"/>
    <w:rsid w:val="00F33277"/>
    <w:rsid w:val="00F33286"/>
    <w:rsid w:val="00F333D8"/>
    <w:rsid w:val="00F339D7"/>
    <w:rsid w:val="00F33CE0"/>
    <w:rsid w:val="00F3402A"/>
    <w:rsid w:val="00F340CD"/>
    <w:rsid w:val="00F3417F"/>
    <w:rsid w:val="00F341B5"/>
    <w:rsid w:val="00F341CC"/>
    <w:rsid w:val="00F342DC"/>
    <w:rsid w:val="00F3481A"/>
    <w:rsid w:val="00F34A3B"/>
    <w:rsid w:val="00F34E67"/>
    <w:rsid w:val="00F35095"/>
    <w:rsid w:val="00F35664"/>
    <w:rsid w:val="00F35C54"/>
    <w:rsid w:val="00F35E63"/>
    <w:rsid w:val="00F35FC7"/>
    <w:rsid w:val="00F364CF"/>
    <w:rsid w:val="00F368CB"/>
    <w:rsid w:val="00F36AE4"/>
    <w:rsid w:val="00F36B6C"/>
    <w:rsid w:val="00F36BCA"/>
    <w:rsid w:val="00F36D10"/>
    <w:rsid w:val="00F36DE3"/>
    <w:rsid w:val="00F370DC"/>
    <w:rsid w:val="00F37487"/>
    <w:rsid w:val="00F37566"/>
    <w:rsid w:val="00F37C18"/>
    <w:rsid w:val="00F37E5B"/>
    <w:rsid w:val="00F40508"/>
    <w:rsid w:val="00F406D5"/>
    <w:rsid w:val="00F409C2"/>
    <w:rsid w:val="00F40CAB"/>
    <w:rsid w:val="00F40D09"/>
    <w:rsid w:val="00F42739"/>
    <w:rsid w:val="00F429E5"/>
    <w:rsid w:val="00F432C6"/>
    <w:rsid w:val="00F4352E"/>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5CA"/>
    <w:rsid w:val="00F51D20"/>
    <w:rsid w:val="00F52BF1"/>
    <w:rsid w:val="00F530D0"/>
    <w:rsid w:val="00F53166"/>
    <w:rsid w:val="00F5335D"/>
    <w:rsid w:val="00F53A12"/>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89D"/>
    <w:rsid w:val="00F60C74"/>
    <w:rsid w:val="00F61342"/>
    <w:rsid w:val="00F61602"/>
    <w:rsid w:val="00F6161C"/>
    <w:rsid w:val="00F61841"/>
    <w:rsid w:val="00F61E93"/>
    <w:rsid w:val="00F623EC"/>
    <w:rsid w:val="00F62773"/>
    <w:rsid w:val="00F62B95"/>
    <w:rsid w:val="00F62FE5"/>
    <w:rsid w:val="00F6359C"/>
    <w:rsid w:val="00F637C9"/>
    <w:rsid w:val="00F63DDA"/>
    <w:rsid w:val="00F64243"/>
    <w:rsid w:val="00F644C7"/>
    <w:rsid w:val="00F648B2"/>
    <w:rsid w:val="00F64CF8"/>
    <w:rsid w:val="00F64DD3"/>
    <w:rsid w:val="00F64F51"/>
    <w:rsid w:val="00F654E8"/>
    <w:rsid w:val="00F6607F"/>
    <w:rsid w:val="00F66122"/>
    <w:rsid w:val="00F665D5"/>
    <w:rsid w:val="00F666FD"/>
    <w:rsid w:val="00F66EC1"/>
    <w:rsid w:val="00F67099"/>
    <w:rsid w:val="00F672F1"/>
    <w:rsid w:val="00F67302"/>
    <w:rsid w:val="00F677AF"/>
    <w:rsid w:val="00F67A35"/>
    <w:rsid w:val="00F67B7D"/>
    <w:rsid w:val="00F67FC4"/>
    <w:rsid w:val="00F71419"/>
    <w:rsid w:val="00F72357"/>
    <w:rsid w:val="00F72620"/>
    <w:rsid w:val="00F733CC"/>
    <w:rsid w:val="00F73930"/>
    <w:rsid w:val="00F73B70"/>
    <w:rsid w:val="00F74118"/>
    <w:rsid w:val="00F74217"/>
    <w:rsid w:val="00F746A3"/>
    <w:rsid w:val="00F759AD"/>
    <w:rsid w:val="00F75BDF"/>
    <w:rsid w:val="00F765E8"/>
    <w:rsid w:val="00F76851"/>
    <w:rsid w:val="00F76EE1"/>
    <w:rsid w:val="00F77084"/>
    <w:rsid w:val="00F772AD"/>
    <w:rsid w:val="00F7768D"/>
    <w:rsid w:val="00F77E2A"/>
    <w:rsid w:val="00F80A71"/>
    <w:rsid w:val="00F80F3C"/>
    <w:rsid w:val="00F8124E"/>
    <w:rsid w:val="00F81526"/>
    <w:rsid w:val="00F81886"/>
    <w:rsid w:val="00F8200C"/>
    <w:rsid w:val="00F823C1"/>
    <w:rsid w:val="00F82B09"/>
    <w:rsid w:val="00F82F09"/>
    <w:rsid w:val="00F834BC"/>
    <w:rsid w:val="00F83841"/>
    <w:rsid w:val="00F839E0"/>
    <w:rsid w:val="00F83A6F"/>
    <w:rsid w:val="00F84B88"/>
    <w:rsid w:val="00F85244"/>
    <w:rsid w:val="00F856F0"/>
    <w:rsid w:val="00F85AF0"/>
    <w:rsid w:val="00F85D77"/>
    <w:rsid w:val="00F863C8"/>
    <w:rsid w:val="00F86A5E"/>
    <w:rsid w:val="00F86D88"/>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B0B"/>
    <w:rsid w:val="00F95F58"/>
    <w:rsid w:val="00F963E1"/>
    <w:rsid w:val="00F9721B"/>
    <w:rsid w:val="00F977CB"/>
    <w:rsid w:val="00F97854"/>
    <w:rsid w:val="00F97C49"/>
    <w:rsid w:val="00FA0942"/>
    <w:rsid w:val="00FA0AC9"/>
    <w:rsid w:val="00FA188C"/>
    <w:rsid w:val="00FA1FF2"/>
    <w:rsid w:val="00FA2910"/>
    <w:rsid w:val="00FA29F4"/>
    <w:rsid w:val="00FA2B04"/>
    <w:rsid w:val="00FA362D"/>
    <w:rsid w:val="00FA3D8C"/>
    <w:rsid w:val="00FA3E51"/>
    <w:rsid w:val="00FA403D"/>
    <w:rsid w:val="00FA40A3"/>
    <w:rsid w:val="00FA427F"/>
    <w:rsid w:val="00FA45CD"/>
    <w:rsid w:val="00FA4810"/>
    <w:rsid w:val="00FA4D76"/>
    <w:rsid w:val="00FA52BF"/>
    <w:rsid w:val="00FA5989"/>
    <w:rsid w:val="00FA5A62"/>
    <w:rsid w:val="00FA5B17"/>
    <w:rsid w:val="00FA6330"/>
    <w:rsid w:val="00FA6924"/>
    <w:rsid w:val="00FA69D3"/>
    <w:rsid w:val="00FA6C90"/>
    <w:rsid w:val="00FA7125"/>
    <w:rsid w:val="00FA7131"/>
    <w:rsid w:val="00FA7DF7"/>
    <w:rsid w:val="00FB01CC"/>
    <w:rsid w:val="00FB08F9"/>
    <w:rsid w:val="00FB1350"/>
    <w:rsid w:val="00FB16CA"/>
    <w:rsid w:val="00FB26BD"/>
    <w:rsid w:val="00FB2C23"/>
    <w:rsid w:val="00FB2DE1"/>
    <w:rsid w:val="00FB3325"/>
    <w:rsid w:val="00FB33FA"/>
    <w:rsid w:val="00FB35CC"/>
    <w:rsid w:val="00FB3866"/>
    <w:rsid w:val="00FB386A"/>
    <w:rsid w:val="00FB3966"/>
    <w:rsid w:val="00FB3B56"/>
    <w:rsid w:val="00FB3BA6"/>
    <w:rsid w:val="00FB4411"/>
    <w:rsid w:val="00FB4D65"/>
    <w:rsid w:val="00FB5001"/>
    <w:rsid w:val="00FB56CA"/>
    <w:rsid w:val="00FB5954"/>
    <w:rsid w:val="00FB5B4B"/>
    <w:rsid w:val="00FB5BD1"/>
    <w:rsid w:val="00FB60A1"/>
    <w:rsid w:val="00FB6695"/>
    <w:rsid w:val="00FB7222"/>
    <w:rsid w:val="00FB7397"/>
    <w:rsid w:val="00FC012F"/>
    <w:rsid w:val="00FC0253"/>
    <w:rsid w:val="00FC060B"/>
    <w:rsid w:val="00FC085C"/>
    <w:rsid w:val="00FC0CDF"/>
    <w:rsid w:val="00FC0D7C"/>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4073"/>
    <w:rsid w:val="00FD40CF"/>
    <w:rsid w:val="00FD5043"/>
    <w:rsid w:val="00FD510B"/>
    <w:rsid w:val="00FD52F8"/>
    <w:rsid w:val="00FD5360"/>
    <w:rsid w:val="00FD54CC"/>
    <w:rsid w:val="00FD5914"/>
    <w:rsid w:val="00FD5F6C"/>
    <w:rsid w:val="00FD65AD"/>
    <w:rsid w:val="00FD6B34"/>
    <w:rsid w:val="00FD6C8C"/>
    <w:rsid w:val="00FD6DBB"/>
    <w:rsid w:val="00FD7529"/>
    <w:rsid w:val="00FD795C"/>
    <w:rsid w:val="00FD7A8D"/>
    <w:rsid w:val="00FE06A2"/>
    <w:rsid w:val="00FE0CE6"/>
    <w:rsid w:val="00FE0E39"/>
    <w:rsid w:val="00FE0FBC"/>
    <w:rsid w:val="00FE1630"/>
    <w:rsid w:val="00FE169D"/>
    <w:rsid w:val="00FE190A"/>
    <w:rsid w:val="00FE1B04"/>
    <w:rsid w:val="00FE28C8"/>
    <w:rsid w:val="00FE2C3A"/>
    <w:rsid w:val="00FE2E81"/>
    <w:rsid w:val="00FE33B0"/>
    <w:rsid w:val="00FE36BA"/>
    <w:rsid w:val="00FE378C"/>
    <w:rsid w:val="00FE39E1"/>
    <w:rsid w:val="00FE422E"/>
    <w:rsid w:val="00FE4CFC"/>
    <w:rsid w:val="00FE5E92"/>
    <w:rsid w:val="00FE5F93"/>
    <w:rsid w:val="00FE62CD"/>
    <w:rsid w:val="00FE6871"/>
    <w:rsid w:val="00FE6D96"/>
    <w:rsid w:val="00FE6F3B"/>
    <w:rsid w:val="00FE71CB"/>
    <w:rsid w:val="00FE792B"/>
    <w:rsid w:val="00FE79EF"/>
    <w:rsid w:val="00FE7BC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C2"/>
    <w:rsid w:val="00FF23FB"/>
    <w:rsid w:val="00FF2C03"/>
    <w:rsid w:val="00FF30BA"/>
    <w:rsid w:val="00FF3298"/>
    <w:rsid w:val="00FF334E"/>
    <w:rsid w:val="00FF3880"/>
    <w:rsid w:val="00FF394B"/>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8A233E5-AFFF-4012-B269-B30683E3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semiHidden/>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6362&amp;texto=2b434f4c45474941444f253341253232504c454e4152494f2532322b414e442b2b2532384e554d41434f5244414f253341323336382b4f522b4e554d52454c4143414f25334132333638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3" Type="http://schemas.openxmlformats.org/officeDocument/2006/relationships/hyperlink" Target="mailto:infojuris@tcu.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16411&amp;texto=2b434f4c45474941444f253341253232534547554e44412b43414d4152412532322b414e442b2b2532384e554d41434f5244414f253341353330312b4f522b4e554d52454c4143414f253341353330312532392b414e442b2b2532384e554d414e4f41434f5244414f253341323031332b4f522b4e554d414e4f52454c4143414f25334132303133253239&amp;sort=DTRELEVANCIA&amp;ordem=DESC&amp;bases=ACORDAO-LEGADO;DECISAO-LEGADO;RELACAO-LEGADO;ACORDAO-RELACAO-LEGADO;&amp;highlight=&amp;posicaoDocumento=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6418&amp;texto=2b434f4c45474941444f253341253232504c454e4152494f2532322b414e442b2b2532384e554d41434f5244414f253341323338372b4f522b4e554d52454c4143414f25334132333837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HighLight?key=ACORDAO-LEGADO-116337&amp;texto=2b434f4c45474941444f253341253232504c454e4152494f2532322b414e442b2b2532384e554d41434f5244414f253341323338302b4f522b4e554d52454c4143414f25334132333830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16362&amp;texto=2b434f4c45474941444f253341253232504c454e4152494f2532322b414e442b2b2532384e554d41434f5244414f253341323336382b4f522b4e554d52454c4143414f25334132333638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9DE43-2EF2-441E-8EE9-62FFA0E8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2914</Words>
  <Characters>15737</Characters>
  <Application>Microsoft Office Word</Application>
  <DocSecurity>4</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18614</CharactersWithSpaces>
  <SharedDoc>false</SharedDoc>
  <HLinks>
    <vt:vector size="36" baseType="variant">
      <vt:variant>
        <vt:i4>7602203</vt:i4>
      </vt:variant>
      <vt:variant>
        <vt:i4>15</vt:i4>
      </vt:variant>
      <vt:variant>
        <vt:i4>0</vt:i4>
      </vt:variant>
      <vt:variant>
        <vt:i4>5</vt:i4>
      </vt:variant>
      <vt:variant>
        <vt:lpwstr>mailto:infojuris@tcu.gov.br</vt:lpwstr>
      </vt:variant>
      <vt:variant>
        <vt:lpwstr/>
      </vt:variant>
      <vt:variant>
        <vt:i4>2490431</vt:i4>
      </vt:variant>
      <vt:variant>
        <vt:i4>12</vt:i4>
      </vt:variant>
      <vt:variant>
        <vt:i4>0</vt:i4>
      </vt:variant>
      <vt:variant>
        <vt:i4>5</vt:i4>
      </vt:variant>
      <vt:variant>
        <vt:lpwstr>https://contas.tcu.gov.br/juris/SvlHighLight?key=ACORDAO-LEGADO-116411&amp;texto=2b434f4c45474941444f253341253232534547554e44412b43414d4152412532322b414e442b2b2532384e554d41434f5244414f253341353330312b4f522b4e554d52454c4143414f253341353330312532392b414e442b2b2532384e554d414e4f41434f5244414f253341323031332b4f522b4e554d414e4f52454c4143414f25334132303133253239&amp;sort=DTRELEVANCIA&amp;ordem=DESC&amp;bases=ACORDAO-LEGADO;DECISAO-LEGADO;RELACAO-LEGADO;ACORDAO-RELACAO-LEGADO;&amp;highlight=&amp;posicaoDocumento=0%20</vt:lpwstr>
      </vt:variant>
      <vt:variant>
        <vt:lpwstr/>
      </vt:variant>
      <vt:variant>
        <vt:i4>3080255</vt:i4>
      </vt:variant>
      <vt:variant>
        <vt:i4>9</vt:i4>
      </vt:variant>
      <vt:variant>
        <vt:i4>0</vt:i4>
      </vt:variant>
      <vt:variant>
        <vt:i4>5</vt:i4>
      </vt:variant>
      <vt:variant>
        <vt:lpwstr>https://contas.tcu.gov.br/juris/SvlHighLight?key=ACORDAO-LEGADO-116418&amp;texto=2b434f4c45474941444f253341253232504c454e4152494f2532322b414e442b2b2532384e554d41434f5244414f253341323338372b4f522b4e554d52454c4143414f253341323338372532392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2555965</vt:i4>
      </vt:variant>
      <vt:variant>
        <vt:i4>6</vt:i4>
      </vt:variant>
      <vt:variant>
        <vt:i4>0</vt:i4>
      </vt:variant>
      <vt:variant>
        <vt:i4>5</vt:i4>
      </vt:variant>
      <vt:variant>
        <vt:lpwstr>https://contas.tcu.gov.br/juris/SvlHighLight?key=ACORDAO-LEGADO-116337&amp;texto=2b434f4c45474941444f253341253232504c454e4152494f2532322b414e442b2b2532384e554d41434f5244414f253341323338302b4f522b4e554d52454c4143414f253341323338302532392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2228280</vt:i4>
      </vt:variant>
      <vt:variant>
        <vt:i4>3</vt:i4>
      </vt:variant>
      <vt:variant>
        <vt:i4>0</vt:i4>
      </vt:variant>
      <vt:variant>
        <vt:i4>5</vt:i4>
      </vt:variant>
      <vt:variant>
        <vt:lpwstr>https://contas.tcu.gov.br/juris/SvlHighLight?key=ACORDAO-LEGADO-116362&amp;texto=2b434f4c45474941444f253341253232504c454e4152494f2532322b414e442b2b2532384e554d41434f5244414f253341323336382b4f522b4e554d52454c4143414f253341323336382532392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2228280</vt:i4>
      </vt:variant>
      <vt:variant>
        <vt:i4>0</vt:i4>
      </vt:variant>
      <vt:variant>
        <vt:i4>0</vt:i4>
      </vt:variant>
      <vt:variant>
        <vt:i4>5</vt:i4>
      </vt:variant>
      <vt:variant>
        <vt:lpwstr>https://contas.tcu.gov.br/juris/SvlHighLight?key=ACORDAO-LEGADO-116362&amp;texto=2b434f4c45474941444f253341253232504c454e4152494f2532322b414e442b2b2532384e554d41434f5244414f253341323336382b4f522b4e554d52454c4143414f253341323336382532392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2013-07-30T19:47:00Z</cp:lastPrinted>
  <dcterms:created xsi:type="dcterms:W3CDTF">2015-05-07T13:09:00Z</dcterms:created>
  <dcterms:modified xsi:type="dcterms:W3CDTF">2015-05-07T13:09:00Z</dcterms:modified>
</cp:coreProperties>
</file>