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C341B8" w:rsidRDefault="00C341B8" w:rsidP="0008246E">
      <w:pPr>
        <w:pStyle w:val="Ttulo8"/>
        <w:tabs>
          <w:tab w:val="right" w:pos="4423"/>
        </w:tabs>
        <w:spacing w:before="0" w:after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1</w:t>
      </w:r>
      <w:r w:rsidR="00DA27D7">
        <w:rPr>
          <w:rFonts w:ascii="Times New Roman" w:hAnsi="Times New Roman"/>
          <w:b/>
          <w:i w:val="0"/>
          <w:sz w:val="22"/>
          <w:szCs w:val="22"/>
        </w:rPr>
        <w:t>6</w:t>
      </w:r>
      <w:r w:rsidR="00D07BCA">
        <w:rPr>
          <w:rFonts w:ascii="Times New Roman" w:hAnsi="Times New Roman"/>
          <w:b/>
          <w:i w:val="0"/>
          <w:sz w:val="22"/>
          <w:szCs w:val="22"/>
        </w:rPr>
        <w:t>6</w:t>
      </w:r>
    </w:p>
    <w:p w:rsidR="0008246E" w:rsidRPr="00F2486E" w:rsidRDefault="0008246E" w:rsidP="0008246E">
      <w:pPr>
        <w:pStyle w:val="Ttulo8"/>
        <w:tabs>
          <w:tab w:val="right" w:pos="4423"/>
        </w:tabs>
        <w:spacing w:before="0" w:after="12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  <w:r w:rsidRPr="00993B9D">
        <w:rPr>
          <w:rFonts w:ascii="Times New Roman" w:hAnsi="Times New Roman"/>
          <w:b/>
          <w:i w:val="0"/>
          <w:sz w:val="22"/>
          <w:szCs w:val="22"/>
        </w:rPr>
        <w:t>Sessões: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D07BCA">
        <w:rPr>
          <w:rFonts w:ascii="Times New Roman" w:hAnsi="Times New Roman"/>
          <w:b/>
          <w:i w:val="0"/>
          <w:sz w:val="22"/>
          <w:szCs w:val="22"/>
        </w:rPr>
        <w:t>27</w:t>
      </w:r>
      <w:r w:rsidR="00E852EC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C341B8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D07BCA">
        <w:rPr>
          <w:rFonts w:ascii="Times New Roman" w:hAnsi="Times New Roman"/>
          <w:b/>
          <w:i w:val="0"/>
          <w:sz w:val="22"/>
          <w:szCs w:val="22"/>
        </w:rPr>
        <w:t>28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2F7A9E">
        <w:rPr>
          <w:rFonts w:ascii="Times New Roman" w:hAnsi="Times New Roman"/>
          <w:b/>
          <w:i w:val="0"/>
          <w:sz w:val="22"/>
          <w:szCs w:val="22"/>
        </w:rPr>
        <w:t>agosto</w:t>
      </w:r>
      <w:r w:rsidRPr="00993B9D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993B9D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993B9D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5220A9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5220A9">
        <w:rPr>
          <w:b/>
          <w:bCs/>
          <w:smallCaps/>
          <w:sz w:val="22"/>
          <w:szCs w:val="22"/>
        </w:rPr>
        <w:t>SUMÁRIO</w:t>
      </w:r>
    </w:p>
    <w:p w:rsidR="00175500" w:rsidRPr="003C10B2" w:rsidRDefault="0008246E" w:rsidP="00335F31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3C10B2">
        <w:rPr>
          <w:b/>
          <w:sz w:val="22"/>
          <w:szCs w:val="22"/>
          <w:lang w:eastAsia="pt-BR"/>
        </w:rPr>
        <w:t>Plenário</w:t>
      </w:r>
    </w:p>
    <w:p w:rsidR="00335F31" w:rsidRPr="00335F31" w:rsidRDefault="00335F31" w:rsidP="00335F31">
      <w:pPr>
        <w:spacing w:after="60"/>
        <w:ind w:left="0"/>
        <w:rPr>
          <w:color w:val="FF0000"/>
          <w:sz w:val="22"/>
          <w:szCs w:val="22"/>
        </w:rPr>
      </w:pPr>
      <w:r w:rsidRPr="00335F31">
        <w:rPr>
          <w:sz w:val="22"/>
          <w:szCs w:val="22"/>
        </w:rPr>
        <w:t xml:space="preserve">1. </w:t>
      </w:r>
      <w:r w:rsidR="006C72C5">
        <w:rPr>
          <w:sz w:val="22"/>
          <w:szCs w:val="22"/>
        </w:rPr>
        <w:t xml:space="preserve">Os orçamentos de licitações em obras e serviços de engenharia devem considerar a desoneração instituída pela Lei 12.844/13, que possibilita a redução de custos previdenciários das empresas de construção civil, caracterizando </w:t>
      </w:r>
      <w:proofErr w:type="spellStart"/>
      <w:r w:rsidR="006C72C5">
        <w:rPr>
          <w:sz w:val="22"/>
          <w:szCs w:val="22"/>
        </w:rPr>
        <w:t>sobrepreço</w:t>
      </w:r>
      <w:proofErr w:type="spellEnd"/>
      <w:r w:rsidR="006C72C5">
        <w:rPr>
          <w:sz w:val="22"/>
          <w:szCs w:val="22"/>
        </w:rPr>
        <w:t xml:space="preserve"> a fixação de valores em contrato que desconsidere tal dedução</w:t>
      </w:r>
      <w:r w:rsidRPr="00335F31">
        <w:rPr>
          <w:sz w:val="22"/>
          <w:szCs w:val="22"/>
        </w:rPr>
        <w:t>.</w:t>
      </w:r>
    </w:p>
    <w:p w:rsidR="003B0162" w:rsidRPr="002B595B" w:rsidRDefault="002B595B" w:rsidP="00335F31">
      <w:pPr>
        <w:spacing w:after="60"/>
        <w:ind w:left="0"/>
        <w:rPr>
          <w:strike/>
          <w:sz w:val="22"/>
          <w:szCs w:val="22"/>
        </w:rPr>
      </w:pPr>
      <w:r>
        <w:rPr>
          <w:sz w:val="22"/>
          <w:szCs w:val="22"/>
        </w:rPr>
        <w:t>2</w:t>
      </w:r>
      <w:r w:rsidR="007B38E3" w:rsidRPr="007B38E3">
        <w:rPr>
          <w:sz w:val="22"/>
          <w:szCs w:val="22"/>
        </w:rPr>
        <w:t xml:space="preserve">. </w:t>
      </w:r>
      <w:r w:rsidR="00B91A5D" w:rsidRPr="00B91A5D">
        <w:rPr>
          <w:bCs/>
          <w:iCs/>
          <w:sz w:val="22"/>
          <w:szCs w:val="22"/>
        </w:rPr>
        <w:t>Nas licitações para aquisição de veículos, no que se refere a consumo e emissão de poluentes,</w:t>
      </w:r>
      <w:r w:rsidR="00D30454" w:rsidRPr="00D30454">
        <w:rPr>
          <w:bCs/>
          <w:iCs/>
          <w:sz w:val="22"/>
          <w:szCs w:val="22"/>
        </w:rPr>
        <w:t xml:space="preserve"> </w:t>
      </w:r>
      <w:r w:rsidR="00D30454" w:rsidRPr="00B91A5D">
        <w:rPr>
          <w:bCs/>
          <w:iCs/>
          <w:sz w:val="22"/>
          <w:szCs w:val="22"/>
        </w:rPr>
        <w:t>devem os editais</w:t>
      </w:r>
      <w:r w:rsidR="00B91A5D" w:rsidRPr="00B91A5D">
        <w:rPr>
          <w:bCs/>
          <w:iCs/>
          <w:sz w:val="22"/>
          <w:szCs w:val="22"/>
        </w:rPr>
        <w:t xml:space="preserve"> adotar exigências tecnicamente</w:t>
      </w:r>
      <w:r w:rsidR="00B91A5D">
        <w:rPr>
          <w:bCs/>
          <w:iCs/>
          <w:sz w:val="22"/>
          <w:szCs w:val="22"/>
        </w:rPr>
        <w:t xml:space="preserve"> </w:t>
      </w:r>
      <w:r w:rsidR="00B91A5D" w:rsidRPr="00B91A5D">
        <w:rPr>
          <w:bCs/>
          <w:iCs/>
          <w:sz w:val="22"/>
          <w:szCs w:val="22"/>
        </w:rPr>
        <w:t>embasadas que possam ser objetivamente avaliadas, sem a imposição de restrições a tecnologias que possam oferecer níveis compatíveis com os</w:t>
      </w:r>
      <w:r w:rsidR="00B91A5D">
        <w:rPr>
          <w:bCs/>
          <w:iCs/>
          <w:sz w:val="22"/>
          <w:szCs w:val="22"/>
        </w:rPr>
        <w:t xml:space="preserve"> </w:t>
      </w:r>
      <w:r w:rsidR="00B91A5D" w:rsidRPr="00B91A5D">
        <w:rPr>
          <w:bCs/>
          <w:iCs/>
          <w:sz w:val="22"/>
          <w:szCs w:val="22"/>
        </w:rPr>
        <w:t>parâmetros pretendidos</w:t>
      </w:r>
      <w:r w:rsidR="001B52A1">
        <w:rPr>
          <w:bCs/>
          <w:iCs/>
          <w:sz w:val="22"/>
          <w:szCs w:val="22"/>
        </w:rPr>
        <w:t>.</w:t>
      </w:r>
      <w:r w:rsidR="003B0162" w:rsidRPr="003B0162">
        <w:rPr>
          <w:iCs/>
          <w:sz w:val="22"/>
          <w:szCs w:val="22"/>
        </w:rPr>
        <w:t xml:space="preserve"> </w:t>
      </w:r>
    </w:p>
    <w:p w:rsidR="00FA4810" w:rsidRPr="00FA4810" w:rsidRDefault="009C0567" w:rsidP="00335F31">
      <w:pPr>
        <w:spacing w:after="60"/>
        <w:ind w:left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Primeira</w:t>
      </w:r>
      <w:r w:rsidR="00FA4810" w:rsidRPr="00FA4810">
        <w:rPr>
          <w:b/>
          <w:iCs/>
          <w:sz w:val="22"/>
          <w:szCs w:val="22"/>
        </w:rPr>
        <w:t xml:space="preserve"> Câmara</w:t>
      </w:r>
    </w:p>
    <w:p w:rsidR="000E5C70" w:rsidRDefault="00550986" w:rsidP="00335F31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>3</w:t>
      </w:r>
      <w:r w:rsidR="00AE54D5" w:rsidRPr="00AE54D5">
        <w:rPr>
          <w:sz w:val="22"/>
          <w:szCs w:val="22"/>
        </w:rPr>
        <w:t xml:space="preserve">. </w:t>
      </w:r>
      <w:r w:rsidR="000E5C70" w:rsidRPr="000E5C70">
        <w:rPr>
          <w:sz w:val="22"/>
          <w:szCs w:val="22"/>
        </w:rPr>
        <w:t>A atestação é condição prévia</w:t>
      </w:r>
      <w:r w:rsidR="000E5C70">
        <w:rPr>
          <w:sz w:val="22"/>
          <w:szCs w:val="22"/>
        </w:rPr>
        <w:t xml:space="preserve"> </w:t>
      </w:r>
      <w:r w:rsidR="000E5C70" w:rsidRPr="000E5C70">
        <w:rPr>
          <w:sz w:val="22"/>
          <w:szCs w:val="22"/>
        </w:rPr>
        <w:t>essencial ao pagamento do serviço, pois representa a confirmação, pelo contratante, de que o objeto foi integralmente atendido nos termo</w:t>
      </w:r>
      <w:r w:rsidR="00DB7F7B">
        <w:rPr>
          <w:sz w:val="22"/>
          <w:szCs w:val="22"/>
        </w:rPr>
        <w:t>s</w:t>
      </w:r>
      <w:r w:rsidR="000E5C70">
        <w:rPr>
          <w:sz w:val="22"/>
          <w:szCs w:val="22"/>
        </w:rPr>
        <w:t xml:space="preserve"> </w:t>
      </w:r>
      <w:r w:rsidR="000E5C70" w:rsidRPr="000E5C70">
        <w:rPr>
          <w:sz w:val="22"/>
          <w:szCs w:val="22"/>
        </w:rPr>
        <w:t>acordado</w:t>
      </w:r>
      <w:r w:rsidR="00DB7F7B">
        <w:rPr>
          <w:sz w:val="22"/>
          <w:szCs w:val="22"/>
        </w:rPr>
        <w:t>s</w:t>
      </w:r>
      <w:r w:rsidR="008867F4">
        <w:rPr>
          <w:sz w:val="22"/>
          <w:szCs w:val="22"/>
        </w:rPr>
        <w:t>, sendo inadmissível o p</w:t>
      </w:r>
      <w:r w:rsidR="008867F4" w:rsidRPr="000E5C70">
        <w:rPr>
          <w:sz w:val="22"/>
          <w:szCs w:val="22"/>
        </w:rPr>
        <w:t>agamento de serviço medido por parâmetro dissonante daquele estipulado em contrato</w:t>
      </w:r>
      <w:r w:rsidR="008867F4">
        <w:rPr>
          <w:sz w:val="22"/>
          <w:szCs w:val="22"/>
        </w:rPr>
        <w:t>.</w:t>
      </w:r>
    </w:p>
    <w:p w:rsidR="00B53C88" w:rsidRDefault="00B53C88" w:rsidP="00270185">
      <w:pPr>
        <w:autoSpaceDE w:val="0"/>
        <w:autoSpaceDN w:val="0"/>
        <w:adjustRightInd w:val="0"/>
        <w:spacing w:after="0"/>
        <w:ind w:left="0"/>
        <w:rPr>
          <w:sz w:val="22"/>
          <w:szCs w:val="22"/>
        </w:rPr>
      </w:pPr>
    </w:p>
    <w:p w:rsidR="0008246E" w:rsidRPr="0093685C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93685C">
        <w:rPr>
          <w:b/>
          <w:bCs/>
          <w:smallCaps/>
          <w:sz w:val="22"/>
          <w:szCs w:val="22"/>
        </w:rPr>
        <w:t>PLENÁRIO</w:t>
      </w:r>
    </w:p>
    <w:p w:rsidR="0008246E" w:rsidRPr="0093685C" w:rsidRDefault="0008246E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2B595B" w:rsidRDefault="002B595B" w:rsidP="002B595B">
      <w:pPr>
        <w:spacing w:after="0"/>
        <w:ind w:left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6C72C5" w:rsidRPr="006C72C5">
        <w:rPr>
          <w:b/>
          <w:sz w:val="22"/>
          <w:szCs w:val="22"/>
        </w:rPr>
        <w:t xml:space="preserve">Os orçamentos de licitações em obras e serviços de engenharia devem considerar a desoneração instituída pela Lei 12.844/13, que possibilita a redução de custos previdenciários das empresas de construção civil, caracterizando </w:t>
      </w:r>
      <w:proofErr w:type="spellStart"/>
      <w:r w:rsidR="006C72C5" w:rsidRPr="006C72C5">
        <w:rPr>
          <w:b/>
          <w:sz w:val="22"/>
          <w:szCs w:val="22"/>
        </w:rPr>
        <w:t>sobrepreço</w:t>
      </w:r>
      <w:proofErr w:type="spellEnd"/>
      <w:r w:rsidR="006C72C5" w:rsidRPr="006C72C5">
        <w:rPr>
          <w:b/>
          <w:sz w:val="22"/>
          <w:szCs w:val="22"/>
        </w:rPr>
        <w:t xml:space="preserve"> a fixação de valores em contrato que desconsidere tal dedução</w:t>
      </w:r>
      <w:r w:rsidR="009B06C0">
        <w:rPr>
          <w:b/>
          <w:sz w:val="22"/>
          <w:szCs w:val="22"/>
        </w:rPr>
        <w:t>.</w:t>
      </w:r>
    </w:p>
    <w:p w:rsidR="002B595B" w:rsidRDefault="002B595B" w:rsidP="00892841">
      <w:pPr>
        <w:autoSpaceDE w:val="0"/>
        <w:autoSpaceDN w:val="0"/>
        <w:adjustRightInd w:val="0"/>
        <w:spacing w:after="0"/>
        <w:ind w:left="0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Levantamento de Auditoria realizado nas obras de reforma e ampliação do terminal de passageiros do Aeroporto Salgado Filho, em Porto Alegre/RS, apontara, dentre outras irregularidades, "</w:t>
      </w:r>
      <w:proofErr w:type="spellStart"/>
      <w:r>
        <w:rPr>
          <w:i/>
          <w:sz w:val="22"/>
          <w:szCs w:val="22"/>
          <w:lang w:eastAsia="pt-BR"/>
        </w:rPr>
        <w:t>sobrepreço</w:t>
      </w:r>
      <w:proofErr w:type="spellEnd"/>
      <w:r>
        <w:rPr>
          <w:i/>
          <w:sz w:val="22"/>
          <w:szCs w:val="22"/>
          <w:lang w:eastAsia="pt-BR"/>
        </w:rPr>
        <w:t xml:space="preserve"> decorrente de preços excessivos frente ao mercado</w:t>
      </w:r>
      <w:r>
        <w:rPr>
          <w:sz w:val="22"/>
          <w:szCs w:val="22"/>
          <w:lang w:eastAsia="pt-BR"/>
        </w:rPr>
        <w:t xml:space="preserve">". No caso concreto, o orçamento da licitação não considerara </w:t>
      </w:r>
      <w:r>
        <w:rPr>
          <w:iCs/>
          <w:sz w:val="22"/>
          <w:szCs w:val="22"/>
          <w:lang w:eastAsia="pt-BR"/>
        </w:rPr>
        <w:t>a desoneração instituída p</w:t>
      </w:r>
      <w:r w:rsidR="00892841">
        <w:rPr>
          <w:iCs/>
          <w:sz w:val="22"/>
          <w:szCs w:val="22"/>
          <w:lang w:eastAsia="pt-BR"/>
        </w:rPr>
        <w:t>ela Lei 12.844/13</w:t>
      </w:r>
      <w:r>
        <w:rPr>
          <w:iCs/>
          <w:sz w:val="22"/>
          <w:szCs w:val="22"/>
          <w:lang w:eastAsia="pt-BR"/>
        </w:rPr>
        <w:t>, que</w:t>
      </w:r>
      <w:r w:rsidR="00892841">
        <w:rPr>
          <w:iCs/>
          <w:sz w:val="22"/>
          <w:szCs w:val="22"/>
          <w:lang w:eastAsia="pt-BR"/>
        </w:rPr>
        <w:t>, ao alterar o</w:t>
      </w:r>
      <w:r w:rsidR="00892841" w:rsidRPr="00892841">
        <w:rPr>
          <w:iCs/>
          <w:sz w:val="22"/>
          <w:szCs w:val="22"/>
          <w:lang w:eastAsia="pt-BR"/>
        </w:rPr>
        <w:t xml:space="preserve"> </w:t>
      </w:r>
      <w:r w:rsidR="00892841">
        <w:rPr>
          <w:iCs/>
          <w:sz w:val="22"/>
          <w:szCs w:val="22"/>
          <w:lang w:eastAsia="pt-BR"/>
        </w:rPr>
        <w:t>art. 7º da Lei 12.546/11</w:t>
      </w:r>
      <w:r>
        <w:rPr>
          <w:iCs/>
          <w:sz w:val="22"/>
          <w:szCs w:val="22"/>
          <w:lang w:eastAsia="pt-BR"/>
        </w:rPr>
        <w:t xml:space="preserve"> permite a redução d</w:t>
      </w:r>
      <w:r>
        <w:rPr>
          <w:sz w:val="22"/>
          <w:szCs w:val="22"/>
          <w:lang w:eastAsia="pt-BR"/>
        </w:rPr>
        <w:t>os custos previdenciários das empresas de construção civil nas obras de construção de edifícios,</w:t>
      </w:r>
      <w:r w:rsidR="009B06C0">
        <w:rPr>
          <w:sz w:val="22"/>
          <w:szCs w:val="22"/>
          <w:lang w:eastAsia="pt-BR"/>
        </w:rPr>
        <w:t xml:space="preserve"> de</w:t>
      </w:r>
      <w:r>
        <w:rPr>
          <w:sz w:val="22"/>
          <w:szCs w:val="22"/>
          <w:lang w:eastAsia="pt-BR"/>
        </w:rPr>
        <w:t xml:space="preserve"> insta</w:t>
      </w:r>
      <w:r w:rsidR="009B06C0">
        <w:rPr>
          <w:sz w:val="22"/>
          <w:szCs w:val="22"/>
          <w:lang w:eastAsia="pt-BR"/>
        </w:rPr>
        <w:t xml:space="preserve">lações prediais, </w:t>
      </w:r>
      <w:r>
        <w:rPr>
          <w:sz w:val="22"/>
          <w:szCs w:val="22"/>
          <w:lang w:eastAsia="pt-BR"/>
        </w:rPr>
        <w:t>de acabamento e outros serviços especializados de construção. O relator anotou que a desoneração "</w:t>
      </w:r>
      <w:r>
        <w:rPr>
          <w:i/>
          <w:sz w:val="22"/>
          <w:szCs w:val="22"/>
          <w:lang w:eastAsia="pt-BR"/>
        </w:rPr>
        <w:t>impacta diretamente e significativamente nos encargos sociais sobre a mão de obra, aplicável ao objeto da presente contratação. São 20% a menos a serem aplicados sobre os custos de todos os operários. Ao mesmo tempo, como medida compensatória, deve-se incluir 2% sobre o lucro bruto relativo à Contribuição Previdenciária sobre a Renda Bruta (CPRB), a ser incluída diretamente no BDI</w:t>
      </w:r>
      <w:r>
        <w:rPr>
          <w:sz w:val="22"/>
          <w:szCs w:val="22"/>
          <w:lang w:eastAsia="pt-BR"/>
        </w:rPr>
        <w:t>". Ressaltou ainda que "</w:t>
      </w:r>
      <w:r>
        <w:rPr>
          <w:i/>
          <w:sz w:val="22"/>
          <w:szCs w:val="22"/>
          <w:lang w:eastAsia="pt-BR"/>
        </w:rPr>
        <w:t xml:space="preserve">a não consideração dessa novidade em matéria tributária ensejou um </w:t>
      </w:r>
      <w:proofErr w:type="spellStart"/>
      <w:r>
        <w:rPr>
          <w:i/>
          <w:sz w:val="22"/>
          <w:szCs w:val="22"/>
          <w:lang w:eastAsia="pt-BR"/>
        </w:rPr>
        <w:t>sobrepreço</w:t>
      </w:r>
      <w:proofErr w:type="spellEnd"/>
      <w:r>
        <w:rPr>
          <w:i/>
          <w:sz w:val="22"/>
          <w:szCs w:val="22"/>
          <w:lang w:eastAsia="pt-BR"/>
        </w:rPr>
        <w:t xml:space="preserve"> em toda a mão de obra do empreendimento</w:t>
      </w:r>
      <w:r>
        <w:rPr>
          <w:sz w:val="22"/>
          <w:szCs w:val="22"/>
          <w:lang w:eastAsia="pt-BR"/>
        </w:rPr>
        <w:t>".</w:t>
      </w:r>
      <w:r w:rsidR="00892841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Considerando que a Infraero, ao tomar conhecimento da irregularidade, republicou o edital, bem como aplicou a desoneração</w:t>
      </w:r>
      <w:r w:rsidR="00892841">
        <w:rPr>
          <w:sz w:val="22"/>
          <w:szCs w:val="22"/>
          <w:lang w:eastAsia="pt-BR"/>
        </w:rPr>
        <w:t xml:space="preserve"> estabelecida pela Lei 12.546/</w:t>
      </w:r>
      <w:r>
        <w:rPr>
          <w:sz w:val="22"/>
          <w:szCs w:val="22"/>
          <w:lang w:eastAsia="pt-BR"/>
        </w:rPr>
        <w:t xml:space="preserve">11, </w:t>
      </w:r>
      <w:r>
        <w:rPr>
          <w:bCs/>
          <w:sz w:val="22"/>
          <w:szCs w:val="22"/>
          <w:lang w:eastAsia="pt-BR"/>
        </w:rPr>
        <w:t>o Tribunal, acolhendo proposta do relator, decidiu, em relação ao ponto, notificar a empresa da impropriedade relativa à</w:t>
      </w:r>
      <w:r w:rsidR="009B06C0">
        <w:rPr>
          <w:bCs/>
          <w:sz w:val="22"/>
          <w:szCs w:val="22"/>
          <w:lang w:eastAsia="pt-BR"/>
        </w:rPr>
        <w:t xml:space="preserve"> </w:t>
      </w:r>
      <w:r w:rsidR="009B06C0">
        <w:rPr>
          <w:bCs/>
          <w:i/>
          <w:sz w:val="22"/>
          <w:szCs w:val="22"/>
          <w:lang w:eastAsia="pt-BR"/>
        </w:rPr>
        <w:t>"</w:t>
      </w:r>
      <w:r>
        <w:rPr>
          <w:bCs/>
          <w:i/>
          <w:sz w:val="22"/>
          <w:szCs w:val="22"/>
          <w:lang w:eastAsia="pt-BR"/>
        </w:rPr>
        <w:t>inobservância, à época da elaboração do orçamento da obra, da Lei 12.844/2013, que alterou o art. 7º da Lei 12.546/2011 – a impactar nos custos das empresas da construção civil nas áreas de construção de edifícios; instalações elétricas, hidráulicas e outras instalações em construções; obras de acabamento e outros serviços especializados de construção – especificamente quanto à desoneração do INSS nos encargos sociais sobre a mão de obra e quanto à criação da Contribuição Previdenciária sobre a Renda Bruta (CPRB), a onerar o BDI em 2%</w:t>
      </w:r>
      <w:r>
        <w:rPr>
          <w:bCs/>
          <w:sz w:val="22"/>
          <w:szCs w:val="22"/>
          <w:lang w:eastAsia="pt-BR"/>
        </w:rPr>
        <w:t>".</w:t>
      </w:r>
      <w:r w:rsidR="008C6740">
        <w:rPr>
          <w:bCs/>
          <w:sz w:val="22"/>
          <w:szCs w:val="22"/>
          <w:lang w:eastAsia="pt-BR"/>
        </w:rPr>
        <w:t xml:space="preserve"> </w:t>
      </w:r>
      <w:hyperlink r:id="rId8" w:history="1">
        <w:r w:rsidR="008C6740" w:rsidRPr="008C6740">
          <w:rPr>
            <w:rStyle w:val="Hyperlink"/>
            <w:b/>
            <w:bCs/>
            <w:i/>
            <w:sz w:val="22"/>
            <w:szCs w:val="22"/>
            <w:lang w:eastAsia="pt-BR"/>
          </w:rPr>
          <w:t>Acórdão 2293/2013-Plenário</w:t>
        </w:r>
      </w:hyperlink>
      <w:r>
        <w:rPr>
          <w:b/>
          <w:i/>
          <w:sz w:val="22"/>
          <w:szCs w:val="22"/>
          <w:lang w:eastAsia="pt-BR"/>
        </w:rPr>
        <w:t>, TC 017.124/2013-1, relator Ministro Valmir Campelo, 28.8.2013.</w:t>
      </w:r>
    </w:p>
    <w:p w:rsidR="002B595B" w:rsidRDefault="002B595B" w:rsidP="0006509C">
      <w:pPr>
        <w:spacing w:after="0"/>
        <w:ind w:left="0"/>
        <w:rPr>
          <w:b/>
          <w:sz w:val="22"/>
          <w:szCs w:val="22"/>
        </w:rPr>
      </w:pPr>
    </w:p>
    <w:p w:rsidR="00F95B0B" w:rsidRPr="00F95B0B" w:rsidRDefault="002B595B" w:rsidP="0006509C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F95B0B" w:rsidRPr="00F95B0B">
        <w:rPr>
          <w:b/>
          <w:sz w:val="22"/>
          <w:szCs w:val="22"/>
        </w:rPr>
        <w:t xml:space="preserve">. </w:t>
      </w:r>
      <w:r w:rsidR="00B91A5D" w:rsidRPr="00B91A5D">
        <w:rPr>
          <w:b/>
          <w:bCs/>
          <w:iCs/>
          <w:sz w:val="22"/>
          <w:szCs w:val="22"/>
        </w:rPr>
        <w:t xml:space="preserve">Nas licitações para aquisição de veículos, no que se refere a consumo e emissão de poluentes, </w:t>
      </w:r>
      <w:r w:rsidR="00D30454" w:rsidRPr="00D30454">
        <w:rPr>
          <w:b/>
          <w:bCs/>
          <w:iCs/>
          <w:sz w:val="22"/>
          <w:szCs w:val="22"/>
        </w:rPr>
        <w:t xml:space="preserve">devem os editais </w:t>
      </w:r>
      <w:r w:rsidR="00B91A5D" w:rsidRPr="00B91A5D">
        <w:rPr>
          <w:b/>
          <w:bCs/>
          <w:iCs/>
          <w:sz w:val="22"/>
          <w:szCs w:val="22"/>
        </w:rPr>
        <w:t>adotar exigências tecnicamente embasadas, que possam ser objetivamente avaliadas, sem a imposição de restrições a tecnologias que possam oferecer níveis compatíveis com os parâmetros pretendidos</w:t>
      </w:r>
      <w:r w:rsidR="00BF3D31">
        <w:rPr>
          <w:b/>
          <w:bCs/>
          <w:iCs/>
          <w:sz w:val="22"/>
          <w:szCs w:val="22"/>
        </w:rPr>
        <w:t>.</w:t>
      </w:r>
    </w:p>
    <w:p w:rsidR="003B0162" w:rsidRPr="002B595B" w:rsidRDefault="00B90556" w:rsidP="0006509C">
      <w:pPr>
        <w:spacing w:after="0"/>
        <w:ind w:left="0"/>
        <w:rPr>
          <w:sz w:val="22"/>
          <w:szCs w:val="22"/>
        </w:rPr>
      </w:pPr>
      <w:r>
        <w:rPr>
          <w:sz w:val="22"/>
          <w:szCs w:val="22"/>
          <w:lang w:eastAsia="pt-BR"/>
        </w:rPr>
        <w:t xml:space="preserve">Representação </w:t>
      </w:r>
      <w:r w:rsidR="00537433">
        <w:rPr>
          <w:sz w:val="22"/>
          <w:szCs w:val="22"/>
          <w:lang w:eastAsia="pt-BR"/>
        </w:rPr>
        <w:t>versando sobre</w:t>
      </w:r>
      <w:r w:rsidR="00537433" w:rsidRPr="00537433">
        <w:rPr>
          <w:sz w:val="22"/>
          <w:szCs w:val="22"/>
          <w:lang w:eastAsia="pt-BR"/>
        </w:rPr>
        <w:t xml:space="preserve"> suposta irregularidade </w:t>
      </w:r>
      <w:r w:rsidR="00537433">
        <w:rPr>
          <w:sz w:val="22"/>
          <w:szCs w:val="22"/>
          <w:lang w:eastAsia="pt-BR"/>
        </w:rPr>
        <w:t>em pregão e</w:t>
      </w:r>
      <w:r w:rsidR="00537433" w:rsidRPr="00537433">
        <w:rPr>
          <w:sz w:val="22"/>
          <w:szCs w:val="22"/>
          <w:lang w:eastAsia="pt-BR"/>
        </w:rPr>
        <w:t xml:space="preserve">letrônico </w:t>
      </w:r>
      <w:r w:rsidR="00537433">
        <w:rPr>
          <w:sz w:val="22"/>
          <w:szCs w:val="22"/>
          <w:lang w:eastAsia="pt-BR"/>
        </w:rPr>
        <w:t>conduzido pela</w:t>
      </w:r>
      <w:r w:rsidR="00537433" w:rsidRPr="00537433">
        <w:rPr>
          <w:sz w:val="22"/>
          <w:szCs w:val="22"/>
          <w:lang w:eastAsia="pt-BR"/>
        </w:rPr>
        <w:t xml:space="preserve"> Empresa Brasileira de Correios e Telégrafos (ECT)</w:t>
      </w:r>
      <w:r w:rsidR="00537433">
        <w:rPr>
          <w:sz w:val="22"/>
          <w:szCs w:val="22"/>
          <w:lang w:eastAsia="pt-BR"/>
        </w:rPr>
        <w:t xml:space="preserve">, destinado à </w:t>
      </w:r>
      <w:r w:rsidR="00537433" w:rsidRPr="00537433">
        <w:rPr>
          <w:sz w:val="22"/>
          <w:szCs w:val="22"/>
          <w:lang w:eastAsia="pt-BR"/>
        </w:rPr>
        <w:t>aquisição de motocicletas tipo comum com baú, por meio do sistema de registro de preços</w:t>
      </w:r>
      <w:r w:rsidR="00537433">
        <w:rPr>
          <w:sz w:val="22"/>
          <w:szCs w:val="22"/>
          <w:lang w:eastAsia="pt-BR"/>
        </w:rPr>
        <w:t xml:space="preserve">, </w:t>
      </w:r>
      <w:r w:rsidR="00F12A36">
        <w:rPr>
          <w:sz w:val="22"/>
          <w:szCs w:val="22"/>
          <w:lang w:eastAsia="pt-BR"/>
        </w:rPr>
        <w:t>apontara</w:t>
      </w:r>
      <w:r w:rsidR="00C92117">
        <w:rPr>
          <w:sz w:val="22"/>
          <w:szCs w:val="22"/>
          <w:lang w:eastAsia="pt-BR"/>
        </w:rPr>
        <w:t xml:space="preserve"> possível restrição à competitividade decorrente </w:t>
      </w:r>
      <w:r w:rsidR="00537433">
        <w:rPr>
          <w:sz w:val="22"/>
          <w:szCs w:val="22"/>
          <w:lang w:eastAsia="pt-BR"/>
        </w:rPr>
        <w:t xml:space="preserve">de cláusula no edital demandando </w:t>
      </w:r>
      <w:r w:rsidR="00537433" w:rsidRPr="00537433">
        <w:rPr>
          <w:i/>
          <w:sz w:val="22"/>
          <w:szCs w:val="22"/>
          <w:lang w:eastAsia="pt-BR"/>
        </w:rPr>
        <w:t>“sistema de alimentação por injeção eletrônica para motores com capacidade volumétrica entre 130 cm³ e 155 cm³”</w:t>
      </w:r>
      <w:r w:rsidR="00F12A36">
        <w:rPr>
          <w:sz w:val="22"/>
          <w:szCs w:val="22"/>
          <w:lang w:eastAsia="pt-BR"/>
        </w:rPr>
        <w:t>.</w:t>
      </w:r>
      <w:r w:rsidR="00F368CB">
        <w:rPr>
          <w:sz w:val="22"/>
          <w:szCs w:val="22"/>
          <w:lang w:eastAsia="pt-BR"/>
        </w:rPr>
        <w:t xml:space="preserve"> </w:t>
      </w:r>
      <w:r w:rsidR="00A210E7" w:rsidRPr="00A210E7">
        <w:rPr>
          <w:sz w:val="22"/>
          <w:szCs w:val="22"/>
          <w:lang w:eastAsia="pt-BR"/>
        </w:rPr>
        <w:t xml:space="preserve">Em juízo de mérito, realizadas as oitivas regimentais após </w:t>
      </w:r>
      <w:r w:rsidR="00C92117">
        <w:rPr>
          <w:sz w:val="22"/>
          <w:szCs w:val="22"/>
          <w:lang w:eastAsia="pt-BR"/>
        </w:rPr>
        <w:t>a suspensão cautelar do certame</w:t>
      </w:r>
      <w:r w:rsidR="00A210E7">
        <w:rPr>
          <w:sz w:val="22"/>
          <w:szCs w:val="22"/>
          <w:lang w:eastAsia="pt-BR"/>
        </w:rPr>
        <w:t xml:space="preserve">, anotou o relator que </w:t>
      </w:r>
      <w:r w:rsidR="00A210E7" w:rsidRPr="00A210E7">
        <w:rPr>
          <w:i/>
          <w:sz w:val="22"/>
          <w:szCs w:val="22"/>
          <w:lang w:eastAsia="pt-BR"/>
        </w:rPr>
        <w:t>“a questão central da representação diz respeito à utilização de resultados de estudo técnico realizado pela ECT com objetivo de justificar a exigência constante do item 2.2.5 do Anexo 03 do edital, sob a alegação de que motocicletas com motor com capacidade volumétrica, entre 130 cm³ e 155 cm³, não dotadas de sistema de alimentação por injeção eletrônica, consomem mais combustíveis e emitem mais dióxido de carbono (CO</w:t>
      </w:r>
      <w:r w:rsidR="00A210E7" w:rsidRPr="00A210E7">
        <w:rPr>
          <w:i/>
          <w:sz w:val="22"/>
          <w:szCs w:val="22"/>
          <w:vertAlign w:val="subscript"/>
          <w:lang w:eastAsia="pt-BR"/>
        </w:rPr>
        <w:t>2</w:t>
      </w:r>
      <w:r w:rsidR="00A210E7" w:rsidRPr="00A210E7">
        <w:rPr>
          <w:i/>
          <w:sz w:val="22"/>
          <w:szCs w:val="22"/>
          <w:lang w:eastAsia="pt-BR"/>
        </w:rPr>
        <w:t>)</w:t>
      </w:r>
      <w:r w:rsidR="00A210E7">
        <w:rPr>
          <w:sz w:val="22"/>
          <w:szCs w:val="22"/>
          <w:lang w:eastAsia="pt-BR"/>
        </w:rPr>
        <w:t xml:space="preserve">”. </w:t>
      </w:r>
      <w:r w:rsidR="00B11792">
        <w:rPr>
          <w:sz w:val="22"/>
          <w:szCs w:val="22"/>
          <w:lang w:eastAsia="pt-BR"/>
        </w:rPr>
        <w:t>Ressaltou que o estudo realizado pela ECT baseou-se exclusivamente em sua frota de motocicletas, sendo indevida a extrapolação do resultado</w:t>
      </w:r>
      <w:r w:rsidR="007C5953">
        <w:rPr>
          <w:sz w:val="22"/>
          <w:szCs w:val="22"/>
          <w:lang w:eastAsia="pt-BR"/>
        </w:rPr>
        <w:t xml:space="preserve"> para o universo de motocicletas dispon</w:t>
      </w:r>
      <w:r w:rsidR="00EE0EA6">
        <w:rPr>
          <w:sz w:val="22"/>
          <w:szCs w:val="22"/>
          <w:lang w:eastAsia="pt-BR"/>
        </w:rPr>
        <w:t xml:space="preserve">íveis no mercado, </w:t>
      </w:r>
      <w:r w:rsidR="00EE0EA6" w:rsidRPr="00EE0EA6">
        <w:rPr>
          <w:i/>
          <w:sz w:val="22"/>
          <w:szCs w:val="22"/>
          <w:lang w:eastAsia="pt-BR"/>
        </w:rPr>
        <w:t>“dado que tecnologias mais modernas poderiam vir a ser implementadas em modelos que não aqueles da frota da estatal”</w:t>
      </w:r>
      <w:r w:rsidR="00EE0EA6">
        <w:rPr>
          <w:sz w:val="22"/>
          <w:szCs w:val="22"/>
          <w:lang w:eastAsia="pt-BR"/>
        </w:rPr>
        <w:t xml:space="preserve">. </w:t>
      </w:r>
      <w:r w:rsidR="00EE0EA6" w:rsidRPr="00EE0EA6">
        <w:rPr>
          <w:sz w:val="22"/>
          <w:szCs w:val="22"/>
          <w:lang w:eastAsia="pt-BR"/>
        </w:rPr>
        <w:t xml:space="preserve">No </w:t>
      </w:r>
      <w:r w:rsidR="00EE0EA6">
        <w:rPr>
          <w:sz w:val="22"/>
          <w:szCs w:val="22"/>
          <w:lang w:eastAsia="pt-BR"/>
        </w:rPr>
        <w:t>tocante</w:t>
      </w:r>
      <w:r w:rsidR="00EE0EA6" w:rsidRPr="00EE0EA6">
        <w:rPr>
          <w:sz w:val="22"/>
          <w:szCs w:val="22"/>
          <w:lang w:eastAsia="pt-BR"/>
        </w:rPr>
        <w:t xml:space="preserve"> à emissão de gases poluentes, </w:t>
      </w:r>
      <w:r w:rsidR="00C92117">
        <w:rPr>
          <w:sz w:val="22"/>
          <w:szCs w:val="22"/>
          <w:lang w:eastAsia="pt-BR"/>
        </w:rPr>
        <w:t>anotou</w:t>
      </w:r>
      <w:r w:rsidR="00EE0EA6">
        <w:rPr>
          <w:sz w:val="22"/>
          <w:szCs w:val="22"/>
          <w:lang w:eastAsia="pt-BR"/>
        </w:rPr>
        <w:t xml:space="preserve"> o relator que</w:t>
      </w:r>
      <w:r w:rsidR="00EE0EA6" w:rsidRPr="00EE0EA6">
        <w:rPr>
          <w:sz w:val="22"/>
          <w:szCs w:val="22"/>
          <w:lang w:eastAsia="pt-BR"/>
        </w:rPr>
        <w:t xml:space="preserve"> </w:t>
      </w:r>
      <w:r w:rsidR="00EE0EA6" w:rsidRPr="00EE0EA6">
        <w:rPr>
          <w:i/>
          <w:sz w:val="22"/>
          <w:szCs w:val="22"/>
          <w:lang w:eastAsia="pt-BR"/>
        </w:rPr>
        <w:t>“a própria área técnica da empresa pública reconhece que há outros métodos para diminuir a emissão de poluentes que não passam necessariamente pelo sistema de alimentação dos motores, como, por exemplo, a utilização de catalisadores de ar</w:t>
      </w:r>
      <w:r w:rsidR="00EE0EA6">
        <w:rPr>
          <w:i/>
          <w:sz w:val="22"/>
          <w:szCs w:val="22"/>
          <w:lang w:eastAsia="pt-BR"/>
        </w:rPr>
        <w:t>”</w:t>
      </w:r>
      <w:r w:rsidR="00EE0EA6">
        <w:rPr>
          <w:sz w:val="22"/>
          <w:szCs w:val="22"/>
          <w:lang w:eastAsia="pt-BR"/>
        </w:rPr>
        <w:t>.</w:t>
      </w:r>
      <w:r w:rsidR="003F2756">
        <w:rPr>
          <w:sz w:val="22"/>
          <w:szCs w:val="22"/>
          <w:lang w:eastAsia="pt-BR"/>
        </w:rPr>
        <w:t xml:space="preserve"> Embora caracterizada a impropriedade – consistente no descarte de outra</w:t>
      </w:r>
      <w:r w:rsidR="00F572E1">
        <w:rPr>
          <w:sz w:val="22"/>
          <w:szCs w:val="22"/>
          <w:lang w:eastAsia="pt-BR"/>
        </w:rPr>
        <w:t xml:space="preserve">s tecnologias que permitiriam </w:t>
      </w:r>
      <w:r w:rsidR="00F572E1" w:rsidRPr="001B52A1">
        <w:rPr>
          <w:sz w:val="22"/>
          <w:szCs w:val="22"/>
          <w:lang w:eastAsia="pt-BR"/>
        </w:rPr>
        <w:t>menores consumo e</w:t>
      </w:r>
      <w:r w:rsidR="003F2756" w:rsidRPr="001B52A1">
        <w:rPr>
          <w:sz w:val="22"/>
          <w:szCs w:val="22"/>
          <w:lang w:eastAsia="pt-BR"/>
        </w:rPr>
        <w:t xml:space="preserve"> emissão de poluentes</w:t>
      </w:r>
      <w:r w:rsidR="003F2756">
        <w:rPr>
          <w:sz w:val="22"/>
          <w:szCs w:val="22"/>
          <w:lang w:eastAsia="pt-BR"/>
        </w:rPr>
        <w:t xml:space="preserve"> – o relator consignou que a exigência não e</w:t>
      </w:r>
      <w:r w:rsidR="00C92117">
        <w:rPr>
          <w:sz w:val="22"/>
          <w:szCs w:val="22"/>
          <w:lang w:eastAsia="pt-BR"/>
        </w:rPr>
        <w:t>liminara</w:t>
      </w:r>
      <w:r w:rsidR="003F2756">
        <w:rPr>
          <w:sz w:val="22"/>
          <w:szCs w:val="22"/>
          <w:lang w:eastAsia="pt-BR"/>
        </w:rPr>
        <w:t xml:space="preserve"> a competitividade do certame (quatro modelos de motocicleta atenderiam ao requisito) e, tampouco, compro</w:t>
      </w:r>
      <w:r w:rsidR="00C92117">
        <w:rPr>
          <w:sz w:val="22"/>
          <w:szCs w:val="22"/>
          <w:lang w:eastAsia="pt-BR"/>
        </w:rPr>
        <w:t>metera</w:t>
      </w:r>
      <w:r w:rsidR="003F2756">
        <w:rPr>
          <w:sz w:val="22"/>
          <w:szCs w:val="22"/>
          <w:lang w:eastAsia="pt-BR"/>
        </w:rPr>
        <w:t xml:space="preserve"> </w:t>
      </w:r>
      <w:r w:rsidR="00C92117">
        <w:rPr>
          <w:sz w:val="22"/>
          <w:szCs w:val="22"/>
          <w:lang w:eastAsia="pt-BR"/>
        </w:rPr>
        <w:t>sua</w:t>
      </w:r>
      <w:r w:rsidR="003F2756">
        <w:rPr>
          <w:sz w:val="22"/>
          <w:szCs w:val="22"/>
          <w:lang w:eastAsia="pt-BR"/>
        </w:rPr>
        <w:t xml:space="preserve"> economicidade</w:t>
      </w:r>
      <w:r w:rsidR="004571D3">
        <w:rPr>
          <w:sz w:val="22"/>
          <w:szCs w:val="22"/>
          <w:lang w:eastAsia="pt-BR"/>
        </w:rPr>
        <w:t xml:space="preserve">, com o segundo colocado </w:t>
      </w:r>
      <w:r w:rsidR="00EA4FEE">
        <w:rPr>
          <w:sz w:val="22"/>
          <w:szCs w:val="22"/>
          <w:lang w:eastAsia="pt-BR"/>
        </w:rPr>
        <w:t>ofertando</w:t>
      </w:r>
      <w:r w:rsidR="00BF3D31">
        <w:rPr>
          <w:sz w:val="22"/>
          <w:szCs w:val="22"/>
          <w:lang w:eastAsia="pt-BR"/>
        </w:rPr>
        <w:t xml:space="preserve"> proposta final inferior </w:t>
      </w:r>
      <w:proofErr w:type="spellStart"/>
      <w:r w:rsidR="00BF3D31" w:rsidRPr="001B52A1">
        <w:rPr>
          <w:sz w:val="22"/>
          <w:szCs w:val="22"/>
          <w:lang w:eastAsia="pt-BR"/>
        </w:rPr>
        <w:t>a</w:t>
      </w:r>
      <w:proofErr w:type="spellEnd"/>
      <w:r w:rsidR="004571D3">
        <w:rPr>
          <w:sz w:val="22"/>
          <w:szCs w:val="22"/>
          <w:lang w:eastAsia="pt-BR"/>
        </w:rPr>
        <w:t xml:space="preserve"> da primeira colocada.</w:t>
      </w:r>
      <w:r w:rsidR="00E10AE7">
        <w:rPr>
          <w:sz w:val="22"/>
          <w:szCs w:val="22"/>
          <w:lang w:eastAsia="pt-BR"/>
        </w:rPr>
        <w:t xml:space="preserve"> Nesse sentido, entendeu</w:t>
      </w:r>
      <w:r w:rsidR="00EA4FEE" w:rsidRPr="00EA4FEE">
        <w:rPr>
          <w:sz w:val="22"/>
          <w:szCs w:val="22"/>
          <w:lang w:eastAsia="pt-BR"/>
        </w:rPr>
        <w:t xml:space="preserve"> </w:t>
      </w:r>
      <w:r w:rsidR="00EA4FEE">
        <w:rPr>
          <w:sz w:val="22"/>
          <w:szCs w:val="22"/>
          <w:lang w:eastAsia="pt-BR"/>
        </w:rPr>
        <w:t>o relator –</w:t>
      </w:r>
      <w:r w:rsidR="00E10AE7">
        <w:rPr>
          <w:sz w:val="22"/>
          <w:szCs w:val="22"/>
          <w:lang w:eastAsia="pt-BR"/>
        </w:rPr>
        <w:t xml:space="preserve"> preservados os princípios da eficiência, da impessoalidade e do desenvolvimento sustentável</w:t>
      </w:r>
      <w:r w:rsidR="00EA4FEE">
        <w:rPr>
          <w:sz w:val="22"/>
          <w:szCs w:val="22"/>
          <w:lang w:eastAsia="pt-BR"/>
        </w:rPr>
        <w:t xml:space="preserve"> –</w:t>
      </w:r>
      <w:r w:rsidR="00E10AE7">
        <w:rPr>
          <w:sz w:val="22"/>
          <w:szCs w:val="22"/>
          <w:lang w:eastAsia="pt-BR"/>
        </w:rPr>
        <w:t xml:space="preserve"> pela convalidação da licitação, sem prejuízo da emissão de determinação à ECT para que, nas futuras licitações, </w:t>
      </w:r>
      <w:r w:rsidR="00E10AE7" w:rsidRPr="00E10AE7">
        <w:rPr>
          <w:i/>
          <w:sz w:val="22"/>
          <w:szCs w:val="22"/>
          <w:lang w:eastAsia="pt-BR"/>
        </w:rPr>
        <w:t>“faça constar dos editais, no que se refere a consumo e emissão de poluentes, exigências tecnicamente embasadas, que possam ser objetivamente avaliadas, sem a imposição de restrições a tecnologias que possam oferecer níveis compatíveis com os parâmetros pretendidos pela empresa”</w:t>
      </w:r>
      <w:r w:rsidR="00E10AE7">
        <w:rPr>
          <w:sz w:val="22"/>
          <w:szCs w:val="22"/>
          <w:lang w:eastAsia="pt-BR"/>
        </w:rPr>
        <w:t xml:space="preserve">. O Plenário do TCU, acolhendo a proposta da relatoria, julgou parcialmente procedente a representação, revogando a cautelar concedida e expedindo a determinação </w:t>
      </w:r>
      <w:r w:rsidR="00EA4FEE">
        <w:rPr>
          <w:sz w:val="22"/>
          <w:szCs w:val="22"/>
          <w:lang w:eastAsia="pt-BR"/>
        </w:rPr>
        <w:t>sugerida</w:t>
      </w:r>
      <w:r w:rsidR="00E10AE7">
        <w:rPr>
          <w:sz w:val="22"/>
          <w:szCs w:val="22"/>
          <w:lang w:eastAsia="pt-BR"/>
        </w:rPr>
        <w:t>.</w:t>
      </w:r>
      <w:r w:rsidR="005D2A1B">
        <w:rPr>
          <w:sz w:val="22"/>
          <w:szCs w:val="22"/>
          <w:lang w:eastAsia="pt-BR"/>
        </w:rPr>
        <w:t xml:space="preserve"> </w:t>
      </w:r>
      <w:hyperlink r:id="rId9" w:history="1">
        <w:r w:rsidR="00D216BC" w:rsidRPr="00D216BC">
          <w:rPr>
            <w:rStyle w:val="Hyperlink"/>
            <w:b/>
            <w:i/>
            <w:sz w:val="22"/>
            <w:szCs w:val="22"/>
            <w:lang w:eastAsia="pt-BR"/>
          </w:rPr>
          <w:t>Acórdão 2297/2013-Plenário</w:t>
        </w:r>
      </w:hyperlink>
      <w:r w:rsidR="007265DB" w:rsidRPr="007265DB">
        <w:rPr>
          <w:b/>
          <w:i/>
          <w:sz w:val="22"/>
          <w:szCs w:val="22"/>
          <w:lang w:eastAsia="pt-BR"/>
        </w:rPr>
        <w:t xml:space="preserve">, TC 003.663/2013-2, relator Ministro Benjamin </w:t>
      </w:r>
      <w:proofErr w:type="spellStart"/>
      <w:r w:rsidR="007265DB" w:rsidRPr="007265DB">
        <w:rPr>
          <w:b/>
          <w:i/>
          <w:sz w:val="22"/>
          <w:szCs w:val="22"/>
          <w:lang w:eastAsia="pt-BR"/>
        </w:rPr>
        <w:t>Zymler</w:t>
      </w:r>
      <w:proofErr w:type="spellEnd"/>
      <w:r w:rsidR="007265DB">
        <w:rPr>
          <w:b/>
          <w:i/>
          <w:sz w:val="22"/>
          <w:szCs w:val="22"/>
          <w:lang w:eastAsia="pt-BR"/>
        </w:rPr>
        <w:t>, 28</w:t>
      </w:r>
      <w:r w:rsidR="007265DB" w:rsidRPr="007265DB">
        <w:rPr>
          <w:b/>
          <w:i/>
          <w:sz w:val="22"/>
          <w:szCs w:val="22"/>
          <w:lang w:eastAsia="pt-BR"/>
        </w:rPr>
        <w:t>.8.2013.</w:t>
      </w:r>
    </w:p>
    <w:p w:rsidR="00511104" w:rsidRPr="0093685C" w:rsidRDefault="0042677E" w:rsidP="00270185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1C4FE9" w:rsidRPr="0093685C" w:rsidRDefault="00596853" w:rsidP="00270185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PRIMEIRA</w:t>
      </w:r>
      <w:r w:rsidR="00B77E78" w:rsidRPr="0093685C">
        <w:rPr>
          <w:b/>
          <w:bCs/>
          <w:smallCaps/>
          <w:sz w:val="22"/>
          <w:szCs w:val="22"/>
        </w:rPr>
        <w:t xml:space="preserve"> CÂMARA</w:t>
      </w:r>
    </w:p>
    <w:p w:rsidR="00AE54D5" w:rsidRDefault="00AE54D5" w:rsidP="00AE54D5">
      <w:pPr>
        <w:spacing w:after="0"/>
        <w:ind w:left="0"/>
        <w:rPr>
          <w:b/>
          <w:sz w:val="22"/>
          <w:szCs w:val="22"/>
        </w:rPr>
      </w:pPr>
    </w:p>
    <w:p w:rsidR="00511A4E" w:rsidRDefault="00550986" w:rsidP="0006509C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E54D5" w:rsidRPr="003E235D">
        <w:rPr>
          <w:b/>
          <w:sz w:val="22"/>
          <w:szCs w:val="22"/>
        </w:rPr>
        <w:t>.</w:t>
      </w:r>
      <w:r w:rsidR="00AE54D5">
        <w:rPr>
          <w:b/>
          <w:sz w:val="22"/>
          <w:szCs w:val="22"/>
        </w:rPr>
        <w:t xml:space="preserve"> </w:t>
      </w:r>
      <w:r w:rsidR="00596853" w:rsidRPr="00596853">
        <w:rPr>
          <w:b/>
          <w:sz w:val="22"/>
          <w:szCs w:val="22"/>
        </w:rPr>
        <w:t>A atestação é condição prévia essencial ao pagamento do serviço, pois representa a confirmação, pelo contratante, de que o objeto foi integralm</w:t>
      </w:r>
      <w:r w:rsidR="00DB7F7B">
        <w:rPr>
          <w:b/>
          <w:sz w:val="22"/>
          <w:szCs w:val="22"/>
        </w:rPr>
        <w:t>ente atendido nos termos</w:t>
      </w:r>
      <w:r w:rsidR="00596853" w:rsidRPr="00596853">
        <w:rPr>
          <w:b/>
          <w:sz w:val="22"/>
          <w:szCs w:val="22"/>
        </w:rPr>
        <w:t xml:space="preserve"> acordado</w:t>
      </w:r>
      <w:r w:rsidR="00DB7F7B">
        <w:rPr>
          <w:b/>
          <w:sz w:val="22"/>
          <w:szCs w:val="22"/>
        </w:rPr>
        <w:t>s</w:t>
      </w:r>
      <w:r w:rsidR="00596853" w:rsidRPr="00596853">
        <w:rPr>
          <w:b/>
          <w:sz w:val="22"/>
          <w:szCs w:val="22"/>
        </w:rPr>
        <w:t>, sendo inadmissível o pagamento de serviço medido por parâmetro dissonante daquele estipulado em contrato.</w:t>
      </w:r>
      <w:r w:rsidR="00AE54D5" w:rsidRPr="00074CFF">
        <w:rPr>
          <w:b/>
          <w:sz w:val="22"/>
          <w:szCs w:val="22"/>
        </w:rPr>
        <w:t xml:space="preserve"> </w:t>
      </w:r>
    </w:p>
    <w:p w:rsidR="00AE54D5" w:rsidRPr="0099689B" w:rsidRDefault="00511A4E" w:rsidP="0006509C">
      <w:pPr>
        <w:spacing w:after="0"/>
        <w:ind w:left="0"/>
        <w:rPr>
          <w:b/>
          <w:sz w:val="22"/>
          <w:szCs w:val="22"/>
        </w:rPr>
      </w:pPr>
      <w:r w:rsidRPr="0093685C">
        <w:rPr>
          <w:sz w:val="22"/>
          <w:szCs w:val="22"/>
          <w:lang w:eastAsia="pt-BR"/>
        </w:rPr>
        <w:t>Recurso</w:t>
      </w:r>
      <w:r>
        <w:rPr>
          <w:sz w:val="22"/>
          <w:szCs w:val="22"/>
          <w:lang w:eastAsia="pt-BR"/>
        </w:rPr>
        <w:t>s</w:t>
      </w:r>
      <w:r w:rsidRPr="0093685C">
        <w:rPr>
          <w:sz w:val="22"/>
          <w:szCs w:val="22"/>
          <w:lang w:eastAsia="pt-BR"/>
        </w:rPr>
        <w:t xml:space="preserve"> de Reconsideração </w:t>
      </w:r>
      <w:r w:rsidR="007B4E1A">
        <w:rPr>
          <w:sz w:val="22"/>
          <w:szCs w:val="22"/>
          <w:lang w:eastAsia="pt-BR"/>
        </w:rPr>
        <w:t>contestaram</w:t>
      </w:r>
      <w:r w:rsidRPr="0093685C">
        <w:rPr>
          <w:sz w:val="22"/>
          <w:szCs w:val="22"/>
          <w:lang w:eastAsia="pt-BR"/>
        </w:rPr>
        <w:t xml:space="preserve"> deliberação proferida em sede de Tomada de Contas Especial</w:t>
      </w:r>
      <w:r w:rsidR="00DB7F7B">
        <w:rPr>
          <w:sz w:val="22"/>
          <w:szCs w:val="22"/>
          <w:lang w:eastAsia="pt-BR"/>
        </w:rPr>
        <w:t>, na</w:t>
      </w:r>
      <w:r w:rsidR="007B4E1A">
        <w:rPr>
          <w:sz w:val="22"/>
          <w:szCs w:val="22"/>
          <w:lang w:eastAsia="pt-BR"/>
        </w:rPr>
        <w:t xml:space="preserve"> qual os recorrentes</w:t>
      </w:r>
      <w:r w:rsidRPr="0093685C">
        <w:rPr>
          <w:sz w:val="22"/>
          <w:szCs w:val="22"/>
          <w:lang w:eastAsia="pt-BR"/>
        </w:rPr>
        <w:t xml:space="preserve"> fora</w:t>
      </w:r>
      <w:r w:rsidR="007B4E1A">
        <w:rPr>
          <w:sz w:val="22"/>
          <w:szCs w:val="22"/>
          <w:lang w:eastAsia="pt-BR"/>
        </w:rPr>
        <w:t>m condenados em débito e sancionados</w:t>
      </w:r>
      <w:r w:rsidRPr="0093685C">
        <w:rPr>
          <w:sz w:val="22"/>
          <w:szCs w:val="22"/>
          <w:lang w:eastAsia="pt-BR"/>
        </w:rPr>
        <w:t xml:space="preserve"> com multa em decorrência de </w:t>
      </w:r>
      <w:r>
        <w:rPr>
          <w:sz w:val="22"/>
          <w:szCs w:val="22"/>
          <w:lang w:eastAsia="pt-BR"/>
        </w:rPr>
        <w:t xml:space="preserve">pagamentos </w:t>
      </w:r>
      <w:r w:rsidR="007B4E1A">
        <w:rPr>
          <w:sz w:val="22"/>
          <w:szCs w:val="22"/>
          <w:lang w:eastAsia="pt-BR"/>
        </w:rPr>
        <w:t>realizados</w:t>
      </w:r>
      <w:r w:rsidR="00DB7F7B">
        <w:rPr>
          <w:sz w:val="22"/>
          <w:szCs w:val="22"/>
          <w:lang w:eastAsia="pt-BR"/>
        </w:rPr>
        <w:t xml:space="preserve"> em desacordo com</w:t>
      </w:r>
      <w:r>
        <w:rPr>
          <w:sz w:val="22"/>
          <w:szCs w:val="22"/>
          <w:lang w:eastAsia="pt-BR"/>
        </w:rPr>
        <w:t xml:space="preserve"> contrato firmado </w:t>
      </w:r>
      <w:r w:rsidR="007B4E1A">
        <w:rPr>
          <w:sz w:val="22"/>
          <w:szCs w:val="22"/>
          <w:lang w:eastAsia="pt-BR"/>
        </w:rPr>
        <w:t>pelo</w:t>
      </w:r>
      <w:r w:rsidRPr="00511A4E">
        <w:rPr>
          <w:sz w:val="22"/>
          <w:szCs w:val="22"/>
          <w:lang w:eastAsia="pt-BR"/>
        </w:rPr>
        <w:t xml:space="preserve"> Conselho Federal de Engenharia e Agronomia – </w:t>
      </w:r>
      <w:proofErr w:type="spellStart"/>
      <w:r w:rsidRPr="00511A4E">
        <w:rPr>
          <w:sz w:val="22"/>
          <w:szCs w:val="22"/>
          <w:lang w:eastAsia="pt-BR"/>
        </w:rPr>
        <w:t>Confea</w:t>
      </w:r>
      <w:proofErr w:type="spellEnd"/>
      <w:r w:rsidRPr="0093685C">
        <w:rPr>
          <w:sz w:val="22"/>
          <w:szCs w:val="22"/>
          <w:lang w:eastAsia="pt-BR"/>
        </w:rPr>
        <w:t xml:space="preserve">, </w:t>
      </w:r>
      <w:r w:rsidR="007B4E1A" w:rsidRPr="007B4E1A">
        <w:rPr>
          <w:sz w:val="22"/>
          <w:szCs w:val="22"/>
          <w:lang w:eastAsia="pt-BR"/>
        </w:rPr>
        <w:t xml:space="preserve"> </w:t>
      </w:r>
      <w:r w:rsidR="007179F7">
        <w:rPr>
          <w:sz w:val="22"/>
          <w:szCs w:val="22"/>
          <w:lang w:eastAsia="pt-BR"/>
        </w:rPr>
        <w:t>cujo objeto era a</w:t>
      </w:r>
      <w:r w:rsidR="007B4E1A" w:rsidRPr="007B4E1A">
        <w:rPr>
          <w:sz w:val="22"/>
          <w:szCs w:val="22"/>
          <w:lang w:eastAsia="pt-BR"/>
        </w:rPr>
        <w:t xml:space="preserve"> prestação de serviços de planejamento, organização, execução e acompanhamento de eventos</w:t>
      </w:r>
      <w:r w:rsidR="007B4E1A">
        <w:rPr>
          <w:sz w:val="22"/>
          <w:szCs w:val="22"/>
          <w:lang w:eastAsia="pt-BR"/>
        </w:rPr>
        <w:t>. Embora o critério contratual de pagamento para os serviços de</w:t>
      </w:r>
      <w:r w:rsidR="00AD06AC">
        <w:rPr>
          <w:sz w:val="22"/>
          <w:szCs w:val="22"/>
          <w:lang w:eastAsia="pt-BR"/>
        </w:rPr>
        <w:t xml:space="preserve"> montagem de estandes fosse o metro quadrado</w:t>
      </w:r>
      <w:r w:rsidR="007B4E1A">
        <w:rPr>
          <w:sz w:val="22"/>
          <w:szCs w:val="22"/>
          <w:lang w:eastAsia="pt-BR"/>
        </w:rPr>
        <w:t>, fora efetivamente utilizado como parâmetro o m2/diária, levando a dispêndios a m</w:t>
      </w:r>
      <w:r w:rsidR="00AD06AC">
        <w:rPr>
          <w:sz w:val="22"/>
          <w:szCs w:val="22"/>
          <w:lang w:eastAsia="pt-BR"/>
        </w:rPr>
        <w:t>aior</w:t>
      </w:r>
      <w:r w:rsidR="007B4E1A">
        <w:rPr>
          <w:sz w:val="22"/>
          <w:szCs w:val="22"/>
          <w:lang w:eastAsia="pt-BR"/>
        </w:rPr>
        <w:t xml:space="preserve">. </w:t>
      </w:r>
      <w:r w:rsidRPr="0093685C">
        <w:rPr>
          <w:sz w:val="22"/>
          <w:szCs w:val="22"/>
          <w:lang w:eastAsia="pt-BR"/>
        </w:rPr>
        <w:t xml:space="preserve">Analisando as </w:t>
      </w:r>
      <w:r w:rsidR="001D6E5D">
        <w:rPr>
          <w:sz w:val="22"/>
          <w:szCs w:val="22"/>
          <w:lang w:eastAsia="pt-BR"/>
        </w:rPr>
        <w:t>razões recursais</w:t>
      </w:r>
      <w:r w:rsidRPr="0093685C">
        <w:rPr>
          <w:sz w:val="22"/>
          <w:szCs w:val="22"/>
          <w:lang w:eastAsia="pt-BR"/>
        </w:rPr>
        <w:t xml:space="preserve">, </w:t>
      </w:r>
      <w:r w:rsidR="00AD06AC">
        <w:rPr>
          <w:sz w:val="22"/>
          <w:szCs w:val="22"/>
          <w:lang w:eastAsia="pt-BR"/>
        </w:rPr>
        <w:t>a</w:t>
      </w:r>
      <w:r w:rsidR="001D6E5D">
        <w:rPr>
          <w:sz w:val="22"/>
          <w:szCs w:val="22"/>
          <w:lang w:eastAsia="pt-BR"/>
        </w:rPr>
        <w:t xml:space="preserve"> relator</w:t>
      </w:r>
      <w:r w:rsidR="00AD06AC">
        <w:rPr>
          <w:sz w:val="22"/>
          <w:szCs w:val="22"/>
          <w:lang w:eastAsia="pt-BR"/>
        </w:rPr>
        <w:t>a</w:t>
      </w:r>
      <w:r w:rsidRPr="0093685C">
        <w:rPr>
          <w:sz w:val="22"/>
          <w:szCs w:val="22"/>
          <w:lang w:eastAsia="pt-BR"/>
        </w:rPr>
        <w:t xml:space="preserve"> anotou </w:t>
      </w:r>
      <w:r w:rsidR="001D6E5D">
        <w:rPr>
          <w:sz w:val="22"/>
          <w:szCs w:val="22"/>
          <w:lang w:eastAsia="pt-BR"/>
        </w:rPr>
        <w:t>a ilegitimidade de argumentos que busquem afastar os termos contratuais ajustados</w:t>
      </w:r>
      <w:r w:rsidR="00FF1386">
        <w:rPr>
          <w:sz w:val="22"/>
          <w:szCs w:val="22"/>
          <w:lang w:eastAsia="pt-BR"/>
        </w:rPr>
        <w:t>, mormente em face da inexistência de termo aditivo que alterasse o parâmetro de medição do serviço.</w:t>
      </w:r>
      <w:r w:rsidR="00A0032D">
        <w:rPr>
          <w:sz w:val="22"/>
          <w:szCs w:val="22"/>
          <w:lang w:eastAsia="pt-BR"/>
        </w:rPr>
        <w:t xml:space="preserve"> No que respeita ao</w:t>
      </w:r>
      <w:r w:rsidR="00AD06AC">
        <w:rPr>
          <w:sz w:val="22"/>
          <w:szCs w:val="22"/>
          <w:lang w:eastAsia="pt-BR"/>
        </w:rPr>
        <w:t xml:space="preserve"> mérito da fórmula contratual, a</w:t>
      </w:r>
      <w:r w:rsidR="00A0032D">
        <w:rPr>
          <w:sz w:val="22"/>
          <w:szCs w:val="22"/>
          <w:lang w:eastAsia="pt-BR"/>
        </w:rPr>
        <w:t xml:space="preserve"> relator</w:t>
      </w:r>
      <w:r w:rsidR="00AD06AC">
        <w:rPr>
          <w:sz w:val="22"/>
          <w:szCs w:val="22"/>
          <w:lang w:eastAsia="pt-BR"/>
        </w:rPr>
        <w:t>a</w:t>
      </w:r>
      <w:r w:rsidR="00A0032D">
        <w:rPr>
          <w:sz w:val="22"/>
          <w:szCs w:val="22"/>
          <w:lang w:eastAsia="pt-BR"/>
        </w:rPr>
        <w:t xml:space="preserve"> assentou que </w:t>
      </w:r>
      <w:r w:rsidR="00A0032D" w:rsidRPr="00353D60">
        <w:rPr>
          <w:i/>
          <w:sz w:val="22"/>
          <w:szCs w:val="22"/>
          <w:lang w:eastAsia="pt-BR"/>
        </w:rPr>
        <w:t>“o parâmetro metragem quadrada é utilizado em contratações da administração pública, sobretudo quando se trata de eventos predeterminados, com bens e serviços pré-estipulados”</w:t>
      </w:r>
      <w:r w:rsidR="00A0032D">
        <w:rPr>
          <w:sz w:val="22"/>
          <w:szCs w:val="22"/>
          <w:lang w:eastAsia="pt-BR"/>
        </w:rPr>
        <w:t>.</w:t>
      </w:r>
      <w:r w:rsidR="00943F9A">
        <w:rPr>
          <w:sz w:val="22"/>
          <w:szCs w:val="22"/>
          <w:lang w:eastAsia="pt-BR"/>
        </w:rPr>
        <w:t xml:space="preserve"> Ademais, os serviços prestados e medidos incorretamente foram atestados por gestor do </w:t>
      </w:r>
      <w:proofErr w:type="spellStart"/>
      <w:r w:rsidR="00943F9A">
        <w:rPr>
          <w:sz w:val="22"/>
          <w:szCs w:val="22"/>
          <w:lang w:eastAsia="pt-BR"/>
        </w:rPr>
        <w:t>Confea</w:t>
      </w:r>
      <w:proofErr w:type="spellEnd"/>
      <w:r w:rsidR="00943F9A">
        <w:rPr>
          <w:sz w:val="22"/>
          <w:szCs w:val="22"/>
          <w:lang w:eastAsia="pt-BR"/>
        </w:rPr>
        <w:t xml:space="preserve">, ora recorrente, </w:t>
      </w:r>
      <w:r w:rsidR="00943F9A" w:rsidRPr="00943F9A">
        <w:rPr>
          <w:i/>
          <w:sz w:val="22"/>
          <w:szCs w:val="22"/>
          <w:lang w:eastAsia="pt-BR"/>
        </w:rPr>
        <w:t>“o que permitiu legitimar indevidamente os pagamentos em desacordo com a previsão contratual”</w:t>
      </w:r>
      <w:r w:rsidR="00943F9A">
        <w:rPr>
          <w:sz w:val="22"/>
          <w:szCs w:val="22"/>
          <w:lang w:eastAsia="pt-BR"/>
        </w:rPr>
        <w:t>. A propósito, destaco</w:t>
      </w:r>
      <w:r w:rsidR="00AD06AC">
        <w:rPr>
          <w:sz w:val="22"/>
          <w:szCs w:val="22"/>
          <w:lang w:eastAsia="pt-BR"/>
        </w:rPr>
        <w:t>u a</w:t>
      </w:r>
      <w:r w:rsidR="00943F9A">
        <w:rPr>
          <w:sz w:val="22"/>
          <w:szCs w:val="22"/>
          <w:lang w:eastAsia="pt-BR"/>
        </w:rPr>
        <w:t xml:space="preserve"> relator</w:t>
      </w:r>
      <w:r w:rsidR="00AD06AC">
        <w:rPr>
          <w:sz w:val="22"/>
          <w:szCs w:val="22"/>
          <w:lang w:eastAsia="pt-BR"/>
        </w:rPr>
        <w:t>a</w:t>
      </w:r>
      <w:r w:rsidR="00943F9A">
        <w:rPr>
          <w:sz w:val="22"/>
          <w:szCs w:val="22"/>
          <w:lang w:eastAsia="pt-BR"/>
        </w:rPr>
        <w:t xml:space="preserve"> que </w:t>
      </w:r>
      <w:r w:rsidR="00943F9A" w:rsidRPr="00943F9A">
        <w:rPr>
          <w:i/>
          <w:sz w:val="22"/>
          <w:szCs w:val="22"/>
          <w:lang w:eastAsia="pt-BR"/>
        </w:rPr>
        <w:t>“a atestação é condição prévia essencial ao pagamento do serviço, pois representa a confirmação, pelo contratante, de que o objeto foi integralmente atend</w:t>
      </w:r>
      <w:r w:rsidR="00943F9A">
        <w:rPr>
          <w:i/>
          <w:sz w:val="22"/>
          <w:szCs w:val="22"/>
          <w:lang w:eastAsia="pt-BR"/>
        </w:rPr>
        <w:t>ido, nos termos em que acordado</w:t>
      </w:r>
      <w:r w:rsidR="00943F9A" w:rsidRPr="00943F9A">
        <w:rPr>
          <w:i/>
          <w:sz w:val="22"/>
          <w:szCs w:val="22"/>
          <w:lang w:eastAsia="pt-BR"/>
        </w:rPr>
        <w:t>”</w:t>
      </w:r>
      <w:r w:rsidR="00943F9A">
        <w:rPr>
          <w:sz w:val="22"/>
          <w:szCs w:val="22"/>
          <w:lang w:eastAsia="pt-BR"/>
        </w:rPr>
        <w:t>.</w:t>
      </w:r>
      <w:r w:rsidRPr="0093685C">
        <w:rPr>
          <w:sz w:val="22"/>
          <w:szCs w:val="22"/>
          <w:lang w:eastAsia="pt-BR"/>
        </w:rPr>
        <w:t xml:space="preserve"> </w:t>
      </w:r>
      <w:r w:rsidR="0088692D">
        <w:rPr>
          <w:sz w:val="22"/>
          <w:szCs w:val="22"/>
          <w:lang w:eastAsia="pt-BR"/>
        </w:rPr>
        <w:t xml:space="preserve">No caso vertente, </w:t>
      </w:r>
      <w:r w:rsidR="0088692D" w:rsidRPr="0088692D">
        <w:rPr>
          <w:i/>
          <w:sz w:val="22"/>
          <w:szCs w:val="22"/>
          <w:lang w:eastAsia="pt-BR"/>
        </w:rPr>
        <w:t>“a verificação da inconsistência entre critério definido em cláusula contratual e parâmetro efetivamente utilizado pela empresa deveria, obrigatoriamente, ter ocasionado impugnação das notas fiscais”</w:t>
      </w:r>
      <w:r w:rsidR="0088692D">
        <w:rPr>
          <w:sz w:val="22"/>
          <w:szCs w:val="22"/>
          <w:lang w:eastAsia="pt-BR"/>
        </w:rPr>
        <w:t xml:space="preserve">. </w:t>
      </w:r>
      <w:r w:rsidR="00E807BC">
        <w:rPr>
          <w:sz w:val="22"/>
          <w:szCs w:val="22"/>
          <w:lang w:eastAsia="pt-BR"/>
        </w:rPr>
        <w:t>O</w:t>
      </w:r>
      <w:r w:rsidR="0088692D">
        <w:rPr>
          <w:sz w:val="22"/>
          <w:szCs w:val="22"/>
          <w:lang w:eastAsia="pt-BR"/>
        </w:rPr>
        <w:t xml:space="preserve"> gestor</w:t>
      </w:r>
      <w:r w:rsidR="00E807BC">
        <w:rPr>
          <w:sz w:val="22"/>
          <w:szCs w:val="22"/>
          <w:lang w:eastAsia="pt-BR"/>
        </w:rPr>
        <w:t>, contudo,</w:t>
      </w:r>
      <w:r w:rsidR="0088692D">
        <w:rPr>
          <w:sz w:val="22"/>
          <w:szCs w:val="22"/>
          <w:lang w:eastAsia="pt-BR"/>
        </w:rPr>
        <w:t xml:space="preserve"> atestou como corretos os serviços prestados e seus respectivos valores, levando à consumação do dano ao erário, restando incontroversa nos autos a caracterização de</w:t>
      </w:r>
      <w:r w:rsidR="00353D60">
        <w:rPr>
          <w:sz w:val="22"/>
          <w:szCs w:val="22"/>
          <w:lang w:eastAsia="pt-BR"/>
        </w:rPr>
        <w:t xml:space="preserve"> sua responsabilidade. </w:t>
      </w:r>
      <w:r w:rsidRPr="0093685C">
        <w:rPr>
          <w:sz w:val="22"/>
          <w:szCs w:val="22"/>
          <w:lang w:eastAsia="pt-BR"/>
        </w:rPr>
        <w:t>Nesses termos, o Tribunal, ao acolher a proposição da relatora, negou provimento ao</w:t>
      </w:r>
      <w:r w:rsidR="00A0032D">
        <w:rPr>
          <w:sz w:val="22"/>
          <w:szCs w:val="22"/>
          <w:lang w:eastAsia="pt-BR"/>
        </w:rPr>
        <w:t>s</w:t>
      </w:r>
      <w:r w:rsidRPr="0093685C">
        <w:rPr>
          <w:sz w:val="22"/>
          <w:szCs w:val="22"/>
          <w:lang w:eastAsia="pt-BR"/>
        </w:rPr>
        <w:t xml:space="preserve"> recurso</w:t>
      </w:r>
      <w:r w:rsidR="00A0032D">
        <w:rPr>
          <w:sz w:val="22"/>
          <w:szCs w:val="22"/>
          <w:lang w:eastAsia="pt-BR"/>
        </w:rPr>
        <w:t>s</w:t>
      </w:r>
      <w:r w:rsidRPr="0093685C">
        <w:rPr>
          <w:sz w:val="22"/>
          <w:szCs w:val="22"/>
          <w:lang w:eastAsia="pt-BR"/>
        </w:rPr>
        <w:t>.</w:t>
      </w:r>
      <w:r w:rsidR="00D216BC">
        <w:rPr>
          <w:sz w:val="22"/>
          <w:szCs w:val="22"/>
          <w:lang w:eastAsia="pt-BR"/>
        </w:rPr>
        <w:t xml:space="preserve"> </w:t>
      </w:r>
      <w:hyperlink r:id="rId10" w:history="1">
        <w:r w:rsidR="00D216BC" w:rsidRPr="00D216BC">
          <w:rPr>
            <w:rStyle w:val="Hyperlink"/>
            <w:b/>
            <w:i/>
            <w:sz w:val="22"/>
            <w:szCs w:val="22"/>
            <w:lang w:eastAsia="pt-BR"/>
          </w:rPr>
          <w:t>Acórdão 5848/2013-P</w:t>
        </w:r>
        <w:r w:rsidR="00D216BC">
          <w:rPr>
            <w:rStyle w:val="Hyperlink"/>
            <w:b/>
            <w:i/>
            <w:sz w:val="22"/>
            <w:szCs w:val="22"/>
            <w:lang w:eastAsia="pt-BR"/>
          </w:rPr>
          <w:t>rimeira Câmara</w:t>
        </w:r>
      </w:hyperlink>
      <w:r w:rsidR="003E63A2" w:rsidRPr="007265DB">
        <w:rPr>
          <w:b/>
          <w:i/>
          <w:sz w:val="22"/>
          <w:szCs w:val="22"/>
          <w:lang w:eastAsia="pt-BR"/>
        </w:rPr>
        <w:t xml:space="preserve">, TC </w:t>
      </w:r>
      <w:r w:rsidR="00353D60" w:rsidRPr="00353D60">
        <w:rPr>
          <w:b/>
          <w:i/>
          <w:sz w:val="22"/>
          <w:szCs w:val="22"/>
          <w:lang w:eastAsia="pt-BR"/>
        </w:rPr>
        <w:t>015.743/2010-1</w:t>
      </w:r>
      <w:r w:rsidR="00353D60">
        <w:rPr>
          <w:b/>
          <w:i/>
          <w:sz w:val="22"/>
          <w:szCs w:val="22"/>
          <w:lang w:eastAsia="pt-BR"/>
        </w:rPr>
        <w:t>, relatora Ministra</w:t>
      </w:r>
      <w:r w:rsidR="003E63A2" w:rsidRPr="007265DB">
        <w:rPr>
          <w:b/>
          <w:i/>
          <w:sz w:val="22"/>
          <w:szCs w:val="22"/>
          <w:lang w:eastAsia="pt-BR"/>
        </w:rPr>
        <w:t xml:space="preserve"> </w:t>
      </w:r>
      <w:r w:rsidR="00353D60">
        <w:rPr>
          <w:b/>
          <w:i/>
          <w:sz w:val="22"/>
          <w:szCs w:val="22"/>
          <w:lang w:eastAsia="pt-BR"/>
        </w:rPr>
        <w:t>Ana Arraes</w:t>
      </w:r>
      <w:r w:rsidR="003E63A2">
        <w:rPr>
          <w:b/>
          <w:i/>
          <w:sz w:val="22"/>
          <w:szCs w:val="22"/>
          <w:lang w:eastAsia="pt-BR"/>
        </w:rPr>
        <w:t>, 2</w:t>
      </w:r>
      <w:r w:rsidR="00353D60">
        <w:rPr>
          <w:b/>
          <w:i/>
          <w:sz w:val="22"/>
          <w:szCs w:val="22"/>
          <w:lang w:eastAsia="pt-BR"/>
        </w:rPr>
        <w:t>7</w:t>
      </w:r>
      <w:r w:rsidR="003E63A2" w:rsidRPr="007265DB">
        <w:rPr>
          <w:b/>
          <w:i/>
          <w:sz w:val="22"/>
          <w:szCs w:val="22"/>
          <w:lang w:eastAsia="pt-BR"/>
        </w:rPr>
        <w:t>.8.2013.</w:t>
      </w:r>
    </w:p>
    <w:p w:rsidR="00AE54D5" w:rsidRDefault="00AE54D5" w:rsidP="0006509C">
      <w:pPr>
        <w:spacing w:after="0"/>
        <w:ind w:left="0"/>
        <w:rPr>
          <w:b/>
          <w:sz w:val="22"/>
          <w:szCs w:val="22"/>
        </w:rPr>
      </w:pPr>
    </w:p>
    <w:p w:rsidR="00DD4AE9" w:rsidRDefault="00DD4AE9" w:rsidP="00175500">
      <w:pPr>
        <w:spacing w:after="0"/>
        <w:ind w:left="0"/>
        <w:rPr>
          <w:sz w:val="22"/>
          <w:szCs w:val="22"/>
          <w:lang w:eastAsia="pt-BR"/>
        </w:rPr>
      </w:pPr>
    </w:p>
    <w:p w:rsidR="00DD4AE9" w:rsidRPr="00DD4AE9" w:rsidRDefault="00DD4AE9" w:rsidP="00175500">
      <w:pPr>
        <w:spacing w:after="0"/>
        <w:ind w:left="0"/>
        <w:rPr>
          <w:sz w:val="22"/>
          <w:szCs w:val="22"/>
          <w:lang w:eastAsia="pt-B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1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175500" w:rsidRDefault="00F3058F" w:rsidP="00925431">
      <w:pPr>
        <w:pStyle w:val="Ttulo8"/>
        <w:tabs>
          <w:tab w:val="right" w:pos="4423"/>
        </w:tabs>
        <w:spacing w:before="0" w:after="0"/>
        <w:ind w:left="0"/>
        <w:rPr>
          <w:b/>
          <w:sz w:val="22"/>
        </w:rPr>
      </w:pPr>
    </w:p>
    <w:sectPr w:rsidR="00F3058F" w:rsidRPr="00175500" w:rsidSect="00616945">
      <w:headerReference w:type="default" r:id="rId12"/>
      <w:footerReference w:type="default" r:id="rId13"/>
      <w:headerReference w:type="first" r:id="rId14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968" w:rsidRDefault="00672968" w:rsidP="008B0547">
      <w:pPr>
        <w:spacing w:after="0"/>
      </w:pPr>
      <w:r>
        <w:separator/>
      </w:r>
    </w:p>
  </w:endnote>
  <w:endnote w:type="continuationSeparator" w:id="0">
    <w:p w:rsidR="00672968" w:rsidRDefault="00672968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9B40AE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7C500D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968" w:rsidRDefault="00672968" w:rsidP="008B0547">
      <w:pPr>
        <w:spacing w:after="0"/>
      </w:pPr>
      <w:r>
        <w:separator/>
      </w:r>
    </w:p>
  </w:footnote>
  <w:footnote w:type="continuationSeparator" w:id="0">
    <w:p w:rsidR="00672968" w:rsidRDefault="00672968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934E25" w:rsidP="009D05A4">
    <w:pPr>
      <w:pStyle w:val="Cabealho"/>
      <w:ind w:left="0"/>
    </w:pPr>
    <w:r w:rsidRPr="008C103D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8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4"/>
    <w:lvlOverride w:ilvl="0">
      <w:startOverride w:val="1"/>
    </w:lvlOverride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5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69"/>
    <w:rsid w:val="000021D2"/>
    <w:rsid w:val="000023EE"/>
    <w:rsid w:val="000028E3"/>
    <w:rsid w:val="00003CEA"/>
    <w:rsid w:val="00003D44"/>
    <w:rsid w:val="000042F4"/>
    <w:rsid w:val="00004614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E81"/>
    <w:rsid w:val="000161F7"/>
    <w:rsid w:val="0001636D"/>
    <w:rsid w:val="0001643A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551"/>
    <w:rsid w:val="00033B3E"/>
    <w:rsid w:val="0003422F"/>
    <w:rsid w:val="00035593"/>
    <w:rsid w:val="00035A82"/>
    <w:rsid w:val="00035D4C"/>
    <w:rsid w:val="00035FBF"/>
    <w:rsid w:val="000360F1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D93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E0"/>
    <w:rsid w:val="000624FA"/>
    <w:rsid w:val="00062B46"/>
    <w:rsid w:val="00062D0E"/>
    <w:rsid w:val="00063C6E"/>
    <w:rsid w:val="000647B1"/>
    <w:rsid w:val="0006509C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73D"/>
    <w:rsid w:val="00070785"/>
    <w:rsid w:val="0007120E"/>
    <w:rsid w:val="00071457"/>
    <w:rsid w:val="000717D9"/>
    <w:rsid w:val="000717E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58C"/>
    <w:rsid w:val="00090B8F"/>
    <w:rsid w:val="00090C97"/>
    <w:rsid w:val="00090D8A"/>
    <w:rsid w:val="00090E2E"/>
    <w:rsid w:val="0009133A"/>
    <w:rsid w:val="000916AF"/>
    <w:rsid w:val="000919D7"/>
    <w:rsid w:val="00091F93"/>
    <w:rsid w:val="000923FB"/>
    <w:rsid w:val="000929ED"/>
    <w:rsid w:val="00092C2E"/>
    <w:rsid w:val="00092E24"/>
    <w:rsid w:val="00093088"/>
    <w:rsid w:val="000937B7"/>
    <w:rsid w:val="00093937"/>
    <w:rsid w:val="000940A9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614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717"/>
    <w:rsid w:val="000A2C56"/>
    <w:rsid w:val="000A37A7"/>
    <w:rsid w:val="000A402F"/>
    <w:rsid w:val="000A4632"/>
    <w:rsid w:val="000A47EA"/>
    <w:rsid w:val="000A4E36"/>
    <w:rsid w:val="000A504A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AF2"/>
    <w:rsid w:val="000B4B33"/>
    <w:rsid w:val="000B4C5B"/>
    <w:rsid w:val="000B4EBB"/>
    <w:rsid w:val="000B5A1A"/>
    <w:rsid w:val="000B5DB2"/>
    <w:rsid w:val="000B5DD4"/>
    <w:rsid w:val="000B639F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1DE"/>
    <w:rsid w:val="000C5799"/>
    <w:rsid w:val="000C5FDE"/>
    <w:rsid w:val="000C61FA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88"/>
    <w:rsid w:val="000D6418"/>
    <w:rsid w:val="000D6479"/>
    <w:rsid w:val="000D6839"/>
    <w:rsid w:val="000D6906"/>
    <w:rsid w:val="000D6C9E"/>
    <w:rsid w:val="000D7BA8"/>
    <w:rsid w:val="000D7DB6"/>
    <w:rsid w:val="000D7DD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E8F"/>
    <w:rsid w:val="000F47C1"/>
    <w:rsid w:val="000F48B1"/>
    <w:rsid w:val="000F495D"/>
    <w:rsid w:val="000F4B18"/>
    <w:rsid w:val="000F4B82"/>
    <w:rsid w:val="000F4CC1"/>
    <w:rsid w:val="000F5135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D10"/>
    <w:rsid w:val="00140FED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E4"/>
    <w:rsid w:val="001534C8"/>
    <w:rsid w:val="00154349"/>
    <w:rsid w:val="001547F6"/>
    <w:rsid w:val="00154C79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110F"/>
    <w:rsid w:val="00171DD5"/>
    <w:rsid w:val="00171E89"/>
    <w:rsid w:val="0017217D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C2F"/>
    <w:rsid w:val="001A052D"/>
    <w:rsid w:val="001A0725"/>
    <w:rsid w:val="001A0B42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809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852"/>
    <w:rsid w:val="001C2950"/>
    <w:rsid w:val="001C2CD1"/>
    <w:rsid w:val="001C3CF9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2746"/>
    <w:rsid w:val="001D2BC5"/>
    <w:rsid w:val="001D34EB"/>
    <w:rsid w:val="001D35B4"/>
    <w:rsid w:val="001D4515"/>
    <w:rsid w:val="001D4A98"/>
    <w:rsid w:val="001D5190"/>
    <w:rsid w:val="001D5339"/>
    <w:rsid w:val="001D559E"/>
    <w:rsid w:val="001D56C3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BB0"/>
    <w:rsid w:val="001F6D5B"/>
    <w:rsid w:val="001F6FDB"/>
    <w:rsid w:val="001F7B59"/>
    <w:rsid w:val="00200260"/>
    <w:rsid w:val="002002CE"/>
    <w:rsid w:val="0020066F"/>
    <w:rsid w:val="0020107A"/>
    <w:rsid w:val="002011BD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734D"/>
    <w:rsid w:val="00207BF8"/>
    <w:rsid w:val="00210018"/>
    <w:rsid w:val="0021001C"/>
    <w:rsid w:val="00211194"/>
    <w:rsid w:val="0021149E"/>
    <w:rsid w:val="00211816"/>
    <w:rsid w:val="00211C55"/>
    <w:rsid w:val="00212A4A"/>
    <w:rsid w:val="00212BA4"/>
    <w:rsid w:val="00212BDC"/>
    <w:rsid w:val="00212E42"/>
    <w:rsid w:val="0021340B"/>
    <w:rsid w:val="002139A2"/>
    <w:rsid w:val="00213B3D"/>
    <w:rsid w:val="00214569"/>
    <w:rsid w:val="00215156"/>
    <w:rsid w:val="0021517D"/>
    <w:rsid w:val="002157BF"/>
    <w:rsid w:val="00216157"/>
    <w:rsid w:val="00217566"/>
    <w:rsid w:val="00217B1B"/>
    <w:rsid w:val="002204A9"/>
    <w:rsid w:val="00220D43"/>
    <w:rsid w:val="00220D69"/>
    <w:rsid w:val="002210F5"/>
    <w:rsid w:val="0022160D"/>
    <w:rsid w:val="00221C99"/>
    <w:rsid w:val="00221D51"/>
    <w:rsid w:val="00222123"/>
    <w:rsid w:val="0022213A"/>
    <w:rsid w:val="002222A1"/>
    <w:rsid w:val="00222CF1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EAC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3A66"/>
    <w:rsid w:val="0029450E"/>
    <w:rsid w:val="00294B1A"/>
    <w:rsid w:val="00294C0F"/>
    <w:rsid w:val="00294F77"/>
    <w:rsid w:val="0029551E"/>
    <w:rsid w:val="00295922"/>
    <w:rsid w:val="002962CB"/>
    <w:rsid w:val="0029691D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43"/>
    <w:rsid w:val="002B7B4D"/>
    <w:rsid w:val="002C0291"/>
    <w:rsid w:val="002C0625"/>
    <w:rsid w:val="002C0678"/>
    <w:rsid w:val="002C1252"/>
    <w:rsid w:val="002C15D5"/>
    <w:rsid w:val="002C171E"/>
    <w:rsid w:val="002C182C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C"/>
    <w:rsid w:val="002E3943"/>
    <w:rsid w:val="002E3EAF"/>
    <w:rsid w:val="002E3F7C"/>
    <w:rsid w:val="002E4254"/>
    <w:rsid w:val="002E44C3"/>
    <w:rsid w:val="002E4691"/>
    <w:rsid w:val="002E4F13"/>
    <w:rsid w:val="002E4FB7"/>
    <w:rsid w:val="002E5213"/>
    <w:rsid w:val="002E543D"/>
    <w:rsid w:val="002E577D"/>
    <w:rsid w:val="002E63EE"/>
    <w:rsid w:val="002E6712"/>
    <w:rsid w:val="002E6FDB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DB7"/>
    <w:rsid w:val="00307F99"/>
    <w:rsid w:val="00310040"/>
    <w:rsid w:val="00310208"/>
    <w:rsid w:val="00310371"/>
    <w:rsid w:val="0031042D"/>
    <w:rsid w:val="0031058F"/>
    <w:rsid w:val="0031089E"/>
    <w:rsid w:val="00310CE6"/>
    <w:rsid w:val="00310D69"/>
    <w:rsid w:val="00310E45"/>
    <w:rsid w:val="00311663"/>
    <w:rsid w:val="00311668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75"/>
    <w:rsid w:val="00315888"/>
    <w:rsid w:val="00315EC0"/>
    <w:rsid w:val="003161E0"/>
    <w:rsid w:val="003170A7"/>
    <w:rsid w:val="003179E3"/>
    <w:rsid w:val="00317B6B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03"/>
    <w:rsid w:val="003240EC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999"/>
    <w:rsid w:val="00331316"/>
    <w:rsid w:val="0033133C"/>
    <w:rsid w:val="00331864"/>
    <w:rsid w:val="0033244F"/>
    <w:rsid w:val="00332C1D"/>
    <w:rsid w:val="00332EF9"/>
    <w:rsid w:val="00333005"/>
    <w:rsid w:val="00333597"/>
    <w:rsid w:val="00334500"/>
    <w:rsid w:val="00334E58"/>
    <w:rsid w:val="00335707"/>
    <w:rsid w:val="0033572F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69"/>
    <w:rsid w:val="00341C89"/>
    <w:rsid w:val="00341D56"/>
    <w:rsid w:val="003423FA"/>
    <w:rsid w:val="00342629"/>
    <w:rsid w:val="003426CB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3D60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46F"/>
    <w:rsid w:val="003609A7"/>
    <w:rsid w:val="00360C13"/>
    <w:rsid w:val="00361427"/>
    <w:rsid w:val="00361487"/>
    <w:rsid w:val="00361661"/>
    <w:rsid w:val="00362905"/>
    <w:rsid w:val="003629D8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ED6"/>
    <w:rsid w:val="00391955"/>
    <w:rsid w:val="00391B5C"/>
    <w:rsid w:val="00392509"/>
    <w:rsid w:val="003925E5"/>
    <w:rsid w:val="00392CD3"/>
    <w:rsid w:val="00392EB9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08E5"/>
    <w:rsid w:val="003A105C"/>
    <w:rsid w:val="003A19D7"/>
    <w:rsid w:val="003A1E70"/>
    <w:rsid w:val="003A21CC"/>
    <w:rsid w:val="003A2222"/>
    <w:rsid w:val="003A233D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40A3"/>
    <w:rsid w:val="003C43EB"/>
    <w:rsid w:val="003C46AE"/>
    <w:rsid w:val="003C4AFE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660C"/>
    <w:rsid w:val="003D73BD"/>
    <w:rsid w:val="003D7CCE"/>
    <w:rsid w:val="003E040C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4408"/>
    <w:rsid w:val="003E5242"/>
    <w:rsid w:val="003E5FC5"/>
    <w:rsid w:val="003E63A2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363C"/>
    <w:rsid w:val="004036AF"/>
    <w:rsid w:val="00403A0F"/>
    <w:rsid w:val="00403BE7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53E"/>
    <w:rsid w:val="004117A3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A79"/>
    <w:rsid w:val="00421E70"/>
    <w:rsid w:val="004224E7"/>
    <w:rsid w:val="004229FE"/>
    <w:rsid w:val="00422BF5"/>
    <w:rsid w:val="0042327F"/>
    <w:rsid w:val="00423B76"/>
    <w:rsid w:val="00423F07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9A3"/>
    <w:rsid w:val="004279C7"/>
    <w:rsid w:val="00427B3B"/>
    <w:rsid w:val="00427C8C"/>
    <w:rsid w:val="00427D4C"/>
    <w:rsid w:val="00427EBF"/>
    <w:rsid w:val="0043004B"/>
    <w:rsid w:val="0043072D"/>
    <w:rsid w:val="00430832"/>
    <w:rsid w:val="00431085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805"/>
    <w:rsid w:val="00435EC1"/>
    <w:rsid w:val="004362AB"/>
    <w:rsid w:val="004367E0"/>
    <w:rsid w:val="00437337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30CC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608F"/>
    <w:rsid w:val="0047658E"/>
    <w:rsid w:val="00477413"/>
    <w:rsid w:val="00477496"/>
    <w:rsid w:val="00477716"/>
    <w:rsid w:val="00477863"/>
    <w:rsid w:val="00477BFC"/>
    <w:rsid w:val="00477D8A"/>
    <w:rsid w:val="00477DE9"/>
    <w:rsid w:val="00477F47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E6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19"/>
    <w:rsid w:val="004B58F5"/>
    <w:rsid w:val="004B5E52"/>
    <w:rsid w:val="004B605A"/>
    <w:rsid w:val="004B6663"/>
    <w:rsid w:val="004B67A4"/>
    <w:rsid w:val="004B6A3D"/>
    <w:rsid w:val="004B7414"/>
    <w:rsid w:val="004B74AD"/>
    <w:rsid w:val="004C07BD"/>
    <w:rsid w:val="004C0EF4"/>
    <w:rsid w:val="004C109F"/>
    <w:rsid w:val="004C14B1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E03"/>
    <w:rsid w:val="004C6F47"/>
    <w:rsid w:val="004C780C"/>
    <w:rsid w:val="004C7AA2"/>
    <w:rsid w:val="004D03BA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6E4"/>
    <w:rsid w:val="004E357A"/>
    <w:rsid w:val="004E3800"/>
    <w:rsid w:val="004E3861"/>
    <w:rsid w:val="004E5000"/>
    <w:rsid w:val="004E5251"/>
    <w:rsid w:val="004E530F"/>
    <w:rsid w:val="004E5331"/>
    <w:rsid w:val="004E5599"/>
    <w:rsid w:val="004E55D4"/>
    <w:rsid w:val="004E586B"/>
    <w:rsid w:val="004E5CB8"/>
    <w:rsid w:val="004E65EB"/>
    <w:rsid w:val="004E67F2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C75"/>
    <w:rsid w:val="005063A0"/>
    <w:rsid w:val="005063D2"/>
    <w:rsid w:val="00506619"/>
    <w:rsid w:val="0050690E"/>
    <w:rsid w:val="00507A54"/>
    <w:rsid w:val="00507E53"/>
    <w:rsid w:val="00510257"/>
    <w:rsid w:val="00510D1D"/>
    <w:rsid w:val="00510E99"/>
    <w:rsid w:val="00511033"/>
    <w:rsid w:val="00511104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985"/>
    <w:rsid w:val="00514E64"/>
    <w:rsid w:val="00514F92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A9C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1BF0"/>
    <w:rsid w:val="00541C34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707A"/>
    <w:rsid w:val="0054710E"/>
    <w:rsid w:val="005474C7"/>
    <w:rsid w:val="00547B37"/>
    <w:rsid w:val="00550490"/>
    <w:rsid w:val="00550986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B31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BB1"/>
    <w:rsid w:val="00571E64"/>
    <w:rsid w:val="0057201E"/>
    <w:rsid w:val="00572B78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E7"/>
    <w:rsid w:val="00584A97"/>
    <w:rsid w:val="00584FEF"/>
    <w:rsid w:val="005853EF"/>
    <w:rsid w:val="00585972"/>
    <w:rsid w:val="00585B10"/>
    <w:rsid w:val="00586045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832"/>
    <w:rsid w:val="005C18EE"/>
    <w:rsid w:val="005C1960"/>
    <w:rsid w:val="005C19A6"/>
    <w:rsid w:val="005C1A79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A69"/>
    <w:rsid w:val="005D1B66"/>
    <w:rsid w:val="005D1FDF"/>
    <w:rsid w:val="005D27FF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4D03"/>
    <w:rsid w:val="005D50D9"/>
    <w:rsid w:val="005D529B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D0E"/>
    <w:rsid w:val="005E3EC0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2B3"/>
    <w:rsid w:val="005F2426"/>
    <w:rsid w:val="005F24DF"/>
    <w:rsid w:val="005F353B"/>
    <w:rsid w:val="005F3709"/>
    <w:rsid w:val="005F3C7E"/>
    <w:rsid w:val="005F3EAB"/>
    <w:rsid w:val="005F4027"/>
    <w:rsid w:val="005F42BB"/>
    <w:rsid w:val="005F45DB"/>
    <w:rsid w:val="005F4E54"/>
    <w:rsid w:val="005F4EAE"/>
    <w:rsid w:val="005F574A"/>
    <w:rsid w:val="005F5DC9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7C2"/>
    <w:rsid w:val="006058CF"/>
    <w:rsid w:val="00605BCD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4234"/>
    <w:rsid w:val="00644878"/>
    <w:rsid w:val="00644DE2"/>
    <w:rsid w:val="006458F4"/>
    <w:rsid w:val="00645F03"/>
    <w:rsid w:val="00646486"/>
    <w:rsid w:val="00646602"/>
    <w:rsid w:val="00646BC4"/>
    <w:rsid w:val="00646D0E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BD2"/>
    <w:rsid w:val="00661CDB"/>
    <w:rsid w:val="006625C0"/>
    <w:rsid w:val="006627BD"/>
    <w:rsid w:val="00662B7A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71F"/>
    <w:rsid w:val="00665DA2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874"/>
    <w:rsid w:val="00671CD0"/>
    <w:rsid w:val="00671DC9"/>
    <w:rsid w:val="0067252D"/>
    <w:rsid w:val="00672968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3F2A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8E3"/>
    <w:rsid w:val="00690AAE"/>
    <w:rsid w:val="00690CBB"/>
    <w:rsid w:val="00690CC0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EF1"/>
    <w:rsid w:val="00696411"/>
    <w:rsid w:val="00696A89"/>
    <w:rsid w:val="00696F75"/>
    <w:rsid w:val="00696FEC"/>
    <w:rsid w:val="00697165"/>
    <w:rsid w:val="00697477"/>
    <w:rsid w:val="00697D9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3F3"/>
    <w:rsid w:val="006A5833"/>
    <w:rsid w:val="006A5B87"/>
    <w:rsid w:val="006A6143"/>
    <w:rsid w:val="006A72F8"/>
    <w:rsid w:val="006A7354"/>
    <w:rsid w:val="006A7796"/>
    <w:rsid w:val="006A7C96"/>
    <w:rsid w:val="006A7F83"/>
    <w:rsid w:val="006B0495"/>
    <w:rsid w:val="006B0DCB"/>
    <w:rsid w:val="006B0EAB"/>
    <w:rsid w:val="006B0EE5"/>
    <w:rsid w:val="006B15DB"/>
    <w:rsid w:val="006B2344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2CF"/>
    <w:rsid w:val="006C335E"/>
    <w:rsid w:val="006C37B4"/>
    <w:rsid w:val="006C3A1F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F0036"/>
    <w:rsid w:val="006F024E"/>
    <w:rsid w:val="006F10D4"/>
    <w:rsid w:val="006F1233"/>
    <w:rsid w:val="006F1244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53A5"/>
    <w:rsid w:val="007155D9"/>
    <w:rsid w:val="007157A0"/>
    <w:rsid w:val="0071623B"/>
    <w:rsid w:val="00716CAD"/>
    <w:rsid w:val="007174DA"/>
    <w:rsid w:val="007178AF"/>
    <w:rsid w:val="007179F7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4C2"/>
    <w:rsid w:val="00722C19"/>
    <w:rsid w:val="00722D1E"/>
    <w:rsid w:val="00722DD1"/>
    <w:rsid w:val="007235B1"/>
    <w:rsid w:val="00723840"/>
    <w:rsid w:val="00723B3D"/>
    <w:rsid w:val="0072537E"/>
    <w:rsid w:val="00726000"/>
    <w:rsid w:val="0072603B"/>
    <w:rsid w:val="007262B2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A5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98"/>
    <w:rsid w:val="007348EE"/>
    <w:rsid w:val="00734E65"/>
    <w:rsid w:val="00735107"/>
    <w:rsid w:val="007356BF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3DFD"/>
    <w:rsid w:val="00744619"/>
    <w:rsid w:val="0074462C"/>
    <w:rsid w:val="0074497C"/>
    <w:rsid w:val="00744D93"/>
    <w:rsid w:val="00746BA2"/>
    <w:rsid w:val="00746E0F"/>
    <w:rsid w:val="0075064C"/>
    <w:rsid w:val="00750E7E"/>
    <w:rsid w:val="00751AAF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85E"/>
    <w:rsid w:val="00757CE6"/>
    <w:rsid w:val="007607F3"/>
    <w:rsid w:val="0076151C"/>
    <w:rsid w:val="00761801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9A0"/>
    <w:rsid w:val="00777A2C"/>
    <w:rsid w:val="007808EB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B"/>
    <w:rsid w:val="00793987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811"/>
    <w:rsid w:val="007A3A89"/>
    <w:rsid w:val="007A45A6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499"/>
    <w:rsid w:val="007C4E99"/>
    <w:rsid w:val="007C500D"/>
    <w:rsid w:val="007C5151"/>
    <w:rsid w:val="007C546B"/>
    <w:rsid w:val="007C565B"/>
    <w:rsid w:val="007C5953"/>
    <w:rsid w:val="007C59C0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7EB"/>
    <w:rsid w:val="007E018B"/>
    <w:rsid w:val="007E0637"/>
    <w:rsid w:val="007E0721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E7D7E"/>
    <w:rsid w:val="007F00D0"/>
    <w:rsid w:val="007F0546"/>
    <w:rsid w:val="007F0754"/>
    <w:rsid w:val="007F1691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A11"/>
    <w:rsid w:val="0080038A"/>
    <w:rsid w:val="008005B1"/>
    <w:rsid w:val="0080065F"/>
    <w:rsid w:val="008006D9"/>
    <w:rsid w:val="0080086D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052"/>
    <w:rsid w:val="0081324B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589"/>
    <w:rsid w:val="0083169F"/>
    <w:rsid w:val="00831B7E"/>
    <w:rsid w:val="00832496"/>
    <w:rsid w:val="0083324B"/>
    <w:rsid w:val="00833A8F"/>
    <w:rsid w:val="00833C13"/>
    <w:rsid w:val="00833D53"/>
    <w:rsid w:val="00834123"/>
    <w:rsid w:val="008341F8"/>
    <w:rsid w:val="00834892"/>
    <w:rsid w:val="008359DA"/>
    <w:rsid w:val="008359F3"/>
    <w:rsid w:val="00835C7F"/>
    <w:rsid w:val="00835DB6"/>
    <w:rsid w:val="00836113"/>
    <w:rsid w:val="00836AC2"/>
    <w:rsid w:val="00836D7F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3779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0B38"/>
    <w:rsid w:val="0086124E"/>
    <w:rsid w:val="00861AF9"/>
    <w:rsid w:val="00861B74"/>
    <w:rsid w:val="00861DF4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20A6"/>
    <w:rsid w:val="00872942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41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4647"/>
    <w:rsid w:val="008A47EC"/>
    <w:rsid w:val="008A4A7A"/>
    <w:rsid w:val="008A4D6C"/>
    <w:rsid w:val="008A5034"/>
    <w:rsid w:val="008A553E"/>
    <w:rsid w:val="008A55C0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03D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B71"/>
    <w:rsid w:val="008C5FFD"/>
    <w:rsid w:val="008C6740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CB3"/>
    <w:rsid w:val="008D7CB8"/>
    <w:rsid w:val="008D7F62"/>
    <w:rsid w:val="008E003A"/>
    <w:rsid w:val="008E08A4"/>
    <w:rsid w:val="008E15E3"/>
    <w:rsid w:val="008E197E"/>
    <w:rsid w:val="008E2045"/>
    <w:rsid w:val="008E28AE"/>
    <w:rsid w:val="008E3380"/>
    <w:rsid w:val="008E3AC0"/>
    <w:rsid w:val="008E3F76"/>
    <w:rsid w:val="008E4027"/>
    <w:rsid w:val="008E477B"/>
    <w:rsid w:val="008E4A1F"/>
    <w:rsid w:val="008E4C62"/>
    <w:rsid w:val="008E4E55"/>
    <w:rsid w:val="008E537D"/>
    <w:rsid w:val="008E6003"/>
    <w:rsid w:val="008E6A21"/>
    <w:rsid w:val="008E6BEC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2619"/>
    <w:rsid w:val="008F2902"/>
    <w:rsid w:val="008F2FAB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95F"/>
    <w:rsid w:val="008F6E12"/>
    <w:rsid w:val="008F7290"/>
    <w:rsid w:val="00900057"/>
    <w:rsid w:val="0090019D"/>
    <w:rsid w:val="00900516"/>
    <w:rsid w:val="009005CE"/>
    <w:rsid w:val="00900822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36E"/>
    <w:rsid w:val="009236AA"/>
    <w:rsid w:val="009238AF"/>
    <w:rsid w:val="009239AA"/>
    <w:rsid w:val="00924173"/>
    <w:rsid w:val="0092425D"/>
    <w:rsid w:val="009245B5"/>
    <w:rsid w:val="009245D0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25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E25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DCB"/>
    <w:rsid w:val="00937EC9"/>
    <w:rsid w:val="00937F7E"/>
    <w:rsid w:val="0094001E"/>
    <w:rsid w:val="00940576"/>
    <w:rsid w:val="0094104B"/>
    <w:rsid w:val="0094141F"/>
    <w:rsid w:val="00942022"/>
    <w:rsid w:val="009425D0"/>
    <w:rsid w:val="00942814"/>
    <w:rsid w:val="00943395"/>
    <w:rsid w:val="00943453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4C38"/>
    <w:rsid w:val="00955620"/>
    <w:rsid w:val="00955E2A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5D1"/>
    <w:rsid w:val="009679CA"/>
    <w:rsid w:val="00967AB4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2A8"/>
    <w:rsid w:val="00981632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EE5"/>
    <w:rsid w:val="009900F0"/>
    <w:rsid w:val="00990180"/>
    <w:rsid w:val="00990C67"/>
    <w:rsid w:val="00990E8A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D11"/>
    <w:rsid w:val="009A26E9"/>
    <w:rsid w:val="009A2CCC"/>
    <w:rsid w:val="009A2F68"/>
    <w:rsid w:val="009A3006"/>
    <w:rsid w:val="009A3994"/>
    <w:rsid w:val="009A3BB3"/>
    <w:rsid w:val="009A4241"/>
    <w:rsid w:val="009A42F6"/>
    <w:rsid w:val="009A45C8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0AE"/>
    <w:rsid w:val="009B436E"/>
    <w:rsid w:val="009B4598"/>
    <w:rsid w:val="009B45C4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74EA"/>
    <w:rsid w:val="009B7549"/>
    <w:rsid w:val="009B7AB7"/>
    <w:rsid w:val="009B7AB9"/>
    <w:rsid w:val="009C0567"/>
    <w:rsid w:val="009C0894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681A"/>
    <w:rsid w:val="009E733E"/>
    <w:rsid w:val="009E74C5"/>
    <w:rsid w:val="009F015D"/>
    <w:rsid w:val="009F01DB"/>
    <w:rsid w:val="009F1041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1593"/>
    <w:rsid w:val="00A016AA"/>
    <w:rsid w:val="00A01B3E"/>
    <w:rsid w:val="00A0244C"/>
    <w:rsid w:val="00A02A53"/>
    <w:rsid w:val="00A02EFA"/>
    <w:rsid w:val="00A033FF"/>
    <w:rsid w:val="00A038D7"/>
    <w:rsid w:val="00A03FA4"/>
    <w:rsid w:val="00A0409E"/>
    <w:rsid w:val="00A046C7"/>
    <w:rsid w:val="00A04E2C"/>
    <w:rsid w:val="00A04EDA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3DEE"/>
    <w:rsid w:val="00A13E26"/>
    <w:rsid w:val="00A141DC"/>
    <w:rsid w:val="00A14503"/>
    <w:rsid w:val="00A14928"/>
    <w:rsid w:val="00A14E25"/>
    <w:rsid w:val="00A14E81"/>
    <w:rsid w:val="00A15901"/>
    <w:rsid w:val="00A15EDC"/>
    <w:rsid w:val="00A160DD"/>
    <w:rsid w:val="00A16331"/>
    <w:rsid w:val="00A163B8"/>
    <w:rsid w:val="00A1640D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0E7"/>
    <w:rsid w:val="00A21D7A"/>
    <w:rsid w:val="00A21E19"/>
    <w:rsid w:val="00A21EE2"/>
    <w:rsid w:val="00A22796"/>
    <w:rsid w:val="00A22B7C"/>
    <w:rsid w:val="00A22C2E"/>
    <w:rsid w:val="00A2308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07BD"/>
    <w:rsid w:val="00A3101A"/>
    <w:rsid w:val="00A3115F"/>
    <w:rsid w:val="00A3194F"/>
    <w:rsid w:val="00A31BFC"/>
    <w:rsid w:val="00A31E6C"/>
    <w:rsid w:val="00A32209"/>
    <w:rsid w:val="00A324D8"/>
    <w:rsid w:val="00A32BA0"/>
    <w:rsid w:val="00A32BC7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E47"/>
    <w:rsid w:val="00A42F3E"/>
    <w:rsid w:val="00A43329"/>
    <w:rsid w:val="00A43D01"/>
    <w:rsid w:val="00A43FBD"/>
    <w:rsid w:val="00A43FD4"/>
    <w:rsid w:val="00A441B8"/>
    <w:rsid w:val="00A44703"/>
    <w:rsid w:val="00A44A48"/>
    <w:rsid w:val="00A44D9B"/>
    <w:rsid w:val="00A44ECE"/>
    <w:rsid w:val="00A455C7"/>
    <w:rsid w:val="00A4568D"/>
    <w:rsid w:val="00A45893"/>
    <w:rsid w:val="00A459E6"/>
    <w:rsid w:val="00A45A7F"/>
    <w:rsid w:val="00A4679A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A2B"/>
    <w:rsid w:val="00A57301"/>
    <w:rsid w:val="00A574C8"/>
    <w:rsid w:val="00A574DE"/>
    <w:rsid w:val="00A5757E"/>
    <w:rsid w:val="00A57A93"/>
    <w:rsid w:val="00A60A6E"/>
    <w:rsid w:val="00A60F52"/>
    <w:rsid w:val="00A61DFE"/>
    <w:rsid w:val="00A61F91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854"/>
    <w:rsid w:val="00A6594D"/>
    <w:rsid w:val="00A6604B"/>
    <w:rsid w:val="00A6633B"/>
    <w:rsid w:val="00A664AD"/>
    <w:rsid w:val="00A664E7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717C"/>
    <w:rsid w:val="00A774B2"/>
    <w:rsid w:val="00A77C30"/>
    <w:rsid w:val="00A77C6C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B2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779"/>
    <w:rsid w:val="00AA780F"/>
    <w:rsid w:val="00AA7B8C"/>
    <w:rsid w:val="00AB0B9C"/>
    <w:rsid w:val="00AB0EAC"/>
    <w:rsid w:val="00AB10A3"/>
    <w:rsid w:val="00AB12C8"/>
    <w:rsid w:val="00AB146D"/>
    <w:rsid w:val="00AB1BB4"/>
    <w:rsid w:val="00AB1DEB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586"/>
    <w:rsid w:val="00AB5FC3"/>
    <w:rsid w:val="00AB6406"/>
    <w:rsid w:val="00AB65B4"/>
    <w:rsid w:val="00AB737B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70D4"/>
    <w:rsid w:val="00AC737D"/>
    <w:rsid w:val="00AC7655"/>
    <w:rsid w:val="00AC76A6"/>
    <w:rsid w:val="00AC7E8B"/>
    <w:rsid w:val="00AC7F43"/>
    <w:rsid w:val="00AC7F52"/>
    <w:rsid w:val="00AD0007"/>
    <w:rsid w:val="00AD05A6"/>
    <w:rsid w:val="00AD06AC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192"/>
    <w:rsid w:val="00AE2609"/>
    <w:rsid w:val="00AE2684"/>
    <w:rsid w:val="00AE29A8"/>
    <w:rsid w:val="00AE3960"/>
    <w:rsid w:val="00AE4074"/>
    <w:rsid w:val="00AE439A"/>
    <w:rsid w:val="00AE54D5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FFD"/>
    <w:rsid w:val="00AF3458"/>
    <w:rsid w:val="00AF37F7"/>
    <w:rsid w:val="00AF3888"/>
    <w:rsid w:val="00AF3A05"/>
    <w:rsid w:val="00AF44C8"/>
    <w:rsid w:val="00AF4BF4"/>
    <w:rsid w:val="00AF4BF9"/>
    <w:rsid w:val="00AF551F"/>
    <w:rsid w:val="00AF55FA"/>
    <w:rsid w:val="00AF5706"/>
    <w:rsid w:val="00AF5967"/>
    <w:rsid w:val="00AF5AE8"/>
    <w:rsid w:val="00AF5F84"/>
    <w:rsid w:val="00AF6EEF"/>
    <w:rsid w:val="00AF735A"/>
    <w:rsid w:val="00AF75FC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664E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D97"/>
    <w:rsid w:val="00B42DCD"/>
    <w:rsid w:val="00B431BA"/>
    <w:rsid w:val="00B43B2D"/>
    <w:rsid w:val="00B44029"/>
    <w:rsid w:val="00B44FFA"/>
    <w:rsid w:val="00B451D8"/>
    <w:rsid w:val="00B45428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7E6"/>
    <w:rsid w:val="00B65AF9"/>
    <w:rsid w:val="00B65FF0"/>
    <w:rsid w:val="00B663CD"/>
    <w:rsid w:val="00B665C8"/>
    <w:rsid w:val="00B67AB1"/>
    <w:rsid w:val="00B67B4F"/>
    <w:rsid w:val="00B67E6B"/>
    <w:rsid w:val="00B702CD"/>
    <w:rsid w:val="00B7041C"/>
    <w:rsid w:val="00B71A1D"/>
    <w:rsid w:val="00B71BBB"/>
    <w:rsid w:val="00B71D73"/>
    <w:rsid w:val="00B72089"/>
    <w:rsid w:val="00B726F8"/>
    <w:rsid w:val="00B7273E"/>
    <w:rsid w:val="00B72EBB"/>
    <w:rsid w:val="00B7305E"/>
    <w:rsid w:val="00B7316F"/>
    <w:rsid w:val="00B73288"/>
    <w:rsid w:val="00B7350D"/>
    <w:rsid w:val="00B73B2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314D"/>
    <w:rsid w:val="00B8325B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F73"/>
    <w:rsid w:val="00B877AA"/>
    <w:rsid w:val="00B87C87"/>
    <w:rsid w:val="00B87E3D"/>
    <w:rsid w:val="00B87FCD"/>
    <w:rsid w:val="00B90556"/>
    <w:rsid w:val="00B909D7"/>
    <w:rsid w:val="00B909E7"/>
    <w:rsid w:val="00B9121D"/>
    <w:rsid w:val="00B915C5"/>
    <w:rsid w:val="00B91A5D"/>
    <w:rsid w:val="00B91C52"/>
    <w:rsid w:val="00B91F21"/>
    <w:rsid w:val="00B92713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B0267"/>
    <w:rsid w:val="00BB078B"/>
    <w:rsid w:val="00BB0DE7"/>
    <w:rsid w:val="00BB0E0C"/>
    <w:rsid w:val="00BB112C"/>
    <w:rsid w:val="00BB135F"/>
    <w:rsid w:val="00BB209C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C08"/>
    <w:rsid w:val="00BB4FDA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493"/>
    <w:rsid w:val="00BD5052"/>
    <w:rsid w:val="00BD5160"/>
    <w:rsid w:val="00BD521E"/>
    <w:rsid w:val="00BD5413"/>
    <w:rsid w:val="00BD58AC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BD1"/>
    <w:rsid w:val="00BF3D31"/>
    <w:rsid w:val="00BF412D"/>
    <w:rsid w:val="00BF5023"/>
    <w:rsid w:val="00BF51B7"/>
    <w:rsid w:val="00BF5491"/>
    <w:rsid w:val="00BF56BE"/>
    <w:rsid w:val="00BF6229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F38"/>
    <w:rsid w:val="00C021B2"/>
    <w:rsid w:val="00C02493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795"/>
    <w:rsid w:val="00C079DE"/>
    <w:rsid w:val="00C07A9D"/>
    <w:rsid w:val="00C07B5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BEC"/>
    <w:rsid w:val="00C26C06"/>
    <w:rsid w:val="00C27175"/>
    <w:rsid w:val="00C2796E"/>
    <w:rsid w:val="00C27A2E"/>
    <w:rsid w:val="00C30008"/>
    <w:rsid w:val="00C302BD"/>
    <w:rsid w:val="00C30BF7"/>
    <w:rsid w:val="00C3140F"/>
    <w:rsid w:val="00C31921"/>
    <w:rsid w:val="00C31A5B"/>
    <w:rsid w:val="00C31AB7"/>
    <w:rsid w:val="00C32176"/>
    <w:rsid w:val="00C32A02"/>
    <w:rsid w:val="00C32A16"/>
    <w:rsid w:val="00C32EA6"/>
    <w:rsid w:val="00C33356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7088"/>
    <w:rsid w:val="00C3715E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24FC"/>
    <w:rsid w:val="00C62BAA"/>
    <w:rsid w:val="00C6352A"/>
    <w:rsid w:val="00C635CC"/>
    <w:rsid w:val="00C63B29"/>
    <w:rsid w:val="00C63D29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71F"/>
    <w:rsid w:val="00C6688A"/>
    <w:rsid w:val="00C66C03"/>
    <w:rsid w:val="00C67057"/>
    <w:rsid w:val="00C67158"/>
    <w:rsid w:val="00C6724A"/>
    <w:rsid w:val="00C70383"/>
    <w:rsid w:val="00C70731"/>
    <w:rsid w:val="00C71104"/>
    <w:rsid w:val="00C711E5"/>
    <w:rsid w:val="00C716F1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593A"/>
    <w:rsid w:val="00C76D32"/>
    <w:rsid w:val="00C778A2"/>
    <w:rsid w:val="00C77E68"/>
    <w:rsid w:val="00C80D90"/>
    <w:rsid w:val="00C8104E"/>
    <w:rsid w:val="00C81245"/>
    <w:rsid w:val="00C815D0"/>
    <w:rsid w:val="00C81B05"/>
    <w:rsid w:val="00C82179"/>
    <w:rsid w:val="00C8228A"/>
    <w:rsid w:val="00C83607"/>
    <w:rsid w:val="00C836EE"/>
    <w:rsid w:val="00C83ADF"/>
    <w:rsid w:val="00C83AEE"/>
    <w:rsid w:val="00C83B2A"/>
    <w:rsid w:val="00C842BA"/>
    <w:rsid w:val="00C84A7D"/>
    <w:rsid w:val="00C84CAA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3D"/>
    <w:rsid w:val="00C918B8"/>
    <w:rsid w:val="00C91F02"/>
    <w:rsid w:val="00C92117"/>
    <w:rsid w:val="00C92840"/>
    <w:rsid w:val="00C93301"/>
    <w:rsid w:val="00C934E0"/>
    <w:rsid w:val="00C94A2F"/>
    <w:rsid w:val="00C94BDC"/>
    <w:rsid w:val="00C94CF0"/>
    <w:rsid w:val="00C95005"/>
    <w:rsid w:val="00C9557C"/>
    <w:rsid w:val="00C9579D"/>
    <w:rsid w:val="00C961CA"/>
    <w:rsid w:val="00C96242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FD2"/>
    <w:rsid w:val="00CB225B"/>
    <w:rsid w:val="00CB2391"/>
    <w:rsid w:val="00CB2A98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18C0"/>
    <w:rsid w:val="00CC1939"/>
    <w:rsid w:val="00CC1F80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307F"/>
    <w:rsid w:val="00CD3369"/>
    <w:rsid w:val="00CD3DB8"/>
    <w:rsid w:val="00CD3EBA"/>
    <w:rsid w:val="00CD3F00"/>
    <w:rsid w:val="00CD407F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631A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514"/>
    <w:rsid w:val="00D137EC"/>
    <w:rsid w:val="00D13AC5"/>
    <w:rsid w:val="00D13C39"/>
    <w:rsid w:val="00D13D2F"/>
    <w:rsid w:val="00D13E32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DD2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8C4"/>
    <w:rsid w:val="00D43B76"/>
    <w:rsid w:val="00D43DDA"/>
    <w:rsid w:val="00D43E3F"/>
    <w:rsid w:val="00D4446B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787"/>
    <w:rsid w:val="00D4691A"/>
    <w:rsid w:val="00D46C4C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27"/>
    <w:rsid w:val="00D630E7"/>
    <w:rsid w:val="00D640BA"/>
    <w:rsid w:val="00D6444B"/>
    <w:rsid w:val="00D64C56"/>
    <w:rsid w:val="00D654B4"/>
    <w:rsid w:val="00D65A49"/>
    <w:rsid w:val="00D66008"/>
    <w:rsid w:val="00D662FC"/>
    <w:rsid w:val="00D66381"/>
    <w:rsid w:val="00D66410"/>
    <w:rsid w:val="00D66472"/>
    <w:rsid w:val="00D6679A"/>
    <w:rsid w:val="00D66D20"/>
    <w:rsid w:val="00D66F17"/>
    <w:rsid w:val="00D66F26"/>
    <w:rsid w:val="00D672A3"/>
    <w:rsid w:val="00D6744F"/>
    <w:rsid w:val="00D67B55"/>
    <w:rsid w:val="00D700E5"/>
    <w:rsid w:val="00D70900"/>
    <w:rsid w:val="00D70E28"/>
    <w:rsid w:val="00D71B77"/>
    <w:rsid w:val="00D725CA"/>
    <w:rsid w:val="00D7374B"/>
    <w:rsid w:val="00D741F4"/>
    <w:rsid w:val="00D74A87"/>
    <w:rsid w:val="00D7517B"/>
    <w:rsid w:val="00D755DE"/>
    <w:rsid w:val="00D7587B"/>
    <w:rsid w:val="00D75B80"/>
    <w:rsid w:val="00D75CE3"/>
    <w:rsid w:val="00D76186"/>
    <w:rsid w:val="00D76320"/>
    <w:rsid w:val="00D76513"/>
    <w:rsid w:val="00D7678D"/>
    <w:rsid w:val="00D768A4"/>
    <w:rsid w:val="00D76AB6"/>
    <w:rsid w:val="00D76C33"/>
    <w:rsid w:val="00D771E9"/>
    <w:rsid w:val="00D7771F"/>
    <w:rsid w:val="00D77800"/>
    <w:rsid w:val="00D77DB1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469F"/>
    <w:rsid w:val="00D84E4D"/>
    <w:rsid w:val="00D8603D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2F08"/>
    <w:rsid w:val="00D93743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613"/>
    <w:rsid w:val="00DA1868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904"/>
    <w:rsid w:val="00DA7A9F"/>
    <w:rsid w:val="00DA7AFF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8E8"/>
    <w:rsid w:val="00DB79D5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B59"/>
    <w:rsid w:val="00DD1CE2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240"/>
    <w:rsid w:val="00DE1258"/>
    <w:rsid w:val="00DE1852"/>
    <w:rsid w:val="00DE1AA5"/>
    <w:rsid w:val="00DE1C68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CAF"/>
    <w:rsid w:val="00DE5039"/>
    <w:rsid w:val="00DE5414"/>
    <w:rsid w:val="00DE563D"/>
    <w:rsid w:val="00DE5B1E"/>
    <w:rsid w:val="00DE5BAE"/>
    <w:rsid w:val="00DE7267"/>
    <w:rsid w:val="00DE74A8"/>
    <w:rsid w:val="00DE7566"/>
    <w:rsid w:val="00DE7D4D"/>
    <w:rsid w:val="00DE7E46"/>
    <w:rsid w:val="00DF066D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652"/>
    <w:rsid w:val="00E40A18"/>
    <w:rsid w:val="00E40C48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D49"/>
    <w:rsid w:val="00E56E35"/>
    <w:rsid w:val="00E57005"/>
    <w:rsid w:val="00E57091"/>
    <w:rsid w:val="00E570AE"/>
    <w:rsid w:val="00E574A2"/>
    <w:rsid w:val="00E57B6E"/>
    <w:rsid w:val="00E60616"/>
    <w:rsid w:val="00E60B3B"/>
    <w:rsid w:val="00E60BDC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7BC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988"/>
    <w:rsid w:val="00E90A23"/>
    <w:rsid w:val="00E91B1C"/>
    <w:rsid w:val="00E91BC3"/>
    <w:rsid w:val="00E91BF5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CB5"/>
    <w:rsid w:val="00EA5CF4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C52"/>
    <w:rsid w:val="00EB3F79"/>
    <w:rsid w:val="00EB41F5"/>
    <w:rsid w:val="00EB45F6"/>
    <w:rsid w:val="00EB4992"/>
    <w:rsid w:val="00EB50B2"/>
    <w:rsid w:val="00EB5799"/>
    <w:rsid w:val="00EB659F"/>
    <w:rsid w:val="00EB76F7"/>
    <w:rsid w:val="00EB77B7"/>
    <w:rsid w:val="00EB793B"/>
    <w:rsid w:val="00EB7C5B"/>
    <w:rsid w:val="00EB7CB1"/>
    <w:rsid w:val="00EC01B9"/>
    <w:rsid w:val="00EC04E1"/>
    <w:rsid w:val="00EC0569"/>
    <w:rsid w:val="00EC0715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CFC"/>
    <w:rsid w:val="00EC3F0C"/>
    <w:rsid w:val="00EC4347"/>
    <w:rsid w:val="00EC52C3"/>
    <w:rsid w:val="00EC5C49"/>
    <w:rsid w:val="00EC5E45"/>
    <w:rsid w:val="00EC5ED6"/>
    <w:rsid w:val="00EC608C"/>
    <w:rsid w:val="00EC61C2"/>
    <w:rsid w:val="00EC61FC"/>
    <w:rsid w:val="00EC69B8"/>
    <w:rsid w:val="00EC6DE5"/>
    <w:rsid w:val="00ED0557"/>
    <w:rsid w:val="00ED0CF0"/>
    <w:rsid w:val="00ED10FA"/>
    <w:rsid w:val="00ED1407"/>
    <w:rsid w:val="00ED1A74"/>
    <w:rsid w:val="00ED21EF"/>
    <w:rsid w:val="00ED2B62"/>
    <w:rsid w:val="00ED34D4"/>
    <w:rsid w:val="00ED3ADF"/>
    <w:rsid w:val="00ED3D84"/>
    <w:rsid w:val="00ED3D87"/>
    <w:rsid w:val="00ED3E53"/>
    <w:rsid w:val="00ED42FF"/>
    <w:rsid w:val="00ED58B3"/>
    <w:rsid w:val="00ED59A5"/>
    <w:rsid w:val="00ED5E6C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30EE"/>
    <w:rsid w:val="00EE3121"/>
    <w:rsid w:val="00EE3C6D"/>
    <w:rsid w:val="00EE4028"/>
    <w:rsid w:val="00EE4551"/>
    <w:rsid w:val="00EE4999"/>
    <w:rsid w:val="00EE4C6E"/>
    <w:rsid w:val="00EE4E97"/>
    <w:rsid w:val="00EE4F89"/>
    <w:rsid w:val="00EE5135"/>
    <w:rsid w:val="00EE558C"/>
    <w:rsid w:val="00EE5783"/>
    <w:rsid w:val="00EE6019"/>
    <w:rsid w:val="00EE61BE"/>
    <w:rsid w:val="00EE696B"/>
    <w:rsid w:val="00EE6DE6"/>
    <w:rsid w:val="00EE7904"/>
    <w:rsid w:val="00EE790F"/>
    <w:rsid w:val="00EF057C"/>
    <w:rsid w:val="00EF1D14"/>
    <w:rsid w:val="00EF23A1"/>
    <w:rsid w:val="00EF2755"/>
    <w:rsid w:val="00EF3218"/>
    <w:rsid w:val="00EF334E"/>
    <w:rsid w:val="00EF359E"/>
    <w:rsid w:val="00EF3B45"/>
    <w:rsid w:val="00EF42FB"/>
    <w:rsid w:val="00EF4668"/>
    <w:rsid w:val="00EF4685"/>
    <w:rsid w:val="00EF4AEB"/>
    <w:rsid w:val="00EF4FEE"/>
    <w:rsid w:val="00EF542B"/>
    <w:rsid w:val="00EF6873"/>
    <w:rsid w:val="00EF6902"/>
    <w:rsid w:val="00EF6F24"/>
    <w:rsid w:val="00EF7132"/>
    <w:rsid w:val="00EF7143"/>
    <w:rsid w:val="00EF7C7D"/>
    <w:rsid w:val="00F0055F"/>
    <w:rsid w:val="00F0080B"/>
    <w:rsid w:val="00F00BE1"/>
    <w:rsid w:val="00F01122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4F"/>
    <w:rsid w:val="00F23124"/>
    <w:rsid w:val="00F23423"/>
    <w:rsid w:val="00F23570"/>
    <w:rsid w:val="00F23F06"/>
    <w:rsid w:val="00F23F7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C18"/>
    <w:rsid w:val="00F37E5B"/>
    <w:rsid w:val="00F40508"/>
    <w:rsid w:val="00F406D5"/>
    <w:rsid w:val="00F409C2"/>
    <w:rsid w:val="00F40CAB"/>
    <w:rsid w:val="00F40D09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2357"/>
    <w:rsid w:val="00F72620"/>
    <w:rsid w:val="00F733CC"/>
    <w:rsid w:val="00F73930"/>
    <w:rsid w:val="00F73B70"/>
    <w:rsid w:val="00F74118"/>
    <w:rsid w:val="00F74217"/>
    <w:rsid w:val="00F746A3"/>
    <w:rsid w:val="00F759AD"/>
    <w:rsid w:val="00F75BDF"/>
    <w:rsid w:val="00F765E8"/>
    <w:rsid w:val="00F76851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7CB"/>
    <w:rsid w:val="00F97854"/>
    <w:rsid w:val="00F97C49"/>
    <w:rsid w:val="00FA0942"/>
    <w:rsid w:val="00FA0AC9"/>
    <w:rsid w:val="00FA188C"/>
    <w:rsid w:val="00FA1FF2"/>
    <w:rsid w:val="00FA2910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BC9"/>
    <w:rsid w:val="00FF4EB5"/>
    <w:rsid w:val="00FF5893"/>
    <w:rsid w:val="00FF5F7D"/>
    <w:rsid w:val="00FF6062"/>
    <w:rsid w:val="00FF636B"/>
    <w:rsid w:val="00FF66BB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7451141-4B13-4BA3-BBD8-3EB1DAF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6312&amp;texto=2b434f4c45474941444f253341253232504c454e4152494f2532322b414e442b2b2532384e554d41434f5244414f253341323239332b4f522b4e554d52454c4143414f25334132323933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uris@tcu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6225&amp;texto=2b434f4c45474941444f2533412532325052494d454952412b43414d4152412532322b414e442b2b2532384e554d41434f5244414f253341353834382b4f522b4e554d52454c4143414f25334135383438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%20%2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6264&amp;texto=2b434f4c45474941444f253341253232504c454e4152494f2532322b414e442b2b2532384e554d41434f5244414f253341323239372b4f522b4e554d52454c4143414f25334132323937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%20%2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0C78-EB18-4286-A4FA-FBD2C7321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1784</Words>
  <Characters>9634</Characters>
  <Application>Microsoft Office Word</Application>
  <DocSecurity>4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11396</CharactersWithSpaces>
  <SharedDoc>false</SharedDoc>
  <HLinks>
    <vt:vector size="24" baseType="variant"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-116225&amp;texto=2b434f4c45474941444f2533412532325052494d454952412b43414d4152412532322b414e442b2b2532384e554d41434f5244414f253341353834382b4f522b4e554d52454c4143414f253341353834382532392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20%20%20%20%20%20</vt:lpwstr>
      </vt:variant>
      <vt:variant>
        <vt:lpwstr/>
      </vt:variant>
      <vt:variant>
        <vt:i4>2424888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-116264&amp;texto=2b434f4c45474941444f253341253232504c454e4152494f2532322b414e442b2b2532384e554d41434f5244414f253341323239372b4f522b4e554d52454c4143414f253341323239372532392b414e442b2b2532384e554d414e4f41434f5244414f253341323031332b4f522b4e554d414e4f52454c4143414f25334132303133253239&amp;sort=DTRELEVANCIA&amp;ordem=DESC&amp;bases=ACORDAO-LEGADO;DECISAO-LEGADO;RELACAO-LEGADO;ACORDAO-RELACAO-LEGADO;&amp;highlight=&amp;posicaoDocumento=0%20%20%20%20%20</vt:lpwstr>
      </vt:variant>
      <vt:variant>
        <vt:lpwstr/>
      </vt:variant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-116312&amp;texto=2b434f4c45474941444f253341253232504c454e4152494f2532322b414e442b2b2532384e554d41434f5244414f253341323239332b4f522b4e554d52454c4143414f253341323239332532392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2013-07-30T19:47:00Z</cp:lastPrinted>
  <dcterms:created xsi:type="dcterms:W3CDTF">2015-05-07T13:09:00Z</dcterms:created>
  <dcterms:modified xsi:type="dcterms:W3CDTF">2015-05-07T13:09:00Z</dcterms:modified>
</cp:coreProperties>
</file>