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08246E" w:rsidRPr="00C341B8" w:rsidRDefault="00C341B8" w:rsidP="0008246E">
      <w:pPr>
        <w:pStyle w:val="Ttulo8"/>
        <w:tabs>
          <w:tab w:val="right" w:pos="4423"/>
        </w:tabs>
        <w:spacing w:before="0" w:after="0"/>
        <w:ind w:left="0"/>
        <w:jc w:val="center"/>
        <w:rPr>
          <w:rFonts w:ascii="Times New Roman" w:hAnsi="Times New Roman"/>
          <w:b/>
          <w:i w:val="0"/>
          <w:sz w:val="22"/>
          <w:szCs w:val="22"/>
          <w:lang w:val="pt-BR"/>
        </w:rPr>
      </w:pPr>
      <w:r>
        <w:rPr>
          <w:rFonts w:ascii="Times New Roman" w:hAnsi="Times New Roman"/>
          <w:b/>
          <w:i w:val="0"/>
          <w:sz w:val="22"/>
          <w:szCs w:val="22"/>
        </w:rPr>
        <w:t>Número 1</w:t>
      </w:r>
      <w:r w:rsidR="00DA27D7">
        <w:rPr>
          <w:rFonts w:ascii="Times New Roman" w:hAnsi="Times New Roman"/>
          <w:b/>
          <w:i w:val="0"/>
          <w:sz w:val="22"/>
          <w:szCs w:val="22"/>
          <w:lang w:val="pt-BR"/>
        </w:rPr>
        <w:t>6</w:t>
      </w:r>
      <w:r w:rsidR="00E852EC">
        <w:rPr>
          <w:rFonts w:ascii="Times New Roman" w:hAnsi="Times New Roman"/>
          <w:b/>
          <w:i w:val="0"/>
          <w:sz w:val="22"/>
          <w:szCs w:val="22"/>
          <w:lang w:val="pt-BR"/>
        </w:rPr>
        <w:t>4</w:t>
      </w:r>
    </w:p>
    <w:p w:rsidR="0008246E" w:rsidRPr="00F2486E" w:rsidRDefault="0008246E" w:rsidP="0008246E">
      <w:pPr>
        <w:pStyle w:val="Ttulo8"/>
        <w:tabs>
          <w:tab w:val="right" w:pos="4423"/>
        </w:tabs>
        <w:spacing w:before="0" w:after="120"/>
        <w:ind w:left="0"/>
        <w:jc w:val="center"/>
        <w:rPr>
          <w:rFonts w:ascii="Times New Roman" w:hAnsi="Times New Roman"/>
          <w:b/>
          <w:i w:val="0"/>
          <w:sz w:val="22"/>
          <w:szCs w:val="22"/>
        </w:rPr>
      </w:pPr>
      <w:r w:rsidRPr="00993B9D">
        <w:rPr>
          <w:rFonts w:ascii="Times New Roman" w:hAnsi="Times New Roman"/>
          <w:b/>
          <w:i w:val="0"/>
          <w:sz w:val="22"/>
          <w:szCs w:val="22"/>
        </w:rPr>
        <w:t>Sessões:</w:t>
      </w:r>
      <w:r w:rsidR="00C341B8">
        <w:rPr>
          <w:rFonts w:ascii="Times New Roman" w:hAnsi="Times New Roman"/>
          <w:b/>
          <w:i w:val="0"/>
          <w:sz w:val="22"/>
          <w:szCs w:val="22"/>
        </w:rPr>
        <w:t xml:space="preserve"> </w:t>
      </w:r>
      <w:r w:rsidR="00E852EC">
        <w:rPr>
          <w:rFonts w:ascii="Times New Roman" w:hAnsi="Times New Roman"/>
          <w:b/>
          <w:i w:val="0"/>
          <w:sz w:val="22"/>
          <w:szCs w:val="22"/>
          <w:lang w:val="pt-BR"/>
        </w:rPr>
        <w:t xml:space="preserve">13 </w:t>
      </w:r>
      <w:r w:rsidR="00C341B8">
        <w:rPr>
          <w:rFonts w:ascii="Times New Roman" w:hAnsi="Times New Roman"/>
          <w:b/>
          <w:i w:val="0"/>
          <w:sz w:val="22"/>
          <w:szCs w:val="22"/>
        </w:rPr>
        <w:t xml:space="preserve">e </w:t>
      </w:r>
      <w:r w:rsidR="00E852EC">
        <w:rPr>
          <w:rFonts w:ascii="Times New Roman" w:hAnsi="Times New Roman"/>
          <w:b/>
          <w:i w:val="0"/>
          <w:sz w:val="22"/>
          <w:szCs w:val="22"/>
          <w:lang w:val="pt-BR"/>
        </w:rPr>
        <w:t>14</w:t>
      </w:r>
      <w:r w:rsidRPr="00993B9D">
        <w:rPr>
          <w:rFonts w:ascii="Times New Roman" w:hAnsi="Times New Roman"/>
          <w:b/>
          <w:i w:val="0"/>
          <w:sz w:val="22"/>
          <w:szCs w:val="22"/>
        </w:rPr>
        <w:t xml:space="preserve"> de </w:t>
      </w:r>
      <w:r w:rsidR="002F7A9E">
        <w:rPr>
          <w:rFonts w:ascii="Times New Roman" w:hAnsi="Times New Roman"/>
          <w:b/>
          <w:i w:val="0"/>
          <w:sz w:val="22"/>
          <w:szCs w:val="22"/>
          <w:lang w:val="pt-BR"/>
        </w:rPr>
        <w:t>agosto</w:t>
      </w:r>
      <w:r w:rsidRPr="00993B9D">
        <w:rPr>
          <w:rFonts w:ascii="Times New Roman" w:hAnsi="Times New Roman"/>
          <w:b/>
          <w:i w:val="0"/>
          <w:sz w:val="22"/>
          <w:szCs w:val="22"/>
        </w:rPr>
        <w:t xml:space="preserve"> de 2013</w:t>
      </w:r>
    </w:p>
    <w:p w:rsidR="0008246E" w:rsidRPr="00993B9D" w:rsidRDefault="0008246E" w:rsidP="0008246E">
      <w:pPr>
        <w:pStyle w:val="Corpodetexto2"/>
        <w:spacing w:after="0" w:line="240" w:lineRule="auto"/>
        <w:ind w:left="0"/>
        <w:rPr>
          <w:sz w:val="22"/>
          <w:szCs w:val="22"/>
        </w:rPr>
      </w:pPr>
      <w:r w:rsidRPr="00993B9D">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993B9D" w:rsidRDefault="0008246E" w:rsidP="0008246E">
      <w:pPr>
        <w:pStyle w:val="Corpodetexto2"/>
        <w:spacing w:after="0" w:line="240" w:lineRule="auto"/>
        <w:ind w:left="0"/>
        <w:rPr>
          <w:sz w:val="22"/>
          <w:szCs w:val="22"/>
        </w:rPr>
      </w:pPr>
    </w:p>
    <w:p w:rsidR="0008246E" w:rsidRPr="005220A9" w:rsidRDefault="0008246E" w:rsidP="00270185">
      <w:pPr>
        <w:pBdr>
          <w:top w:val="threeDEmboss" w:sz="24" w:space="5" w:color="auto"/>
        </w:pBdr>
        <w:tabs>
          <w:tab w:val="left" w:pos="284"/>
          <w:tab w:val="left" w:pos="4172"/>
          <w:tab w:val="center" w:pos="4818"/>
        </w:tabs>
        <w:spacing w:after="0"/>
        <w:ind w:left="0"/>
        <w:jc w:val="center"/>
        <w:rPr>
          <w:b/>
          <w:bCs/>
          <w:smallCaps/>
          <w:sz w:val="22"/>
          <w:szCs w:val="22"/>
        </w:rPr>
      </w:pPr>
      <w:r w:rsidRPr="005220A9">
        <w:rPr>
          <w:b/>
          <w:bCs/>
          <w:smallCaps/>
          <w:sz w:val="22"/>
          <w:szCs w:val="22"/>
        </w:rPr>
        <w:t>SUMÁRIO</w:t>
      </w:r>
    </w:p>
    <w:p w:rsidR="00175500" w:rsidRPr="003C10B2" w:rsidRDefault="0008246E" w:rsidP="00270185">
      <w:pPr>
        <w:autoSpaceDE w:val="0"/>
        <w:autoSpaceDN w:val="0"/>
        <w:adjustRightInd w:val="0"/>
        <w:spacing w:after="60"/>
        <w:ind w:left="0"/>
        <w:rPr>
          <w:b/>
          <w:sz w:val="22"/>
          <w:szCs w:val="22"/>
          <w:lang w:eastAsia="pt-BR"/>
        </w:rPr>
      </w:pPr>
      <w:r w:rsidRPr="003C10B2">
        <w:rPr>
          <w:b/>
          <w:sz w:val="22"/>
          <w:szCs w:val="22"/>
          <w:lang w:eastAsia="pt-BR"/>
        </w:rPr>
        <w:t>Plenário</w:t>
      </w:r>
    </w:p>
    <w:p w:rsidR="002C182C" w:rsidRDefault="002C182C" w:rsidP="00270185">
      <w:pPr>
        <w:spacing w:after="60"/>
        <w:ind w:left="0"/>
        <w:rPr>
          <w:sz w:val="22"/>
          <w:szCs w:val="22"/>
        </w:rPr>
      </w:pPr>
      <w:r>
        <w:rPr>
          <w:sz w:val="22"/>
          <w:szCs w:val="22"/>
        </w:rPr>
        <w:t>1</w:t>
      </w:r>
      <w:r w:rsidRPr="009812A8">
        <w:rPr>
          <w:sz w:val="22"/>
          <w:szCs w:val="22"/>
        </w:rPr>
        <w:t>. Os critérios objetivos, previstos nas normas legais, de aferição da exequibilidade das propostas possuem apenas presunção relativa, cabendo à Administração</w:t>
      </w:r>
      <w:r w:rsidR="00F95B0B">
        <w:rPr>
          <w:sz w:val="22"/>
          <w:szCs w:val="22"/>
        </w:rPr>
        <w:t xml:space="preserve"> dar oportunidade</w:t>
      </w:r>
      <w:r w:rsidRPr="009812A8">
        <w:rPr>
          <w:sz w:val="22"/>
          <w:szCs w:val="22"/>
        </w:rPr>
        <w:t xml:space="preserve"> ao licitante </w:t>
      </w:r>
      <w:r w:rsidR="00F95B0B">
        <w:rPr>
          <w:sz w:val="22"/>
          <w:szCs w:val="22"/>
        </w:rPr>
        <w:t>para demonstrar</w:t>
      </w:r>
      <w:r w:rsidRPr="009812A8">
        <w:rPr>
          <w:sz w:val="22"/>
          <w:szCs w:val="22"/>
        </w:rPr>
        <w:t xml:space="preserve"> a viabilidade de sua proposta. </w:t>
      </w:r>
    </w:p>
    <w:p w:rsidR="00AC76A6" w:rsidRPr="00AC76A6" w:rsidRDefault="002C182C" w:rsidP="00270185">
      <w:pPr>
        <w:spacing w:after="60"/>
        <w:ind w:left="0"/>
        <w:rPr>
          <w:bCs/>
          <w:iCs/>
          <w:color w:val="FF0000"/>
          <w:sz w:val="22"/>
          <w:szCs w:val="22"/>
        </w:rPr>
      </w:pPr>
      <w:r>
        <w:rPr>
          <w:sz w:val="22"/>
          <w:szCs w:val="22"/>
        </w:rPr>
        <w:t>2</w:t>
      </w:r>
      <w:r w:rsidR="00AC76A6" w:rsidRPr="00AC76A6">
        <w:rPr>
          <w:sz w:val="22"/>
          <w:szCs w:val="22"/>
        </w:rPr>
        <w:t xml:space="preserve">. Os contratos firmados no exterior </w:t>
      </w:r>
      <w:r w:rsidR="00AC76A6" w:rsidRPr="00AC76A6">
        <w:rPr>
          <w:bCs/>
          <w:iCs/>
          <w:sz w:val="22"/>
          <w:szCs w:val="22"/>
        </w:rPr>
        <w:t>que devam produzir efeitos jurídicos no Brasil devem ser,</w:t>
      </w:r>
      <w:r w:rsidR="00F95B0B">
        <w:rPr>
          <w:bCs/>
          <w:iCs/>
          <w:sz w:val="22"/>
          <w:szCs w:val="22"/>
        </w:rPr>
        <w:t xml:space="preserve"> </w:t>
      </w:r>
      <w:r w:rsidR="00F95B0B" w:rsidRPr="00AC76A6">
        <w:rPr>
          <w:bCs/>
          <w:iCs/>
          <w:sz w:val="22"/>
          <w:szCs w:val="22"/>
        </w:rPr>
        <w:t>obrigatoriamente</w:t>
      </w:r>
      <w:r w:rsidR="00F95B0B">
        <w:rPr>
          <w:bCs/>
          <w:iCs/>
          <w:sz w:val="22"/>
          <w:szCs w:val="22"/>
        </w:rPr>
        <w:t xml:space="preserve">, </w:t>
      </w:r>
      <w:r w:rsidR="00AC76A6" w:rsidRPr="00AC76A6">
        <w:rPr>
          <w:bCs/>
          <w:iCs/>
          <w:sz w:val="22"/>
          <w:szCs w:val="22"/>
        </w:rPr>
        <w:t>redigidos em língu</w:t>
      </w:r>
      <w:r w:rsidR="00F95B0B">
        <w:rPr>
          <w:bCs/>
          <w:iCs/>
          <w:sz w:val="22"/>
          <w:szCs w:val="22"/>
        </w:rPr>
        <w:t>a portuguesa, em atendimento ao princípio da publicidade</w:t>
      </w:r>
      <w:r w:rsidR="00AC76A6" w:rsidRPr="00AC76A6">
        <w:rPr>
          <w:bCs/>
          <w:iCs/>
          <w:sz w:val="22"/>
          <w:szCs w:val="22"/>
        </w:rPr>
        <w:t xml:space="preserve">.  </w:t>
      </w:r>
    </w:p>
    <w:p w:rsidR="001212BD" w:rsidRPr="00F95B0B" w:rsidRDefault="002C182C" w:rsidP="00270185">
      <w:pPr>
        <w:spacing w:after="60"/>
        <w:ind w:left="0"/>
        <w:rPr>
          <w:b/>
          <w:iCs/>
          <w:sz w:val="22"/>
          <w:szCs w:val="22"/>
        </w:rPr>
      </w:pPr>
      <w:r>
        <w:rPr>
          <w:sz w:val="22"/>
          <w:szCs w:val="22"/>
        </w:rPr>
        <w:t>3</w:t>
      </w:r>
      <w:r w:rsidR="001212BD" w:rsidRPr="00F95B0B">
        <w:rPr>
          <w:sz w:val="22"/>
          <w:szCs w:val="22"/>
        </w:rPr>
        <w:t xml:space="preserve">. </w:t>
      </w:r>
      <w:r w:rsidR="00F95B0B" w:rsidRPr="00F95B0B">
        <w:rPr>
          <w:iCs/>
          <w:sz w:val="22"/>
          <w:szCs w:val="22"/>
        </w:rPr>
        <w:t>Nos contratos firmados por sociedades de economia mista exploradoras de atividade econômica,</w:t>
      </w:r>
      <w:r w:rsidR="00F95B0B" w:rsidRPr="00F95B0B">
        <w:rPr>
          <w:sz w:val="22"/>
          <w:szCs w:val="22"/>
        </w:rPr>
        <w:t xml:space="preserve"> a adoção de cláusulas</w:t>
      </w:r>
      <w:r w:rsidR="00F95B0B" w:rsidRPr="00F95B0B">
        <w:rPr>
          <w:rFonts w:ascii="Times New Roman,Italic" w:hAnsi="Times New Roman,Italic" w:cs="Times New Roman,Italic"/>
          <w:iCs/>
          <w:sz w:val="22"/>
          <w:szCs w:val="22"/>
          <w:lang w:eastAsia="pt-BR"/>
        </w:rPr>
        <w:t xml:space="preserve"> </w:t>
      </w:r>
      <w:r w:rsidR="00F95B0B" w:rsidRPr="00F95B0B">
        <w:rPr>
          <w:iCs/>
          <w:sz w:val="22"/>
          <w:szCs w:val="22"/>
        </w:rPr>
        <w:t>de juízo arbitral deve estar técnica e economicamente justificada e comprovadamente em conformidade com as práticas de mercado.</w:t>
      </w:r>
    </w:p>
    <w:p w:rsidR="00AA37B2" w:rsidRPr="00AA37B2" w:rsidRDefault="002C182C" w:rsidP="00270185">
      <w:pPr>
        <w:pStyle w:val="Default"/>
        <w:spacing w:after="60"/>
        <w:jc w:val="both"/>
        <w:rPr>
          <w:sz w:val="22"/>
          <w:szCs w:val="22"/>
        </w:rPr>
      </w:pPr>
      <w:r>
        <w:rPr>
          <w:sz w:val="22"/>
          <w:szCs w:val="22"/>
        </w:rPr>
        <w:t>4</w:t>
      </w:r>
      <w:r w:rsidR="00AA37B2" w:rsidRPr="00AA37B2">
        <w:rPr>
          <w:sz w:val="22"/>
          <w:szCs w:val="22"/>
        </w:rPr>
        <w:t>.</w:t>
      </w:r>
      <w:r w:rsidR="00AA37B2" w:rsidRPr="00AA37B2">
        <w:rPr>
          <w:color w:val="FF0000"/>
          <w:sz w:val="22"/>
          <w:szCs w:val="22"/>
        </w:rPr>
        <w:t xml:space="preserve"> </w:t>
      </w:r>
      <w:r w:rsidR="00F95B0B" w:rsidRPr="00F95B0B">
        <w:rPr>
          <w:color w:val="auto"/>
          <w:sz w:val="22"/>
          <w:szCs w:val="22"/>
        </w:rPr>
        <w:t>Nas</w:t>
      </w:r>
      <w:r w:rsidR="00F95B0B" w:rsidRPr="00F95B0B">
        <w:rPr>
          <w:sz w:val="22"/>
          <w:szCs w:val="22"/>
        </w:rPr>
        <w:t xml:space="preserve"> contratações do tipo </w:t>
      </w:r>
      <w:proofErr w:type="spellStart"/>
      <w:r w:rsidR="00F95B0B" w:rsidRPr="00F95B0B">
        <w:rPr>
          <w:i/>
          <w:sz w:val="22"/>
          <w:szCs w:val="22"/>
        </w:rPr>
        <w:t>turn</w:t>
      </w:r>
      <w:proofErr w:type="spellEnd"/>
      <w:r w:rsidR="00F95B0B" w:rsidRPr="00F95B0B">
        <w:rPr>
          <w:i/>
          <w:sz w:val="22"/>
          <w:szCs w:val="22"/>
        </w:rPr>
        <w:t xml:space="preserve"> </w:t>
      </w:r>
      <w:proofErr w:type="spellStart"/>
      <w:r w:rsidR="00F95B0B" w:rsidRPr="00F95B0B">
        <w:rPr>
          <w:i/>
          <w:sz w:val="22"/>
          <w:szCs w:val="22"/>
        </w:rPr>
        <w:t>key</w:t>
      </w:r>
      <w:proofErr w:type="spellEnd"/>
      <w:r w:rsidR="00F95B0B" w:rsidRPr="00F95B0B">
        <w:rPr>
          <w:sz w:val="22"/>
          <w:szCs w:val="22"/>
        </w:rPr>
        <w:t xml:space="preserve"> em que a elaboração do projeto básico for de responsabilidade da contratada (contratação integrada), deve ser promovida, previamente à abertura da licitação, a definição adequada das características do objeto a ser contratado, por meio de estudos, ensaios e projetos preliminares de engenharia.</w:t>
      </w:r>
    </w:p>
    <w:p w:rsidR="002D0987" w:rsidRDefault="002D0987" w:rsidP="00270185">
      <w:pPr>
        <w:autoSpaceDE w:val="0"/>
        <w:autoSpaceDN w:val="0"/>
        <w:adjustRightInd w:val="0"/>
        <w:spacing w:after="60"/>
        <w:ind w:left="0"/>
        <w:rPr>
          <w:b/>
          <w:sz w:val="22"/>
          <w:szCs w:val="22"/>
          <w:lang w:eastAsia="pt-BR"/>
        </w:rPr>
      </w:pPr>
      <w:r>
        <w:rPr>
          <w:b/>
          <w:sz w:val="22"/>
          <w:szCs w:val="22"/>
          <w:lang w:eastAsia="pt-BR"/>
        </w:rPr>
        <w:t>Segunda Câmara</w:t>
      </w:r>
    </w:p>
    <w:p w:rsidR="00305D69" w:rsidRDefault="007C4499" w:rsidP="00270185">
      <w:pPr>
        <w:spacing w:after="60"/>
        <w:ind w:left="0"/>
        <w:rPr>
          <w:sz w:val="22"/>
          <w:szCs w:val="22"/>
        </w:rPr>
      </w:pPr>
      <w:r>
        <w:rPr>
          <w:sz w:val="22"/>
          <w:szCs w:val="22"/>
        </w:rPr>
        <w:t>5</w:t>
      </w:r>
      <w:r w:rsidR="00305D69" w:rsidRPr="00305D69">
        <w:rPr>
          <w:sz w:val="22"/>
          <w:szCs w:val="22"/>
        </w:rPr>
        <w:t>. Nas licitações e contratações de obras e serviços de engenharia</w:t>
      </w:r>
      <w:r w:rsidR="00513D0A">
        <w:rPr>
          <w:sz w:val="22"/>
          <w:szCs w:val="22"/>
        </w:rPr>
        <w:t>,</w:t>
      </w:r>
      <w:r w:rsidR="00305D69" w:rsidRPr="00305D69">
        <w:rPr>
          <w:sz w:val="22"/>
          <w:szCs w:val="22"/>
        </w:rPr>
        <w:t xml:space="preserve"> compete aos gestores públicos exigir</w:t>
      </w:r>
      <w:r w:rsidR="003C1C96">
        <w:rPr>
          <w:sz w:val="22"/>
          <w:szCs w:val="22"/>
        </w:rPr>
        <w:t>, a cada etapa</w:t>
      </w:r>
      <w:r w:rsidR="00305D69" w:rsidRPr="00305D69">
        <w:rPr>
          <w:sz w:val="22"/>
          <w:szCs w:val="22"/>
        </w:rPr>
        <w:t xml:space="preserve"> (projeto, execução, supervisão e fiscalização), as respectivas Anotações de Responsabilidade Técnica, sob pena de responsabilização.</w:t>
      </w:r>
    </w:p>
    <w:p w:rsidR="002D0987" w:rsidRPr="002D0987" w:rsidRDefault="007C4499" w:rsidP="00270185">
      <w:pPr>
        <w:autoSpaceDE w:val="0"/>
        <w:autoSpaceDN w:val="0"/>
        <w:adjustRightInd w:val="0"/>
        <w:spacing w:after="60"/>
        <w:ind w:left="0"/>
        <w:rPr>
          <w:sz w:val="22"/>
          <w:szCs w:val="22"/>
        </w:rPr>
      </w:pPr>
      <w:r>
        <w:rPr>
          <w:sz w:val="22"/>
          <w:szCs w:val="22"/>
        </w:rPr>
        <w:t>6</w:t>
      </w:r>
      <w:r w:rsidR="002D0987">
        <w:rPr>
          <w:sz w:val="22"/>
          <w:szCs w:val="22"/>
        </w:rPr>
        <w:t>. A</w:t>
      </w:r>
      <w:r w:rsidR="002D0987" w:rsidRPr="002D0987">
        <w:rPr>
          <w:sz w:val="22"/>
          <w:szCs w:val="22"/>
        </w:rPr>
        <w:t xml:space="preserve"> homologação</w:t>
      </w:r>
      <w:r w:rsidR="002D0987">
        <w:rPr>
          <w:sz w:val="22"/>
          <w:szCs w:val="22"/>
        </w:rPr>
        <w:t xml:space="preserve"> é</w:t>
      </w:r>
      <w:r w:rsidR="002D0987" w:rsidRPr="002D0987">
        <w:rPr>
          <w:sz w:val="22"/>
          <w:szCs w:val="22"/>
        </w:rPr>
        <w:t xml:space="preserve"> um ato de</w:t>
      </w:r>
      <w:r w:rsidR="002D0987">
        <w:rPr>
          <w:sz w:val="22"/>
          <w:szCs w:val="22"/>
        </w:rPr>
        <w:t xml:space="preserve"> fiscalização e</w:t>
      </w:r>
      <w:r w:rsidR="002D0987" w:rsidRPr="002D0987">
        <w:rPr>
          <w:sz w:val="22"/>
          <w:szCs w:val="22"/>
        </w:rPr>
        <w:t xml:space="preserve"> controle praticado</w:t>
      </w:r>
      <w:r w:rsidR="002D0987">
        <w:rPr>
          <w:sz w:val="22"/>
          <w:szCs w:val="22"/>
        </w:rPr>
        <w:t xml:space="preserve"> </w:t>
      </w:r>
      <w:r w:rsidR="002D0987" w:rsidRPr="002D0987">
        <w:rPr>
          <w:sz w:val="22"/>
          <w:szCs w:val="22"/>
        </w:rPr>
        <w:t>pela autoridade competente sobre tudo o quanto foi reali</w:t>
      </w:r>
      <w:r w:rsidR="002D0987">
        <w:rPr>
          <w:sz w:val="22"/>
          <w:szCs w:val="22"/>
        </w:rPr>
        <w:t>zado pela comissão de licitação</w:t>
      </w:r>
      <w:r w:rsidR="00AF1CC2">
        <w:rPr>
          <w:sz w:val="22"/>
          <w:szCs w:val="22"/>
        </w:rPr>
        <w:t>,</w:t>
      </w:r>
      <w:r w:rsidR="002D0987">
        <w:rPr>
          <w:sz w:val="22"/>
          <w:szCs w:val="22"/>
        </w:rPr>
        <w:t xml:space="preserve"> e</w:t>
      </w:r>
      <w:r w:rsidR="002D0987" w:rsidRPr="002D0987">
        <w:rPr>
          <w:sz w:val="22"/>
          <w:szCs w:val="22"/>
        </w:rPr>
        <w:t xml:space="preserve"> equivale a aprovar os procedimentos até então</w:t>
      </w:r>
      <w:r w:rsidR="002D0987">
        <w:rPr>
          <w:sz w:val="22"/>
          <w:szCs w:val="22"/>
        </w:rPr>
        <w:t xml:space="preserve"> </w:t>
      </w:r>
      <w:r w:rsidR="002D0987" w:rsidRPr="002D0987">
        <w:rPr>
          <w:sz w:val="22"/>
          <w:szCs w:val="22"/>
        </w:rPr>
        <w:t xml:space="preserve">adotados. </w:t>
      </w:r>
    </w:p>
    <w:p w:rsidR="00B53C88" w:rsidRDefault="00B53C88" w:rsidP="00270185">
      <w:pPr>
        <w:autoSpaceDE w:val="0"/>
        <w:autoSpaceDN w:val="0"/>
        <w:adjustRightInd w:val="0"/>
        <w:spacing w:after="0"/>
        <w:ind w:left="0"/>
        <w:rPr>
          <w:sz w:val="22"/>
          <w:szCs w:val="22"/>
        </w:rPr>
      </w:pPr>
    </w:p>
    <w:p w:rsidR="0008246E" w:rsidRPr="0093685C" w:rsidRDefault="0008246E" w:rsidP="00270185">
      <w:pPr>
        <w:pBdr>
          <w:top w:val="threeDEmboss" w:sz="24" w:space="5" w:color="auto"/>
        </w:pBdr>
        <w:tabs>
          <w:tab w:val="left" w:pos="284"/>
          <w:tab w:val="left" w:pos="4172"/>
          <w:tab w:val="center" w:pos="4818"/>
        </w:tabs>
        <w:spacing w:after="0"/>
        <w:ind w:left="0"/>
        <w:jc w:val="center"/>
        <w:rPr>
          <w:b/>
          <w:bCs/>
          <w:smallCaps/>
          <w:sz w:val="22"/>
          <w:szCs w:val="22"/>
        </w:rPr>
      </w:pPr>
      <w:r w:rsidRPr="0093685C">
        <w:rPr>
          <w:b/>
          <w:bCs/>
          <w:smallCaps/>
          <w:sz w:val="22"/>
          <w:szCs w:val="22"/>
        </w:rPr>
        <w:t>PLENÁRIO</w:t>
      </w:r>
    </w:p>
    <w:p w:rsidR="0008246E" w:rsidRPr="0093685C" w:rsidRDefault="0008246E" w:rsidP="00270185">
      <w:pPr>
        <w:pBdr>
          <w:top w:val="threeDEmboss" w:sz="24" w:space="5" w:color="auto"/>
        </w:pBdr>
        <w:tabs>
          <w:tab w:val="left" w:pos="284"/>
          <w:tab w:val="left" w:pos="4172"/>
          <w:tab w:val="center" w:pos="4818"/>
        </w:tabs>
        <w:spacing w:after="0"/>
        <w:ind w:left="0"/>
        <w:rPr>
          <w:b/>
          <w:bCs/>
          <w:smallCaps/>
          <w:sz w:val="22"/>
          <w:szCs w:val="22"/>
        </w:rPr>
      </w:pPr>
    </w:p>
    <w:p w:rsidR="00F95B0B" w:rsidRPr="00F95B0B" w:rsidRDefault="00F95B0B" w:rsidP="00270185">
      <w:pPr>
        <w:spacing w:after="0"/>
        <w:ind w:left="0"/>
        <w:rPr>
          <w:b/>
          <w:sz w:val="22"/>
          <w:szCs w:val="22"/>
        </w:rPr>
      </w:pPr>
      <w:r w:rsidRPr="00F95B0B">
        <w:rPr>
          <w:b/>
          <w:sz w:val="22"/>
          <w:szCs w:val="22"/>
        </w:rPr>
        <w:t xml:space="preserve">1. Os critérios objetivos, previstos nas normas legais, de aferição da exequibilidade das propostas possuem apenas presunção relativa, cabendo à Administração dar oportunidade ao licitante para demonstrar a viabilidade de sua proposta. </w:t>
      </w:r>
    </w:p>
    <w:p w:rsidR="002C182C" w:rsidRPr="0093685C" w:rsidRDefault="002C182C" w:rsidP="00270185">
      <w:pPr>
        <w:spacing w:after="0"/>
        <w:ind w:left="0"/>
        <w:rPr>
          <w:sz w:val="22"/>
          <w:szCs w:val="22"/>
        </w:rPr>
      </w:pPr>
      <w:r w:rsidRPr="0093685C">
        <w:rPr>
          <w:sz w:val="22"/>
          <w:szCs w:val="22"/>
        </w:rPr>
        <w:t xml:space="preserve">Pedidos de Reexame interpostos pelas empresas Petrobras e MPE Montagens e Projetos Especiais S/A contra o Acórdão 3.344/2012-Plenário requereram a reforma de item da deliberação que determinara à Petrobras que procedesse à anulação de todos os atos praticados desde a injustificada desclassificação de três concorrentes por inexequibilidade das propostas. Pretenderam as recorrentes que fossem consideradas lícitas as desclassificações das propostas, de forma a permitir a continuidade da execução do contrato firmado entre </w:t>
      </w:r>
      <w:r w:rsidR="00474EF0">
        <w:rPr>
          <w:sz w:val="22"/>
          <w:szCs w:val="22"/>
        </w:rPr>
        <w:t>elas. O relator</w:t>
      </w:r>
      <w:r w:rsidRPr="0093685C">
        <w:rPr>
          <w:sz w:val="22"/>
          <w:szCs w:val="22"/>
        </w:rPr>
        <w:t xml:space="preserve"> observou que “</w:t>
      </w:r>
      <w:r w:rsidRPr="0093685C">
        <w:rPr>
          <w:i/>
          <w:sz w:val="22"/>
          <w:szCs w:val="22"/>
        </w:rPr>
        <w:t>a apreciação da exequibilidade de propostas não é tarefa fácil, pois há dificuldades em se fixar critérios objetivos para tanto e que não comprometam o princípio da busca da proposta mais vantajosa para a administração. Nessa linha, esta Corte já se manifestou em diversas oportunidades que os critérios objetivos, previstos nas normas legais, de aferição da exequibilidade das propostas possuem apenas presunção relativa, cabendo à administração propiciar ao licitante que demonstre a viabilidade de sua proposta</w:t>
      </w:r>
      <w:r w:rsidRPr="0093685C">
        <w:rPr>
          <w:sz w:val="22"/>
          <w:szCs w:val="22"/>
        </w:rPr>
        <w:t>”. Contudo, diante da situação fática evidenciada nos autos (contrato assinado e em execução) e considerando os efeitos reversos e prejuízos decorrentes da interrupção contratual naquele momento, o relator entendeu cabível tornar insubsistente a determinação impugnada. Destacou, entretanto, que “</w:t>
      </w:r>
      <w:r w:rsidRPr="0093685C">
        <w:rPr>
          <w:i/>
          <w:sz w:val="22"/>
          <w:szCs w:val="22"/>
        </w:rPr>
        <w:t>esse entendimento não afasta a necessidade de adequada apuração dos atos inquinados de desclassificação das propostas de licitantes</w:t>
      </w:r>
      <w:r w:rsidRPr="0093685C">
        <w:rPr>
          <w:sz w:val="22"/>
          <w:szCs w:val="22"/>
        </w:rPr>
        <w:t xml:space="preserve">”. O Tribunal, ao acolher a proposta do relator, deu provimento parcial ao recurso de forma a tornar insubsistente a determinação recorrida, sem prejuízo de restituir os autos à relatora </w:t>
      </w:r>
      <w:r w:rsidRPr="0093685C">
        <w:rPr>
          <w:i/>
          <w:sz w:val="22"/>
          <w:szCs w:val="22"/>
        </w:rPr>
        <w:t>a quo</w:t>
      </w:r>
      <w:r w:rsidRPr="0093685C">
        <w:rPr>
          <w:sz w:val="22"/>
          <w:szCs w:val="22"/>
        </w:rPr>
        <w:t xml:space="preserve"> para a continuidade das apurações. </w:t>
      </w:r>
      <w:hyperlink r:id="rId8" w:history="1">
        <w:r w:rsidRPr="0093685C">
          <w:rPr>
            <w:rStyle w:val="Hyperlink"/>
            <w:b/>
            <w:i/>
            <w:sz w:val="22"/>
            <w:szCs w:val="22"/>
          </w:rPr>
          <w:t>Acórdão 2143/2013-Plenário</w:t>
        </w:r>
      </w:hyperlink>
      <w:r w:rsidRPr="0093685C">
        <w:rPr>
          <w:b/>
          <w:i/>
          <w:sz w:val="22"/>
          <w:szCs w:val="22"/>
        </w:rPr>
        <w:t xml:space="preserve">, TC 006.576/2012-5, relator Ministro Benjamin </w:t>
      </w:r>
      <w:proofErr w:type="spellStart"/>
      <w:r w:rsidRPr="0093685C">
        <w:rPr>
          <w:b/>
          <w:i/>
          <w:sz w:val="22"/>
          <w:szCs w:val="22"/>
        </w:rPr>
        <w:t>Zymler</w:t>
      </w:r>
      <w:proofErr w:type="spellEnd"/>
      <w:r w:rsidRPr="0093685C">
        <w:rPr>
          <w:b/>
          <w:i/>
          <w:sz w:val="22"/>
          <w:szCs w:val="22"/>
        </w:rPr>
        <w:t>, 14.8.2013.</w:t>
      </w:r>
    </w:p>
    <w:p w:rsidR="002C182C" w:rsidRPr="0093685C" w:rsidRDefault="002C182C" w:rsidP="00270185">
      <w:pPr>
        <w:spacing w:after="0"/>
        <w:ind w:left="0"/>
        <w:rPr>
          <w:b/>
          <w:sz w:val="22"/>
          <w:szCs w:val="22"/>
        </w:rPr>
      </w:pPr>
    </w:p>
    <w:p w:rsidR="00F95B0B" w:rsidRPr="00F95B0B" w:rsidRDefault="002C182C" w:rsidP="00270185">
      <w:pPr>
        <w:spacing w:after="0"/>
        <w:ind w:left="0"/>
        <w:rPr>
          <w:b/>
          <w:bCs/>
          <w:iCs/>
          <w:color w:val="FF0000"/>
          <w:sz w:val="22"/>
          <w:szCs w:val="22"/>
        </w:rPr>
      </w:pPr>
      <w:r w:rsidRPr="00F95B0B">
        <w:rPr>
          <w:b/>
          <w:sz w:val="22"/>
          <w:szCs w:val="22"/>
        </w:rPr>
        <w:t>2</w:t>
      </w:r>
      <w:r w:rsidR="00E82322" w:rsidRPr="00F95B0B">
        <w:rPr>
          <w:b/>
          <w:sz w:val="22"/>
          <w:szCs w:val="22"/>
        </w:rPr>
        <w:t>.</w:t>
      </w:r>
      <w:r w:rsidR="00F95B0B" w:rsidRPr="00F95B0B">
        <w:rPr>
          <w:b/>
          <w:sz w:val="22"/>
          <w:szCs w:val="22"/>
        </w:rPr>
        <w:t xml:space="preserve"> Os contratos firmados no exterior </w:t>
      </w:r>
      <w:r w:rsidR="00F95B0B" w:rsidRPr="00F95B0B">
        <w:rPr>
          <w:b/>
          <w:bCs/>
          <w:iCs/>
          <w:sz w:val="22"/>
          <w:szCs w:val="22"/>
        </w:rPr>
        <w:t xml:space="preserve">que devam produzir efeitos jurídicos no Brasil devem ser, obrigatoriamente, redigidos em língua portuguesa, em atendimento ao princípio da publicidade.  </w:t>
      </w:r>
    </w:p>
    <w:p w:rsidR="00E82322" w:rsidRPr="0093685C" w:rsidRDefault="00E82322" w:rsidP="00270185">
      <w:pPr>
        <w:spacing w:after="0"/>
        <w:ind w:left="0"/>
        <w:rPr>
          <w:b/>
          <w:i/>
          <w:sz w:val="22"/>
          <w:szCs w:val="22"/>
        </w:rPr>
      </w:pPr>
      <w:r w:rsidRPr="0093685C">
        <w:rPr>
          <w:sz w:val="22"/>
          <w:szCs w:val="22"/>
          <w:lang w:eastAsia="pt-BR"/>
        </w:rPr>
        <w:t xml:space="preserve">Pedido de </w:t>
      </w:r>
      <w:bookmarkStart w:id="1" w:name="Hit1"/>
      <w:r w:rsidRPr="0093685C">
        <w:rPr>
          <w:sz w:val="22"/>
          <w:szCs w:val="22"/>
          <w:lang w:eastAsia="pt-BR"/>
        </w:rPr>
        <w:t>Reexame</w:t>
      </w:r>
      <w:bookmarkEnd w:id="1"/>
      <w:r w:rsidRPr="0093685C">
        <w:rPr>
          <w:sz w:val="22"/>
          <w:szCs w:val="22"/>
          <w:lang w:eastAsia="pt-BR"/>
        </w:rPr>
        <w:t xml:space="preserve"> interposto pela Petrobras contra o Acórdão 2094/2009 - Plenário</w:t>
      </w:r>
      <w:r w:rsidRPr="0093685C">
        <w:rPr>
          <w:color w:val="FF0000"/>
          <w:sz w:val="22"/>
          <w:szCs w:val="22"/>
          <w:lang w:eastAsia="pt-BR"/>
        </w:rPr>
        <w:t xml:space="preserve"> </w:t>
      </w:r>
      <w:r w:rsidRPr="0093685C">
        <w:rPr>
          <w:sz w:val="22"/>
          <w:szCs w:val="22"/>
          <w:lang w:eastAsia="pt-BR"/>
        </w:rPr>
        <w:t>question</w:t>
      </w:r>
      <w:r w:rsidR="00D92F08" w:rsidRPr="0093685C">
        <w:rPr>
          <w:sz w:val="22"/>
          <w:szCs w:val="22"/>
          <w:lang w:eastAsia="pt-BR"/>
        </w:rPr>
        <w:t>ou</w:t>
      </w:r>
      <w:r w:rsidRPr="0093685C">
        <w:rPr>
          <w:sz w:val="22"/>
          <w:szCs w:val="22"/>
          <w:lang w:eastAsia="pt-BR"/>
        </w:rPr>
        <w:t xml:space="preserve"> determinação imposta a essa estatal para que os futuros contratos sejam, obrigatoriamente, redigidos “</w:t>
      </w:r>
      <w:r w:rsidRPr="0093685C">
        <w:rPr>
          <w:i/>
          <w:iCs/>
          <w:sz w:val="22"/>
          <w:szCs w:val="22"/>
          <w:lang w:eastAsia="pt-BR"/>
        </w:rPr>
        <w:t xml:space="preserve">em língua portuguesa, ou em textos </w:t>
      </w:r>
      <w:proofErr w:type="spellStart"/>
      <w:r w:rsidRPr="0093685C">
        <w:rPr>
          <w:i/>
          <w:iCs/>
          <w:sz w:val="22"/>
          <w:szCs w:val="22"/>
          <w:lang w:eastAsia="pt-BR"/>
        </w:rPr>
        <w:t>bicolunados</w:t>
      </w:r>
      <w:proofErr w:type="spellEnd"/>
      <w:r w:rsidRPr="0093685C">
        <w:rPr>
          <w:i/>
          <w:iCs/>
          <w:sz w:val="22"/>
          <w:szCs w:val="22"/>
          <w:lang w:eastAsia="pt-BR"/>
        </w:rPr>
        <w:t>, com tradução da</w:t>
      </w:r>
      <w:r w:rsidRPr="0093685C">
        <w:rPr>
          <w:sz w:val="22"/>
          <w:szCs w:val="22"/>
          <w:lang w:eastAsia="pt-BR"/>
        </w:rPr>
        <w:t xml:space="preserve"> </w:t>
      </w:r>
      <w:r w:rsidRPr="0093685C">
        <w:rPr>
          <w:i/>
          <w:iCs/>
          <w:sz w:val="22"/>
          <w:szCs w:val="22"/>
          <w:lang w:eastAsia="pt-BR"/>
        </w:rPr>
        <w:t>língua estrangeira para a língua portuguesa, conforme o disposto no art. 13 da Constituição Federal,</w:t>
      </w:r>
      <w:r w:rsidRPr="0093685C">
        <w:rPr>
          <w:sz w:val="22"/>
          <w:szCs w:val="22"/>
          <w:lang w:eastAsia="pt-BR"/>
        </w:rPr>
        <w:t xml:space="preserve"> </w:t>
      </w:r>
      <w:r w:rsidRPr="0093685C">
        <w:rPr>
          <w:i/>
          <w:iCs/>
          <w:sz w:val="22"/>
          <w:szCs w:val="22"/>
          <w:lang w:eastAsia="pt-BR"/>
        </w:rPr>
        <w:t>c/c o art. 224 da Lei n. 10.406/2002 (Código Civil Brasileiro)</w:t>
      </w:r>
      <w:r w:rsidRPr="0093685C">
        <w:rPr>
          <w:sz w:val="22"/>
          <w:szCs w:val="22"/>
          <w:lang w:eastAsia="pt-BR"/>
        </w:rPr>
        <w:t xml:space="preserve">”. </w:t>
      </w:r>
      <w:r w:rsidR="00D92F08" w:rsidRPr="0093685C">
        <w:rPr>
          <w:sz w:val="22"/>
          <w:szCs w:val="22"/>
          <w:lang w:eastAsia="pt-BR"/>
        </w:rPr>
        <w:t>A recorrente argumentou</w:t>
      </w:r>
      <w:r w:rsidRPr="0093685C">
        <w:rPr>
          <w:sz w:val="22"/>
          <w:szCs w:val="22"/>
          <w:lang w:eastAsia="pt-BR"/>
        </w:rPr>
        <w:t xml:space="preserve"> que seriam lícitos os instrumentos contratuais firmados apenas em língua estrangeira por sua subsidiária sediada no exterior. O relator, assentado na legislação e na jurisprudência desta Corte, rebateu essa argumentação destacando a necessidade de que os contratos estejam vertidos para o vernáculo para que produzam efeitos jurídicos no Brasil. Observou ainda que "</w:t>
      </w:r>
      <w:r w:rsidRPr="0093685C">
        <w:rPr>
          <w:i/>
          <w:sz w:val="22"/>
          <w:szCs w:val="22"/>
          <w:lang w:eastAsia="pt-BR"/>
        </w:rPr>
        <w:t>a Petrobras é integrante da administração pública indireta, de forma que está sujeita ao princípio da publicidade ... De acordo com esse princípio, o trato da coisa pública deve ser dotado de máxima transparência, de forma a possibilitar o controle social por parte dos administrados".</w:t>
      </w:r>
      <w:r w:rsidRPr="0093685C">
        <w:rPr>
          <w:sz w:val="22"/>
          <w:szCs w:val="22"/>
          <w:lang w:eastAsia="pt-BR"/>
        </w:rPr>
        <w:t xml:space="preserve"> Ponderou, contudo, a abrangência da determinação impugnada, a qual abarcaria todos os contratos celebrados pela estatal, inclusive as avenças firmadas pelas subsidiárias no exterior, sem qualquer efeito jurídico no Brasil. Destacou que "</w:t>
      </w:r>
      <w:r w:rsidRPr="0093685C">
        <w:rPr>
          <w:i/>
          <w:sz w:val="22"/>
          <w:szCs w:val="22"/>
          <w:lang w:eastAsia="pt-BR"/>
        </w:rPr>
        <w:t>esse procedimento, além de onerar as contratações com custos de tradução, pode provocar insegurança jurídica nos contratados do exterior, os quais possivelmente não possuem expertise em firmar contratos em língua diversa daquela de seu país de origem</w:t>
      </w:r>
      <w:r w:rsidRPr="0093685C">
        <w:rPr>
          <w:sz w:val="22"/>
          <w:szCs w:val="22"/>
          <w:lang w:eastAsia="pt-BR"/>
        </w:rPr>
        <w:t xml:space="preserve">". Nesse sentido, ponderando a aplicação do princípio da publicidade com os princípios da razoabilidade e proporcionalidade, propôs a redução do campo de aplicação do comando, de forma a não abarcar negócios jurídicos que não devam produzir efeitos no Brasil. </w:t>
      </w:r>
      <w:r w:rsidRPr="0093685C">
        <w:rPr>
          <w:sz w:val="22"/>
          <w:szCs w:val="22"/>
        </w:rPr>
        <w:t>O Tribunal, ao acolher a proposta do relator, deu provimento parcial ao recurso a fim de conferir a seguinte redação ao item questionado: "</w:t>
      </w:r>
      <w:r w:rsidRPr="0093685C">
        <w:rPr>
          <w:i/>
          <w:iCs/>
          <w:sz w:val="22"/>
          <w:szCs w:val="22"/>
        </w:rPr>
        <w:t>nos futuros contratos que vier a celebrar e que devam produzir efeitos jurídicos no Brasil, atente para a obrigatoriedade de os termos contratuais serem pelo menos redigidos em língua portuguesa".</w:t>
      </w:r>
      <w:r w:rsidR="00D92F08" w:rsidRPr="0093685C">
        <w:rPr>
          <w:i/>
          <w:iCs/>
          <w:sz w:val="22"/>
          <w:szCs w:val="22"/>
        </w:rPr>
        <w:t xml:space="preserve"> </w:t>
      </w:r>
      <w:hyperlink r:id="rId9" w:history="1">
        <w:r w:rsidRPr="0093685C">
          <w:rPr>
            <w:rStyle w:val="Hyperlink"/>
            <w:b/>
            <w:i/>
            <w:sz w:val="22"/>
            <w:szCs w:val="22"/>
          </w:rPr>
          <w:t>Acórdão 2145/2013-Plenário</w:t>
        </w:r>
      </w:hyperlink>
      <w:r w:rsidRPr="0093685C">
        <w:rPr>
          <w:b/>
          <w:i/>
          <w:sz w:val="22"/>
          <w:szCs w:val="22"/>
        </w:rPr>
        <w:t xml:space="preserve">, TC 006.588/2009-8, relator Ministro Benjamin </w:t>
      </w:r>
      <w:proofErr w:type="spellStart"/>
      <w:r w:rsidRPr="0093685C">
        <w:rPr>
          <w:b/>
          <w:i/>
          <w:sz w:val="22"/>
          <w:szCs w:val="22"/>
        </w:rPr>
        <w:t>Zymler</w:t>
      </w:r>
      <w:proofErr w:type="spellEnd"/>
      <w:r w:rsidRPr="0093685C">
        <w:rPr>
          <w:b/>
          <w:i/>
          <w:sz w:val="22"/>
          <w:szCs w:val="22"/>
        </w:rPr>
        <w:t>, 14.8.2013.</w:t>
      </w:r>
    </w:p>
    <w:p w:rsidR="00E82322" w:rsidRPr="0093685C" w:rsidRDefault="00E82322" w:rsidP="00270185">
      <w:pPr>
        <w:spacing w:after="0"/>
        <w:ind w:left="0"/>
        <w:rPr>
          <w:sz w:val="22"/>
          <w:szCs w:val="22"/>
        </w:rPr>
      </w:pPr>
    </w:p>
    <w:p w:rsidR="00EE4E97" w:rsidRPr="0093685C" w:rsidRDefault="00EE4E97" w:rsidP="00270185">
      <w:pPr>
        <w:spacing w:after="0"/>
        <w:ind w:left="0"/>
        <w:rPr>
          <w:b/>
          <w:iCs/>
          <w:sz w:val="22"/>
          <w:szCs w:val="22"/>
        </w:rPr>
      </w:pPr>
      <w:r w:rsidRPr="00F95B0B">
        <w:rPr>
          <w:b/>
          <w:iCs/>
          <w:sz w:val="22"/>
          <w:szCs w:val="22"/>
        </w:rPr>
        <w:t>3. Nos contratos firmados por sociedades de economia mista exploradoras de atividade econômica,</w:t>
      </w:r>
      <w:r w:rsidRPr="00F95B0B">
        <w:rPr>
          <w:b/>
          <w:sz w:val="22"/>
          <w:szCs w:val="22"/>
        </w:rPr>
        <w:t xml:space="preserve"> a adoção de cláusulas</w:t>
      </w:r>
      <w:r w:rsidRPr="00F95B0B">
        <w:rPr>
          <w:rFonts w:ascii="Times New Roman,Italic" w:hAnsi="Times New Roman,Italic" w:cs="Times New Roman,Italic"/>
          <w:iCs/>
          <w:sz w:val="22"/>
          <w:szCs w:val="22"/>
          <w:lang w:eastAsia="pt-BR"/>
        </w:rPr>
        <w:t xml:space="preserve"> </w:t>
      </w:r>
      <w:r w:rsidRPr="00F95B0B">
        <w:rPr>
          <w:b/>
          <w:iCs/>
          <w:sz w:val="22"/>
          <w:szCs w:val="22"/>
        </w:rPr>
        <w:t>de juízo arbitral</w:t>
      </w:r>
      <w:r w:rsidR="00F95B0B" w:rsidRPr="00F95B0B">
        <w:rPr>
          <w:b/>
          <w:iCs/>
          <w:sz w:val="22"/>
          <w:szCs w:val="22"/>
        </w:rPr>
        <w:t xml:space="preserve"> </w:t>
      </w:r>
      <w:r w:rsidRPr="00F95B0B">
        <w:rPr>
          <w:b/>
          <w:iCs/>
          <w:sz w:val="22"/>
          <w:szCs w:val="22"/>
        </w:rPr>
        <w:t>deve estar técnica e economicamente justifi</w:t>
      </w:r>
      <w:r w:rsidR="00F95B0B" w:rsidRPr="00F95B0B">
        <w:rPr>
          <w:b/>
          <w:iCs/>
          <w:sz w:val="22"/>
          <w:szCs w:val="22"/>
        </w:rPr>
        <w:t>cada e comprovadamente em conformidade</w:t>
      </w:r>
      <w:r w:rsidRPr="00F95B0B">
        <w:rPr>
          <w:b/>
          <w:iCs/>
          <w:sz w:val="22"/>
          <w:szCs w:val="22"/>
        </w:rPr>
        <w:t xml:space="preserve"> com as práticas de mercado.</w:t>
      </w:r>
    </w:p>
    <w:p w:rsidR="00255E00" w:rsidRPr="0093685C" w:rsidRDefault="00255E00" w:rsidP="00270185">
      <w:pPr>
        <w:spacing w:after="0"/>
        <w:ind w:left="0"/>
        <w:rPr>
          <w:sz w:val="22"/>
          <w:szCs w:val="22"/>
          <w:lang w:eastAsia="pt-BR"/>
        </w:rPr>
      </w:pPr>
      <w:r w:rsidRPr="0093685C">
        <w:rPr>
          <w:sz w:val="22"/>
          <w:szCs w:val="22"/>
          <w:lang w:eastAsia="pt-BR"/>
        </w:rPr>
        <w:t xml:space="preserve">Ainda no âmbito do Pedido de Reexame interposto pela Petrobras contra o Acórdão 2094/2009-Plenário, a estatal </w:t>
      </w:r>
      <w:r w:rsidR="000D7BA8" w:rsidRPr="0093685C">
        <w:rPr>
          <w:sz w:val="22"/>
          <w:szCs w:val="22"/>
          <w:lang w:eastAsia="pt-BR"/>
        </w:rPr>
        <w:t>contestou</w:t>
      </w:r>
      <w:r w:rsidRPr="0093685C">
        <w:rPr>
          <w:sz w:val="22"/>
          <w:szCs w:val="22"/>
          <w:lang w:eastAsia="pt-BR"/>
        </w:rPr>
        <w:t xml:space="preserve"> determinação para que nos contratos “</w:t>
      </w:r>
      <w:r w:rsidRPr="0093685C">
        <w:rPr>
          <w:i/>
          <w:iCs/>
          <w:sz w:val="22"/>
          <w:szCs w:val="22"/>
          <w:lang w:eastAsia="pt-BR"/>
        </w:rPr>
        <w:t xml:space="preserve">em que sejam incluídas cláusulas compromissórias de resolução de conflitos </w:t>
      </w:r>
      <w:r w:rsidRPr="0093685C">
        <w:rPr>
          <w:b/>
          <w:bCs/>
          <w:i/>
          <w:iCs/>
          <w:sz w:val="22"/>
          <w:szCs w:val="22"/>
          <w:lang w:eastAsia="pt-BR"/>
        </w:rPr>
        <w:t>em sede de juízo arbitral</w:t>
      </w:r>
      <w:r w:rsidRPr="0093685C">
        <w:rPr>
          <w:i/>
          <w:iCs/>
          <w:sz w:val="22"/>
          <w:szCs w:val="22"/>
          <w:lang w:eastAsia="pt-BR"/>
        </w:rPr>
        <w:t xml:space="preserve">, </w:t>
      </w:r>
      <w:r w:rsidRPr="0093685C">
        <w:rPr>
          <w:b/>
          <w:bCs/>
          <w:i/>
          <w:iCs/>
          <w:sz w:val="22"/>
          <w:szCs w:val="22"/>
          <w:lang w:eastAsia="pt-BR"/>
        </w:rPr>
        <w:t>restrinja a resolução</w:t>
      </w:r>
      <w:r w:rsidRPr="0093685C">
        <w:rPr>
          <w:i/>
          <w:iCs/>
          <w:sz w:val="22"/>
          <w:szCs w:val="22"/>
          <w:lang w:eastAsia="pt-BR"/>
        </w:rPr>
        <w:t xml:space="preserve"> </w:t>
      </w:r>
      <w:r w:rsidRPr="0093685C">
        <w:rPr>
          <w:b/>
          <w:bCs/>
          <w:i/>
          <w:iCs/>
          <w:sz w:val="22"/>
          <w:szCs w:val="22"/>
          <w:lang w:eastAsia="pt-BR"/>
        </w:rPr>
        <w:t>de eventuais litígios a assuntos relacionados à sua área-fim e disputas eminentemente técnicas</w:t>
      </w:r>
      <w:r w:rsidRPr="0093685C">
        <w:rPr>
          <w:i/>
          <w:iCs/>
          <w:sz w:val="22"/>
          <w:szCs w:val="22"/>
          <w:lang w:eastAsia="pt-BR"/>
        </w:rPr>
        <w:t xml:space="preserve"> </w:t>
      </w:r>
      <w:r w:rsidRPr="0093685C">
        <w:rPr>
          <w:b/>
          <w:bCs/>
          <w:i/>
          <w:iCs/>
          <w:sz w:val="22"/>
          <w:szCs w:val="22"/>
          <w:lang w:eastAsia="pt-BR"/>
        </w:rPr>
        <w:t>oriundas da execução dos aludidos contratos</w:t>
      </w:r>
      <w:r w:rsidRPr="0093685C">
        <w:rPr>
          <w:i/>
          <w:iCs/>
          <w:sz w:val="22"/>
          <w:szCs w:val="22"/>
          <w:lang w:eastAsia="pt-BR"/>
        </w:rPr>
        <w:t xml:space="preserve">” </w:t>
      </w:r>
      <w:r w:rsidRPr="0093685C">
        <w:rPr>
          <w:sz w:val="22"/>
          <w:szCs w:val="22"/>
          <w:lang w:eastAsia="pt-BR"/>
        </w:rPr>
        <w:t>(grifos do relator). Segundo a recorrente, "</w:t>
      </w:r>
      <w:r w:rsidRPr="0093685C">
        <w:rPr>
          <w:i/>
          <w:sz w:val="22"/>
          <w:szCs w:val="22"/>
          <w:lang w:eastAsia="pt-BR"/>
        </w:rPr>
        <w:t>os conceitos de atividade fim e atividade meio não se prestam para a definição da disponibilidade ou não de eventual direito</w:t>
      </w:r>
      <w:r w:rsidRPr="0093685C">
        <w:rPr>
          <w:sz w:val="22"/>
          <w:szCs w:val="22"/>
          <w:lang w:eastAsia="pt-BR"/>
        </w:rPr>
        <w:t>". O relator, ao concordar com essa tese, observou que “</w:t>
      </w:r>
      <w:r w:rsidRPr="0093685C">
        <w:rPr>
          <w:i/>
          <w:sz w:val="22"/>
          <w:szCs w:val="22"/>
          <w:lang w:eastAsia="pt-BR"/>
        </w:rPr>
        <w:t>o deslinde da questão passa pela natureza dos direitos objeto da contratação da Petrobrás</w:t>
      </w:r>
      <w:r w:rsidRPr="0093685C">
        <w:rPr>
          <w:sz w:val="22"/>
          <w:szCs w:val="22"/>
          <w:lang w:eastAsia="pt-BR"/>
        </w:rPr>
        <w:t>”. Nesse sentido, amparado na doutrina e na jurisprudência, evidenciou a diferença entre direitos disponíveis (interesse da administração) e indisponíveis (interesse público), concluindo que, “</w:t>
      </w:r>
      <w:r w:rsidRPr="0093685C">
        <w:rPr>
          <w:i/>
          <w:sz w:val="22"/>
          <w:szCs w:val="22"/>
          <w:lang w:eastAsia="pt-BR"/>
        </w:rPr>
        <w:t xml:space="preserve">sob a estrita ótica da natureza do bem”, </w:t>
      </w:r>
      <w:r w:rsidRPr="0093685C">
        <w:rPr>
          <w:sz w:val="22"/>
          <w:szCs w:val="22"/>
          <w:lang w:eastAsia="pt-BR"/>
        </w:rPr>
        <w:t>poderia haver a estipulação de cláusula arbitral nos contratos administrativos que versem sobre direitos disponíveis, ou seja, aqueles que envolvem uma contraprestação financeira em decorrência de fornecimento de bens, execução de obras ou prestação de serviços. Ponderou, contudo, que “</w:t>
      </w:r>
      <w:r w:rsidRPr="0093685C">
        <w:rPr>
          <w:i/>
          <w:sz w:val="22"/>
          <w:szCs w:val="22"/>
          <w:lang w:eastAsia="pt-BR"/>
        </w:rPr>
        <w:t>como regra geral, o compromisso arbitral não é cabível nos contratos administrativos, sendo as exceções objeto de específica disposição legal</w:t>
      </w:r>
      <w:r w:rsidRPr="0093685C">
        <w:rPr>
          <w:sz w:val="22"/>
          <w:szCs w:val="22"/>
          <w:lang w:eastAsia="pt-BR"/>
        </w:rPr>
        <w:t>”. Ao analisar a situação peculiar das sociedades de economia mista</w:t>
      </w:r>
      <w:r w:rsidR="000D7BA8" w:rsidRPr="0093685C">
        <w:rPr>
          <w:sz w:val="22"/>
          <w:szCs w:val="22"/>
          <w:lang w:eastAsia="pt-BR"/>
        </w:rPr>
        <w:t xml:space="preserve"> exploradoras de atividade econômica</w:t>
      </w:r>
      <w:r w:rsidRPr="0093685C">
        <w:rPr>
          <w:sz w:val="22"/>
          <w:szCs w:val="22"/>
          <w:lang w:eastAsia="pt-BR"/>
        </w:rPr>
        <w:t>, sujeitas ao regime jurídico das empresas privadas, o relator lembrou que, a despeito da ausência de disposição legal específica, o Superior Tribunal de Justiça, amparado no texto constitucional (art. 173, § 1° da CF), defende que essas sociedades podem utilizar a cláusula arbitral nos contratos de que fazem parte. Acrescentou que a jurisprudência do STJ não teria estabelecido limites para a utilização da cláusula arbitral, mas “</w:t>
      </w:r>
      <w:r w:rsidRPr="0093685C">
        <w:rPr>
          <w:i/>
          <w:sz w:val="22"/>
          <w:szCs w:val="22"/>
          <w:lang w:eastAsia="pt-BR"/>
        </w:rPr>
        <w:t>entende-se que ... somente deve ser utilizada em situações peculiares devidamente justificadas e de modo a se seguir a comprovada prática de mercado</w:t>
      </w:r>
      <w:r w:rsidRPr="0093685C">
        <w:rPr>
          <w:sz w:val="22"/>
          <w:szCs w:val="22"/>
          <w:lang w:eastAsia="pt-BR"/>
        </w:rPr>
        <w:t>”. Nesse sentido, propôs a alteração da determinação impugnada, “</w:t>
      </w:r>
      <w:r w:rsidRPr="0093685C">
        <w:rPr>
          <w:i/>
          <w:sz w:val="22"/>
          <w:szCs w:val="22"/>
          <w:lang w:eastAsia="pt-BR"/>
        </w:rPr>
        <w:t>de forma que a utilização de cláusula arbitral não seja restrita à atividade fim da empresa, devendo entretanto ser justificada técnica e economicamente e ser de acordo com a prática de mercado</w:t>
      </w:r>
      <w:r w:rsidRPr="0093685C">
        <w:rPr>
          <w:sz w:val="22"/>
          <w:szCs w:val="22"/>
          <w:lang w:eastAsia="pt-BR"/>
        </w:rPr>
        <w:t xml:space="preserve">”. </w:t>
      </w:r>
      <w:r w:rsidRPr="0093685C">
        <w:rPr>
          <w:sz w:val="22"/>
          <w:szCs w:val="22"/>
        </w:rPr>
        <w:t xml:space="preserve">Nesses termos, o Plenário acolheu a proposta formulada pelo relator, dando provimento parcial ao recurso. </w:t>
      </w:r>
      <w:hyperlink r:id="rId10" w:history="1">
        <w:r w:rsidRPr="0093685C">
          <w:rPr>
            <w:rStyle w:val="Hyperlink"/>
            <w:b/>
            <w:i/>
            <w:sz w:val="22"/>
            <w:szCs w:val="22"/>
          </w:rPr>
          <w:t>Acórdão 2145/2013-Plenário</w:t>
        </w:r>
      </w:hyperlink>
      <w:r w:rsidRPr="0093685C">
        <w:rPr>
          <w:b/>
          <w:i/>
          <w:sz w:val="22"/>
          <w:szCs w:val="22"/>
        </w:rPr>
        <w:t xml:space="preserve">, TC 006.588/2009-8, relator Ministro Benjamin </w:t>
      </w:r>
      <w:proofErr w:type="spellStart"/>
      <w:r w:rsidRPr="0093685C">
        <w:rPr>
          <w:b/>
          <w:i/>
          <w:sz w:val="22"/>
          <w:szCs w:val="22"/>
        </w:rPr>
        <w:t>Zymler</w:t>
      </w:r>
      <w:proofErr w:type="spellEnd"/>
      <w:r w:rsidRPr="0093685C">
        <w:rPr>
          <w:b/>
          <w:i/>
          <w:sz w:val="22"/>
          <w:szCs w:val="22"/>
        </w:rPr>
        <w:t>, 14.8.2013.</w:t>
      </w:r>
    </w:p>
    <w:p w:rsidR="00E82322" w:rsidRPr="0093685C" w:rsidRDefault="00E82322" w:rsidP="00270185">
      <w:pPr>
        <w:spacing w:after="0"/>
        <w:ind w:left="0"/>
        <w:rPr>
          <w:b/>
          <w:sz w:val="22"/>
          <w:szCs w:val="22"/>
        </w:rPr>
      </w:pPr>
    </w:p>
    <w:p w:rsidR="00EE4E97" w:rsidRPr="0093685C" w:rsidRDefault="00EE4E97" w:rsidP="00270185">
      <w:pPr>
        <w:pStyle w:val="Default"/>
        <w:jc w:val="both"/>
        <w:rPr>
          <w:b/>
          <w:sz w:val="22"/>
          <w:szCs w:val="22"/>
        </w:rPr>
      </w:pPr>
      <w:r w:rsidRPr="00F95B0B">
        <w:rPr>
          <w:b/>
          <w:color w:val="auto"/>
          <w:sz w:val="22"/>
          <w:szCs w:val="22"/>
        </w:rPr>
        <w:t xml:space="preserve">4. </w:t>
      </w:r>
      <w:r w:rsidR="00F95B0B" w:rsidRPr="00F95B0B">
        <w:rPr>
          <w:b/>
          <w:color w:val="auto"/>
          <w:sz w:val="22"/>
          <w:szCs w:val="22"/>
        </w:rPr>
        <w:t>Nas</w:t>
      </w:r>
      <w:r w:rsidRPr="00F95B0B">
        <w:rPr>
          <w:b/>
          <w:sz w:val="22"/>
          <w:szCs w:val="22"/>
        </w:rPr>
        <w:t xml:space="preserve"> contratações do tipo </w:t>
      </w:r>
      <w:proofErr w:type="spellStart"/>
      <w:r w:rsidRPr="00F95B0B">
        <w:rPr>
          <w:b/>
          <w:i/>
          <w:sz w:val="22"/>
          <w:szCs w:val="22"/>
        </w:rPr>
        <w:t>turn</w:t>
      </w:r>
      <w:proofErr w:type="spellEnd"/>
      <w:r w:rsidRPr="00F95B0B">
        <w:rPr>
          <w:b/>
          <w:i/>
          <w:sz w:val="22"/>
          <w:szCs w:val="22"/>
        </w:rPr>
        <w:t xml:space="preserve"> </w:t>
      </w:r>
      <w:proofErr w:type="spellStart"/>
      <w:r w:rsidRPr="00F95B0B">
        <w:rPr>
          <w:b/>
          <w:i/>
          <w:sz w:val="22"/>
          <w:szCs w:val="22"/>
        </w:rPr>
        <w:t>key</w:t>
      </w:r>
      <w:proofErr w:type="spellEnd"/>
      <w:r w:rsidRPr="00F95B0B">
        <w:rPr>
          <w:b/>
          <w:sz w:val="22"/>
          <w:szCs w:val="22"/>
        </w:rPr>
        <w:t xml:space="preserve"> em que a elaboração do projeto básico for de responsabilidade da contratada (contratação integrada), deve ser promovida, previamente à abertura da licitação, a definição adequada das características do objeto a ser contratado, por meio de estudos, ensaios e projetos preliminares de engenharia.</w:t>
      </w:r>
    </w:p>
    <w:p w:rsidR="00A43329" w:rsidRPr="0093685C" w:rsidRDefault="00A43329" w:rsidP="00270185">
      <w:pPr>
        <w:pStyle w:val="Default"/>
        <w:jc w:val="both"/>
        <w:rPr>
          <w:b/>
          <w:i/>
          <w:sz w:val="22"/>
          <w:szCs w:val="22"/>
        </w:rPr>
      </w:pPr>
      <w:r w:rsidRPr="0093685C">
        <w:rPr>
          <w:sz w:val="22"/>
          <w:szCs w:val="22"/>
        </w:rPr>
        <w:t>Também no Pedido de Reexame interposto pela Petrobras contra o Acórdão 2094/2009-Plenário</w:t>
      </w:r>
      <w:r w:rsidR="00A77C6C" w:rsidRPr="0093685C">
        <w:rPr>
          <w:sz w:val="22"/>
          <w:szCs w:val="22"/>
        </w:rPr>
        <w:t>, a estatal questionou</w:t>
      </w:r>
      <w:r w:rsidRPr="0093685C">
        <w:rPr>
          <w:sz w:val="22"/>
          <w:szCs w:val="22"/>
        </w:rPr>
        <w:t xml:space="preserve"> determinação no sentido de que “</w:t>
      </w:r>
      <w:r w:rsidRPr="0093685C">
        <w:rPr>
          <w:i/>
          <w:iCs/>
          <w:sz w:val="22"/>
          <w:szCs w:val="22"/>
        </w:rPr>
        <w:t xml:space="preserve">mesmo em </w:t>
      </w:r>
      <w:r w:rsidRPr="0093685C">
        <w:rPr>
          <w:bCs/>
          <w:i/>
          <w:iCs/>
          <w:sz w:val="22"/>
          <w:szCs w:val="22"/>
        </w:rPr>
        <w:t>contratações do tipo ‘</w:t>
      </w:r>
      <w:proofErr w:type="spellStart"/>
      <w:r w:rsidRPr="0093685C">
        <w:rPr>
          <w:bCs/>
          <w:i/>
          <w:iCs/>
          <w:sz w:val="22"/>
          <w:szCs w:val="22"/>
        </w:rPr>
        <w:t>turn</w:t>
      </w:r>
      <w:proofErr w:type="spellEnd"/>
      <w:r w:rsidRPr="0093685C">
        <w:rPr>
          <w:bCs/>
          <w:i/>
          <w:iCs/>
          <w:sz w:val="22"/>
          <w:szCs w:val="22"/>
        </w:rPr>
        <w:t xml:space="preserve"> </w:t>
      </w:r>
      <w:proofErr w:type="spellStart"/>
      <w:r w:rsidRPr="0093685C">
        <w:rPr>
          <w:bCs/>
          <w:i/>
          <w:iCs/>
          <w:sz w:val="22"/>
          <w:szCs w:val="22"/>
        </w:rPr>
        <w:t>key</w:t>
      </w:r>
      <w:proofErr w:type="spellEnd"/>
      <w:r w:rsidRPr="0093685C">
        <w:rPr>
          <w:bCs/>
          <w:i/>
          <w:iCs/>
          <w:sz w:val="22"/>
          <w:szCs w:val="22"/>
        </w:rPr>
        <w:t xml:space="preserve">’ </w:t>
      </w:r>
      <w:r w:rsidRPr="0093685C">
        <w:rPr>
          <w:i/>
          <w:iCs/>
          <w:sz w:val="22"/>
          <w:szCs w:val="22"/>
        </w:rPr>
        <w:t xml:space="preserve">passe a </w:t>
      </w:r>
      <w:r w:rsidRPr="0093685C">
        <w:rPr>
          <w:bCs/>
          <w:i/>
          <w:iCs/>
          <w:sz w:val="22"/>
          <w:szCs w:val="22"/>
        </w:rPr>
        <w:t>elaborar previamente à abertura do certame licitatório o projeto básico</w:t>
      </w:r>
      <w:r w:rsidRPr="0093685C">
        <w:rPr>
          <w:b/>
          <w:bCs/>
          <w:i/>
          <w:iCs/>
          <w:sz w:val="22"/>
          <w:szCs w:val="22"/>
        </w:rPr>
        <w:t xml:space="preserve"> </w:t>
      </w:r>
      <w:r w:rsidRPr="0093685C">
        <w:rPr>
          <w:i/>
          <w:iCs/>
          <w:sz w:val="22"/>
          <w:szCs w:val="22"/>
        </w:rPr>
        <w:t>e o seu respectivo orçamento detalhado</w:t>
      </w:r>
      <w:r w:rsidRPr="0093685C">
        <w:rPr>
          <w:sz w:val="22"/>
          <w:szCs w:val="22"/>
        </w:rPr>
        <w:t>”.</w:t>
      </w:r>
      <w:r w:rsidR="00A77C6C" w:rsidRPr="0093685C">
        <w:rPr>
          <w:sz w:val="22"/>
          <w:szCs w:val="22"/>
        </w:rPr>
        <w:t xml:space="preserve"> </w:t>
      </w:r>
      <w:r w:rsidRPr="0093685C">
        <w:rPr>
          <w:sz w:val="22"/>
          <w:szCs w:val="22"/>
        </w:rPr>
        <w:t>Segundo a r</w:t>
      </w:r>
      <w:r w:rsidR="00A77C6C" w:rsidRPr="0093685C">
        <w:rPr>
          <w:sz w:val="22"/>
          <w:szCs w:val="22"/>
        </w:rPr>
        <w:t>ecorrente, a contratação ocorrera</w:t>
      </w:r>
      <w:r w:rsidRPr="0093685C">
        <w:rPr>
          <w:sz w:val="22"/>
          <w:szCs w:val="22"/>
        </w:rPr>
        <w:t xml:space="preserve"> </w:t>
      </w:r>
      <w:r w:rsidR="00A77C6C" w:rsidRPr="0093685C">
        <w:rPr>
          <w:sz w:val="22"/>
          <w:szCs w:val="22"/>
        </w:rPr>
        <w:t>de acordo com o Decreto 2.745/</w:t>
      </w:r>
      <w:r w:rsidRPr="0093685C">
        <w:rPr>
          <w:sz w:val="22"/>
          <w:szCs w:val="22"/>
        </w:rPr>
        <w:t xml:space="preserve">98 (Regulamento do Procedimento Licitatório Simplificado da Petrobras). O relator, em preliminar, ressaltou que as contratações do tipo </w:t>
      </w:r>
      <w:proofErr w:type="spellStart"/>
      <w:r w:rsidRPr="0093685C">
        <w:rPr>
          <w:i/>
          <w:sz w:val="22"/>
          <w:szCs w:val="22"/>
        </w:rPr>
        <w:t>turn</w:t>
      </w:r>
      <w:proofErr w:type="spellEnd"/>
      <w:r w:rsidRPr="0093685C">
        <w:rPr>
          <w:i/>
          <w:sz w:val="22"/>
          <w:szCs w:val="22"/>
        </w:rPr>
        <w:t xml:space="preserve"> </w:t>
      </w:r>
      <w:proofErr w:type="spellStart"/>
      <w:r w:rsidRPr="0093685C">
        <w:rPr>
          <w:i/>
          <w:sz w:val="22"/>
          <w:szCs w:val="22"/>
        </w:rPr>
        <w:t>key</w:t>
      </w:r>
      <w:proofErr w:type="spellEnd"/>
      <w:r w:rsidRPr="0093685C">
        <w:rPr>
          <w:sz w:val="22"/>
          <w:szCs w:val="22"/>
        </w:rPr>
        <w:t xml:space="preserve"> podem ocorrer “</w:t>
      </w:r>
      <w:r w:rsidRPr="0093685C">
        <w:rPr>
          <w:i/>
          <w:sz w:val="22"/>
          <w:szCs w:val="22"/>
        </w:rPr>
        <w:t>com a elaboração prévia do projeto básico pela contratante ou com a atribuição à contratada de execução do projeto básico</w:t>
      </w:r>
      <w:r w:rsidRPr="0093685C">
        <w:rPr>
          <w:sz w:val="22"/>
          <w:szCs w:val="22"/>
        </w:rPr>
        <w:t>”. Destacou que a deliberação impugnada refere-se à segunda hipótese, denominada contratação integrada, quando a elaboração do projeto básico fica a cargo da contratada, a qual é</w:t>
      </w:r>
      <w:r w:rsidR="003A7971" w:rsidRPr="0093685C">
        <w:rPr>
          <w:sz w:val="22"/>
          <w:szCs w:val="22"/>
        </w:rPr>
        <w:t xml:space="preserve"> prevista tanto na Lei 12.462/</w:t>
      </w:r>
      <w:r w:rsidRPr="0093685C">
        <w:rPr>
          <w:sz w:val="22"/>
          <w:szCs w:val="22"/>
        </w:rPr>
        <w:t>11, que estabelece o</w:t>
      </w:r>
      <w:r w:rsidR="003A7971" w:rsidRPr="0093685C">
        <w:rPr>
          <w:sz w:val="22"/>
          <w:szCs w:val="22"/>
        </w:rPr>
        <w:t xml:space="preserve"> RDC, quanto no Decreto 2.745/</w:t>
      </w:r>
      <w:r w:rsidRPr="0093685C">
        <w:rPr>
          <w:sz w:val="22"/>
          <w:szCs w:val="22"/>
        </w:rPr>
        <w:t>98, que aprova o regulamento licitatório da Petrobras. “</w:t>
      </w:r>
      <w:r w:rsidRPr="0093685C">
        <w:rPr>
          <w:i/>
          <w:sz w:val="22"/>
          <w:szCs w:val="22"/>
        </w:rPr>
        <w:t>Nesses casos, a definição do objeto e a sua orçamentação devem ocorrer mediante anteprojeto de engenharia, de acordo com os normativos pertinentes</w:t>
      </w:r>
      <w:r w:rsidRPr="0093685C">
        <w:rPr>
          <w:sz w:val="22"/>
          <w:szCs w:val="22"/>
        </w:rPr>
        <w:t>”. Em relação ao RDC, observou que, nos termos da Lei 12.46</w:t>
      </w:r>
      <w:r w:rsidR="004712D4" w:rsidRPr="0093685C">
        <w:rPr>
          <w:sz w:val="22"/>
          <w:szCs w:val="22"/>
        </w:rPr>
        <w:t>2/</w:t>
      </w:r>
      <w:r w:rsidRPr="0093685C">
        <w:rPr>
          <w:sz w:val="22"/>
          <w:szCs w:val="22"/>
        </w:rPr>
        <w:t>11</w:t>
      </w:r>
      <w:r w:rsidRPr="0093685C">
        <w:rPr>
          <w:i/>
          <w:sz w:val="22"/>
          <w:szCs w:val="22"/>
        </w:rPr>
        <w:t>, “a Petrobras pode dele se utilizar caso execute alguma ação integrante do Programa de Aceleração do Crescimento (PAC). Entretanto, até porque a norma lhe é posterior, a decisão ora impugnada não tratou dessa matéria, de forma que caberia a reforma da decisão para excepcionar a hipótese de aplicação do RDC pela Petrobras</w:t>
      </w:r>
      <w:r w:rsidRPr="0093685C">
        <w:rPr>
          <w:sz w:val="22"/>
          <w:szCs w:val="22"/>
        </w:rPr>
        <w:t>”. Observou ainda que a deliberação estaria incompatível com a jurisprudência do TCU, segundo a qual “</w:t>
      </w:r>
      <w:r w:rsidRPr="0093685C">
        <w:rPr>
          <w:i/>
          <w:sz w:val="22"/>
          <w:szCs w:val="22"/>
        </w:rPr>
        <w:t>a licitude da utilização pela Petrobras de contratações tipo EPC</w:t>
      </w:r>
      <w:r w:rsidR="004C31BF">
        <w:rPr>
          <w:i/>
          <w:sz w:val="22"/>
          <w:szCs w:val="22"/>
        </w:rPr>
        <w:t xml:space="preserve"> </w:t>
      </w:r>
      <w:r w:rsidR="004C31BF" w:rsidRPr="004C31BF">
        <w:rPr>
          <w:sz w:val="22"/>
          <w:szCs w:val="22"/>
        </w:rPr>
        <w:t>[</w:t>
      </w:r>
      <w:proofErr w:type="spellStart"/>
      <w:r w:rsidR="004C31BF">
        <w:rPr>
          <w:i/>
          <w:sz w:val="22"/>
          <w:szCs w:val="22"/>
        </w:rPr>
        <w:t>turn</w:t>
      </w:r>
      <w:proofErr w:type="spellEnd"/>
      <w:r w:rsidR="004C31BF">
        <w:rPr>
          <w:i/>
          <w:sz w:val="22"/>
          <w:szCs w:val="22"/>
        </w:rPr>
        <w:t xml:space="preserve"> </w:t>
      </w:r>
      <w:proofErr w:type="spellStart"/>
      <w:r w:rsidR="004C31BF">
        <w:rPr>
          <w:i/>
          <w:sz w:val="22"/>
          <w:szCs w:val="22"/>
        </w:rPr>
        <w:t>key</w:t>
      </w:r>
      <w:proofErr w:type="spellEnd"/>
      <w:r w:rsidR="004C31BF" w:rsidRPr="004C31BF">
        <w:rPr>
          <w:sz w:val="22"/>
          <w:szCs w:val="22"/>
        </w:rPr>
        <w:t>]</w:t>
      </w:r>
      <w:r w:rsidRPr="0093685C">
        <w:rPr>
          <w:i/>
          <w:sz w:val="22"/>
          <w:szCs w:val="22"/>
        </w:rPr>
        <w:t xml:space="preserve"> deve ser aferida em cada caso concreto</w:t>
      </w:r>
      <w:r w:rsidRPr="0093685C">
        <w:rPr>
          <w:sz w:val="22"/>
          <w:szCs w:val="22"/>
        </w:rPr>
        <w:t>”. Considerando que a determinação em questão</w:t>
      </w:r>
      <w:r w:rsidR="004712D4" w:rsidRPr="0093685C">
        <w:rPr>
          <w:sz w:val="22"/>
          <w:szCs w:val="22"/>
        </w:rPr>
        <w:t xml:space="preserve"> vedara</w:t>
      </w:r>
      <w:r w:rsidRPr="0093685C">
        <w:rPr>
          <w:sz w:val="22"/>
          <w:szCs w:val="22"/>
        </w:rPr>
        <w:t xml:space="preserve"> a prática de forma geral, </w:t>
      </w:r>
      <w:r w:rsidR="004C31BF">
        <w:rPr>
          <w:sz w:val="22"/>
          <w:szCs w:val="22"/>
        </w:rPr>
        <w:t>o Tribunal, após os debates, decidiu por sua</w:t>
      </w:r>
      <w:r w:rsidRPr="0093685C">
        <w:rPr>
          <w:sz w:val="22"/>
          <w:szCs w:val="22"/>
        </w:rPr>
        <w:t xml:space="preserve"> reforma pa</w:t>
      </w:r>
      <w:r w:rsidR="004C31BF">
        <w:rPr>
          <w:sz w:val="22"/>
          <w:szCs w:val="22"/>
        </w:rPr>
        <w:t>ra torná-la menos restritiva, dando</w:t>
      </w:r>
      <w:r w:rsidRPr="0093685C">
        <w:rPr>
          <w:sz w:val="22"/>
          <w:szCs w:val="22"/>
        </w:rPr>
        <w:t xml:space="preserve"> provimento parcial ao recurso de modo a conferir a seguinte redação ao item questionado: “</w:t>
      </w:r>
      <w:r w:rsidRPr="0093685C">
        <w:rPr>
          <w:i/>
          <w:iCs/>
          <w:sz w:val="22"/>
          <w:szCs w:val="22"/>
        </w:rPr>
        <w:t>nas hipóteses legalmente permitidas para a adoção de contratações tipo “</w:t>
      </w:r>
      <w:proofErr w:type="spellStart"/>
      <w:r w:rsidRPr="0093685C">
        <w:rPr>
          <w:i/>
          <w:iCs/>
          <w:sz w:val="22"/>
          <w:szCs w:val="22"/>
        </w:rPr>
        <w:t>turn</w:t>
      </w:r>
      <w:proofErr w:type="spellEnd"/>
      <w:r w:rsidRPr="0093685C">
        <w:rPr>
          <w:i/>
          <w:iCs/>
          <w:sz w:val="22"/>
          <w:szCs w:val="22"/>
        </w:rPr>
        <w:t xml:space="preserve"> </w:t>
      </w:r>
      <w:proofErr w:type="spellStart"/>
      <w:r w:rsidRPr="0093685C">
        <w:rPr>
          <w:i/>
          <w:iCs/>
          <w:sz w:val="22"/>
          <w:szCs w:val="22"/>
        </w:rPr>
        <w:t>key</w:t>
      </w:r>
      <w:proofErr w:type="spellEnd"/>
      <w:r w:rsidRPr="0093685C">
        <w:rPr>
          <w:i/>
          <w:iCs/>
          <w:sz w:val="22"/>
          <w:szCs w:val="22"/>
        </w:rPr>
        <w:t>” sem a elaboração prévia de projeto básico, promova, previamente à abertura do certame licitatório, por meio de estudos, ensaios e projetos preliminares de engen</w:t>
      </w:r>
      <w:r w:rsidR="00EE4E97">
        <w:rPr>
          <w:i/>
          <w:iCs/>
          <w:sz w:val="22"/>
          <w:szCs w:val="22"/>
        </w:rPr>
        <w:t xml:space="preserve">haria, a definição adequada ... </w:t>
      </w:r>
      <w:r w:rsidR="00EE4E97" w:rsidRPr="00EE4E97">
        <w:rPr>
          <w:iCs/>
          <w:sz w:val="22"/>
          <w:szCs w:val="22"/>
        </w:rPr>
        <w:t>[das]</w:t>
      </w:r>
      <w:r w:rsidRPr="0093685C">
        <w:rPr>
          <w:i/>
          <w:iCs/>
          <w:sz w:val="22"/>
          <w:szCs w:val="22"/>
        </w:rPr>
        <w:t xml:space="preserve"> características do objeto a ser contratado”.</w:t>
      </w:r>
      <w:r w:rsidRPr="0093685C">
        <w:rPr>
          <w:b/>
          <w:i/>
          <w:sz w:val="22"/>
          <w:szCs w:val="22"/>
        </w:rPr>
        <w:t xml:space="preserve"> </w:t>
      </w:r>
      <w:hyperlink r:id="rId11" w:history="1">
        <w:r w:rsidRPr="0093685C">
          <w:rPr>
            <w:rStyle w:val="Hyperlink"/>
            <w:b/>
            <w:i/>
            <w:sz w:val="22"/>
            <w:szCs w:val="22"/>
          </w:rPr>
          <w:t>Acórdão 2145/2013-Plenário</w:t>
        </w:r>
      </w:hyperlink>
      <w:r w:rsidRPr="0093685C">
        <w:rPr>
          <w:b/>
          <w:i/>
          <w:sz w:val="22"/>
          <w:szCs w:val="22"/>
        </w:rPr>
        <w:t xml:space="preserve">, TC 006.588/2009-8, relator Ministro Benjamin </w:t>
      </w:r>
      <w:proofErr w:type="spellStart"/>
      <w:r w:rsidRPr="0093685C">
        <w:rPr>
          <w:b/>
          <w:i/>
          <w:sz w:val="22"/>
          <w:szCs w:val="22"/>
        </w:rPr>
        <w:t>Zymler</w:t>
      </w:r>
      <w:proofErr w:type="spellEnd"/>
      <w:r w:rsidRPr="0093685C">
        <w:rPr>
          <w:b/>
          <w:i/>
          <w:sz w:val="22"/>
          <w:szCs w:val="22"/>
        </w:rPr>
        <w:t>, 14.8.2013.</w:t>
      </w:r>
    </w:p>
    <w:p w:rsidR="00511104" w:rsidRPr="0093685C" w:rsidRDefault="0042677E" w:rsidP="00270185">
      <w:pPr>
        <w:spacing w:after="0"/>
        <w:ind w:left="0"/>
        <w:rPr>
          <w:b/>
          <w:sz w:val="22"/>
          <w:szCs w:val="22"/>
        </w:rPr>
      </w:pPr>
      <w:r>
        <w:rPr>
          <w:b/>
          <w:sz w:val="22"/>
          <w:szCs w:val="22"/>
        </w:rPr>
        <w:t xml:space="preserve">   </w:t>
      </w:r>
    </w:p>
    <w:p w:rsidR="001C4FE9" w:rsidRPr="0093685C" w:rsidRDefault="00B77E78" w:rsidP="00270185">
      <w:pPr>
        <w:pBdr>
          <w:top w:val="threeDEmboss" w:sz="24" w:space="5" w:color="auto"/>
        </w:pBdr>
        <w:tabs>
          <w:tab w:val="left" w:pos="284"/>
          <w:tab w:val="left" w:pos="4172"/>
          <w:tab w:val="center" w:pos="4818"/>
        </w:tabs>
        <w:spacing w:after="0"/>
        <w:ind w:left="0"/>
        <w:jc w:val="center"/>
        <w:rPr>
          <w:b/>
          <w:bCs/>
          <w:smallCaps/>
          <w:sz w:val="22"/>
          <w:szCs w:val="22"/>
        </w:rPr>
      </w:pPr>
      <w:r w:rsidRPr="0093685C">
        <w:rPr>
          <w:b/>
          <w:bCs/>
          <w:smallCaps/>
          <w:sz w:val="22"/>
          <w:szCs w:val="22"/>
        </w:rPr>
        <w:t>SEGUNDA CÂMARA</w:t>
      </w:r>
    </w:p>
    <w:p w:rsidR="007D5D5F" w:rsidRPr="0093685C" w:rsidRDefault="007D5D5F" w:rsidP="00270185">
      <w:pPr>
        <w:spacing w:after="0"/>
        <w:ind w:left="0"/>
        <w:rPr>
          <w:b/>
          <w:sz w:val="22"/>
          <w:szCs w:val="22"/>
        </w:rPr>
      </w:pPr>
    </w:p>
    <w:p w:rsidR="007D5D5F" w:rsidRPr="0093685C" w:rsidRDefault="007C4499" w:rsidP="00270185">
      <w:pPr>
        <w:spacing w:after="0"/>
        <w:ind w:left="0"/>
        <w:rPr>
          <w:b/>
          <w:sz w:val="22"/>
          <w:szCs w:val="22"/>
        </w:rPr>
      </w:pPr>
      <w:r>
        <w:rPr>
          <w:b/>
          <w:sz w:val="22"/>
          <w:szCs w:val="22"/>
        </w:rPr>
        <w:t>5</w:t>
      </w:r>
      <w:r w:rsidR="007D5D5F" w:rsidRPr="0093685C">
        <w:rPr>
          <w:b/>
          <w:sz w:val="22"/>
          <w:szCs w:val="22"/>
        </w:rPr>
        <w:t>. Nas licitações e contratações de obras e serviços de engenharia</w:t>
      </w:r>
      <w:r w:rsidR="00513D0A">
        <w:rPr>
          <w:b/>
          <w:sz w:val="22"/>
          <w:szCs w:val="22"/>
        </w:rPr>
        <w:t>,</w:t>
      </w:r>
      <w:r w:rsidR="007D5D5F" w:rsidRPr="0093685C">
        <w:rPr>
          <w:b/>
          <w:sz w:val="22"/>
          <w:szCs w:val="22"/>
        </w:rPr>
        <w:t xml:space="preserve"> compete aos gestores </w:t>
      </w:r>
      <w:r w:rsidR="003C1C96">
        <w:rPr>
          <w:b/>
          <w:sz w:val="22"/>
          <w:szCs w:val="22"/>
        </w:rPr>
        <w:t xml:space="preserve">públicos exigir, a cada etapa </w:t>
      </w:r>
      <w:r w:rsidR="007D5D5F" w:rsidRPr="0093685C">
        <w:rPr>
          <w:b/>
          <w:sz w:val="22"/>
          <w:szCs w:val="22"/>
        </w:rPr>
        <w:t>(projeto, execução, supervisão e fiscalização), as respectivas Anotações de Responsabilidade Técnica, sob pena de responsabilização.</w:t>
      </w:r>
    </w:p>
    <w:p w:rsidR="00BA3254" w:rsidRPr="0093685C" w:rsidRDefault="00C25C99" w:rsidP="00270185">
      <w:pPr>
        <w:spacing w:after="0"/>
        <w:ind w:left="0"/>
        <w:rPr>
          <w:b/>
          <w:i/>
          <w:sz w:val="22"/>
          <w:szCs w:val="22"/>
          <w:lang w:eastAsia="pt-BR"/>
        </w:rPr>
      </w:pPr>
      <w:r w:rsidRPr="0093685C">
        <w:rPr>
          <w:sz w:val="22"/>
          <w:szCs w:val="22"/>
          <w:lang w:eastAsia="pt-BR"/>
        </w:rPr>
        <w:t>Em autos de Prestação de Contas S</w:t>
      </w:r>
      <w:r w:rsidR="00BD043C" w:rsidRPr="0093685C">
        <w:rPr>
          <w:sz w:val="22"/>
          <w:szCs w:val="22"/>
          <w:lang w:eastAsia="pt-BR"/>
        </w:rPr>
        <w:t>implificada, exercício de 2009, do Instituto Federal de Educação, Ciência e Tecnologia de Sergipe – IFS fora verificado, dentre outros apontamentos, o desabamento da estrutura de um galpão da Unidade Educativa de Produção, em consequência de irregularidades na contratação e na execução da obra, e a inutilização de outros três</w:t>
      </w:r>
      <w:r w:rsidR="00EA2AE4" w:rsidRPr="0093685C">
        <w:rPr>
          <w:sz w:val="22"/>
          <w:szCs w:val="22"/>
          <w:lang w:eastAsia="pt-BR"/>
        </w:rPr>
        <w:t>.</w:t>
      </w:r>
      <w:r w:rsidR="00FD7529" w:rsidRPr="0093685C">
        <w:rPr>
          <w:sz w:val="22"/>
          <w:szCs w:val="22"/>
          <w:lang w:eastAsia="pt-BR"/>
        </w:rPr>
        <w:t xml:space="preserve"> </w:t>
      </w:r>
      <w:r w:rsidR="00CE570B" w:rsidRPr="0093685C">
        <w:rPr>
          <w:sz w:val="22"/>
          <w:szCs w:val="22"/>
          <w:lang w:eastAsia="pt-BR"/>
        </w:rPr>
        <w:t>Realizado o contraditório, a</w:t>
      </w:r>
      <w:r w:rsidR="00780FEA" w:rsidRPr="0093685C">
        <w:rPr>
          <w:sz w:val="22"/>
          <w:szCs w:val="22"/>
          <w:lang w:eastAsia="pt-BR"/>
        </w:rPr>
        <w:t xml:space="preserve"> relator</w:t>
      </w:r>
      <w:r w:rsidR="00CE570B" w:rsidRPr="0093685C">
        <w:rPr>
          <w:sz w:val="22"/>
          <w:szCs w:val="22"/>
          <w:lang w:eastAsia="pt-BR"/>
        </w:rPr>
        <w:t>a</w:t>
      </w:r>
      <w:r w:rsidR="00780FEA" w:rsidRPr="0093685C">
        <w:rPr>
          <w:sz w:val="22"/>
          <w:szCs w:val="22"/>
          <w:lang w:eastAsia="pt-BR"/>
        </w:rPr>
        <w:t xml:space="preserve"> anotou que a conduta do diretor-geral do campus São Cristóvão fora decisiva para a ocorrência das irregularidades</w:t>
      </w:r>
      <w:r w:rsidR="00CE570B" w:rsidRPr="0093685C">
        <w:rPr>
          <w:sz w:val="22"/>
          <w:szCs w:val="22"/>
          <w:lang w:eastAsia="pt-BR"/>
        </w:rPr>
        <w:t>, que acarretou</w:t>
      </w:r>
      <w:r w:rsidR="00FB5BD1" w:rsidRPr="0093685C">
        <w:rPr>
          <w:sz w:val="22"/>
          <w:szCs w:val="22"/>
          <w:lang w:eastAsia="pt-BR"/>
        </w:rPr>
        <w:t xml:space="preserve"> </w:t>
      </w:r>
      <w:proofErr w:type="spellStart"/>
      <w:r w:rsidR="00FB5BD1" w:rsidRPr="0093685C">
        <w:rPr>
          <w:sz w:val="22"/>
          <w:szCs w:val="22"/>
          <w:lang w:eastAsia="pt-BR"/>
        </w:rPr>
        <w:t>dano</w:t>
      </w:r>
      <w:proofErr w:type="spellEnd"/>
      <w:r w:rsidR="00FB5BD1" w:rsidRPr="0093685C">
        <w:rPr>
          <w:sz w:val="22"/>
          <w:szCs w:val="22"/>
          <w:lang w:eastAsia="pt-BR"/>
        </w:rPr>
        <w:t xml:space="preserve"> ao erário, em especial porque (i) autorizou a realização de licitação e</w:t>
      </w:r>
      <w:r w:rsidR="00CE570B" w:rsidRPr="0093685C">
        <w:rPr>
          <w:sz w:val="22"/>
          <w:szCs w:val="22"/>
          <w:lang w:eastAsia="pt-BR"/>
        </w:rPr>
        <w:t xml:space="preserve"> a</w:t>
      </w:r>
      <w:r w:rsidR="00FB5BD1" w:rsidRPr="0093685C">
        <w:rPr>
          <w:sz w:val="22"/>
          <w:szCs w:val="22"/>
          <w:lang w:eastAsia="pt-BR"/>
        </w:rPr>
        <w:t xml:space="preserve"> contratação das empresas baseado em projeto básico apócrifo, (</w:t>
      </w:r>
      <w:proofErr w:type="spellStart"/>
      <w:r w:rsidR="00FB5BD1" w:rsidRPr="0093685C">
        <w:rPr>
          <w:sz w:val="22"/>
          <w:szCs w:val="22"/>
          <w:lang w:eastAsia="pt-BR"/>
        </w:rPr>
        <w:t>ii</w:t>
      </w:r>
      <w:proofErr w:type="spellEnd"/>
      <w:r w:rsidR="00FB5BD1" w:rsidRPr="0093685C">
        <w:rPr>
          <w:sz w:val="22"/>
          <w:szCs w:val="22"/>
          <w:lang w:eastAsia="pt-BR"/>
        </w:rPr>
        <w:t>) permitiu a execução da obra e pagamentos sem as Anotações de Responsabilidade Técnica – ART do projeto básico e do orçamento da licitação e (</w:t>
      </w:r>
      <w:proofErr w:type="spellStart"/>
      <w:r w:rsidR="00FB5BD1" w:rsidRPr="0093685C">
        <w:rPr>
          <w:sz w:val="22"/>
          <w:szCs w:val="22"/>
          <w:lang w:eastAsia="pt-BR"/>
        </w:rPr>
        <w:t>iii</w:t>
      </w:r>
      <w:proofErr w:type="spellEnd"/>
      <w:r w:rsidR="00FB5BD1" w:rsidRPr="0093685C">
        <w:rPr>
          <w:sz w:val="22"/>
          <w:szCs w:val="22"/>
          <w:lang w:eastAsia="pt-BR"/>
        </w:rPr>
        <w:t xml:space="preserve">) designou como fiscais das obras servidores sem qualificação para o encargo. No entendimento </w:t>
      </w:r>
      <w:r w:rsidR="00CE570B" w:rsidRPr="0093685C">
        <w:rPr>
          <w:sz w:val="22"/>
          <w:szCs w:val="22"/>
          <w:lang w:eastAsia="pt-BR"/>
        </w:rPr>
        <w:t>da</w:t>
      </w:r>
      <w:r w:rsidR="00FB5BD1" w:rsidRPr="0093685C">
        <w:rPr>
          <w:sz w:val="22"/>
          <w:szCs w:val="22"/>
          <w:lang w:eastAsia="pt-BR"/>
        </w:rPr>
        <w:t xml:space="preserve"> relator</w:t>
      </w:r>
      <w:r w:rsidR="00CE570B" w:rsidRPr="0093685C">
        <w:rPr>
          <w:sz w:val="22"/>
          <w:szCs w:val="22"/>
          <w:lang w:eastAsia="pt-BR"/>
        </w:rPr>
        <w:t>a</w:t>
      </w:r>
      <w:r w:rsidR="00FB5BD1" w:rsidRPr="0093685C">
        <w:rPr>
          <w:sz w:val="22"/>
          <w:szCs w:val="22"/>
          <w:lang w:eastAsia="pt-BR"/>
        </w:rPr>
        <w:t xml:space="preserve">, o diretor-geral, ao agir dessa maneira </w:t>
      </w:r>
      <w:r w:rsidR="00FB5BD1" w:rsidRPr="0093685C">
        <w:rPr>
          <w:i/>
          <w:sz w:val="22"/>
          <w:szCs w:val="22"/>
          <w:lang w:eastAsia="pt-BR"/>
        </w:rPr>
        <w:t>“assumiu para si toda a responsabilidade pela coerência e suficiência das informações contidas naquele importante documento”</w:t>
      </w:r>
      <w:r w:rsidR="00FB5BD1" w:rsidRPr="0093685C">
        <w:rPr>
          <w:sz w:val="22"/>
          <w:szCs w:val="22"/>
          <w:lang w:eastAsia="pt-BR"/>
        </w:rPr>
        <w:t>.</w:t>
      </w:r>
      <w:r w:rsidR="00275FBC" w:rsidRPr="0093685C">
        <w:rPr>
          <w:sz w:val="22"/>
          <w:szCs w:val="22"/>
          <w:lang w:eastAsia="pt-BR"/>
        </w:rPr>
        <w:t xml:space="preserve"> A propósito, lançou mão do parecer exarado pelo representante do Ministério Público que, alicerçado na legislação e na jurisprudência incidente, anotou: </w:t>
      </w:r>
      <w:r w:rsidR="00275FBC" w:rsidRPr="0093685C">
        <w:rPr>
          <w:i/>
          <w:sz w:val="22"/>
          <w:szCs w:val="22"/>
          <w:lang w:eastAsia="pt-BR"/>
        </w:rPr>
        <w:t>“</w:t>
      </w:r>
      <w:r w:rsidR="00275FBC" w:rsidRPr="0093685C">
        <w:rPr>
          <w:i/>
          <w:sz w:val="22"/>
          <w:szCs w:val="22"/>
        </w:rPr>
        <w:t>deveria o gestor público ter exigido, nos termos da lei, a apresentação de ART referente ao projeto básico em questão, sendo que a sua inexistência fez recair sobre o mesmo, autoridade que homologou o processo licitatório, a responsabilidade por eventual deficiência de projeto</w:t>
      </w:r>
      <w:r w:rsidR="00305D69" w:rsidRPr="0093685C">
        <w:rPr>
          <w:i/>
          <w:sz w:val="22"/>
          <w:szCs w:val="22"/>
        </w:rPr>
        <w:t xml:space="preserve"> ... Ademais,</w:t>
      </w:r>
      <w:r w:rsidR="00305D69" w:rsidRPr="0093685C">
        <w:rPr>
          <w:sz w:val="22"/>
          <w:szCs w:val="22"/>
        </w:rPr>
        <w:t xml:space="preserve"> </w:t>
      </w:r>
      <w:r w:rsidR="00305D69" w:rsidRPr="0093685C">
        <w:rPr>
          <w:i/>
          <w:sz w:val="22"/>
          <w:szCs w:val="22"/>
        </w:rPr>
        <w:t>jurisprudência do TCU há muito se mostra pacífica acerca da obrigatoriedade de exigência, por parte do gestor público, da apresentação de Anotação de Responsabilidade Técnica – ART referente a projeto, execução, supervisão e fiscalização de obras e serviços de engenharia. Nesse sentido, inclusive, foi publicada a Súmula/TCU n. 260 ...</w:t>
      </w:r>
      <w:r w:rsidR="00275FBC" w:rsidRPr="0093685C">
        <w:rPr>
          <w:i/>
          <w:sz w:val="22"/>
          <w:szCs w:val="22"/>
        </w:rPr>
        <w:t>”</w:t>
      </w:r>
      <w:r w:rsidR="00275FBC" w:rsidRPr="0093685C">
        <w:rPr>
          <w:sz w:val="22"/>
          <w:szCs w:val="22"/>
        </w:rPr>
        <w:t>.</w:t>
      </w:r>
      <w:r w:rsidR="008218ED" w:rsidRPr="0093685C">
        <w:rPr>
          <w:sz w:val="22"/>
          <w:szCs w:val="22"/>
        </w:rPr>
        <w:t xml:space="preserve"> </w:t>
      </w:r>
      <w:r w:rsidR="000C51DE" w:rsidRPr="0093685C">
        <w:rPr>
          <w:sz w:val="22"/>
          <w:szCs w:val="22"/>
        </w:rPr>
        <w:t xml:space="preserve">Também recorrendo ao parecer do MP, a relatora entendeu não ser possível afastar a responsabilidade das empresas executoras: </w:t>
      </w:r>
      <w:r w:rsidR="000C51DE" w:rsidRPr="0093685C">
        <w:rPr>
          <w:i/>
          <w:sz w:val="22"/>
          <w:szCs w:val="22"/>
        </w:rPr>
        <w:t>“o simples fato de terem executado obras de engenharia sem a apresentação da competente Anotação de Responsabilidade Técnica - ART faz recair sobre as empresas contratadas a responsabilidade sobre os defeitos, vícios ou incorreções, resultantes da elaboração e execução do projeto de engenharia em questão”</w:t>
      </w:r>
      <w:r w:rsidR="000C51DE" w:rsidRPr="0093685C">
        <w:rPr>
          <w:sz w:val="22"/>
          <w:szCs w:val="22"/>
        </w:rPr>
        <w:t xml:space="preserve">. </w:t>
      </w:r>
      <w:r w:rsidR="008218ED" w:rsidRPr="0093685C">
        <w:rPr>
          <w:sz w:val="22"/>
          <w:szCs w:val="22"/>
        </w:rPr>
        <w:t>Nesse sentido,</w:t>
      </w:r>
      <w:r w:rsidR="006D4E04" w:rsidRPr="0093685C">
        <w:rPr>
          <w:sz w:val="22"/>
          <w:szCs w:val="22"/>
        </w:rPr>
        <w:t xml:space="preserve"> acolhendo proposta da</w:t>
      </w:r>
      <w:r w:rsidR="000D1AAE" w:rsidRPr="0093685C">
        <w:rPr>
          <w:sz w:val="22"/>
          <w:szCs w:val="22"/>
        </w:rPr>
        <w:t xml:space="preserve"> relator</w:t>
      </w:r>
      <w:r w:rsidR="006D4E04" w:rsidRPr="0093685C">
        <w:rPr>
          <w:sz w:val="22"/>
          <w:szCs w:val="22"/>
        </w:rPr>
        <w:t>a</w:t>
      </w:r>
      <w:r w:rsidR="000D1AAE" w:rsidRPr="0093685C">
        <w:rPr>
          <w:sz w:val="22"/>
          <w:szCs w:val="22"/>
        </w:rPr>
        <w:t>, o Tribunal julgou irregulares as contas do gestor, condenando-o ao recolhimento dos débitos apurado</w:t>
      </w:r>
      <w:r w:rsidR="000C51DE" w:rsidRPr="0093685C">
        <w:rPr>
          <w:sz w:val="22"/>
          <w:szCs w:val="22"/>
        </w:rPr>
        <w:t>s</w:t>
      </w:r>
      <w:r w:rsidR="000D1AAE" w:rsidRPr="0093685C">
        <w:rPr>
          <w:sz w:val="22"/>
          <w:szCs w:val="22"/>
        </w:rPr>
        <w:t>, dois deles solidariamente com as empresas contratadas, aplicando-lhes, individualmente, a multa capitulada no art. 57 da Lei 8.443/92</w:t>
      </w:r>
      <w:r w:rsidR="0042677E">
        <w:rPr>
          <w:sz w:val="22"/>
          <w:szCs w:val="22"/>
        </w:rPr>
        <w:t xml:space="preserve">.  </w:t>
      </w:r>
      <w:hyperlink r:id="rId12" w:history="1">
        <w:r w:rsidR="0042677E" w:rsidRPr="0042677E">
          <w:rPr>
            <w:rStyle w:val="Hyperlink"/>
            <w:b/>
            <w:i/>
            <w:sz w:val="22"/>
            <w:szCs w:val="22"/>
            <w:lang w:eastAsia="pt-BR"/>
          </w:rPr>
          <w:t>Acórdão 4790/2013-Segunda Câmara</w:t>
        </w:r>
      </w:hyperlink>
      <w:r w:rsidR="00B77E78" w:rsidRPr="0093685C">
        <w:rPr>
          <w:b/>
          <w:i/>
          <w:sz w:val="22"/>
          <w:szCs w:val="22"/>
          <w:lang w:eastAsia="pt-BR"/>
        </w:rPr>
        <w:t xml:space="preserve">, TC </w:t>
      </w:r>
      <w:r w:rsidR="005441AB" w:rsidRPr="0093685C">
        <w:rPr>
          <w:b/>
          <w:i/>
          <w:sz w:val="22"/>
          <w:szCs w:val="22"/>
          <w:lang w:eastAsia="pt-BR"/>
        </w:rPr>
        <w:t>020.190/2010-7</w:t>
      </w:r>
      <w:r w:rsidR="00B77E78" w:rsidRPr="0093685C">
        <w:rPr>
          <w:b/>
          <w:i/>
          <w:sz w:val="22"/>
          <w:szCs w:val="22"/>
          <w:lang w:eastAsia="pt-BR"/>
        </w:rPr>
        <w:t>, relator</w:t>
      </w:r>
      <w:r w:rsidR="005441AB" w:rsidRPr="0093685C">
        <w:rPr>
          <w:b/>
          <w:i/>
          <w:sz w:val="22"/>
          <w:szCs w:val="22"/>
          <w:lang w:eastAsia="pt-BR"/>
        </w:rPr>
        <w:t>a Ministra Ana Arraes</w:t>
      </w:r>
      <w:r w:rsidR="00B77E78" w:rsidRPr="0093685C">
        <w:rPr>
          <w:b/>
          <w:i/>
          <w:sz w:val="22"/>
          <w:szCs w:val="22"/>
          <w:lang w:eastAsia="pt-BR"/>
        </w:rPr>
        <w:t xml:space="preserve">, </w:t>
      </w:r>
      <w:r w:rsidR="005441AB" w:rsidRPr="0093685C">
        <w:rPr>
          <w:b/>
          <w:i/>
          <w:sz w:val="22"/>
          <w:szCs w:val="22"/>
          <w:lang w:eastAsia="pt-BR"/>
        </w:rPr>
        <w:t>13</w:t>
      </w:r>
      <w:r w:rsidR="00B77E78" w:rsidRPr="0093685C">
        <w:rPr>
          <w:b/>
          <w:i/>
          <w:sz w:val="22"/>
          <w:szCs w:val="22"/>
          <w:lang w:eastAsia="pt-BR"/>
        </w:rPr>
        <w:t>.8.2013.</w:t>
      </w:r>
    </w:p>
    <w:p w:rsidR="00273CF0" w:rsidRPr="0093685C" w:rsidRDefault="00273CF0" w:rsidP="00270185">
      <w:pPr>
        <w:spacing w:after="0"/>
        <w:ind w:left="0"/>
        <w:rPr>
          <w:b/>
          <w:i/>
          <w:sz w:val="22"/>
          <w:szCs w:val="22"/>
          <w:lang w:eastAsia="pt-BR"/>
        </w:rPr>
      </w:pPr>
    </w:p>
    <w:p w:rsidR="00273CF0" w:rsidRPr="0093685C" w:rsidRDefault="007C4499" w:rsidP="00270185">
      <w:pPr>
        <w:spacing w:after="0"/>
        <w:ind w:left="0"/>
        <w:rPr>
          <w:b/>
          <w:sz w:val="22"/>
          <w:szCs w:val="22"/>
        </w:rPr>
      </w:pPr>
      <w:r>
        <w:rPr>
          <w:b/>
          <w:sz w:val="22"/>
          <w:szCs w:val="22"/>
        </w:rPr>
        <w:t>6</w:t>
      </w:r>
      <w:r w:rsidR="00273CF0" w:rsidRPr="0093685C">
        <w:rPr>
          <w:b/>
          <w:sz w:val="22"/>
          <w:szCs w:val="22"/>
        </w:rPr>
        <w:t>. A homologação é um ato de fiscalização e controle praticado pela autoridade competente sobre tudo o quanto foi realizado pela comissão de licitação</w:t>
      </w:r>
      <w:r w:rsidR="00405876" w:rsidRPr="0093685C">
        <w:rPr>
          <w:b/>
          <w:sz w:val="22"/>
          <w:szCs w:val="22"/>
        </w:rPr>
        <w:t>,</w:t>
      </w:r>
      <w:r w:rsidR="00273CF0" w:rsidRPr="0093685C">
        <w:rPr>
          <w:b/>
          <w:sz w:val="22"/>
          <w:szCs w:val="22"/>
        </w:rPr>
        <w:t xml:space="preserve"> e equivale a aprovar os procedimentos até então adotados.</w:t>
      </w:r>
    </w:p>
    <w:p w:rsidR="00273CF0" w:rsidRPr="0093685C" w:rsidRDefault="0032040C" w:rsidP="00270185">
      <w:pPr>
        <w:spacing w:after="0"/>
        <w:ind w:left="0"/>
        <w:rPr>
          <w:b/>
          <w:sz w:val="22"/>
          <w:szCs w:val="22"/>
        </w:rPr>
      </w:pPr>
      <w:r w:rsidRPr="0093685C">
        <w:rPr>
          <w:sz w:val="22"/>
          <w:szCs w:val="22"/>
          <w:lang w:eastAsia="pt-BR"/>
        </w:rPr>
        <w:t>Em Recurso de R</w:t>
      </w:r>
      <w:r w:rsidR="00FF5F7D" w:rsidRPr="0093685C">
        <w:rPr>
          <w:sz w:val="22"/>
          <w:szCs w:val="22"/>
          <w:lang w:eastAsia="pt-BR"/>
        </w:rPr>
        <w:t>econsideração interposto contra deliberaçã</w:t>
      </w:r>
      <w:r w:rsidRPr="0093685C">
        <w:rPr>
          <w:sz w:val="22"/>
          <w:szCs w:val="22"/>
          <w:lang w:eastAsia="pt-BR"/>
        </w:rPr>
        <w:t>o proferida em sede de Tomada de Contas E</w:t>
      </w:r>
      <w:r w:rsidR="00FF5F7D" w:rsidRPr="0093685C">
        <w:rPr>
          <w:sz w:val="22"/>
          <w:szCs w:val="22"/>
          <w:lang w:eastAsia="pt-BR"/>
        </w:rPr>
        <w:t>special</w:t>
      </w:r>
      <w:r w:rsidRPr="0093685C">
        <w:rPr>
          <w:sz w:val="22"/>
          <w:szCs w:val="22"/>
          <w:lang w:eastAsia="pt-BR"/>
        </w:rPr>
        <w:t>, na</w:t>
      </w:r>
      <w:r w:rsidR="00044536" w:rsidRPr="0093685C">
        <w:rPr>
          <w:sz w:val="22"/>
          <w:szCs w:val="22"/>
          <w:lang w:eastAsia="pt-BR"/>
        </w:rPr>
        <w:t xml:space="preserve"> qual a responsável fora condenada em débito e sancionada com multa</w:t>
      </w:r>
      <w:r w:rsidR="00C31AB7" w:rsidRPr="0093685C">
        <w:rPr>
          <w:sz w:val="22"/>
          <w:szCs w:val="22"/>
          <w:lang w:eastAsia="pt-BR"/>
        </w:rPr>
        <w:t xml:space="preserve"> em decorrência de irregularidades verificada</w:t>
      </w:r>
      <w:r w:rsidRPr="0093685C">
        <w:rPr>
          <w:sz w:val="22"/>
          <w:szCs w:val="22"/>
          <w:lang w:eastAsia="pt-BR"/>
        </w:rPr>
        <w:t>s</w:t>
      </w:r>
      <w:r w:rsidR="00C31AB7" w:rsidRPr="0093685C">
        <w:rPr>
          <w:sz w:val="22"/>
          <w:szCs w:val="22"/>
          <w:lang w:eastAsia="pt-BR"/>
        </w:rPr>
        <w:t xml:space="preserve"> em licitação</w:t>
      </w:r>
      <w:r w:rsidRPr="0093685C">
        <w:rPr>
          <w:sz w:val="22"/>
          <w:szCs w:val="22"/>
          <w:lang w:eastAsia="pt-BR"/>
        </w:rPr>
        <w:t>, a recorrente alegou</w:t>
      </w:r>
      <w:r w:rsidR="00044536" w:rsidRPr="0093685C">
        <w:rPr>
          <w:sz w:val="22"/>
          <w:szCs w:val="22"/>
          <w:lang w:eastAsia="pt-BR"/>
        </w:rPr>
        <w:t xml:space="preserve">, dentre outros aspectos, que lhe competia, na qualidade de prefeita municipal, apenas homologar o certame, </w:t>
      </w:r>
      <w:r w:rsidR="00EF3218" w:rsidRPr="0093685C">
        <w:rPr>
          <w:sz w:val="22"/>
          <w:szCs w:val="22"/>
          <w:lang w:eastAsia="pt-BR"/>
        </w:rPr>
        <w:t>com base nos elementos constituti</w:t>
      </w:r>
      <w:r w:rsidR="00044536" w:rsidRPr="0093685C">
        <w:rPr>
          <w:sz w:val="22"/>
          <w:szCs w:val="22"/>
          <w:lang w:eastAsia="pt-BR"/>
        </w:rPr>
        <w:t>vos do procedimento licitat</w:t>
      </w:r>
      <w:r w:rsidRPr="0093685C">
        <w:rPr>
          <w:sz w:val="22"/>
          <w:szCs w:val="22"/>
          <w:lang w:eastAsia="pt-BR"/>
        </w:rPr>
        <w:t>ório. Analisando as alegações, a</w:t>
      </w:r>
      <w:r w:rsidR="00044536" w:rsidRPr="0093685C">
        <w:rPr>
          <w:sz w:val="22"/>
          <w:szCs w:val="22"/>
          <w:lang w:eastAsia="pt-BR"/>
        </w:rPr>
        <w:t xml:space="preserve"> relator</w:t>
      </w:r>
      <w:r w:rsidRPr="0093685C">
        <w:rPr>
          <w:sz w:val="22"/>
          <w:szCs w:val="22"/>
          <w:lang w:eastAsia="pt-BR"/>
        </w:rPr>
        <w:t>a</w:t>
      </w:r>
      <w:r w:rsidR="00044536" w:rsidRPr="0093685C">
        <w:rPr>
          <w:sz w:val="22"/>
          <w:szCs w:val="22"/>
          <w:lang w:eastAsia="pt-BR"/>
        </w:rPr>
        <w:t xml:space="preserve"> anotou que no caso vertente a gestora fora ouvida, dentre outros aspectos</w:t>
      </w:r>
      <w:r w:rsidR="00513D0A">
        <w:rPr>
          <w:sz w:val="22"/>
          <w:szCs w:val="22"/>
          <w:lang w:eastAsia="pt-BR"/>
        </w:rPr>
        <w:t>,</w:t>
      </w:r>
      <w:r w:rsidR="00044536" w:rsidRPr="0093685C">
        <w:rPr>
          <w:sz w:val="22"/>
          <w:szCs w:val="22"/>
          <w:lang w:eastAsia="pt-BR"/>
        </w:rPr>
        <w:t xml:space="preserve"> pela </w:t>
      </w:r>
      <w:r w:rsidR="00044536" w:rsidRPr="0093685C">
        <w:rPr>
          <w:i/>
          <w:sz w:val="22"/>
          <w:szCs w:val="22"/>
          <w:lang w:eastAsia="pt-BR"/>
        </w:rPr>
        <w:t>“falta da realização de pesquisa de preços de mercado dos bens a serem adquiridos”</w:t>
      </w:r>
      <w:r w:rsidR="00044536" w:rsidRPr="0093685C">
        <w:rPr>
          <w:sz w:val="22"/>
          <w:szCs w:val="22"/>
          <w:lang w:eastAsia="pt-BR"/>
        </w:rPr>
        <w:t>.</w:t>
      </w:r>
      <w:r w:rsidR="005E7F95" w:rsidRPr="0093685C">
        <w:rPr>
          <w:sz w:val="22"/>
          <w:szCs w:val="22"/>
          <w:lang w:eastAsia="pt-BR"/>
        </w:rPr>
        <w:t xml:space="preserve"> </w:t>
      </w:r>
      <w:r w:rsidRPr="0093685C">
        <w:rPr>
          <w:sz w:val="22"/>
          <w:szCs w:val="22"/>
          <w:lang w:eastAsia="pt-BR"/>
        </w:rPr>
        <w:t>Relembrou a</w:t>
      </w:r>
      <w:r w:rsidR="005E7F95" w:rsidRPr="0093685C">
        <w:rPr>
          <w:sz w:val="22"/>
          <w:szCs w:val="22"/>
          <w:lang w:eastAsia="pt-BR"/>
        </w:rPr>
        <w:t xml:space="preserve"> relator</w:t>
      </w:r>
      <w:r w:rsidRPr="0093685C">
        <w:rPr>
          <w:sz w:val="22"/>
          <w:szCs w:val="22"/>
          <w:lang w:eastAsia="pt-BR"/>
        </w:rPr>
        <w:t>a</w:t>
      </w:r>
      <w:r w:rsidR="005E7F95" w:rsidRPr="0093685C">
        <w:rPr>
          <w:sz w:val="22"/>
          <w:szCs w:val="22"/>
          <w:lang w:eastAsia="pt-BR"/>
        </w:rPr>
        <w:t xml:space="preserve"> que </w:t>
      </w:r>
      <w:r w:rsidR="005E7F95" w:rsidRPr="0093685C">
        <w:rPr>
          <w:i/>
          <w:sz w:val="22"/>
          <w:szCs w:val="22"/>
          <w:lang w:eastAsia="pt-BR"/>
        </w:rPr>
        <w:t xml:space="preserve">“tivesse a gestora atentado para esse procedimento simples e se certificado de sua realização nos autos do processo licitatório, teria facilmente detectado o </w:t>
      </w:r>
      <w:proofErr w:type="spellStart"/>
      <w:r w:rsidR="005E7F95" w:rsidRPr="0093685C">
        <w:rPr>
          <w:i/>
          <w:sz w:val="22"/>
          <w:szCs w:val="22"/>
          <w:lang w:eastAsia="pt-BR"/>
        </w:rPr>
        <w:t>sobrepreço</w:t>
      </w:r>
      <w:proofErr w:type="spellEnd"/>
      <w:r w:rsidR="005E7F95" w:rsidRPr="0093685C">
        <w:rPr>
          <w:i/>
          <w:sz w:val="22"/>
          <w:szCs w:val="22"/>
          <w:lang w:eastAsia="pt-BR"/>
        </w:rPr>
        <w:t>, pois a diferença apontada foi significativa”</w:t>
      </w:r>
      <w:r w:rsidR="005E7F95" w:rsidRPr="0093685C">
        <w:rPr>
          <w:sz w:val="22"/>
          <w:szCs w:val="22"/>
          <w:lang w:eastAsia="pt-BR"/>
        </w:rPr>
        <w:t>.</w:t>
      </w:r>
      <w:r w:rsidR="001C3CF9" w:rsidRPr="0093685C">
        <w:rPr>
          <w:sz w:val="22"/>
          <w:szCs w:val="22"/>
          <w:lang w:eastAsia="pt-BR"/>
        </w:rPr>
        <w:t xml:space="preserve"> Nesse passo, assinalou que </w:t>
      </w:r>
      <w:r w:rsidR="001C3CF9" w:rsidRPr="0093685C">
        <w:rPr>
          <w:i/>
          <w:sz w:val="22"/>
          <w:szCs w:val="22"/>
          <w:lang w:eastAsia="pt-BR"/>
        </w:rPr>
        <w:t xml:space="preserve">“a homologação se caracteriza como um ato de controle praticado pela autoridade competente sobre tudo o quanto foi realizado pela comissão de licitação. Homologar equivale a aprovar os procedimentos até então adotados. Esse ato de controle não pode ser tido como meramente formal ou </w:t>
      </w:r>
      <w:proofErr w:type="spellStart"/>
      <w:r w:rsidR="001C3CF9" w:rsidRPr="0093685C">
        <w:rPr>
          <w:i/>
          <w:sz w:val="22"/>
          <w:szCs w:val="22"/>
          <w:lang w:eastAsia="pt-BR"/>
        </w:rPr>
        <w:t>chancelatório</w:t>
      </w:r>
      <w:proofErr w:type="spellEnd"/>
      <w:r w:rsidR="001C3CF9" w:rsidRPr="0093685C">
        <w:rPr>
          <w:i/>
          <w:sz w:val="22"/>
          <w:szCs w:val="22"/>
          <w:lang w:eastAsia="pt-BR"/>
        </w:rPr>
        <w:t>, mas antes como um ato de fiscalização”</w:t>
      </w:r>
      <w:r w:rsidR="001C3CF9" w:rsidRPr="0093685C">
        <w:rPr>
          <w:sz w:val="22"/>
          <w:szCs w:val="22"/>
          <w:lang w:eastAsia="pt-BR"/>
        </w:rPr>
        <w:t>.</w:t>
      </w:r>
      <w:r w:rsidR="002D26EC" w:rsidRPr="0093685C">
        <w:rPr>
          <w:sz w:val="22"/>
          <w:szCs w:val="22"/>
          <w:lang w:eastAsia="pt-BR"/>
        </w:rPr>
        <w:t xml:space="preserve"> Assim, a g</w:t>
      </w:r>
      <w:r w:rsidR="00C31AB7" w:rsidRPr="0093685C">
        <w:rPr>
          <w:sz w:val="22"/>
          <w:szCs w:val="22"/>
          <w:lang w:eastAsia="pt-BR"/>
        </w:rPr>
        <w:t xml:space="preserve">estora, ao homologar </w:t>
      </w:r>
      <w:r w:rsidR="002D26EC" w:rsidRPr="0093685C">
        <w:rPr>
          <w:sz w:val="22"/>
          <w:szCs w:val="22"/>
          <w:lang w:eastAsia="pt-BR"/>
        </w:rPr>
        <w:t>o certame diante da inexistência da pesquisa do</w:t>
      </w:r>
      <w:r w:rsidR="00B056DE" w:rsidRPr="0093685C">
        <w:rPr>
          <w:sz w:val="22"/>
          <w:szCs w:val="22"/>
          <w:lang w:eastAsia="pt-BR"/>
        </w:rPr>
        <w:t>s</w:t>
      </w:r>
      <w:r w:rsidR="002D26EC" w:rsidRPr="0093685C">
        <w:rPr>
          <w:sz w:val="22"/>
          <w:szCs w:val="22"/>
          <w:lang w:eastAsia="pt-BR"/>
        </w:rPr>
        <w:t xml:space="preserve"> preço</w:t>
      </w:r>
      <w:r w:rsidR="00C31AB7" w:rsidRPr="0093685C">
        <w:rPr>
          <w:sz w:val="22"/>
          <w:szCs w:val="22"/>
          <w:lang w:eastAsia="pt-BR"/>
        </w:rPr>
        <w:t>s</w:t>
      </w:r>
      <w:r w:rsidR="002D26EC" w:rsidRPr="0093685C">
        <w:rPr>
          <w:sz w:val="22"/>
          <w:szCs w:val="22"/>
          <w:lang w:eastAsia="pt-BR"/>
        </w:rPr>
        <w:t xml:space="preserve"> de mercado nos autos da licitação, d</w:t>
      </w:r>
      <w:r w:rsidR="002C182C" w:rsidRPr="0093685C">
        <w:rPr>
          <w:sz w:val="22"/>
          <w:szCs w:val="22"/>
          <w:lang w:eastAsia="pt-BR"/>
        </w:rPr>
        <w:t>era</w:t>
      </w:r>
      <w:r w:rsidR="002D26EC" w:rsidRPr="0093685C">
        <w:rPr>
          <w:sz w:val="22"/>
          <w:szCs w:val="22"/>
          <w:lang w:eastAsia="pt-BR"/>
        </w:rPr>
        <w:t xml:space="preserve"> ensejo ao superfaturamento apurado.</w:t>
      </w:r>
      <w:r w:rsidR="00816940" w:rsidRPr="0093685C">
        <w:rPr>
          <w:sz w:val="22"/>
          <w:szCs w:val="22"/>
          <w:lang w:eastAsia="pt-BR"/>
        </w:rPr>
        <w:t xml:space="preserve"> Nesses termos, o Tribunal</w:t>
      </w:r>
      <w:r w:rsidR="001D76EB" w:rsidRPr="0093685C">
        <w:rPr>
          <w:sz w:val="22"/>
          <w:szCs w:val="22"/>
          <w:lang w:eastAsia="pt-BR"/>
        </w:rPr>
        <w:t>, ao acolher</w:t>
      </w:r>
      <w:r w:rsidRPr="0093685C">
        <w:rPr>
          <w:sz w:val="22"/>
          <w:szCs w:val="22"/>
          <w:lang w:eastAsia="pt-BR"/>
        </w:rPr>
        <w:t xml:space="preserve"> a proposição da</w:t>
      </w:r>
      <w:r w:rsidR="00816940" w:rsidRPr="0093685C">
        <w:rPr>
          <w:sz w:val="22"/>
          <w:szCs w:val="22"/>
          <w:lang w:eastAsia="pt-BR"/>
        </w:rPr>
        <w:t xml:space="preserve"> relator</w:t>
      </w:r>
      <w:r w:rsidRPr="0093685C">
        <w:rPr>
          <w:sz w:val="22"/>
          <w:szCs w:val="22"/>
          <w:lang w:eastAsia="pt-BR"/>
        </w:rPr>
        <w:t>a</w:t>
      </w:r>
      <w:r w:rsidR="001D76EB" w:rsidRPr="0093685C">
        <w:rPr>
          <w:sz w:val="22"/>
          <w:szCs w:val="22"/>
          <w:lang w:eastAsia="pt-BR"/>
        </w:rPr>
        <w:t>,</w:t>
      </w:r>
      <w:r w:rsidR="00816940" w:rsidRPr="0093685C">
        <w:rPr>
          <w:sz w:val="22"/>
          <w:szCs w:val="22"/>
          <w:lang w:eastAsia="pt-BR"/>
        </w:rPr>
        <w:t xml:space="preserve"> </w:t>
      </w:r>
      <w:r w:rsidR="001D76EB" w:rsidRPr="0093685C">
        <w:rPr>
          <w:sz w:val="22"/>
          <w:szCs w:val="22"/>
          <w:lang w:eastAsia="pt-BR"/>
        </w:rPr>
        <w:t>negou</w:t>
      </w:r>
      <w:r w:rsidR="00816940" w:rsidRPr="0093685C">
        <w:rPr>
          <w:sz w:val="22"/>
          <w:szCs w:val="22"/>
          <w:lang w:eastAsia="pt-BR"/>
        </w:rPr>
        <w:t xml:space="preserve"> provimento ao recurso.</w:t>
      </w:r>
      <w:r w:rsidR="0042677E">
        <w:rPr>
          <w:sz w:val="22"/>
          <w:szCs w:val="22"/>
          <w:lang w:eastAsia="pt-BR"/>
        </w:rPr>
        <w:t xml:space="preserve"> </w:t>
      </w:r>
      <w:hyperlink r:id="rId13" w:history="1">
        <w:r w:rsidR="0042677E" w:rsidRPr="0042677E">
          <w:rPr>
            <w:rStyle w:val="Hyperlink"/>
            <w:b/>
            <w:i/>
            <w:sz w:val="22"/>
            <w:szCs w:val="22"/>
            <w:lang w:eastAsia="pt-BR"/>
          </w:rPr>
          <w:t>Acórdão 4791/2013-Segunda Câmara</w:t>
        </w:r>
      </w:hyperlink>
      <w:r w:rsidR="003C43EB" w:rsidRPr="0093685C">
        <w:rPr>
          <w:b/>
          <w:i/>
          <w:sz w:val="22"/>
          <w:szCs w:val="22"/>
          <w:lang w:eastAsia="pt-BR"/>
        </w:rPr>
        <w:t xml:space="preserve">, TC </w:t>
      </w:r>
      <w:r w:rsidR="00FF5F7D" w:rsidRPr="0093685C">
        <w:rPr>
          <w:b/>
          <w:i/>
          <w:sz w:val="22"/>
          <w:szCs w:val="22"/>
          <w:lang w:eastAsia="pt-BR"/>
        </w:rPr>
        <w:t>026.876/2010-8</w:t>
      </w:r>
      <w:r w:rsidR="003C43EB" w:rsidRPr="0093685C">
        <w:rPr>
          <w:b/>
          <w:i/>
          <w:sz w:val="22"/>
          <w:szCs w:val="22"/>
          <w:lang w:eastAsia="pt-BR"/>
        </w:rPr>
        <w:t>, relatora Ministra Ana Arraes, 13.8.2013.</w:t>
      </w:r>
    </w:p>
    <w:p w:rsidR="00175500" w:rsidRPr="00175500" w:rsidRDefault="00175500" w:rsidP="00175500">
      <w:pPr>
        <w:spacing w:after="0"/>
        <w:ind w:left="0"/>
        <w:rPr>
          <w:b/>
          <w:i/>
          <w:sz w:val="22"/>
          <w:szCs w:val="22"/>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08246E" w:rsidRPr="00993B9D" w:rsidTr="008A12E6">
        <w:trPr>
          <w:trHeight w:val="779"/>
          <w:jc w:val="center"/>
        </w:trPr>
        <w:tc>
          <w:tcPr>
            <w:tcW w:w="0" w:type="auto"/>
            <w:vAlign w:val="center"/>
          </w:tcPr>
          <w:p w:rsidR="0008246E" w:rsidRPr="009E1BEB" w:rsidRDefault="0008246E" w:rsidP="008A12E6">
            <w:pPr>
              <w:pStyle w:val="enter-3pt"/>
              <w:tabs>
                <w:tab w:val="left" w:pos="2590"/>
              </w:tabs>
              <w:spacing w:line="240" w:lineRule="auto"/>
              <w:rPr>
                <w:b/>
                <w:i/>
                <w:sz w:val="18"/>
                <w:szCs w:val="18"/>
              </w:rPr>
            </w:pPr>
            <w:r w:rsidRPr="009E1BEB">
              <w:rPr>
                <w:b/>
                <w:i/>
                <w:sz w:val="18"/>
                <w:szCs w:val="18"/>
              </w:rPr>
              <w:t>Elaboração: Secretaria das Sessões</w:t>
            </w:r>
          </w:p>
          <w:p w:rsidR="0008246E" w:rsidRPr="00993B9D" w:rsidRDefault="0008246E" w:rsidP="008A12E6">
            <w:pPr>
              <w:pStyle w:val="enter-3pt"/>
              <w:tabs>
                <w:tab w:val="left" w:pos="2590"/>
              </w:tabs>
              <w:spacing w:line="240" w:lineRule="auto"/>
              <w:rPr>
                <w:b/>
                <w:i/>
                <w:sz w:val="22"/>
                <w:szCs w:val="22"/>
              </w:rPr>
            </w:pPr>
            <w:r w:rsidRPr="009E1BEB">
              <w:rPr>
                <w:b/>
                <w:i/>
                <w:sz w:val="18"/>
                <w:szCs w:val="18"/>
              </w:rPr>
              <w:t xml:space="preserve">Contato: </w:t>
            </w:r>
            <w:hyperlink r:id="rId14" w:history="1">
              <w:r w:rsidRPr="009E1BEB">
                <w:rPr>
                  <w:rStyle w:val="Hyperlink"/>
                  <w:b/>
                  <w:i/>
                  <w:color w:val="auto"/>
                  <w:sz w:val="18"/>
                  <w:szCs w:val="18"/>
                </w:rPr>
                <w:t>infojuris@tcu.gov.br</w:t>
              </w:r>
            </w:hyperlink>
          </w:p>
        </w:tc>
      </w:tr>
    </w:tbl>
    <w:p w:rsidR="00F3058F" w:rsidRPr="00175500" w:rsidRDefault="00F3058F" w:rsidP="00925431">
      <w:pPr>
        <w:pStyle w:val="Ttulo8"/>
        <w:tabs>
          <w:tab w:val="right" w:pos="4423"/>
        </w:tabs>
        <w:spacing w:before="0" w:after="0"/>
        <w:ind w:left="0"/>
        <w:rPr>
          <w:b/>
          <w:sz w:val="22"/>
          <w:lang w:val="pt-BR"/>
        </w:rPr>
      </w:pPr>
    </w:p>
    <w:sectPr w:rsidR="00F3058F" w:rsidRPr="00175500" w:rsidSect="00616945">
      <w:headerReference w:type="default" r:id="rId15"/>
      <w:footerReference w:type="default" r:id="rId16"/>
      <w:headerReference w:type="first" r:id="rId17"/>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C7" w:rsidRDefault="007E0CC7" w:rsidP="008B0547">
      <w:pPr>
        <w:spacing w:after="0"/>
      </w:pPr>
      <w:r>
        <w:separator/>
      </w:r>
    </w:p>
  </w:endnote>
  <w:endnote w:type="continuationSeparator" w:id="0">
    <w:p w:rsidR="007E0CC7" w:rsidRDefault="007E0CC7"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Times New Roman,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Pr="00C906CD" w:rsidRDefault="00EA413E" w:rsidP="004E357A">
    <w:pPr>
      <w:pStyle w:val="Rodap"/>
      <w:jc w:val="right"/>
      <w:rPr>
        <w:sz w:val="20"/>
        <w:szCs w:val="20"/>
      </w:rPr>
    </w:pPr>
    <w:r w:rsidRPr="00C906CD">
      <w:rPr>
        <w:sz w:val="20"/>
        <w:szCs w:val="20"/>
      </w:rPr>
      <w:fldChar w:fldCharType="begin"/>
    </w:r>
    <w:r w:rsidR="0018763E" w:rsidRPr="00C906CD">
      <w:rPr>
        <w:sz w:val="20"/>
        <w:szCs w:val="20"/>
      </w:rPr>
      <w:instrText xml:space="preserve"> PAGE   \* MERGEFORMAT </w:instrText>
    </w:r>
    <w:r w:rsidRPr="00C906CD">
      <w:rPr>
        <w:sz w:val="20"/>
        <w:szCs w:val="20"/>
      </w:rPr>
      <w:fldChar w:fldCharType="separate"/>
    </w:r>
    <w:r w:rsidR="008C5633">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C7" w:rsidRDefault="007E0CC7" w:rsidP="008B0547">
      <w:pPr>
        <w:spacing w:after="0"/>
      </w:pPr>
      <w:r>
        <w:separator/>
      </w:r>
    </w:p>
  </w:footnote>
  <w:footnote w:type="continuationSeparator" w:id="0">
    <w:p w:rsidR="007E0CC7" w:rsidRDefault="007E0CC7"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18763E">
    <w:pPr>
      <w:pStyle w:val="Cabealho"/>
    </w:pPr>
  </w:p>
  <w:p w:rsidR="0018763E" w:rsidRDefault="001876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080DB4" w:rsidP="009D05A4">
    <w:pPr>
      <w:pStyle w:val="Cabealho"/>
      <w:ind w:left="0"/>
    </w:pPr>
    <w:r w:rsidRPr="004D0F17">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4">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8">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9">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5">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14"/>
    <w:lvlOverride w:ilvl="0">
      <w:startOverride w:val="1"/>
    </w:lvlOverride>
  </w:num>
  <w:num w:numId="4">
    <w:abstractNumId w:val="8"/>
  </w:num>
  <w:num w:numId="5">
    <w:abstractNumId w:val="5"/>
  </w:num>
  <w:num w:numId="6">
    <w:abstractNumId w:val="4"/>
  </w:num>
  <w:num w:numId="7">
    <w:abstractNumId w:val="7"/>
  </w:num>
  <w:num w:numId="8">
    <w:abstractNumId w:val="9"/>
  </w:num>
  <w:num w:numId="9">
    <w:abstractNumId w:val="2"/>
  </w:num>
  <w:num w:numId="10">
    <w:abstractNumId w:val="3"/>
  </w:num>
  <w:num w:numId="11">
    <w:abstractNumId w:val="10"/>
  </w:num>
  <w:num w:numId="12">
    <w:abstractNumId w:val="11"/>
  </w:num>
  <w:num w:numId="13">
    <w:abstractNumId w:val="13"/>
  </w:num>
  <w:num w:numId="14">
    <w:abstractNumId w:val="12"/>
  </w:num>
  <w:num w:numId="15">
    <w:abstractNumId w:val="15"/>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23EE"/>
    <w:rsid w:val="000028E3"/>
    <w:rsid w:val="00003CEA"/>
    <w:rsid w:val="00003D44"/>
    <w:rsid w:val="00004614"/>
    <w:rsid w:val="00004C47"/>
    <w:rsid w:val="00004D04"/>
    <w:rsid w:val="00005142"/>
    <w:rsid w:val="00005435"/>
    <w:rsid w:val="0000560C"/>
    <w:rsid w:val="00005BA5"/>
    <w:rsid w:val="00005E1E"/>
    <w:rsid w:val="00005F57"/>
    <w:rsid w:val="0000636F"/>
    <w:rsid w:val="000069F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E81"/>
    <w:rsid w:val="000161F7"/>
    <w:rsid w:val="0001636D"/>
    <w:rsid w:val="0001643A"/>
    <w:rsid w:val="00016730"/>
    <w:rsid w:val="00016A5D"/>
    <w:rsid w:val="0001776E"/>
    <w:rsid w:val="000179E2"/>
    <w:rsid w:val="0002039E"/>
    <w:rsid w:val="00020C27"/>
    <w:rsid w:val="00020C75"/>
    <w:rsid w:val="00020E49"/>
    <w:rsid w:val="00020FC8"/>
    <w:rsid w:val="00021532"/>
    <w:rsid w:val="0002193A"/>
    <w:rsid w:val="0002237E"/>
    <w:rsid w:val="0002238E"/>
    <w:rsid w:val="000224CB"/>
    <w:rsid w:val="000227F4"/>
    <w:rsid w:val="0002327E"/>
    <w:rsid w:val="0002374E"/>
    <w:rsid w:val="00023828"/>
    <w:rsid w:val="00023AFD"/>
    <w:rsid w:val="00023D72"/>
    <w:rsid w:val="000253D1"/>
    <w:rsid w:val="00025450"/>
    <w:rsid w:val="00025753"/>
    <w:rsid w:val="00025A32"/>
    <w:rsid w:val="00025AA0"/>
    <w:rsid w:val="000262E8"/>
    <w:rsid w:val="0002663F"/>
    <w:rsid w:val="00026CE8"/>
    <w:rsid w:val="000271FA"/>
    <w:rsid w:val="0002751C"/>
    <w:rsid w:val="00027B2E"/>
    <w:rsid w:val="00027C86"/>
    <w:rsid w:val="000300A2"/>
    <w:rsid w:val="00030EC2"/>
    <w:rsid w:val="0003113F"/>
    <w:rsid w:val="00031B9D"/>
    <w:rsid w:val="00032198"/>
    <w:rsid w:val="0003282A"/>
    <w:rsid w:val="00032CA1"/>
    <w:rsid w:val="00032CE9"/>
    <w:rsid w:val="00032D47"/>
    <w:rsid w:val="00033551"/>
    <w:rsid w:val="00033B3E"/>
    <w:rsid w:val="0003422F"/>
    <w:rsid w:val="00035593"/>
    <w:rsid w:val="00035A82"/>
    <w:rsid w:val="00035D4C"/>
    <w:rsid w:val="00035FBF"/>
    <w:rsid w:val="000360F1"/>
    <w:rsid w:val="00036F23"/>
    <w:rsid w:val="000371C1"/>
    <w:rsid w:val="00037DCE"/>
    <w:rsid w:val="00041337"/>
    <w:rsid w:val="00041450"/>
    <w:rsid w:val="000415DA"/>
    <w:rsid w:val="00042393"/>
    <w:rsid w:val="000431BD"/>
    <w:rsid w:val="000436B0"/>
    <w:rsid w:val="000438FC"/>
    <w:rsid w:val="00044536"/>
    <w:rsid w:val="00044732"/>
    <w:rsid w:val="000447EE"/>
    <w:rsid w:val="00044B21"/>
    <w:rsid w:val="00044F32"/>
    <w:rsid w:val="00045C61"/>
    <w:rsid w:val="00045FC1"/>
    <w:rsid w:val="000460E4"/>
    <w:rsid w:val="00046313"/>
    <w:rsid w:val="0004660A"/>
    <w:rsid w:val="00046CF7"/>
    <w:rsid w:val="00047011"/>
    <w:rsid w:val="00047C67"/>
    <w:rsid w:val="00047E71"/>
    <w:rsid w:val="00050483"/>
    <w:rsid w:val="00050BA0"/>
    <w:rsid w:val="0005133B"/>
    <w:rsid w:val="000513D0"/>
    <w:rsid w:val="00051AAB"/>
    <w:rsid w:val="00051D57"/>
    <w:rsid w:val="0005205F"/>
    <w:rsid w:val="00052B15"/>
    <w:rsid w:val="00052BCA"/>
    <w:rsid w:val="00052E07"/>
    <w:rsid w:val="00052FC7"/>
    <w:rsid w:val="0005356E"/>
    <w:rsid w:val="000536ED"/>
    <w:rsid w:val="00053BB0"/>
    <w:rsid w:val="000540FC"/>
    <w:rsid w:val="0005412B"/>
    <w:rsid w:val="0005426B"/>
    <w:rsid w:val="00054432"/>
    <w:rsid w:val="0005485B"/>
    <w:rsid w:val="00054C16"/>
    <w:rsid w:val="00054D93"/>
    <w:rsid w:val="00054FBE"/>
    <w:rsid w:val="00055143"/>
    <w:rsid w:val="00055A5C"/>
    <w:rsid w:val="00055D4F"/>
    <w:rsid w:val="000562CD"/>
    <w:rsid w:val="0005656B"/>
    <w:rsid w:val="00056A5A"/>
    <w:rsid w:val="00056A5F"/>
    <w:rsid w:val="00056D51"/>
    <w:rsid w:val="0005724A"/>
    <w:rsid w:val="0005737C"/>
    <w:rsid w:val="00057892"/>
    <w:rsid w:val="00057D5A"/>
    <w:rsid w:val="0006028E"/>
    <w:rsid w:val="000605A0"/>
    <w:rsid w:val="0006070E"/>
    <w:rsid w:val="00060728"/>
    <w:rsid w:val="00060856"/>
    <w:rsid w:val="00060CE3"/>
    <w:rsid w:val="00061A56"/>
    <w:rsid w:val="00061C2E"/>
    <w:rsid w:val="00061EF5"/>
    <w:rsid w:val="000622E0"/>
    <w:rsid w:val="000624FA"/>
    <w:rsid w:val="00062B46"/>
    <w:rsid w:val="00062D0E"/>
    <w:rsid w:val="00063C6E"/>
    <w:rsid w:val="000647B1"/>
    <w:rsid w:val="0006592B"/>
    <w:rsid w:val="00065A49"/>
    <w:rsid w:val="00065A8B"/>
    <w:rsid w:val="00065B97"/>
    <w:rsid w:val="00065E95"/>
    <w:rsid w:val="00066126"/>
    <w:rsid w:val="00066E66"/>
    <w:rsid w:val="00066F26"/>
    <w:rsid w:val="0006707B"/>
    <w:rsid w:val="000675D5"/>
    <w:rsid w:val="00067E95"/>
    <w:rsid w:val="0007073D"/>
    <w:rsid w:val="00070785"/>
    <w:rsid w:val="0007120E"/>
    <w:rsid w:val="00071457"/>
    <w:rsid w:val="000717D9"/>
    <w:rsid w:val="000717EC"/>
    <w:rsid w:val="0007259B"/>
    <w:rsid w:val="0007275A"/>
    <w:rsid w:val="000727DB"/>
    <w:rsid w:val="00072916"/>
    <w:rsid w:val="00072F56"/>
    <w:rsid w:val="00073231"/>
    <w:rsid w:val="000735D1"/>
    <w:rsid w:val="00074384"/>
    <w:rsid w:val="00074AC5"/>
    <w:rsid w:val="000756E7"/>
    <w:rsid w:val="000761CD"/>
    <w:rsid w:val="0007670D"/>
    <w:rsid w:val="000768BB"/>
    <w:rsid w:val="00076909"/>
    <w:rsid w:val="00077346"/>
    <w:rsid w:val="00077A56"/>
    <w:rsid w:val="00077BA4"/>
    <w:rsid w:val="0008010D"/>
    <w:rsid w:val="00080148"/>
    <w:rsid w:val="00080237"/>
    <w:rsid w:val="00080245"/>
    <w:rsid w:val="000807D4"/>
    <w:rsid w:val="00080B82"/>
    <w:rsid w:val="00080DB4"/>
    <w:rsid w:val="00081635"/>
    <w:rsid w:val="00081A4D"/>
    <w:rsid w:val="00081DFB"/>
    <w:rsid w:val="0008246E"/>
    <w:rsid w:val="000824AF"/>
    <w:rsid w:val="00083289"/>
    <w:rsid w:val="0008343E"/>
    <w:rsid w:val="00083514"/>
    <w:rsid w:val="000835D8"/>
    <w:rsid w:val="0008397F"/>
    <w:rsid w:val="00084282"/>
    <w:rsid w:val="00084727"/>
    <w:rsid w:val="00084A99"/>
    <w:rsid w:val="000858BB"/>
    <w:rsid w:val="000858EF"/>
    <w:rsid w:val="00086210"/>
    <w:rsid w:val="00086489"/>
    <w:rsid w:val="000867E7"/>
    <w:rsid w:val="00086836"/>
    <w:rsid w:val="00086943"/>
    <w:rsid w:val="00086A39"/>
    <w:rsid w:val="00086BAA"/>
    <w:rsid w:val="00087006"/>
    <w:rsid w:val="00087431"/>
    <w:rsid w:val="00087894"/>
    <w:rsid w:val="00087C6C"/>
    <w:rsid w:val="0009058C"/>
    <w:rsid w:val="00090B8F"/>
    <w:rsid w:val="00090C97"/>
    <w:rsid w:val="00090D8A"/>
    <w:rsid w:val="00090E2E"/>
    <w:rsid w:val="0009133A"/>
    <w:rsid w:val="000916AF"/>
    <w:rsid w:val="000919D7"/>
    <w:rsid w:val="000923FB"/>
    <w:rsid w:val="000929ED"/>
    <w:rsid w:val="00092C2E"/>
    <w:rsid w:val="00092E24"/>
    <w:rsid w:val="00093088"/>
    <w:rsid w:val="000937B7"/>
    <w:rsid w:val="00093937"/>
    <w:rsid w:val="000940A9"/>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BDB"/>
    <w:rsid w:val="00096C1B"/>
    <w:rsid w:val="000971B8"/>
    <w:rsid w:val="0009748C"/>
    <w:rsid w:val="00097614"/>
    <w:rsid w:val="0009780B"/>
    <w:rsid w:val="00097863"/>
    <w:rsid w:val="00097ABD"/>
    <w:rsid w:val="00097BF6"/>
    <w:rsid w:val="00097DEB"/>
    <w:rsid w:val="000A0291"/>
    <w:rsid w:val="000A0EF8"/>
    <w:rsid w:val="000A152A"/>
    <w:rsid w:val="000A1EBD"/>
    <w:rsid w:val="000A246C"/>
    <w:rsid w:val="000A261A"/>
    <w:rsid w:val="000A2C56"/>
    <w:rsid w:val="000A37A7"/>
    <w:rsid w:val="000A402F"/>
    <w:rsid w:val="000A4632"/>
    <w:rsid w:val="000A47EA"/>
    <w:rsid w:val="000A4E36"/>
    <w:rsid w:val="000A504A"/>
    <w:rsid w:val="000A57DA"/>
    <w:rsid w:val="000A599E"/>
    <w:rsid w:val="000A6269"/>
    <w:rsid w:val="000A62BD"/>
    <w:rsid w:val="000A6645"/>
    <w:rsid w:val="000A6CDC"/>
    <w:rsid w:val="000A75EF"/>
    <w:rsid w:val="000A77BB"/>
    <w:rsid w:val="000A78E5"/>
    <w:rsid w:val="000B0ECB"/>
    <w:rsid w:val="000B0FEA"/>
    <w:rsid w:val="000B1052"/>
    <w:rsid w:val="000B1A59"/>
    <w:rsid w:val="000B1B9E"/>
    <w:rsid w:val="000B2AFA"/>
    <w:rsid w:val="000B3015"/>
    <w:rsid w:val="000B3444"/>
    <w:rsid w:val="000B395E"/>
    <w:rsid w:val="000B3C52"/>
    <w:rsid w:val="000B4439"/>
    <w:rsid w:val="000B4AF2"/>
    <w:rsid w:val="000B4B33"/>
    <w:rsid w:val="000B4C5B"/>
    <w:rsid w:val="000B4EBB"/>
    <w:rsid w:val="000B5A1A"/>
    <w:rsid w:val="000B5DB2"/>
    <w:rsid w:val="000B5DD4"/>
    <w:rsid w:val="000B639F"/>
    <w:rsid w:val="000B6475"/>
    <w:rsid w:val="000B6BC1"/>
    <w:rsid w:val="000B706C"/>
    <w:rsid w:val="000B759E"/>
    <w:rsid w:val="000B775A"/>
    <w:rsid w:val="000B79DD"/>
    <w:rsid w:val="000C0013"/>
    <w:rsid w:val="000C02AD"/>
    <w:rsid w:val="000C049A"/>
    <w:rsid w:val="000C0AA8"/>
    <w:rsid w:val="000C0D07"/>
    <w:rsid w:val="000C1585"/>
    <w:rsid w:val="000C1AFC"/>
    <w:rsid w:val="000C22BE"/>
    <w:rsid w:val="000C22C0"/>
    <w:rsid w:val="000C28CC"/>
    <w:rsid w:val="000C2CBC"/>
    <w:rsid w:val="000C3BD5"/>
    <w:rsid w:val="000C3DAB"/>
    <w:rsid w:val="000C42A5"/>
    <w:rsid w:val="000C4611"/>
    <w:rsid w:val="000C4A10"/>
    <w:rsid w:val="000C4AC9"/>
    <w:rsid w:val="000C4BA1"/>
    <w:rsid w:val="000C5199"/>
    <w:rsid w:val="000C51DE"/>
    <w:rsid w:val="000C5799"/>
    <w:rsid w:val="000C5FDE"/>
    <w:rsid w:val="000C61FA"/>
    <w:rsid w:val="000C7281"/>
    <w:rsid w:val="000C7D11"/>
    <w:rsid w:val="000D073F"/>
    <w:rsid w:val="000D0D66"/>
    <w:rsid w:val="000D0D9A"/>
    <w:rsid w:val="000D10FB"/>
    <w:rsid w:val="000D14D9"/>
    <w:rsid w:val="000D1878"/>
    <w:rsid w:val="000D1AAE"/>
    <w:rsid w:val="000D1B91"/>
    <w:rsid w:val="000D1C53"/>
    <w:rsid w:val="000D1DC7"/>
    <w:rsid w:val="000D1EF5"/>
    <w:rsid w:val="000D1FD7"/>
    <w:rsid w:val="000D2184"/>
    <w:rsid w:val="000D2CBD"/>
    <w:rsid w:val="000D359B"/>
    <w:rsid w:val="000D37B0"/>
    <w:rsid w:val="000D3E44"/>
    <w:rsid w:val="000D52D9"/>
    <w:rsid w:val="000D6388"/>
    <w:rsid w:val="000D6418"/>
    <w:rsid w:val="000D6479"/>
    <w:rsid w:val="000D6839"/>
    <w:rsid w:val="000D6906"/>
    <w:rsid w:val="000D6C9E"/>
    <w:rsid w:val="000D7BA8"/>
    <w:rsid w:val="000D7DB6"/>
    <w:rsid w:val="000D7DD6"/>
    <w:rsid w:val="000D7DED"/>
    <w:rsid w:val="000E020F"/>
    <w:rsid w:val="000E10DB"/>
    <w:rsid w:val="000E12F7"/>
    <w:rsid w:val="000E1A4B"/>
    <w:rsid w:val="000E1D37"/>
    <w:rsid w:val="000E23D2"/>
    <w:rsid w:val="000E28AC"/>
    <w:rsid w:val="000E2D47"/>
    <w:rsid w:val="000E3599"/>
    <w:rsid w:val="000E372B"/>
    <w:rsid w:val="000E3A55"/>
    <w:rsid w:val="000E3B31"/>
    <w:rsid w:val="000E3C6D"/>
    <w:rsid w:val="000E45B0"/>
    <w:rsid w:val="000E4B19"/>
    <w:rsid w:val="000E4D15"/>
    <w:rsid w:val="000E504D"/>
    <w:rsid w:val="000E5EAB"/>
    <w:rsid w:val="000E65B4"/>
    <w:rsid w:val="000E69A6"/>
    <w:rsid w:val="000E6B37"/>
    <w:rsid w:val="000E730B"/>
    <w:rsid w:val="000E78A6"/>
    <w:rsid w:val="000E7FD4"/>
    <w:rsid w:val="000F05AC"/>
    <w:rsid w:val="000F0A64"/>
    <w:rsid w:val="000F13F3"/>
    <w:rsid w:val="000F1450"/>
    <w:rsid w:val="000F1786"/>
    <w:rsid w:val="000F2133"/>
    <w:rsid w:val="000F28B2"/>
    <w:rsid w:val="000F28E9"/>
    <w:rsid w:val="000F2975"/>
    <w:rsid w:val="000F2D05"/>
    <w:rsid w:val="000F2D48"/>
    <w:rsid w:val="000F2F92"/>
    <w:rsid w:val="000F2FD9"/>
    <w:rsid w:val="000F3282"/>
    <w:rsid w:val="000F33B5"/>
    <w:rsid w:val="000F3E8F"/>
    <w:rsid w:val="000F47C1"/>
    <w:rsid w:val="000F48B1"/>
    <w:rsid w:val="000F495D"/>
    <w:rsid w:val="000F4B18"/>
    <w:rsid w:val="000F4B82"/>
    <w:rsid w:val="000F4CC1"/>
    <w:rsid w:val="000F5135"/>
    <w:rsid w:val="000F6986"/>
    <w:rsid w:val="000F69B8"/>
    <w:rsid w:val="000F6A43"/>
    <w:rsid w:val="000F6A5D"/>
    <w:rsid w:val="000F6D85"/>
    <w:rsid w:val="000F73F1"/>
    <w:rsid w:val="000F7B66"/>
    <w:rsid w:val="000F7CEE"/>
    <w:rsid w:val="000F7D84"/>
    <w:rsid w:val="001001F4"/>
    <w:rsid w:val="001005A8"/>
    <w:rsid w:val="00101707"/>
    <w:rsid w:val="00101EE1"/>
    <w:rsid w:val="00101F01"/>
    <w:rsid w:val="00102D37"/>
    <w:rsid w:val="00102DC0"/>
    <w:rsid w:val="00103A3E"/>
    <w:rsid w:val="00103C24"/>
    <w:rsid w:val="00103E5B"/>
    <w:rsid w:val="001041ED"/>
    <w:rsid w:val="001043C0"/>
    <w:rsid w:val="00104AAD"/>
    <w:rsid w:val="00104C71"/>
    <w:rsid w:val="001064E1"/>
    <w:rsid w:val="001071C7"/>
    <w:rsid w:val="001072E1"/>
    <w:rsid w:val="00107486"/>
    <w:rsid w:val="00107AC8"/>
    <w:rsid w:val="0011038F"/>
    <w:rsid w:val="0011039E"/>
    <w:rsid w:val="001104BA"/>
    <w:rsid w:val="00111441"/>
    <w:rsid w:val="00111A2A"/>
    <w:rsid w:val="00111A71"/>
    <w:rsid w:val="001125A2"/>
    <w:rsid w:val="00112676"/>
    <w:rsid w:val="0011273C"/>
    <w:rsid w:val="00112A5F"/>
    <w:rsid w:val="0011373A"/>
    <w:rsid w:val="00113A1F"/>
    <w:rsid w:val="00113B55"/>
    <w:rsid w:val="00114137"/>
    <w:rsid w:val="0011429C"/>
    <w:rsid w:val="00114511"/>
    <w:rsid w:val="00115305"/>
    <w:rsid w:val="001156BA"/>
    <w:rsid w:val="0011582E"/>
    <w:rsid w:val="00115911"/>
    <w:rsid w:val="0011615F"/>
    <w:rsid w:val="00116706"/>
    <w:rsid w:val="0011691F"/>
    <w:rsid w:val="00116BAB"/>
    <w:rsid w:val="0011748D"/>
    <w:rsid w:val="001174F7"/>
    <w:rsid w:val="00117A9F"/>
    <w:rsid w:val="00117E95"/>
    <w:rsid w:val="001203BE"/>
    <w:rsid w:val="00121290"/>
    <w:rsid w:val="001212BD"/>
    <w:rsid w:val="00121782"/>
    <w:rsid w:val="001217A0"/>
    <w:rsid w:val="00121BE3"/>
    <w:rsid w:val="00121EDA"/>
    <w:rsid w:val="00122950"/>
    <w:rsid w:val="00122F63"/>
    <w:rsid w:val="00123E4E"/>
    <w:rsid w:val="00123E5C"/>
    <w:rsid w:val="00123E6B"/>
    <w:rsid w:val="00125476"/>
    <w:rsid w:val="00125B0B"/>
    <w:rsid w:val="00125F9A"/>
    <w:rsid w:val="00126026"/>
    <w:rsid w:val="001260FC"/>
    <w:rsid w:val="00126198"/>
    <w:rsid w:val="001263AF"/>
    <w:rsid w:val="0012665C"/>
    <w:rsid w:val="0012676F"/>
    <w:rsid w:val="00126A9F"/>
    <w:rsid w:val="00126AB1"/>
    <w:rsid w:val="001278E8"/>
    <w:rsid w:val="00127C1D"/>
    <w:rsid w:val="00130032"/>
    <w:rsid w:val="00130752"/>
    <w:rsid w:val="00130A0C"/>
    <w:rsid w:val="00130B06"/>
    <w:rsid w:val="00130EF3"/>
    <w:rsid w:val="001316FC"/>
    <w:rsid w:val="00131767"/>
    <w:rsid w:val="00132D82"/>
    <w:rsid w:val="00132E48"/>
    <w:rsid w:val="0013322B"/>
    <w:rsid w:val="0013393F"/>
    <w:rsid w:val="00133EA9"/>
    <w:rsid w:val="00133FBC"/>
    <w:rsid w:val="00133FE5"/>
    <w:rsid w:val="00134175"/>
    <w:rsid w:val="0013476D"/>
    <w:rsid w:val="00135107"/>
    <w:rsid w:val="00135139"/>
    <w:rsid w:val="001351CE"/>
    <w:rsid w:val="001351D5"/>
    <w:rsid w:val="00135548"/>
    <w:rsid w:val="00135D01"/>
    <w:rsid w:val="00135EDA"/>
    <w:rsid w:val="001360E2"/>
    <w:rsid w:val="001360FB"/>
    <w:rsid w:val="00136272"/>
    <w:rsid w:val="0013735A"/>
    <w:rsid w:val="001374E3"/>
    <w:rsid w:val="001378A3"/>
    <w:rsid w:val="00137908"/>
    <w:rsid w:val="00137A34"/>
    <w:rsid w:val="00137B22"/>
    <w:rsid w:val="00137FE3"/>
    <w:rsid w:val="00140984"/>
    <w:rsid w:val="00140C58"/>
    <w:rsid w:val="00140FED"/>
    <w:rsid w:val="00141D7A"/>
    <w:rsid w:val="00141DE9"/>
    <w:rsid w:val="001420D1"/>
    <w:rsid w:val="001420FE"/>
    <w:rsid w:val="00142621"/>
    <w:rsid w:val="0014299D"/>
    <w:rsid w:val="00142A39"/>
    <w:rsid w:val="00142C16"/>
    <w:rsid w:val="001430DC"/>
    <w:rsid w:val="001438E6"/>
    <w:rsid w:val="001441C9"/>
    <w:rsid w:val="001444A2"/>
    <w:rsid w:val="00144987"/>
    <w:rsid w:val="00144EBC"/>
    <w:rsid w:val="00145B71"/>
    <w:rsid w:val="00146C4A"/>
    <w:rsid w:val="00146F56"/>
    <w:rsid w:val="00147AE1"/>
    <w:rsid w:val="001504AD"/>
    <w:rsid w:val="0015086F"/>
    <w:rsid w:val="00150CBB"/>
    <w:rsid w:val="00151660"/>
    <w:rsid w:val="00151F92"/>
    <w:rsid w:val="0015258E"/>
    <w:rsid w:val="001529CF"/>
    <w:rsid w:val="00152ECC"/>
    <w:rsid w:val="00152F0D"/>
    <w:rsid w:val="001530A6"/>
    <w:rsid w:val="001532E4"/>
    <w:rsid w:val="001534C8"/>
    <w:rsid w:val="00154349"/>
    <w:rsid w:val="001547F6"/>
    <w:rsid w:val="00154C79"/>
    <w:rsid w:val="00154DF8"/>
    <w:rsid w:val="00155D65"/>
    <w:rsid w:val="0015648A"/>
    <w:rsid w:val="00156851"/>
    <w:rsid w:val="00156908"/>
    <w:rsid w:val="0015699C"/>
    <w:rsid w:val="001569A7"/>
    <w:rsid w:val="00156A48"/>
    <w:rsid w:val="00156C90"/>
    <w:rsid w:val="00156DDB"/>
    <w:rsid w:val="00156FCC"/>
    <w:rsid w:val="00157614"/>
    <w:rsid w:val="001576E2"/>
    <w:rsid w:val="00157AFE"/>
    <w:rsid w:val="00157C0F"/>
    <w:rsid w:val="00157CCE"/>
    <w:rsid w:val="00157EF2"/>
    <w:rsid w:val="001600FC"/>
    <w:rsid w:val="00160563"/>
    <w:rsid w:val="001608BD"/>
    <w:rsid w:val="001612C0"/>
    <w:rsid w:val="001614AF"/>
    <w:rsid w:val="0016160E"/>
    <w:rsid w:val="001616F8"/>
    <w:rsid w:val="00161AFB"/>
    <w:rsid w:val="00161E4F"/>
    <w:rsid w:val="001623BD"/>
    <w:rsid w:val="001634AE"/>
    <w:rsid w:val="0016352E"/>
    <w:rsid w:val="00164355"/>
    <w:rsid w:val="00164DAA"/>
    <w:rsid w:val="0016510E"/>
    <w:rsid w:val="0016572F"/>
    <w:rsid w:val="001658D6"/>
    <w:rsid w:val="001665B9"/>
    <w:rsid w:val="001667C0"/>
    <w:rsid w:val="00166C60"/>
    <w:rsid w:val="00167274"/>
    <w:rsid w:val="00167F39"/>
    <w:rsid w:val="00170A9D"/>
    <w:rsid w:val="0017110F"/>
    <w:rsid w:val="00171DD5"/>
    <w:rsid w:val="00171E89"/>
    <w:rsid w:val="0017217D"/>
    <w:rsid w:val="00173174"/>
    <w:rsid w:val="001737F7"/>
    <w:rsid w:val="00173E98"/>
    <w:rsid w:val="001744B4"/>
    <w:rsid w:val="001744E7"/>
    <w:rsid w:val="00174554"/>
    <w:rsid w:val="0017459B"/>
    <w:rsid w:val="00174651"/>
    <w:rsid w:val="001747AF"/>
    <w:rsid w:val="00174C1E"/>
    <w:rsid w:val="00174E4D"/>
    <w:rsid w:val="00175500"/>
    <w:rsid w:val="00175B3C"/>
    <w:rsid w:val="00176024"/>
    <w:rsid w:val="00176287"/>
    <w:rsid w:val="00176375"/>
    <w:rsid w:val="001766A9"/>
    <w:rsid w:val="001777EF"/>
    <w:rsid w:val="0018021C"/>
    <w:rsid w:val="00180774"/>
    <w:rsid w:val="00180EAA"/>
    <w:rsid w:val="00181005"/>
    <w:rsid w:val="0018106F"/>
    <w:rsid w:val="00181339"/>
    <w:rsid w:val="00181596"/>
    <w:rsid w:val="00181680"/>
    <w:rsid w:val="00181817"/>
    <w:rsid w:val="00181848"/>
    <w:rsid w:val="00181DF3"/>
    <w:rsid w:val="001829A6"/>
    <w:rsid w:val="00183A7D"/>
    <w:rsid w:val="00183DA4"/>
    <w:rsid w:val="001841C2"/>
    <w:rsid w:val="00184202"/>
    <w:rsid w:val="00184259"/>
    <w:rsid w:val="001843DB"/>
    <w:rsid w:val="001847D6"/>
    <w:rsid w:val="00184DD0"/>
    <w:rsid w:val="001855E1"/>
    <w:rsid w:val="001858EA"/>
    <w:rsid w:val="00186AF4"/>
    <w:rsid w:val="0018763E"/>
    <w:rsid w:val="0018776F"/>
    <w:rsid w:val="001900A2"/>
    <w:rsid w:val="001908DC"/>
    <w:rsid w:val="00190FE2"/>
    <w:rsid w:val="001912D8"/>
    <w:rsid w:val="00191554"/>
    <w:rsid w:val="00191CF7"/>
    <w:rsid w:val="00191FCE"/>
    <w:rsid w:val="00192052"/>
    <w:rsid w:val="00192483"/>
    <w:rsid w:val="0019284D"/>
    <w:rsid w:val="00192929"/>
    <w:rsid w:val="00192DC1"/>
    <w:rsid w:val="00194053"/>
    <w:rsid w:val="001943EB"/>
    <w:rsid w:val="00194BE9"/>
    <w:rsid w:val="00194CA4"/>
    <w:rsid w:val="00194EDA"/>
    <w:rsid w:val="00195023"/>
    <w:rsid w:val="001951C9"/>
    <w:rsid w:val="001956E2"/>
    <w:rsid w:val="00195F77"/>
    <w:rsid w:val="00196098"/>
    <w:rsid w:val="00196898"/>
    <w:rsid w:val="00196E11"/>
    <w:rsid w:val="0019736D"/>
    <w:rsid w:val="001977ED"/>
    <w:rsid w:val="00197C2F"/>
    <w:rsid w:val="001A052D"/>
    <w:rsid w:val="001A0725"/>
    <w:rsid w:val="001A0B42"/>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430F"/>
    <w:rsid w:val="001A4C6F"/>
    <w:rsid w:val="001A56C7"/>
    <w:rsid w:val="001A58D8"/>
    <w:rsid w:val="001A5C45"/>
    <w:rsid w:val="001A60A2"/>
    <w:rsid w:val="001A6C2E"/>
    <w:rsid w:val="001A6F68"/>
    <w:rsid w:val="001A727F"/>
    <w:rsid w:val="001A75FE"/>
    <w:rsid w:val="001A79D3"/>
    <w:rsid w:val="001A7BF5"/>
    <w:rsid w:val="001A7FC7"/>
    <w:rsid w:val="001B08E7"/>
    <w:rsid w:val="001B0C66"/>
    <w:rsid w:val="001B1669"/>
    <w:rsid w:val="001B19FF"/>
    <w:rsid w:val="001B2580"/>
    <w:rsid w:val="001B2809"/>
    <w:rsid w:val="001B2931"/>
    <w:rsid w:val="001B2A46"/>
    <w:rsid w:val="001B3729"/>
    <w:rsid w:val="001B3AB2"/>
    <w:rsid w:val="001B3B42"/>
    <w:rsid w:val="001B3BEF"/>
    <w:rsid w:val="001B3E8E"/>
    <w:rsid w:val="001B4316"/>
    <w:rsid w:val="001B45FC"/>
    <w:rsid w:val="001B4F90"/>
    <w:rsid w:val="001B5333"/>
    <w:rsid w:val="001B5426"/>
    <w:rsid w:val="001B6823"/>
    <w:rsid w:val="001B7EFA"/>
    <w:rsid w:val="001B7F4F"/>
    <w:rsid w:val="001C0575"/>
    <w:rsid w:val="001C0677"/>
    <w:rsid w:val="001C08D8"/>
    <w:rsid w:val="001C0A66"/>
    <w:rsid w:val="001C102A"/>
    <w:rsid w:val="001C1568"/>
    <w:rsid w:val="001C15D1"/>
    <w:rsid w:val="001C17A8"/>
    <w:rsid w:val="001C1903"/>
    <w:rsid w:val="001C2397"/>
    <w:rsid w:val="001C23B5"/>
    <w:rsid w:val="001C2492"/>
    <w:rsid w:val="001C24DE"/>
    <w:rsid w:val="001C2852"/>
    <w:rsid w:val="001C2950"/>
    <w:rsid w:val="001C2CD1"/>
    <w:rsid w:val="001C3CF9"/>
    <w:rsid w:val="001C412B"/>
    <w:rsid w:val="001C423E"/>
    <w:rsid w:val="001C437E"/>
    <w:rsid w:val="001C4F39"/>
    <w:rsid w:val="001C4FE9"/>
    <w:rsid w:val="001C51E4"/>
    <w:rsid w:val="001C536B"/>
    <w:rsid w:val="001C5777"/>
    <w:rsid w:val="001C5B47"/>
    <w:rsid w:val="001C5C51"/>
    <w:rsid w:val="001C5CDF"/>
    <w:rsid w:val="001C6395"/>
    <w:rsid w:val="001C641C"/>
    <w:rsid w:val="001C6A2C"/>
    <w:rsid w:val="001C6D43"/>
    <w:rsid w:val="001C6E55"/>
    <w:rsid w:val="001C71E3"/>
    <w:rsid w:val="001C729A"/>
    <w:rsid w:val="001C72D6"/>
    <w:rsid w:val="001C7892"/>
    <w:rsid w:val="001C7BF3"/>
    <w:rsid w:val="001C7DC4"/>
    <w:rsid w:val="001C7FD4"/>
    <w:rsid w:val="001D0208"/>
    <w:rsid w:val="001D03C7"/>
    <w:rsid w:val="001D0FAF"/>
    <w:rsid w:val="001D1478"/>
    <w:rsid w:val="001D1E52"/>
    <w:rsid w:val="001D1ECA"/>
    <w:rsid w:val="001D2BC5"/>
    <w:rsid w:val="001D34EB"/>
    <w:rsid w:val="001D35B4"/>
    <w:rsid w:val="001D4515"/>
    <w:rsid w:val="001D4A98"/>
    <w:rsid w:val="001D5190"/>
    <w:rsid w:val="001D5339"/>
    <w:rsid w:val="001D559E"/>
    <w:rsid w:val="001D56C3"/>
    <w:rsid w:val="001D5F66"/>
    <w:rsid w:val="001D5FB0"/>
    <w:rsid w:val="001D6198"/>
    <w:rsid w:val="001D670F"/>
    <w:rsid w:val="001D6B86"/>
    <w:rsid w:val="001D73B6"/>
    <w:rsid w:val="001D74CE"/>
    <w:rsid w:val="001D7622"/>
    <w:rsid w:val="001D76EB"/>
    <w:rsid w:val="001D78F3"/>
    <w:rsid w:val="001D79D0"/>
    <w:rsid w:val="001D7AC7"/>
    <w:rsid w:val="001E0BF1"/>
    <w:rsid w:val="001E1E28"/>
    <w:rsid w:val="001E2620"/>
    <w:rsid w:val="001E2B28"/>
    <w:rsid w:val="001E3D51"/>
    <w:rsid w:val="001E3D84"/>
    <w:rsid w:val="001E4147"/>
    <w:rsid w:val="001E4381"/>
    <w:rsid w:val="001E4CBA"/>
    <w:rsid w:val="001E548C"/>
    <w:rsid w:val="001E5B5B"/>
    <w:rsid w:val="001E5CBA"/>
    <w:rsid w:val="001E7019"/>
    <w:rsid w:val="001E7047"/>
    <w:rsid w:val="001E713F"/>
    <w:rsid w:val="001E71F0"/>
    <w:rsid w:val="001E71F9"/>
    <w:rsid w:val="001E747D"/>
    <w:rsid w:val="001E76DA"/>
    <w:rsid w:val="001E7C3D"/>
    <w:rsid w:val="001E7F81"/>
    <w:rsid w:val="001F00DF"/>
    <w:rsid w:val="001F01E5"/>
    <w:rsid w:val="001F02E1"/>
    <w:rsid w:val="001F0951"/>
    <w:rsid w:val="001F1223"/>
    <w:rsid w:val="001F182A"/>
    <w:rsid w:val="001F1E8F"/>
    <w:rsid w:val="001F1FE2"/>
    <w:rsid w:val="001F2327"/>
    <w:rsid w:val="001F2B05"/>
    <w:rsid w:val="001F4DA1"/>
    <w:rsid w:val="001F5268"/>
    <w:rsid w:val="001F553C"/>
    <w:rsid w:val="001F5E50"/>
    <w:rsid w:val="001F5EB4"/>
    <w:rsid w:val="001F6448"/>
    <w:rsid w:val="001F64D1"/>
    <w:rsid w:val="001F6BB0"/>
    <w:rsid w:val="001F6D5B"/>
    <w:rsid w:val="001F6FDB"/>
    <w:rsid w:val="001F7B59"/>
    <w:rsid w:val="00200260"/>
    <w:rsid w:val="002002CE"/>
    <w:rsid w:val="0020066F"/>
    <w:rsid w:val="0020107A"/>
    <w:rsid w:val="002011BD"/>
    <w:rsid w:val="0020135D"/>
    <w:rsid w:val="00201BA3"/>
    <w:rsid w:val="00201D77"/>
    <w:rsid w:val="00201FED"/>
    <w:rsid w:val="00202061"/>
    <w:rsid w:val="00202EAD"/>
    <w:rsid w:val="0020328F"/>
    <w:rsid w:val="00203A6F"/>
    <w:rsid w:val="00203D3B"/>
    <w:rsid w:val="00204511"/>
    <w:rsid w:val="002046F3"/>
    <w:rsid w:val="00204DE0"/>
    <w:rsid w:val="002056E7"/>
    <w:rsid w:val="0020621C"/>
    <w:rsid w:val="00206C2E"/>
    <w:rsid w:val="00206CDA"/>
    <w:rsid w:val="0020734D"/>
    <w:rsid w:val="00207BF8"/>
    <w:rsid w:val="00210018"/>
    <w:rsid w:val="0021001C"/>
    <w:rsid w:val="00211194"/>
    <w:rsid w:val="0021149E"/>
    <w:rsid w:val="00211816"/>
    <w:rsid w:val="00211C55"/>
    <w:rsid w:val="00212A4A"/>
    <w:rsid w:val="00212BA4"/>
    <w:rsid w:val="00212BDC"/>
    <w:rsid w:val="00212E42"/>
    <w:rsid w:val="0021340B"/>
    <w:rsid w:val="002139A2"/>
    <w:rsid w:val="00213B3D"/>
    <w:rsid w:val="00214569"/>
    <w:rsid w:val="00215156"/>
    <w:rsid w:val="0021517D"/>
    <w:rsid w:val="002157BF"/>
    <w:rsid w:val="00216157"/>
    <w:rsid w:val="00217566"/>
    <w:rsid w:val="00217B1B"/>
    <w:rsid w:val="002204A9"/>
    <w:rsid w:val="00220D43"/>
    <w:rsid w:val="00220D69"/>
    <w:rsid w:val="002210F5"/>
    <w:rsid w:val="0022160D"/>
    <w:rsid w:val="00221C99"/>
    <w:rsid w:val="00221D51"/>
    <w:rsid w:val="00222123"/>
    <w:rsid w:val="0022213A"/>
    <w:rsid w:val="002222A1"/>
    <w:rsid w:val="00222CF1"/>
    <w:rsid w:val="00223BB9"/>
    <w:rsid w:val="00223C6C"/>
    <w:rsid w:val="00224EA9"/>
    <w:rsid w:val="00224F04"/>
    <w:rsid w:val="00225155"/>
    <w:rsid w:val="0022552E"/>
    <w:rsid w:val="002255BA"/>
    <w:rsid w:val="00225D42"/>
    <w:rsid w:val="00226AEF"/>
    <w:rsid w:val="00226D9D"/>
    <w:rsid w:val="00227776"/>
    <w:rsid w:val="00230096"/>
    <w:rsid w:val="002304EE"/>
    <w:rsid w:val="002308C7"/>
    <w:rsid w:val="00230CAD"/>
    <w:rsid w:val="00232158"/>
    <w:rsid w:val="0023253B"/>
    <w:rsid w:val="0023279B"/>
    <w:rsid w:val="002328F9"/>
    <w:rsid w:val="0023395B"/>
    <w:rsid w:val="00233CE3"/>
    <w:rsid w:val="00234285"/>
    <w:rsid w:val="002343BF"/>
    <w:rsid w:val="002344C1"/>
    <w:rsid w:val="00234556"/>
    <w:rsid w:val="00234634"/>
    <w:rsid w:val="0023535A"/>
    <w:rsid w:val="0023535F"/>
    <w:rsid w:val="002353E9"/>
    <w:rsid w:val="00235738"/>
    <w:rsid w:val="00235B29"/>
    <w:rsid w:val="00235D4C"/>
    <w:rsid w:val="002364A9"/>
    <w:rsid w:val="002366B7"/>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FC"/>
    <w:rsid w:val="00243797"/>
    <w:rsid w:val="002442D9"/>
    <w:rsid w:val="00244A11"/>
    <w:rsid w:val="00244BA7"/>
    <w:rsid w:val="0024506F"/>
    <w:rsid w:val="00245351"/>
    <w:rsid w:val="00245432"/>
    <w:rsid w:val="0024593F"/>
    <w:rsid w:val="00245B87"/>
    <w:rsid w:val="00245CC7"/>
    <w:rsid w:val="00246827"/>
    <w:rsid w:val="00246897"/>
    <w:rsid w:val="002468A3"/>
    <w:rsid w:val="00246C03"/>
    <w:rsid w:val="002476B6"/>
    <w:rsid w:val="00247E76"/>
    <w:rsid w:val="00247E8F"/>
    <w:rsid w:val="00250146"/>
    <w:rsid w:val="00250C0E"/>
    <w:rsid w:val="002510D5"/>
    <w:rsid w:val="00251572"/>
    <w:rsid w:val="0025173D"/>
    <w:rsid w:val="002523CF"/>
    <w:rsid w:val="0025280C"/>
    <w:rsid w:val="00252907"/>
    <w:rsid w:val="00252BB0"/>
    <w:rsid w:val="00253242"/>
    <w:rsid w:val="002537C5"/>
    <w:rsid w:val="00253A05"/>
    <w:rsid w:val="00253D3A"/>
    <w:rsid w:val="00254590"/>
    <w:rsid w:val="002549FC"/>
    <w:rsid w:val="00254B75"/>
    <w:rsid w:val="00254B8C"/>
    <w:rsid w:val="002551C8"/>
    <w:rsid w:val="0025529E"/>
    <w:rsid w:val="002556B1"/>
    <w:rsid w:val="00255B58"/>
    <w:rsid w:val="00255CF8"/>
    <w:rsid w:val="00255E00"/>
    <w:rsid w:val="00256044"/>
    <w:rsid w:val="0025663C"/>
    <w:rsid w:val="00256A50"/>
    <w:rsid w:val="00256D8B"/>
    <w:rsid w:val="00256FE1"/>
    <w:rsid w:val="00257178"/>
    <w:rsid w:val="00257B6B"/>
    <w:rsid w:val="00257D8A"/>
    <w:rsid w:val="00257F42"/>
    <w:rsid w:val="00257F96"/>
    <w:rsid w:val="0026064B"/>
    <w:rsid w:val="00260A2D"/>
    <w:rsid w:val="00260B38"/>
    <w:rsid w:val="002612B0"/>
    <w:rsid w:val="00261488"/>
    <w:rsid w:val="0026195C"/>
    <w:rsid w:val="00261DAC"/>
    <w:rsid w:val="002621B8"/>
    <w:rsid w:val="002621BD"/>
    <w:rsid w:val="0026222C"/>
    <w:rsid w:val="00262359"/>
    <w:rsid w:val="00262490"/>
    <w:rsid w:val="0026283B"/>
    <w:rsid w:val="00262969"/>
    <w:rsid w:val="002633D9"/>
    <w:rsid w:val="0026340E"/>
    <w:rsid w:val="0026362E"/>
    <w:rsid w:val="002639CA"/>
    <w:rsid w:val="002642F2"/>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EAC"/>
    <w:rsid w:val="00271A81"/>
    <w:rsid w:val="00271CD7"/>
    <w:rsid w:val="00271CF2"/>
    <w:rsid w:val="00271D81"/>
    <w:rsid w:val="0027213F"/>
    <w:rsid w:val="002722BD"/>
    <w:rsid w:val="0027267D"/>
    <w:rsid w:val="002727E6"/>
    <w:rsid w:val="00272D1C"/>
    <w:rsid w:val="00273058"/>
    <w:rsid w:val="002731B9"/>
    <w:rsid w:val="00273B8D"/>
    <w:rsid w:val="00273CF0"/>
    <w:rsid w:val="00273E72"/>
    <w:rsid w:val="0027402A"/>
    <w:rsid w:val="00274068"/>
    <w:rsid w:val="0027498E"/>
    <w:rsid w:val="00274EFE"/>
    <w:rsid w:val="00275B02"/>
    <w:rsid w:val="00275FBC"/>
    <w:rsid w:val="0027638B"/>
    <w:rsid w:val="0027686D"/>
    <w:rsid w:val="00276B43"/>
    <w:rsid w:val="00276DC0"/>
    <w:rsid w:val="00276FBF"/>
    <w:rsid w:val="0027773B"/>
    <w:rsid w:val="00277A63"/>
    <w:rsid w:val="00277BC9"/>
    <w:rsid w:val="00277D5C"/>
    <w:rsid w:val="00277F47"/>
    <w:rsid w:val="00280026"/>
    <w:rsid w:val="0028064F"/>
    <w:rsid w:val="00280F3D"/>
    <w:rsid w:val="002810D9"/>
    <w:rsid w:val="002814EE"/>
    <w:rsid w:val="00281830"/>
    <w:rsid w:val="0028195E"/>
    <w:rsid w:val="00281B57"/>
    <w:rsid w:val="00281D9E"/>
    <w:rsid w:val="00282593"/>
    <w:rsid w:val="002830F6"/>
    <w:rsid w:val="002836D4"/>
    <w:rsid w:val="002836ED"/>
    <w:rsid w:val="00283DD1"/>
    <w:rsid w:val="00283F64"/>
    <w:rsid w:val="00284442"/>
    <w:rsid w:val="00284CE8"/>
    <w:rsid w:val="00285482"/>
    <w:rsid w:val="00285886"/>
    <w:rsid w:val="00285A5E"/>
    <w:rsid w:val="00285F7B"/>
    <w:rsid w:val="002862A3"/>
    <w:rsid w:val="002864FC"/>
    <w:rsid w:val="00286C59"/>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63E"/>
    <w:rsid w:val="00292A8E"/>
    <w:rsid w:val="00293198"/>
    <w:rsid w:val="002933A1"/>
    <w:rsid w:val="0029450E"/>
    <w:rsid w:val="00294B1A"/>
    <w:rsid w:val="00294C0F"/>
    <w:rsid w:val="00294F77"/>
    <w:rsid w:val="0029551E"/>
    <w:rsid w:val="00295922"/>
    <w:rsid w:val="002962CB"/>
    <w:rsid w:val="0029691D"/>
    <w:rsid w:val="002977B4"/>
    <w:rsid w:val="00297A00"/>
    <w:rsid w:val="00297BFE"/>
    <w:rsid w:val="00297F8C"/>
    <w:rsid w:val="002A0113"/>
    <w:rsid w:val="002A03ED"/>
    <w:rsid w:val="002A040F"/>
    <w:rsid w:val="002A0BC9"/>
    <w:rsid w:val="002A190F"/>
    <w:rsid w:val="002A1B25"/>
    <w:rsid w:val="002A1B2A"/>
    <w:rsid w:val="002A2129"/>
    <w:rsid w:val="002A2FA2"/>
    <w:rsid w:val="002A3215"/>
    <w:rsid w:val="002A33F4"/>
    <w:rsid w:val="002A3796"/>
    <w:rsid w:val="002A38CF"/>
    <w:rsid w:val="002A3B3F"/>
    <w:rsid w:val="002A46F7"/>
    <w:rsid w:val="002A4859"/>
    <w:rsid w:val="002A4F74"/>
    <w:rsid w:val="002A5A02"/>
    <w:rsid w:val="002A5F01"/>
    <w:rsid w:val="002A5FBE"/>
    <w:rsid w:val="002A6CE6"/>
    <w:rsid w:val="002A7DBA"/>
    <w:rsid w:val="002A7E9B"/>
    <w:rsid w:val="002B0578"/>
    <w:rsid w:val="002B059A"/>
    <w:rsid w:val="002B059F"/>
    <w:rsid w:val="002B0668"/>
    <w:rsid w:val="002B1293"/>
    <w:rsid w:val="002B1AD6"/>
    <w:rsid w:val="002B1E1C"/>
    <w:rsid w:val="002B2183"/>
    <w:rsid w:val="002B2414"/>
    <w:rsid w:val="002B2B16"/>
    <w:rsid w:val="002B3035"/>
    <w:rsid w:val="002B32DD"/>
    <w:rsid w:val="002B3968"/>
    <w:rsid w:val="002B4001"/>
    <w:rsid w:val="002B409B"/>
    <w:rsid w:val="002B40EA"/>
    <w:rsid w:val="002B4392"/>
    <w:rsid w:val="002B4A50"/>
    <w:rsid w:val="002B5562"/>
    <w:rsid w:val="002B56C3"/>
    <w:rsid w:val="002B5AD5"/>
    <w:rsid w:val="002B5C5A"/>
    <w:rsid w:val="002B6038"/>
    <w:rsid w:val="002B61FF"/>
    <w:rsid w:val="002B6422"/>
    <w:rsid w:val="002B6ABA"/>
    <w:rsid w:val="002B71BA"/>
    <w:rsid w:val="002B742B"/>
    <w:rsid w:val="002B7843"/>
    <w:rsid w:val="002B7B4D"/>
    <w:rsid w:val="002C0291"/>
    <w:rsid w:val="002C0625"/>
    <w:rsid w:val="002C0678"/>
    <w:rsid w:val="002C1252"/>
    <w:rsid w:val="002C15D5"/>
    <w:rsid w:val="002C171E"/>
    <w:rsid w:val="002C182C"/>
    <w:rsid w:val="002C208E"/>
    <w:rsid w:val="002C2F67"/>
    <w:rsid w:val="002C3355"/>
    <w:rsid w:val="002C34A6"/>
    <w:rsid w:val="002C3609"/>
    <w:rsid w:val="002C3A60"/>
    <w:rsid w:val="002C3C63"/>
    <w:rsid w:val="002C45B6"/>
    <w:rsid w:val="002C4633"/>
    <w:rsid w:val="002C47A5"/>
    <w:rsid w:val="002C506F"/>
    <w:rsid w:val="002C51B6"/>
    <w:rsid w:val="002C5912"/>
    <w:rsid w:val="002C5970"/>
    <w:rsid w:val="002C5F03"/>
    <w:rsid w:val="002C6588"/>
    <w:rsid w:val="002C662D"/>
    <w:rsid w:val="002C6B2F"/>
    <w:rsid w:val="002C6BFB"/>
    <w:rsid w:val="002C78D8"/>
    <w:rsid w:val="002C7B61"/>
    <w:rsid w:val="002C7B6D"/>
    <w:rsid w:val="002C7C2B"/>
    <w:rsid w:val="002C7C42"/>
    <w:rsid w:val="002D00FA"/>
    <w:rsid w:val="002D049F"/>
    <w:rsid w:val="002D0987"/>
    <w:rsid w:val="002D0B7C"/>
    <w:rsid w:val="002D0D1A"/>
    <w:rsid w:val="002D0E54"/>
    <w:rsid w:val="002D155C"/>
    <w:rsid w:val="002D1637"/>
    <w:rsid w:val="002D1688"/>
    <w:rsid w:val="002D16B8"/>
    <w:rsid w:val="002D1819"/>
    <w:rsid w:val="002D1B69"/>
    <w:rsid w:val="002D1BA5"/>
    <w:rsid w:val="002D1C46"/>
    <w:rsid w:val="002D26EC"/>
    <w:rsid w:val="002D2BF5"/>
    <w:rsid w:val="002D3043"/>
    <w:rsid w:val="002D35F5"/>
    <w:rsid w:val="002D3B6D"/>
    <w:rsid w:val="002D3D5A"/>
    <w:rsid w:val="002D3E5B"/>
    <w:rsid w:val="002D4510"/>
    <w:rsid w:val="002D47FE"/>
    <w:rsid w:val="002D4B1D"/>
    <w:rsid w:val="002D532D"/>
    <w:rsid w:val="002D5D7D"/>
    <w:rsid w:val="002D5FDF"/>
    <w:rsid w:val="002D607B"/>
    <w:rsid w:val="002D6582"/>
    <w:rsid w:val="002D65E2"/>
    <w:rsid w:val="002D6B7B"/>
    <w:rsid w:val="002D739A"/>
    <w:rsid w:val="002D73BD"/>
    <w:rsid w:val="002D76AB"/>
    <w:rsid w:val="002D786D"/>
    <w:rsid w:val="002E0020"/>
    <w:rsid w:val="002E0042"/>
    <w:rsid w:val="002E0188"/>
    <w:rsid w:val="002E0209"/>
    <w:rsid w:val="002E070F"/>
    <w:rsid w:val="002E0C55"/>
    <w:rsid w:val="002E0CBF"/>
    <w:rsid w:val="002E1230"/>
    <w:rsid w:val="002E1545"/>
    <w:rsid w:val="002E180A"/>
    <w:rsid w:val="002E1910"/>
    <w:rsid w:val="002E1EC7"/>
    <w:rsid w:val="002E2333"/>
    <w:rsid w:val="002E2433"/>
    <w:rsid w:val="002E28BA"/>
    <w:rsid w:val="002E361C"/>
    <w:rsid w:val="002E3943"/>
    <w:rsid w:val="002E3EAF"/>
    <w:rsid w:val="002E3F7C"/>
    <w:rsid w:val="002E4254"/>
    <w:rsid w:val="002E44C3"/>
    <w:rsid w:val="002E4691"/>
    <w:rsid w:val="002E4F13"/>
    <w:rsid w:val="002E4FB7"/>
    <w:rsid w:val="002E5213"/>
    <w:rsid w:val="002E543D"/>
    <w:rsid w:val="002E577D"/>
    <w:rsid w:val="002E63EE"/>
    <w:rsid w:val="002E6712"/>
    <w:rsid w:val="002E6FDB"/>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556F"/>
    <w:rsid w:val="002F5678"/>
    <w:rsid w:val="002F5F3B"/>
    <w:rsid w:val="002F64E5"/>
    <w:rsid w:val="002F693C"/>
    <w:rsid w:val="002F69BB"/>
    <w:rsid w:val="002F6EC5"/>
    <w:rsid w:val="002F6FAD"/>
    <w:rsid w:val="002F797B"/>
    <w:rsid w:val="002F7A9E"/>
    <w:rsid w:val="002F7C6D"/>
    <w:rsid w:val="0030120B"/>
    <w:rsid w:val="003020F4"/>
    <w:rsid w:val="003023A1"/>
    <w:rsid w:val="003025C7"/>
    <w:rsid w:val="0030360F"/>
    <w:rsid w:val="00303790"/>
    <w:rsid w:val="00303984"/>
    <w:rsid w:val="00304161"/>
    <w:rsid w:val="003043A7"/>
    <w:rsid w:val="00304618"/>
    <w:rsid w:val="00304643"/>
    <w:rsid w:val="0030477F"/>
    <w:rsid w:val="003047D2"/>
    <w:rsid w:val="00304A73"/>
    <w:rsid w:val="00304DFD"/>
    <w:rsid w:val="00304FE5"/>
    <w:rsid w:val="003057F7"/>
    <w:rsid w:val="00305842"/>
    <w:rsid w:val="0030597C"/>
    <w:rsid w:val="003059A3"/>
    <w:rsid w:val="00305D69"/>
    <w:rsid w:val="003063A5"/>
    <w:rsid w:val="00306864"/>
    <w:rsid w:val="003069F9"/>
    <w:rsid w:val="00306C90"/>
    <w:rsid w:val="00307669"/>
    <w:rsid w:val="00307951"/>
    <w:rsid w:val="00307DB7"/>
    <w:rsid w:val="00307F99"/>
    <w:rsid w:val="00310040"/>
    <w:rsid w:val="00310208"/>
    <w:rsid w:val="00310371"/>
    <w:rsid w:val="0031042D"/>
    <w:rsid w:val="0031058F"/>
    <w:rsid w:val="0031089E"/>
    <w:rsid w:val="00310CE6"/>
    <w:rsid w:val="00310D69"/>
    <w:rsid w:val="00311663"/>
    <w:rsid w:val="00311668"/>
    <w:rsid w:val="00311FB1"/>
    <w:rsid w:val="0031257A"/>
    <w:rsid w:val="003129EE"/>
    <w:rsid w:val="00313938"/>
    <w:rsid w:val="00313AEF"/>
    <w:rsid w:val="0031422F"/>
    <w:rsid w:val="0031472E"/>
    <w:rsid w:val="003147B7"/>
    <w:rsid w:val="00314844"/>
    <w:rsid w:val="003149A9"/>
    <w:rsid w:val="0031528D"/>
    <w:rsid w:val="00315535"/>
    <w:rsid w:val="00315675"/>
    <w:rsid w:val="00315888"/>
    <w:rsid w:val="00315EC0"/>
    <w:rsid w:val="003161E0"/>
    <w:rsid w:val="003170A7"/>
    <w:rsid w:val="003179E3"/>
    <w:rsid w:val="00317B6B"/>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4003"/>
    <w:rsid w:val="003240EC"/>
    <w:rsid w:val="00324E78"/>
    <w:rsid w:val="003250C3"/>
    <w:rsid w:val="00325246"/>
    <w:rsid w:val="003253A1"/>
    <w:rsid w:val="00325869"/>
    <w:rsid w:val="00325A8A"/>
    <w:rsid w:val="00325A8C"/>
    <w:rsid w:val="00325B90"/>
    <w:rsid w:val="00325D35"/>
    <w:rsid w:val="00326448"/>
    <w:rsid w:val="0032650F"/>
    <w:rsid w:val="0032662E"/>
    <w:rsid w:val="00326854"/>
    <w:rsid w:val="00326F42"/>
    <w:rsid w:val="00327220"/>
    <w:rsid w:val="003272AF"/>
    <w:rsid w:val="003275E4"/>
    <w:rsid w:val="003278A7"/>
    <w:rsid w:val="00327F0D"/>
    <w:rsid w:val="00330069"/>
    <w:rsid w:val="00330144"/>
    <w:rsid w:val="003302D8"/>
    <w:rsid w:val="0033032C"/>
    <w:rsid w:val="003304A1"/>
    <w:rsid w:val="00330999"/>
    <w:rsid w:val="00331316"/>
    <w:rsid w:val="0033133C"/>
    <w:rsid w:val="00331864"/>
    <w:rsid w:val="0033244F"/>
    <w:rsid w:val="00332C1D"/>
    <w:rsid w:val="00332EF9"/>
    <w:rsid w:val="00333005"/>
    <w:rsid w:val="00333597"/>
    <w:rsid w:val="00334500"/>
    <w:rsid w:val="00334E58"/>
    <w:rsid w:val="00335707"/>
    <w:rsid w:val="0033572F"/>
    <w:rsid w:val="0033634D"/>
    <w:rsid w:val="003370E6"/>
    <w:rsid w:val="00337740"/>
    <w:rsid w:val="00337743"/>
    <w:rsid w:val="00337E16"/>
    <w:rsid w:val="00340E66"/>
    <w:rsid w:val="00340F10"/>
    <w:rsid w:val="00341092"/>
    <w:rsid w:val="00341469"/>
    <w:rsid w:val="00341C89"/>
    <w:rsid w:val="00341D56"/>
    <w:rsid w:val="003423FA"/>
    <w:rsid w:val="00342629"/>
    <w:rsid w:val="003426CB"/>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63B5"/>
    <w:rsid w:val="0034659F"/>
    <w:rsid w:val="0034675B"/>
    <w:rsid w:val="00347465"/>
    <w:rsid w:val="0034796E"/>
    <w:rsid w:val="00347B56"/>
    <w:rsid w:val="00347E1A"/>
    <w:rsid w:val="00347FA9"/>
    <w:rsid w:val="003506E7"/>
    <w:rsid w:val="0035080A"/>
    <w:rsid w:val="00350A54"/>
    <w:rsid w:val="00350BE7"/>
    <w:rsid w:val="00350C4D"/>
    <w:rsid w:val="00350CDA"/>
    <w:rsid w:val="00350E87"/>
    <w:rsid w:val="00350ECA"/>
    <w:rsid w:val="00351286"/>
    <w:rsid w:val="00351609"/>
    <w:rsid w:val="00352B17"/>
    <w:rsid w:val="00352C98"/>
    <w:rsid w:val="00353018"/>
    <w:rsid w:val="003536BB"/>
    <w:rsid w:val="00353B7C"/>
    <w:rsid w:val="00353BE4"/>
    <w:rsid w:val="0035402B"/>
    <w:rsid w:val="0035438E"/>
    <w:rsid w:val="003547C0"/>
    <w:rsid w:val="003557D3"/>
    <w:rsid w:val="00355828"/>
    <w:rsid w:val="00355872"/>
    <w:rsid w:val="00355C09"/>
    <w:rsid w:val="003561EE"/>
    <w:rsid w:val="00356418"/>
    <w:rsid w:val="00356D90"/>
    <w:rsid w:val="00356E38"/>
    <w:rsid w:val="0035721C"/>
    <w:rsid w:val="003576DA"/>
    <w:rsid w:val="00357CBE"/>
    <w:rsid w:val="00357D66"/>
    <w:rsid w:val="003609A7"/>
    <w:rsid w:val="00360C13"/>
    <w:rsid w:val="00361427"/>
    <w:rsid w:val="00361487"/>
    <w:rsid w:val="00361661"/>
    <w:rsid w:val="00362905"/>
    <w:rsid w:val="003629D8"/>
    <w:rsid w:val="00363230"/>
    <w:rsid w:val="003644B2"/>
    <w:rsid w:val="00364B80"/>
    <w:rsid w:val="00364D53"/>
    <w:rsid w:val="00364FD8"/>
    <w:rsid w:val="003654A7"/>
    <w:rsid w:val="00365669"/>
    <w:rsid w:val="0036610E"/>
    <w:rsid w:val="00366735"/>
    <w:rsid w:val="0036674E"/>
    <w:rsid w:val="0036675B"/>
    <w:rsid w:val="00366EBB"/>
    <w:rsid w:val="0036772F"/>
    <w:rsid w:val="00367BD2"/>
    <w:rsid w:val="00370AD3"/>
    <w:rsid w:val="00370BC7"/>
    <w:rsid w:val="00371059"/>
    <w:rsid w:val="003715D6"/>
    <w:rsid w:val="003717C6"/>
    <w:rsid w:val="00371822"/>
    <w:rsid w:val="003719DE"/>
    <w:rsid w:val="00371A33"/>
    <w:rsid w:val="00372E83"/>
    <w:rsid w:val="0037314C"/>
    <w:rsid w:val="003731C2"/>
    <w:rsid w:val="00373747"/>
    <w:rsid w:val="00373860"/>
    <w:rsid w:val="00373DBC"/>
    <w:rsid w:val="00374226"/>
    <w:rsid w:val="00374B8C"/>
    <w:rsid w:val="00375080"/>
    <w:rsid w:val="00375772"/>
    <w:rsid w:val="0037593A"/>
    <w:rsid w:val="003766A1"/>
    <w:rsid w:val="0037696B"/>
    <w:rsid w:val="00376B8B"/>
    <w:rsid w:val="00376C51"/>
    <w:rsid w:val="00376CE2"/>
    <w:rsid w:val="00376D6D"/>
    <w:rsid w:val="00377407"/>
    <w:rsid w:val="003775AA"/>
    <w:rsid w:val="00380026"/>
    <w:rsid w:val="0038073F"/>
    <w:rsid w:val="0038081D"/>
    <w:rsid w:val="003808DB"/>
    <w:rsid w:val="00380993"/>
    <w:rsid w:val="00381332"/>
    <w:rsid w:val="00381780"/>
    <w:rsid w:val="00381B26"/>
    <w:rsid w:val="00381FDA"/>
    <w:rsid w:val="003820FF"/>
    <w:rsid w:val="003824E4"/>
    <w:rsid w:val="00382610"/>
    <w:rsid w:val="003827AA"/>
    <w:rsid w:val="00382B1B"/>
    <w:rsid w:val="0038351E"/>
    <w:rsid w:val="0038370D"/>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C17"/>
    <w:rsid w:val="00387CA6"/>
    <w:rsid w:val="00387CBD"/>
    <w:rsid w:val="003900C7"/>
    <w:rsid w:val="00390154"/>
    <w:rsid w:val="0039039F"/>
    <w:rsid w:val="00390480"/>
    <w:rsid w:val="00390ED6"/>
    <w:rsid w:val="00391955"/>
    <w:rsid w:val="00391B5C"/>
    <w:rsid w:val="00392509"/>
    <w:rsid w:val="003925E5"/>
    <w:rsid w:val="00392CD3"/>
    <w:rsid w:val="00392EB9"/>
    <w:rsid w:val="003931DD"/>
    <w:rsid w:val="003933B2"/>
    <w:rsid w:val="003933F3"/>
    <w:rsid w:val="00393865"/>
    <w:rsid w:val="00393C76"/>
    <w:rsid w:val="00393FCC"/>
    <w:rsid w:val="003943E5"/>
    <w:rsid w:val="00394793"/>
    <w:rsid w:val="003947BD"/>
    <w:rsid w:val="00394A7E"/>
    <w:rsid w:val="00394BEA"/>
    <w:rsid w:val="00394D47"/>
    <w:rsid w:val="003955E6"/>
    <w:rsid w:val="00395950"/>
    <w:rsid w:val="00396FE3"/>
    <w:rsid w:val="0039763E"/>
    <w:rsid w:val="0039797F"/>
    <w:rsid w:val="00397D8E"/>
    <w:rsid w:val="003A008A"/>
    <w:rsid w:val="003A105C"/>
    <w:rsid w:val="003A19D7"/>
    <w:rsid w:val="003A1E70"/>
    <w:rsid w:val="003A21CC"/>
    <w:rsid w:val="003A2222"/>
    <w:rsid w:val="003A233D"/>
    <w:rsid w:val="003A289A"/>
    <w:rsid w:val="003A2AE0"/>
    <w:rsid w:val="003A3262"/>
    <w:rsid w:val="003A39F5"/>
    <w:rsid w:val="003A434B"/>
    <w:rsid w:val="003A4371"/>
    <w:rsid w:val="003A4F18"/>
    <w:rsid w:val="003A5479"/>
    <w:rsid w:val="003A5C1B"/>
    <w:rsid w:val="003A5F8F"/>
    <w:rsid w:val="003A60B9"/>
    <w:rsid w:val="003A6665"/>
    <w:rsid w:val="003A6CF4"/>
    <w:rsid w:val="003A7971"/>
    <w:rsid w:val="003A7C7F"/>
    <w:rsid w:val="003A7FDB"/>
    <w:rsid w:val="003B023B"/>
    <w:rsid w:val="003B0304"/>
    <w:rsid w:val="003B043F"/>
    <w:rsid w:val="003B09C9"/>
    <w:rsid w:val="003B155C"/>
    <w:rsid w:val="003B16DB"/>
    <w:rsid w:val="003B1E19"/>
    <w:rsid w:val="003B20B4"/>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62EA"/>
    <w:rsid w:val="003B6508"/>
    <w:rsid w:val="003B6CDF"/>
    <w:rsid w:val="003B79D6"/>
    <w:rsid w:val="003B7CC1"/>
    <w:rsid w:val="003C00C3"/>
    <w:rsid w:val="003C0338"/>
    <w:rsid w:val="003C04DA"/>
    <w:rsid w:val="003C0DAF"/>
    <w:rsid w:val="003C10B2"/>
    <w:rsid w:val="003C11E9"/>
    <w:rsid w:val="003C123E"/>
    <w:rsid w:val="003C179A"/>
    <w:rsid w:val="003C1911"/>
    <w:rsid w:val="003C1B4F"/>
    <w:rsid w:val="003C1C96"/>
    <w:rsid w:val="003C1CD8"/>
    <w:rsid w:val="003C2288"/>
    <w:rsid w:val="003C2B48"/>
    <w:rsid w:val="003C2C98"/>
    <w:rsid w:val="003C31E0"/>
    <w:rsid w:val="003C331C"/>
    <w:rsid w:val="003C3336"/>
    <w:rsid w:val="003C39E6"/>
    <w:rsid w:val="003C3A11"/>
    <w:rsid w:val="003C40A3"/>
    <w:rsid w:val="003C43EB"/>
    <w:rsid w:val="003C46AE"/>
    <w:rsid w:val="003C4AFE"/>
    <w:rsid w:val="003C526E"/>
    <w:rsid w:val="003C64B0"/>
    <w:rsid w:val="003C6957"/>
    <w:rsid w:val="003C6CF0"/>
    <w:rsid w:val="003C6DEB"/>
    <w:rsid w:val="003C6EFC"/>
    <w:rsid w:val="003C73CA"/>
    <w:rsid w:val="003C748D"/>
    <w:rsid w:val="003C7585"/>
    <w:rsid w:val="003C7A5C"/>
    <w:rsid w:val="003C7A6B"/>
    <w:rsid w:val="003D0153"/>
    <w:rsid w:val="003D0526"/>
    <w:rsid w:val="003D095D"/>
    <w:rsid w:val="003D0AAF"/>
    <w:rsid w:val="003D17E0"/>
    <w:rsid w:val="003D17F1"/>
    <w:rsid w:val="003D198F"/>
    <w:rsid w:val="003D201E"/>
    <w:rsid w:val="003D2665"/>
    <w:rsid w:val="003D314A"/>
    <w:rsid w:val="003D331D"/>
    <w:rsid w:val="003D3574"/>
    <w:rsid w:val="003D3857"/>
    <w:rsid w:val="003D3A0C"/>
    <w:rsid w:val="003D4149"/>
    <w:rsid w:val="003D660C"/>
    <w:rsid w:val="003D73BD"/>
    <w:rsid w:val="003D7CCE"/>
    <w:rsid w:val="003E040C"/>
    <w:rsid w:val="003E0864"/>
    <w:rsid w:val="003E099A"/>
    <w:rsid w:val="003E0BAC"/>
    <w:rsid w:val="003E0D8C"/>
    <w:rsid w:val="003E0DCE"/>
    <w:rsid w:val="003E154A"/>
    <w:rsid w:val="003E15A3"/>
    <w:rsid w:val="003E19C7"/>
    <w:rsid w:val="003E1B68"/>
    <w:rsid w:val="003E21AD"/>
    <w:rsid w:val="003E21C8"/>
    <w:rsid w:val="003E2417"/>
    <w:rsid w:val="003E2594"/>
    <w:rsid w:val="003E2601"/>
    <w:rsid w:val="003E2E52"/>
    <w:rsid w:val="003E3D77"/>
    <w:rsid w:val="003E4100"/>
    <w:rsid w:val="003E4408"/>
    <w:rsid w:val="003E5242"/>
    <w:rsid w:val="003E5FC5"/>
    <w:rsid w:val="003E65D7"/>
    <w:rsid w:val="003E7465"/>
    <w:rsid w:val="003E7483"/>
    <w:rsid w:val="003F0515"/>
    <w:rsid w:val="003F057F"/>
    <w:rsid w:val="003F106B"/>
    <w:rsid w:val="003F12AB"/>
    <w:rsid w:val="003F14AB"/>
    <w:rsid w:val="003F163F"/>
    <w:rsid w:val="003F185F"/>
    <w:rsid w:val="003F1ACE"/>
    <w:rsid w:val="003F1CE1"/>
    <w:rsid w:val="003F1E26"/>
    <w:rsid w:val="003F27C0"/>
    <w:rsid w:val="003F2923"/>
    <w:rsid w:val="003F2D7E"/>
    <w:rsid w:val="003F2E6F"/>
    <w:rsid w:val="003F33C7"/>
    <w:rsid w:val="003F3B0D"/>
    <w:rsid w:val="003F413A"/>
    <w:rsid w:val="003F47B8"/>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8D3"/>
    <w:rsid w:val="0040048C"/>
    <w:rsid w:val="00400533"/>
    <w:rsid w:val="00400C90"/>
    <w:rsid w:val="00400F7F"/>
    <w:rsid w:val="00401930"/>
    <w:rsid w:val="00401ABD"/>
    <w:rsid w:val="00401B73"/>
    <w:rsid w:val="004023F7"/>
    <w:rsid w:val="00402C93"/>
    <w:rsid w:val="0040363C"/>
    <w:rsid w:val="004036AF"/>
    <w:rsid w:val="00403A0F"/>
    <w:rsid w:val="00403BE7"/>
    <w:rsid w:val="0040424B"/>
    <w:rsid w:val="0040434E"/>
    <w:rsid w:val="004045DC"/>
    <w:rsid w:val="004048E5"/>
    <w:rsid w:val="00404D1E"/>
    <w:rsid w:val="00405316"/>
    <w:rsid w:val="004057B0"/>
    <w:rsid w:val="00405876"/>
    <w:rsid w:val="004065C0"/>
    <w:rsid w:val="00406623"/>
    <w:rsid w:val="00410ED3"/>
    <w:rsid w:val="0041153E"/>
    <w:rsid w:val="004117A3"/>
    <w:rsid w:val="00411E35"/>
    <w:rsid w:val="00412488"/>
    <w:rsid w:val="004127C7"/>
    <w:rsid w:val="00412B7F"/>
    <w:rsid w:val="00412C6F"/>
    <w:rsid w:val="00412CEF"/>
    <w:rsid w:val="004141A8"/>
    <w:rsid w:val="004142D6"/>
    <w:rsid w:val="004145D9"/>
    <w:rsid w:val="00414D86"/>
    <w:rsid w:val="00414E59"/>
    <w:rsid w:val="00415A4B"/>
    <w:rsid w:val="00415F33"/>
    <w:rsid w:val="00415F59"/>
    <w:rsid w:val="00416404"/>
    <w:rsid w:val="004165B8"/>
    <w:rsid w:val="004169D8"/>
    <w:rsid w:val="00416AE2"/>
    <w:rsid w:val="00417048"/>
    <w:rsid w:val="00417956"/>
    <w:rsid w:val="00420098"/>
    <w:rsid w:val="004201AF"/>
    <w:rsid w:val="00420B07"/>
    <w:rsid w:val="00420C22"/>
    <w:rsid w:val="00420DF0"/>
    <w:rsid w:val="004213F9"/>
    <w:rsid w:val="004214FF"/>
    <w:rsid w:val="004217F1"/>
    <w:rsid w:val="00421A79"/>
    <w:rsid w:val="00421E70"/>
    <w:rsid w:val="004224E7"/>
    <w:rsid w:val="004229FE"/>
    <w:rsid w:val="00422BF5"/>
    <w:rsid w:val="0042327F"/>
    <w:rsid w:val="00423B76"/>
    <w:rsid w:val="00423F07"/>
    <w:rsid w:val="00424303"/>
    <w:rsid w:val="004243AB"/>
    <w:rsid w:val="00424835"/>
    <w:rsid w:val="004254F2"/>
    <w:rsid w:val="004257A8"/>
    <w:rsid w:val="00425D34"/>
    <w:rsid w:val="00425FF9"/>
    <w:rsid w:val="00426328"/>
    <w:rsid w:val="004266DC"/>
    <w:rsid w:val="0042677E"/>
    <w:rsid w:val="0042706F"/>
    <w:rsid w:val="004279A3"/>
    <w:rsid w:val="004279C7"/>
    <w:rsid w:val="00427B3B"/>
    <w:rsid w:val="00427C8C"/>
    <w:rsid w:val="00427D4C"/>
    <w:rsid w:val="00427EBF"/>
    <w:rsid w:val="0043004B"/>
    <w:rsid w:val="0043072D"/>
    <w:rsid w:val="00430832"/>
    <w:rsid w:val="00431085"/>
    <w:rsid w:val="004313B0"/>
    <w:rsid w:val="004314AB"/>
    <w:rsid w:val="0043152E"/>
    <w:rsid w:val="00431AA2"/>
    <w:rsid w:val="00432278"/>
    <w:rsid w:val="00432CD9"/>
    <w:rsid w:val="00432FAF"/>
    <w:rsid w:val="00434EDF"/>
    <w:rsid w:val="00435149"/>
    <w:rsid w:val="00435269"/>
    <w:rsid w:val="00435805"/>
    <w:rsid w:val="00435EC1"/>
    <w:rsid w:val="004362AB"/>
    <w:rsid w:val="004367E0"/>
    <w:rsid w:val="00437337"/>
    <w:rsid w:val="0043763C"/>
    <w:rsid w:val="00437F4F"/>
    <w:rsid w:val="00440126"/>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417A"/>
    <w:rsid w:val="0044434A"/>
    <w:rsid w:val="0044437F"/>
    <w:rsid w:val="004446ED"/>
    <w:rsid w:val="004452BC"/>
    <w:rsid w:val="004453D0"/>
    <w:rsid w:val="004459D3"/>
    <w:rsid w:val="00445A25"/>
    <w:rsid w:val="00445AC4"/>
    <w:rsid w:val="00445C7A"/>
    <w:rsid w:val="00445E76"/>
    <w:rsid w:val="0044620A"/>
    <w:rsid w:val="0044655B"/>
    <w:rsid w:val="00446606"/>
    <w:rsid w:val="004471BC"/>
    <w:rsid w:val="00447217"/>
    <w:rsid w:val="00447508"/>
    <w:rsid w:val="004477E9"/>
    <w:rsid w:val="00447B50"/>
    <w:rsid w:val="004501F3"/>
    <w:rsid w:val="00450515"/>
    <w:rsid w:val="00450AD8"/>
    <w:rsid w:val="00450F0D"/>
    <w:rsid w:val="00451450"/>
    <w:rsid w:val="00451471"/>
    <w:rsid w:val="00451B50"/>
    <w:rsid w:val="0045211C"/>
    <w:rsid w:val="00452756"/>
    <w:rsid w:val="00452C60"/>
    <w:rsid w:val="00452DBE"/>
    <w:rsid w:val="00453294"/>
    <w:rsid w:val="0045343E"/>
    <w:rsid w:val="00453626"/>
    <w:rsid w:val="00453704"/>
    <w:rsid w:val="00453FC2"/>
    <w:rsid w:val="0045404D"/>
    <w:rsid w:val="004544ED"/>
    <w:rsid w:val="00454D9A"/>
    <w:rsid w:val="0045665B"/>
    <w:rsid w:val="00456C61"/>
    <w:rsid w:val="00457013"/>
    <w:rsid w:val="004573D3"/>
    <w:rsid w:val="004578EA"/>
    <w:rsid w:val="00457AAC"/>
    <w:rsid w:val="00457F93"/>
    <w:rsid w:val="00460326"/>
    <w:rsid w:val="00460547"/>
    <w:rsid w:val="00460682"/>
    <w:rsid w:val="00460B6C"/>
    <w:rsid w:val="00460E6C"/>
    <w:rsid w:val="00460F1B"/>
    <w:rsid w:val="0046113E"/>
    <w:rsid w:val="004617A9"/>
    <w:rsid w:val="00461B70"/>
    <w:rsid w:val="0046258E"/>
    <w:rsid w:val="0046291A"/>
    <w:rsid w:val="00462932"/>
    <w:rsid w:val="00462CEB"/>
    <w:rsid w:val="00462DCA"/>
    <w:rsid w:val="00462EA8"/>
    <w:rsid w:val="0046384E"/>
    <w:rsid w:val="00464C2B"/>
    <w:rsid w:val="00464CF4"/>
    <w:rsid w:val="00465562"/>
    <w:rsid w:val="00465C8E"/>
    <w:rsid w:val="00465DFD"/>
    <w:rsid w:val="004663C3"/>
    <w:rsid w:val="004666C7"/>
    <w:rsid w:val="00466E73"/>
    <w:rsid w:val="00466F69"/>
    <w:rsid w:val="0046706B"/>
    <w:rsid w:val="00467815"/>
    <w:rsid w:val="00467916"/>
    <w:rsid w:val="00467D9B"/>
    <w:rsid w:val="004703CF"/>
    <w:rsid w:val="004709A0"/>
    <w:rsid w:val="00470D19"/>
    <w:rsid w:val="00471284"/>
    <w:rsid w:val="004712D4"/>
    <w:rsid w:val="00472BF3"/>
    <w:rsid w:val="00472FB0"/>
    <w:rsid w:val="00473696"/>
    <w:rsid w:val="00473721"/>
    <w:rsid w:val="00473A4B"/>
    <w:rsid w:val="004741FD"/>
    <w:rsid w:val="0047491E"/>
    <w:rsid w:val="00474986"/>
    <w:rsid w:val="00474A6A"/>
    <w:rsid w:val="00474EF0"/>
    <w:rsid w:val="0047608F"/>
    <w:rsid w:val="0047658E"/>
    <w:rsid w:val="00477413"/>
    <w:rsid w:val="00477496"/>
    <w:rsid w:val="00477716"/>
    <w:rsid w:val="00477863"/>
    <w:rsid w:val="00477BFC"/>
    <w:rsid w:val="00477D8A"/>
    <w:rsid w:val="00477DE9"/>
    <w:rsid w:val="00477F47"/>
    <w:rsid w:val="00480439"/>
    <w:rsid w:val="00480618"/>
    <w:rsid w:val="0048086E"/>
    <w:rsid w:val="00480F71"/>
    <w:rsid w:val="0048213A"/>
    <w:rsid w:val="00482764"/>
    <w:rsid w:val="0048278B"/>
    <w:rsid w:val="0048285F"/>
    <w:rsid w:val="00482D16"/>
    <w:rsid w:val="00482E4C"/>
    <w:rsid w:val="00482E4F"/>
    <w:rsid w:val="004831CC"/>
    <w:rsid w:val="004836D8"/>
    <w:rsid w:val="004837C6"/>
    <w:rsid w:val="00483998"/>
    <w:rsid w:val="00483FC1"/>
    <w:rsid w:val="00484250"/>
    <w:rsid w:val="00484652"/>
    <w:rsid w:val="004848A8"/>
    <w:rsid w:val="00484CB7"/>
    <w:rsid w:val="00484E4C"/>
    <w:rsid w:val="00485154"/>
    <w:rsid w:val="004851F3"/>
    <w:rsid w:val="004854A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3BD"/>
    <w:rsid w:val="00492E3F"/>
    <w:rsid w:val="004930B3"/>
    <w:rsid w:val="00493F5C"/>
    <w:rsid w:val="0049412A"/>
    <w:rsid w:val="00494269"/>
    <w:rsid w:val="004945E3"/>
    <w:rsid w:val="0049469C"/>
    <w:rsid w:val="00494EB3"/>
    <w:rsid w:val="0049560D"/>
    <w:rsid w:val="00495DB3"/>
    <w:rsid w:val="00495F43"/>
    <w:rsid w:val="00497F5E"/>
    <w:rsid w:val="004A00B0"/>
    <w:rsid w:val="004A16BB"/>
    <w:rsid w:val="004A171B"/>
    <w:rsid w:val="004A207E"/>
    <w:rsid w:val="004A2148"/>
    <w:rsid w:val="004A2385"/>
    <w:rsid w:val="004A28A0"/>
    <w:rsid w:val="004A2C49"/>
    <w:rsid w:val="004A2D91"/>
    <w:rsid w:val="004A3A8F"/>
    <w:rsid w:val="004A3B95"/>
    <w:rsid w:val="004A3C91"/>
    <w:rsid w:val="004A3DEE"/>
    <w:rsid w:val="004A44E6"/>
    <w:rsid w:val="004A565E"/>
    <w:rsid w:val="004A58BA"/>
    <w:rsid w:val="004A67A5"/>
    <w:rsid w:val="004A69D0"/>
    <w:rsid w:val="004A75D0"/>
    <w:rsid w:val="004A7912"/>
    <w:rsid w:val="004A7BA8"/>
    <w:rsid w:val="004A7C53"/>
    <w:rsid w:val="004B0194"/>
    <w:rsid w:val="004B0271"/>
    <w:rsid w:val="004B089F"/>
    <w:rsid w:val="004B0B94"/>
    <w:rsid w:val="004B1113"/>
    <w:rsid w:val="004B1248"/>
    <w:rsid w:val="004B176A"/>
    <w:rsid w:val="004B1DC3"/>
    <w:rsid w:val="004B1E80"/>
    <w:rsid w:val="004B2835"/>
    <w:rsid w:val="004B28C5"/>
    <w:rsid w:val="004B326B"/>
    <w:rsid w:val="004B32F8"/>
    <w:rsid w:val="004B36AE"/>
    <w:rsid w:val="004B3FAE"/>
    <w:rsid w:val="004B4672"/>
    <w:rsid w:val="004B4766"/>
    <w:rsid w:val="004B5819"/>
    <w:rsid w:val="004B58F5"/>
    <w:rsid w:val="004B5E52"/>
    <w:rsid w:val="004B605A"/>
    <w:rsid w:val="004B6663"/>
    <w:rsid w:val="004B67A4"/>
    <w:rsid w:val="004B6A3D"/>
    <w:rsid w:val="004B7414"/>
    <w:rsid w:val="004B74AD"/>
    <w:rsid w:val="004C07BD"/>
    <w:rsid w:val="004C0EF4"/>
    <w:rsid w:val="004C109F"/>
    <w:rsid w:val="004C14B1"/>
    <w:rsid w:val="004C289A"/>
    <w:rsid w:val="004C2ADF"/>
    <w:rsid w:val="004C31BF"/>
    <w:rsid w:val="004C3427"/>
    <w:rsid w:val="004C4453"/>
    <w:rsid w:val="004C4A77"/>
    <w:rsid w:val="004C4D53"/>
    <w:rsid w:val="004C5692"/>
    <w:rsid w:val="004C5A50"/>
    <w:rsid w:val="004C60F8"/>
    <w:rsid w:val="004C6173"/>
    <w:rsid w:val="004C61A3"/>
    <w:rsid w:val="004C6E03"/>
    <w:rsid w:val="004C6F47"/>
    <w:rsid w:val="004C780C"/>
    <w:rsid w:val="004C7AA2"/>
    <w:rsid w:val="004D03BA"/>
    <w:rsid w:val="004D0F17"/>
    <w:rsid w:val="004D0FAE"/>
    <w:rsid w:val="004D118A"/>
    <w:rsid w:val="004D20F4"/>
    <w:rsid w:val="004D2E74"/>
    <w:rsid w:val="004D301C"/>
    <w:rsid w:val="004D3100"/>
    <w:rsid w:val="004D32EE"/>
    <w:rsid w:val="004D3441"/>
    <w:rsid w:val="004D349D"/>
    <w:rsid w:val="004D357C"/>
    <w:rsid w:val="004D3E0B"/>
    <w:rsid w:val="004D42B9"/>
    <w:rsid w:val="004D42DD"/>
    <w:rsid w:val="004D45C8"/>
    <w:rsid w:val="004D4ED8"/>
    <w:rsid w:val="004D543D"/>
    <w:rsid w:val="004D5A3C"/>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6E4"/>
    <w:rsid w:val="004E357A"/>
    <w:rsid w:val="004E3800"/>
    <w:rsid w:val="004E3861"/>
    <w:rsid w:val="004E5000"/>
    <w:rsid w:val="004E5251"/>
    <w:rsid w:val="004E530F"/>
    <w:rsid w:val="004E5331"/>
    <w:rsid w:val="004E5599"/>
    <w:rsid w:val="004E55D4"/>
    <w:rsid w:val="004E586B"/>
    <w:rsid w:val="004E5CB8"/>
    <w:rsid w:val="004E65EB"/>
    <w:rsid w:val="004E7114"/>
    <w:rsid w:val="004E722D"/>
    <w:rsid w:val="004E7341"/>
    <w:rsid w:val="004E7E7E"/>
    <w:rsid w:val="004F0244"/>
    <w:rsid w:val="004F0772"/>
    <w:rsid w:val="004F09A1"/>
    <w:rsid w:val="004F0A27"/>
    <w:rsid w:val="004F0A45"/>
    <w:rsid w:val="004F19B6"/>
    <w:rsid w:val="004F23B6"/>
    <w:rsid w:val="004F26FA"/>
    <w:rsid w:val="004F282C"/>
    <w:rsid w:val="004F2903"/>
    <w:rsid w:val="004F3035"/>
    <w:rsid w:val="004F368A"/>
    <w:rsid w:val="004F379F"/>
    <w:rsid w:val="004F3D4A"/>
    <w:rsid w:val="004F3E0F"/>
    <w:rsid w:val="004F401E"/>
    <w:rsid w:val="004F43AB"/>
    <w:rsid w:val="004F50EE"/>
    <w:rsid w:val="004F5614"/>
    <w:rsid w:val="004F58BE"/>
    <w:rsid w:val="004F7174"/>
    <w:rsid w:val="004F7AF1"/>
    <w:rsid w:val="004F7E98"/>
    <w:rsid w:val="005005C8"/>
    <w:rsid w:val="00500DD0"/>
    <w:rsid w:val="00500EDC"/>
    <w:rsid w:val="00500F5E"/>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B43"/>
    <w:rsid w:val="00504188"/>
    <w:rsid w:val="00504345"/>
    <w:rsid w:val="00504560"/>
    <w:rsid w:val="00504655"/>
    <w:rsid w:val="00504A31"/>
    <w:rsid w:val="00504D3B"/>
    <w:rsid w:val="00504F8B"/>
    <w:rsid w:val="005055B5"/>
    <w:rsid w:val="00505C75"/>
    <w:rsid w:val="005063A0"/>
    <w:rsid w:val="005063D2"/>
    <w:rsid w:val="00506619"/>
    <w:rsid w:val="0050690E"/>
    <w:rsid w:val="00507A54"/>
    <w:rsid w:val="00507E53"/>
    <w:rsid w:val="00510257"/>
    <w:rsid w:val="00510D1D"/>
    <w:rsid w:val="00510E99"/>
    <w:rsid w:val="00511033"/>
    <w:rsid w:val="00511104"/>
    <w:rsid w:val="00511B5E"/>
    <w:rsid w:val="00511BBF"/>
    <w:rsid w:val="00511BDC"/>
    <w:rsid w:val="00511FE7"/>
    <w:rsid w:val="00512785"/>
    <w:rsid w:val="00512E62"/>
    <w:rsid w:val="0051361B"/>
    <w:rsid w:val="0051373C"/>
    <w:rsid w:val="005138B3"/>
    <w:rsid w:val="00513D0A"/>
    <w:rsid w:val="00513EBA"/>
    <w:rsid w:val="00513F43"/>
    <w:rsid w:val="00514985"/>
    <w:rsid w:val="00514E64"/>
    <w:rsid w:val="00514F92"/>
    <w:rsid w:val="00515A6A"/>
    <w:rsid w:val="00515D3E"/>
    <w:rsid w:val="00515E7B"/>
    <w:rsid w:val="005162FD"/>
    <w:rsid w:val="005165B0"/>
    <w:rsid w:val="00516F04"/>
    <w:rsid w:val="00517005"/>
    <w:rsid w:val="00517153"/>
    <w:rsid w:val="005171D1"/>
    <w:rsid w:val="005174C6"/>
    <w:rsid w:val="00517868"/>
    <w:rsid w:val="0052017C"/>
    <w:rsid w:val="0052072A"/>
    <w:rsid w:val="00520894"/>
    <w:rsid w:val="00520BC0"/>
    <w:rsid w:val="00520BF7"/>
    <w:rsid w:val="00520C6E"/>
    <w:rsid w:val="005215A2"/>
    <w:rsid w:val="005217F8"/>
    <w:rsid w:val="005219E0"/>
    <w:rsid w:val="00521B41"/>
    <w:rsid w:val="005220A9"/>
    <w:rsid w:val="00522490"/>
    <w:rsid w:val="0052267A"/>
    <w:rsid w:val="005226D4"/>
    <w:rsid w:val="005234D4"/>
    <w:rsid w:val="0052382F"/>
    <w:rsid w:val="005239DD"/>
    <w:rsid w:val="00523BB0"/>
    <w:rsid w:val="00523CA1"/>
    <w:rsid w:val="00523EB9"/>
    <w:rsid w:val="00524A9C"/>
    <w:rsid w:val="00525956"/>
    <w:rsid w:val="00525BED"/>
    <w:rsid w:val="005266F4"/>
    <w:rsid w:val="0052675C"/>
    <w:rsid w:val="0052679A"/>
    <w:rsid w:val="00526931"/>
    <w:rsid w:val="00526CEC"/>
    <w:rsid w:val="00526D46"/>
    <w:rsid w:val="00527C5D"/>
    <w:rsid w:val="005303B5"/>
    <w:rsid w:val="005303E3"/>
    <w:rsid w:val="00530D4E"/>
    <w:rsid w:val="00531094"/>
    <w:rsid w:val="00531143"/>
    <w:rsid w:val="0053173F"/>
    <w:rsid w:val="0053186B"/>
    <w:rsid w:val="00531C5C"/>
    <w:rsid w:val="00532870"/>
    <w:rsid w:val="00532A23"/>
    <w:rsid w:val="00532BC3"/>
    <w:rsid w:val="005331E8"/>
    <w:rsid w:val="00533351"/>
    <w:rsid w:val="0053337C"/>
    <w:rsid w:val="005340EA"/>
    <w:rsid w:val="00534664"/>
    <w:rsid w:val="00534787"/>
    <w:rsid w:val="005348FA"/>
    <w:rsid w:val="00534A44"/>
    <w:rsid w:val="00535A9B"/>
    <w:rsid w:val="00535CE3"/>
    <w:rsid w:val="00535F4E"/>
    <w:rsid w:val="00536332"/>
    <w:rsid w:val="0053655B"/>
    <w:rsid w:val="00536601"/>
    <w:rsid w:val="00536B78"/>
    <w:rsid w:val="00536BE9"/>
    <w:rsid w:val="005373DF"/>
    <w:rsid w:val="005376F2"/>
    <w:rsid w:val="00537A19"/>
    <w:rsid w:val="00540D81"/>
    <w:rsid w:val="00541BF0"/>
    <w:rsid w:val="00541C34"/>
    <w:rsid w:val="00542821"/>
    <w:rsid w:val="00542CA8"/>
    <w:rsid w:val="00543514"/>
    <w:rsid w:val="0054368B"/>
    <w:rsid w:val="005438A1"/>
    <w:rsid w:val="00543B81"/>
    <w:rsid w:val="00543C00"/>
    <w:rsid w:val="00543CEA"/>
    <w:rsid w:val="00543EB8"/>
    <w:rsid w:val="00543F41"/>
    <w:rsid w:val="005441AB"/>
    <w:rsid w:val="005444F5"/>
    <w:rsid w:val="00544550"/>
    <w:rsid w:val="0054482E"/>
    <w:rsid w:val="0054485E"/>
    <w:rsid w:val="00544FCF"/>
    <w:rsid w:val="005450DC"/>
    <w:rsid w:val="0054533C"/>
    <w:rsid w:val="005455FC"/>
    <w:rsid w:val="00545A47"/>
    <w:rsid w:val="00545FC7"/>
    <w:rsid w:val="0054634E"/>
    <w:rsid w:val="005469B4"/>
    <w:rsid w:val="00546A4F"/>
    <w:rsid w:val="00546B67"/>
    <w:rsid w:val="0054707A"/>
    <w:rsid w:val="0054710E"/>
    <w:rsid w:val="005474C7"/>
    <w:rsid w:val="00547B37"/>
    <w:rsid w:val="00550490"/>
    <w:rsid w:val="00550F71"/>
    <w:rsid w:val="00551167"/>
    <w:rsid w:val="005512D3"/>
    <w:rsid w:val="00551C0E"/>
    <w:rsid w:val="00551F46"/>
    <w:rsid w:val="005521F2"/>
    <w:rsid w:val="00552561"/>
    <w:rsid w:val="00552812"/>
    <w:rsid w:val="00552840"/>
    <w:rsid w:val="00552B31"/>
    <w:rsid w:val="00552B71"/>
    <w:rsid w:val="00552BB0"/>
    <w:rsid w:val="00552C14"/>
    <w:rsid w:val="00553290"/>
    <w:rsid w:val="00553C45"/>
    <w:rsid w:val="005542D6"/>
    <w:rsid w:val="005544FA"/>
    <w:rsid w:val="00554723"/>
    <w:rsid w:val="00554A33"/>
    <w:rsid w:val="00554F2F"/>
    <w:rsid w:val="00554FCF"/>
    <w:rsid w:val="0055525E"/>
    <w:rsid w:val="0055588A"/>
    <w:rsid w:val="0055597A"/>
    <w:rsid w:val="00555A7F"/>
    <w:rsid w:val="0055716D"/>
    <w:rsid w:val="005571A6"/>
    <w:rsid w:val="005572B8"/>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7ED"/>
    <w:rsid w:val="00563CAB"/>
    <w:rsid w:val="00564070"/>
    <w:rsid w:val="005640E1"/>
    <w:rsid w:val="005647B6"/>
    <w:rsid w:val="00564EA1"/>
    <w:rsid w:val="0056534C"/>
    <w:rsid w:val="00566E81"/>
    <w:rsid w:val="005670FC"/>
    <w:rsid w:val="005677CF"/>
    <w:rsid w:val="00567AEE"/>
    <w:rsid w:val="00567CEE"/>
    <w:rsid w:val="00567F7D"/>
    <w:rsid w:val="005702BD"/>
    <w:rsid w:val="0057040F"/>
    <w:rsid w:val="0057096F"/>
    <w:rsid w:val="00570D57"/>
    <w:rsid w:val="005713EC"/>
    <w:rsid w:val="005713F4"/>
    <w:rsid w:val="0057154B"/>
    <w:rsid w:val="00571BB1"/>
    <w:rsid w:val="00571E64"/>
    <w:rsid w:val="0057201E"/>
    <w:rsid w:val="00572B78"/>
    <w:rsid w:val="00573ADD"/>
    <w:rsid w:val="00573D3B"/>
    <w:rsid w:val="00573EE2"/>
    <w:rsid w:val="00573F6A"/>
    <w:rsid w:val="0057432C"/>
    <w:rsid w:val="00574657"/>
    <w:rsid w:val="00574676"/>
    <w:rsid w:val="00575314"/>
    <w:rsid w:val="00575CC3"/>
    <w:rsid w:val="00575D10"/>
    <w:rsid w:val="00576018"/>
    <w:rsid w:val="00576B38"/>
    <w:rsid w:val="00576D6B"/>
    <w:rsid w:val="005778E9"/>
    <w:rsid w:val="00577AAE"/>
    <w:rsid w:val="00577D2C"/>
    <w:rsid w:val="005800F7"/>
    <w:rsid w:val="005808CA"/>
    <w:rsid w:val="00580B3D"/>
    <w:rsid w:val="00580F16"/>
    <w:rsid w:val="00580F26"/>
    <w:rsid w:val="005810A9"/>
    <w:rsid w:val="00581A7C"/>
    <w:rsid w:val="00581BEF"/>
    <w:rsid w:val="005822F5"/>
    <w:rsid w:val="00582376"/>
    <w:rsid w:val="00583133"/>
    <w:rsid w:val="005834E6"/>
    <w:rsid w:val="005839B5"/>
    <w:rsid w:val="00583C0E"/>
    <w:rsid w:val="00583FDB"/>
    <w:rsid w:val="00584056"/>
    <w:rsid w:val="005841BC"/>
    <w:rsid w:val="0058427E"/>
    <w:rsid w:val="005845E7"/>
    <w:rsid w:val="00584A97"/>
    <w:rsid w:val="00584FEF"/>
    <w:rsid w:val="005853EF"/>
    <w:rsid w:val="00585972"/>
    <w:rsid w:val="00585B10"/>
    <w:rsid w:val="00586045"/>
    <w:rsid w:val="005864FA"/>
    <w:rsid w:val="005865AA"/>
    <w:rsid w:val="00586848"/>
    <w:rsid w:val="00586D7F"/>
    <w:rsid w:val="00587048"/>
    <w:rsid w:val="005875A3"/>
    <w:rsid w:val="00587652"/>
    <w:rsid w:val="0058773A"/>
    <w:rsid w:val="00587BD5"/>
    <w:rsid w:val="00587C5F"/>
    <w:rsid w:val="00587CCA"/>
    <w:rsid w:val="00590750"/>
    <w:rsid w:val="00590907"/>
    <w:rsid w:val="00592283"/>
    <w:rsid w:val="0059241D"/>
    <w:rsid w:val="00592491"/>
    <w:rsid w:val="0059346F"/>
    <w:rsid w:val="00593875"/>
    <w:rsid w:val="00593E2F"/>
    <w:rsid w:val="005943C5"/>
    <w:rsid w:val="005948C2"/>
    <w:rsid w:val="00594A7B"/>
    <w:rsid w:val="00595102"/>
    <w:rsid w:val="005952ED"/>
    <w:rsid w:val="005963CE"/>
    <w:rsid w:val="00596C07"/>
    <w:rsid w:val="00596CA8"/>
    <w:rsid w:val="00597074"/>
    <w:rsid w:val="005976DB"/>
    <w:rsid w:val="00597AA7"/>
    <w:rsid w:val="00597B2F"/>
    <w:rsid w:val="00597CA1"/>
    <w:rsid w:val="005A0273"/>
    <w:rsid w:val="005A0956"/>
    <w:rsid w:val="005A0A13"/>
    <w:rsid w:val="005A115D"/>
    <w:rsid w:val="005A16DC"/>
    <w:rsid w:val="005A1EAB"/>
    <w:rsid w:val="005A270C"/>
    <w:rsid w:val="005A297A"/>
    <w:rsid w:val="005A2D82"/>
    <w:rsid w:val="005A30F1"/>
    <w:rsid w:val="005A323A"/>
    <w:rsid w:val="005A3789"/>
    <w:rsid w:val="005A3835"/>
    <w:rsid w:val="005A389E"/>
    <w:rsid w:val="005A3950"/>
    <w:rsid w:val="005A3AEC"/>
    <w:rsid w:val="005A3F9E"/>
    <w:rsid w:val="005A40C0"/>
    <w:rsid w:val="005A4634"/>
    <w:rsid w:val="005A47FE"/>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2194"/>
    <w:rsid w:val="005B2BC3"/>
    <w:rsid w:val="005B344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832"/>
    <w:rsid w:val="005C18EE"/>
    <w:rsid w:val="005C1960"/>
    <w:rsid w:val="005C1A79"/>
    <w:rsid w:val="005C239B"/>
    <w:rsid w:val="005C303E"/>
    <w:rsid w:val="005C30DE"/>
    <w:rsid w:val="005C39AD"/>
    <w:rsid w:val="005C3B26"/>
    <w:rsid w:val="005C3C95"/>
    <w:rsid w:val="005C3EDF"/>
    <w:rsid w:val="005C4397"/>
    <w:rsid w:val="005C45EA"/>
    <w:rsid w:val="005C48CC"/>
    <w:rsid w:val="005C63B5"/>
    <w:rsid w:val="005C674D"/>
    <w:rsid w:val="005C6842"/>
    <w:rsid w:val="005C6C37"/>
    <w:rsid w:val="005C7356"/>
    <w:rsid w:val="005C7644"/>
    <w:rsid w:val="005C77FD"/>
    <w:rsid w:val="005C791C"/>
    <w:rsid w:val="005C7B31"/>
    <w:rsid w:val="005C7BF4"/>
    <w:rsid w:val="005D029E"/>
    <w:rsid w:val="005D0574"/>
    <w:rsid w:val="005D0745"/>
    <w:rsid w:val="005D1A69"/>
    <w:rsid w:val="005D1B66"/>
    <w:rsid w:val="005D1FDF"/>
    <w:rsid w:val="005D27FF"/>
    <w:rsid w:val="005D2B0F"/>
    <w:rsid w:val="005D30FC"/>
    <w:rsid w:val="005D323E"/>
    <w:rsid w:val="005D3352"/>
    <w:rsid w:val="005D363D"/>
    <w:rsid w:val="005D3A17"/>
    <w:rsid w:val="005D3ACE"/>
    <w:rsid w:val="005D3D1E"/>
    <w:rsid w:val="005D3ECD"/>
    <w:rsid w:val="005D4D03"/>
    <w:rsid w:val="005D50D9"/>
    <w:rsid w:val="005D529B"/>
    <w:rsid w:val="005D5E15"/>
    <w:rsid w:val="005D6A61"/>
    <w:rsid w:val="005D6D68"/>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F4"/>
    <w:rsid w:val="005E3586"/>
    <w:rsid w:val="005E386D"/>
    <w:rsid w:val="005E3EC0"/>
    <w:rsid w:val="005E491A"/>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E46"/>
    <w:rsid w:val="005F135B"/>
    <w:rsid w:val="005F1942"/>
    <w:rsid w:val="005F1BB0"/>
    <w:rsid w:val="005F22B3"/>
    <w:rsid w:val="005F2426"/>
    <w:rsid w:val="005F24DF"/>
    <w:rsid w:val="005F353B"/>
    <w:rsid w:val="005F3709"/>
    <w:rsid w:val="005F3C7E"/>
    <w:rsid w:val="005F3EAB"/>
    <w:rsid w:val="005F4027"/>
    <w:rsid w:val="005F42BB"/>
    <w:rsid w:val="005F45DB"/>
    <w:rsid w:val="005F4E54"/>
    <w:rsid w:val="005F4EAE"/>
    <w:rsid w:val="005F574A"/>
    <w:rsid w:val="005F5DC9"/>
    <w:rsid w:val="005F6186"/>
    <w:rsid w:val="005F676C"/>
    <w:rsid w:val="005F70B6"/>
    <w:rsid w:val="005F7518"/>
    <w:rsid w:val="005F778D"/>
    <w:rsid w:val="005F7A87"/>
    <w:rsid w:val="005F7BA0"/>
    <w:rsid w:val="005F7C34"/>
    <w:rsid w:val="005F7F41"/>
    <w:rsid w:val="00600905"/>
    <w:rsid w:val="006009D3"/>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7C2"/>
    <w:rsid w:val="006058CF"/>
    <w:rsid w:val="00605BCD"/>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917"/>
    <w:rsid w:val="006109E3"/>
    <w:rsid w:val="00610A2A"/>
    <w:rsid w:val="00610D2E"/>
    <w:rsid w:val="0061183C"/>
    <w:rsid w:val="00611B68"/>
    <w:rsid w:val="00611C07"/>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3E2"/>
    <w:rsid w:val="00614466"/>
    <w:rsid w:val="00614490"/>
    <w:rsid w:val="00614679"/>
    <w:rsid w:val="00614786"/>
    <w:rsid w:val="00614BD6"/>
    <w:rsid w:val="00614EDE"/>
    <w:rsid w:val="00615808"/>
    <w:rsid w:val="00615D37"/>
    <w:rsid w:val="00615E47"/>
    <w:rsid w:val="00616910"/>
    <w:rsid w:val="00616945"/>
    <w:rsid w:val="006169EE"/>
    <w:rsid w:val="006171E9"/>
    <w:rsid w:val="00617982"/>
    <w:rsid w:val="00617F7C"/>
    <w:rsid w:val="00620E86"/>
    <w:rsid w:val="00621286"/>
    <w:rsid w:val="0062155F"/>
    <w:rsid w:val="006219DD"/>
    <w:rsid w:val="00621D63"/>
    <w:rsid w:val="00622172"/>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75F3"/>
    <w:rsid w:val="00627733"/>
    <w:rsid w:val="00627921"/>
    <w:rsid w:val="0063016C"/>
    <w:rsid w:val="00630A86"/>
    <w:rsid w:val="00631786"/>
    <w:rsid w:val="00631B1E"/>
    <w:rsid w:val="00631FE7"/>
    <w:rsid w:val="006321EA"/>
    <w:rsid w:val="006324E6"/>
    <w:rsid w:val="00632ACC"/>
    <w:rsid w:val="006335C9"/>
    <w:rsid w:val="00633EB5"/>
    <w:rsid w:val="00633FF2"/>
    <w:rsid w:val="00634207"/>
    <w:rsid w:val="00634571"/>
    <w:rsid w:val="006345C1"/>
    <w:rsid w:val="006347E8"/>
    <w:rsid w:val="00634969"/>
    <w:rsid w:val="006349C0"/>
    <w:rsid w:val="00634AB3"/>
    <w:rsid w:val="00634F76"/>
    <w:rsid w:val="00635520"/>
    <w:rsid w:val="006358A3"/>
    <w:rsid w:val="00635E34"/>
    <w:rsid w:val="0063608A"/>
    <w:rsid w:val="00637056"/>
    <w:rsid w:val="0063793A"/>
    <w:rsid w:val="00637E9B"/>
    <w:rsid w:val="00637FDD"/>
    <w:rsid w:val="00640129"/>
    <w:rsid w:val="006407E3"/>
    <w:rsid w:val="0064090D"/>
    <w:rsid w:val="00641E57"/>
    <w:rsid w:val="0064260D"/>
    <w:rsid w:val="00642A39"/>
    <w:rsid w:val="00642DBC"/>
    <w:rsid w:val="0064307F"/>
    <w:rsid w:val="006430E6"/>
    <w:rsid w:val="00643CED"/>
    <w:rsid w:val="00643D90"/>
    <w:rsid w:val="00644234"/>
    <w:rsid w:val="00644878"/>
    <w:rsid w:val="00644DE2"/>
    <w:rsid w:val="006458F4"/>
    <w:rsid w:val="00645F03"/>
    <w:rsid w:val="00646486"/>
    <w:rsid w:val="00646602"/>
    <w:rsid w:val="00646D0E"/>
    <w:rsid w:val="006478E6"/>
    <w:rsid w:val="00647DB1"/>
    <w:rsid w:val="00647F58"/>
    <w:rsid w:val="00650306"/>
    <w:rsid w:val="006503A5"/>
    <w:rsid w:val="00650463"/>
    <w:rsid w:val="006507FC"/>
    <w:rsid w:val="006507FD"/>
    <w:rsid w:val="0065082F"/>
    <w:rsid w:val="006509F9"/>
    <w:rsid w:val="00651660"/>
    <w:rsid w:val="006517B9"/>
    <w:rsid w:val="00651C0A"/>
    <w:rsid w:val="00651C84"/>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622"/>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BD2"/>
    <w:rsid w:val="00661CDB"/>
    <w:rsid w:val="006625C0"/>
    <w:rsid w:val="00662B7A"/>
    <w:rsid w:val="00663175"/>
    <w:rsid w:val="006631C4"/>
    <w:rsid w:val="0066326A"/>
    <w:rsid w:val="006632D0"/>
    <w:rsid w:val="006635FA"/>
    <w:rsid w:val="00663B35"/>
    <w:rsid w:val="00663CF1"/>
    <w:rsid w:val="00663F1B"/>
    <w:rsid w:val="00663FC5"/>
    <w:rsid w:val="0066419E"/>
    <w:rsid w:val="006645AF"/>
    <w:rsid w:val="00664AB8"/>
    <w:rsid w:val="0066571F"/>
    <w:rsid w:val="00665DA2"/>
    <w:rsid w:val="006660F5"/>
    <w:rsid w:val="00666285"/>
    <w:rsid w:val="00666443"/>
    <w:rsid w:val="00666480"/>
    <w:rsid w:val="006667CC"/>
    <w:rsid w:val="00666D34"/>
    <w:rsid w:val="0066731A"/>
    <w:rsid w:val="00667E3E"/>
    <w:rsid w:val="00670BE7"/>
    <w:rsid w:val="00670FEA"/>
    <w:rsid w:val="00671874"/>
    <w:rsid w:val="00671CD0"/>
    <w:rsid w:val="00671DC9"/>
    <w:rsid w:val="0067252D"/>
    <w:rsid w:val="00672C31"/>
    <w:rsid w:val="006730AC"/>
    <w:rsid w:val="006733E9"/>
    <w:rsid w:val="006734AA"/>
    <w:rsid w:val="006734B3"/>
    <w:rsid w:val="0067353C"/>
    <w:rsid w:val="00673735"/>
    <w:rsid w:val="00674093"/>
    <w:rsid w:val="00674BC6"/>
    <w:rsid w:val="00675403"/>
    <w:rsid w:val="00675BE6"/>
    <w:rsid w:val="00676163"/>
    <w:rsid w:val="00676216"/>
    <w:rsid w:val="006764C4"/>
    <w:rsid w:val="00676F76"/>
    <w:rsid w:val="006776E6"/>
    <w:rsid w:val="00677763"/>
    <w:rsid w:val="006777E4"/>
    <w:rsid w:val="00677C1A"/>
    <w:rsid w:val="00677C22"/>
    <w:rsid w:val="00677C95"/>
    <w:rsid w:val="00677FB0"/>
    <w:rsid w:val="006808CC"/>
    <w:rsid w:val="006809AA"/>
    <w:rsid w:val="00680AF4"/>
    <w:rsid w:val="00681495"/>
    <w:rsid w:val="0068171A"/>
    <w:rsid w:val="006817D4"/>
    <w:rsid w:val="00681F18"/>
    <w:rsid w:val="00682369"/>
    <w:rsid w:val="0068281F"/>
    <w:rsid w:val="00682C7C"/>
    <w:rsid w:val="00682E20"/>
    <w:rsid w:val="00682F4C"/>
    <w:rsid w:val="00683141"/>
    <w:rsid w:val="006838D8"/>
    <w:rsid w:val="006838DF"/>
    <w:rsid w:val="00683F2A"/>
    <w:rsid w:val="006842B9"/>
    <w:rsid w:val="00684966"/>
    <w:rsid w:val="00684BAF"/>
    <w:rsid w:val="006856FD"/>
    <w:rsid w:val="00685899"/>
    <w:rsid w:val="006859DA"/>
    <w:rsid w:val="00686772"/>
    <w:rsid w:val="00687642"/>
    <w:rsid w:val="0069023B"/>
    <w:rsid w:val="00690667"/>
    <w:rsid w:val="0069080B"/>
    <w:rsid w:val="006908E3"/>
    <w:rsid w:val="00690AAE"/>
    <w:rsid w:val="00690CBB"/>
    <w:rsid w:val="00691611"/>
    <w:rsid w:val="00691895"/>
    <w:rsid w:val="00691932"/>
    <w:rsid w:val="006919FB"/>
    <w:rsid w:val="0069213E"/>
    <w:rsid w:val="00692162"/>
    <w:rsid w:val="0069246E"/>
    <w:rsid w:val="0069297F"/>
    <w:rsid w:val="00692D30"/>
    <w:rsid w:val="00692E71"/>
    <w:rsid w:val="00692F53"/>
    <w:rsid w:val="00692F6A"/>
    <w:rsid w:val="00694124"/>
    <w:rsid w:val="006941DC"/>
    <w:rsid w:val="006952A8"/>
    <w:rsid w:val="00695597"/>
    <w:rsid w:val="00696411"/>
    <w:rsid w:val="00696A89"/>
    <w:rsid w:val="00696F75"/>
    <w:rsid w:val="00696FEC"/>
    <w:rsid w:val="00697165"/>
    <w:rsid w:val="00697477"/>
    <w:rsid w:val="00697D97"/>
    <w:rsid w:val="006A0116"/>
    <w:rsid w:val="006A037E"/>
    <w:rsid w:val="006A1D7D"/>
    <w:rsid w:val="006A1E12"/>
    <w:rsid w:val="006A2019"/>
    <w:rsid w:val="006A21CC"/>
    <w:rsid w:val="006A294D"/>
    <w:rsid w:val="006A30E6"/>
    <w:rsid w:val="006A3D41"/>
    <w:rsid w:val="006A4022"/>
    <w:rsid w:val="006A4C19"/>
    <w:rsid w:val="006A53F3"/>
    <w:rsid w:val="006A5833"/>
    <w:rsid w:val="006A5B87"/>
    <w:rsid w:val="006A6143"/>
    <w:rsid w:val="006A72F8"/>
    <w:rsid w:val="006A7354"/>
    <w:rsid w:val="006A7796"/>
    <w:rsid w:val="006A7C96"/>
    <w:rsid w:val="006A7F83"/>
    <w:rsid w:val="006B0495"/>
    <w:rsid w:val="006B0DCB"/>
    <w:rsid w:val="006B0EAB"/>
    <w:rsid w:val="006B0EE5"/>
    <w:rsid w:val="006B15DB"/>
    <w:rsid w:val="006B2344"/>
    <w:rsid w:val="006B2408"/>
    <w:rsid w:val="006B299D"/>
    <w:rsid w:val="006B3325"/>
    <w:rsid w:val="006B33F7"/>
    <w:rsid w:val="006B3AF9"/>
    <w:rsid w:val="006B3C91"/>
    <w:rsid w:val="006B414C"/>
    <w:rsid w:val="006B4B0F"/>
    <w:rsid w:val="006B4BC6"/>
    <w:rsid w:val="006B5474"/>
    <w:rsid w:val="006B62A0"/>
    <w:rsid w:val="006B650F"/>
    <w:rsid w:val="006B6584"/>
    <w:rsid w:val="006C0449"/>
    <w:rsid w:val="006C0D0F"/>
    <w:rsid w:val="006C0E39"/>
    <w:rsid w:val="006C0E74"/>
    <w:rsid w:val="006C1394"/>
    <w:rsid w:val="006C1417"/>
    <w:rsid w:val="006C1721"/>
    <w:rsid w:val="006C183C"/>
    <w:rsid w:val="006C26D6"/>
    <w:rsid w:val="006C2FED"/>
    <w:rsid w:val="006C32CF"/>
    <w:rsid w:val="006C335E"/>
    <w:rsid w:val="006C37B4"/>
    <w:rsid w:val="006C3A1F"/>
    <w:rsid w:val="006C53F8"/>
    <w:rsid w:val="006C54B1"/>
    <w:rsid w:val="006C54BB"/>
    <w:rsid w:val="006C56FC"/>
    <w:rsid w:val="006C5C6C"/>
    <w:rsid w:val="006C5F8C"/>
    <w:rsid w:val="006C63EB"/>
    <w:rsid w:val="006C761F"/>
    <w:rsid w:val="006C7815"/>
    <w:rsid w:val="006C7DE0"/>
    <w:rsid w:val="006D024B"/>
    <w:rsid w:val="006D0616"/>
    <w:rsid w:val="006D092B"/>
    <w:rsid w:val="006D0EDF"/>
    <w:rsid w:val="006D0F52"/>
    <w:rsid w:val="006D0FAB"/>
    <w:rsid w:val="006D1314"/>
    <w:rsid w:val="006D150C"/>
    <w:rsid w:val="006D15EE"/>
    <w:rsid w:val="006D16CA"/>
    <w:rsid w:val="006D1793"/>
    <w:rsid w:val="006D18A4"/>
    <w:rsid w:val="006D1ABE"/>
    <w:rsid w:val="006D1D06"/>
    <w:rsid w:val="006D2162"/>
    <w:rsid w:val="006D23EE"/>
    <w:rsid w:val="006D252A"/>
    <w:rsid w:val="006D2AB0"/>
    <w:rsid w:val="006D364F"/>
    <w:rsid w:val="006D3693"/>
    <w:rsid w:val="006D3DC7"/>
    <w:rsid w:val="006D4161"/>
    <w:rsid w:val="006D4245"/>
    <w:rsid w:val="006D46CE"/>
    <w:rsid w:val="006D4B98"/>
    <w:rsid w:val="006D4E04"/>
    <w:rsid w:val="006D5078"/>
    <w:rsid w:val="006D54D9"/>
    <w:rsid w:val="006D5843"/>
    <w:rsid w:val="006D5DE9"/>
    <w:rsid w:val="006D6509"/>
    <w:rsid w:val="006D68AC"/>
    <w:rsid w:val="006D6DF7"/>
    <w:rsid w:val="006D7DD5"/>
    <w:rsid w:val="006D7E18"/>
    <w:rsid w:val="006E00A7"/>
    <w:rsid w:val="006E010C"/>
    <w:rsid w:val="006E0A87"/>
    <w:rsid w:val="006E0A93"/>
    <w:rsid w:val="006E1B15"/>
    <w:rsid w:val="006E346A"/>
    <w:rsid w:val="006E3C8A"/>
    <w:rsid w:val="006E3E0D"/>
    <w:rsid w:val="006E4064"/>
    <w:rsid w:val="006E4806"/>
    <w:rsid w:val="006E4C0D"/>
    <w:rsid w:val="006E58EA"/>
    <w:rsid w:val="006E5BF8"/>
    <w:rsid w:val="006E643B"/>
    <w:rsid w:val="006E67A4"/>
    <w:rsid w:val="006E6B01"/>
    <w:rsid w:val="006E6B82"/>
    <w:rsid w:val="006E6D16"/>
    <w:rsid w:val="006E6D29"/>
    <w:rsid w:val="006E783D"/>
    <w:rsid w:val="006E799D"/>
    <w:rsid w:val="006E79FB"/>
    <w:rsid w:val="006F0036"/>
    <w:rsid w:val="006F024E"/>
    <w:rsid w:val="006F10D4"/>
    <w:rsid w:val="006F1233"/>
    <w:rsid w:val="006F1244"/>
    <w:rsid w:val="006F27E0"/>
    <w:rsid w:val="006F28D9"/>
    <w:rsid w:val="006F2F67"/>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700B08"/>
    <w:rsid w:val="007016DE"/>
    <w:rsid w:val="007019B8"/>
    <w:rsid w:val="007025BA"/>
    <w:rsid w:val="007027C6"/>
    <w:rsid w:val="00702BB8"/>
    <w:rsid w:val="00702DE7"/>
    <w:rsid w:val="00702F4D"/>
    <w:rsid w:val="0070333C"/>
    <w:rsid w:val="00703533"/>
    <w:rsid w:val="0070385B"/>
    <w:rsid w:val="00703981"/>
    <w:rsid w:val="00703A33"/>
    <w:rsid w:val="00703A74"/>
    <w:rsid w:val="00703C5B"/>
    <w:rsid w:val="00703F00"/>
    <w:rsid w:val="0070407E"/>
    <w:rsid w:val="00704530"/>
    <w:rsid w:val="0070494F"/>
    <w:rsid w:val="00704969"/>
    <w:rsid w:val="00704BB0"/>
    <w:rsid w:val="00704EDF"/>
    <w:rsid w:val="00705423"/>
    <w:rsid w:val="00705758"/>
    <w:rsid w:val="00705840"/>
    <w:rsid w:val="00705E4A"/>
    <w:rsid w:val="0070688B"/>
    <w:rsid w:val="00706997"/>
    <w:rsid w:val="0070707A"/>
    <w:rsid w:val="0070710A"/>
    <w:rsid w:val="0070717A"/>
    <w:rsid w:val="00707244"/>
    <w:rsid w:val="00710AE5"/>
    <w:rsid w:val="007111CC"/>
    <w:rsid w:val="00711427"/>
    <w:rsid w:val="007114BF"/>
    <w:rsid w:val="0071151C"/>
    <w:rsid w:val="00711CBA"/>
    <w:rsid w:val="00712B2B"/>
    <w:rsid w:val="00712CCC"/>
    <w:rsid w:val="00712E48"/>
    <w:rsid w:val="0071303A"/>
    <w:rsid w:val="00713618"/>
    <w:rsid w:val="007136E9"/>
    <w:rsid w:val="00713739"/>
    <w:rsid w:val="0071378C"/>
    <w:rsid w:val="00713B78"/>
    <w:rsid w:val="00713DE5"/>
    <w:rsid w:val="00713ED0"/>
    <w:rsid w:val="00713F39"/>
    <w:rsid w:val="00714569"/>
    <w:rsid w:val="00714634"/>
    <w:rsid w:val="007153A5"/>
    <w:rsid w:val="007155D9"/>
    <w:rsid w:val="007157A0"/>
    <w:rsid w:val="0071623B"/>
    <w:rsid w:val="00716CAD"/>
    <w:rsid w:val="007174DA"/>
    <w:rsid w:val="007178AF"/>
    <w:rsid w:val="00717F41"/>
    <w:rsid w:val="00720910"/>
    <w:rsid w:val="00720F29"/>
    <w:rsid w:val="00721038"/>
    <w:rsid w:val="007210B3"/>
    <w:rsid w:val="007213A5"/>
    <w:rsid w:val="0072168A"/>
    <w:rsid w:val="00721B60"/>
    <w:rsid w:val="00721E12"/>
    <w:rsid w:val="007224C2"/>
    <w:rsid w:val="00722C19"/>
    <w:rsid w:val="00722D1E"/>
    <w:rsid w:val="00722DD1"/>
    <w:rsid w:val="007235B1"/>
    <w:rsid w:val="00723840"/>
    <w:rsid w:val="00723B3D"/>
    <w:rsid w:val="0072537E"/>
    <w:rsid w:val="00726000"/>
    <w:rsid w:val="0072603B"/>
    <w:rsid w:val="007262B2"/>
    <w:rsid w:val="00726756"/>
    <w:rsid w:val="00726989"/>
    <w:rsid w:val="00726C1E"/>
    <w:rsid w:val="00726FEB"/>
    <w:rsid w:val="0072771B"/>
    <w:rsid w:val="00727910"/>
    <w:rsid w:val="00727DC2"/>
    <w:rsid w:val="00730B71"/>
    <w:rsid w:val="00731117"/>
    <w:rsid w:val="00731409"/>
    <w:rsid w:val="00731555"/>
    <w:rsid w:val="007315FC"/>
    <w:rsid w:val="00731616"/>
    <w:rsid w:val="00731EDD"/>
    <w:rsid w:val="0073207B"/>
    <w:rsid w:val="00732843"/>
    <w:rsid w:val="007328A5"/>
    <w:rsid w:val="007329EB"/>
    <w:rsid w:val="00732DDD"/>
    <w:rsid w:val="00732F41"/>
    <w:rsid w:val="007332C1"/>
    <w:rsid w:val="007334B1"/>
    <w:rsid w:val="00733510"/>
    <w:rsid w:val="007339F3"/>
    <w:rsid w:val="00733EB2"/>
    <w:rsid w:val="00733EF8"/>
    <w:rsid w:val="007340CF"/>
    <w:rsid w:val="00734270"/>
    <w:rsid w:val="00734400"/>
    <w:rsid w:val="00734898"/>
    <w:rsid w:val="007348EE"/>
    <w:rsid w:val="00734E65"/>
    <w:rsid w:val="00735107"/>
    <w:rsid w:val="007356BF"/>
    <w:rsid w:val="00736376"/>
    <w:rsid w:val="00737424"/>
    <w:rsid w:val="007378AD"/>
    <w:rsid w:val="00737FEC"/>
    <w:rsid w:val="00740292"/>
    <w:rsid w:val="00740D16"/>
    <w:rsid w:val="00740FB1"/>
    <w:rsid w:val="007424E5"/>
    <w:rsid w:val="0074262A"/>
    <w:rsid w:val="0074269A"/>
    <w:rsid w:val="00742B07"/>
    <w:rsid w:val="00742DB5"/>
    <w:rsid w:val="00743059"/>
    <w:rsid w:val="00743DFD"/>
    <w:rsid w:val="00744619"/>
    <w:rsid w:val="0074462C"/>
    <w:rsid w:val="0074497C"/>
    <w:rsid w:val="00744D93"/>
    <w:rsid w:val="00746BA2"/>
    <w:rsid w:val="00746E0F"/>
    <w:rsid w:val="0075064C"/>
    <w:rsid w:val="00752285"/>
    <w:rsid w:val="00752801"/>
    <w:rsid w:val="00752B96"/>
    <w:rsid w:val="00752E39"/>
    <w:rsid w:val="0075451A"/>
    <w:rsid w:val="00754E06"/>
    <w:rsid w:val="00755374"/>
    <w:rsid w:val="007556C3"/>
    <w:rsid w:val="0075580D"/>
    <w:rsid w:val="00755956"/>
    <w:rsid w:val="00756142"/>
    <w:rsid w:val="007561B4"/>
    <w:rsid w:val="007562B3"/>
    <w:rsid w:val="007569D9"/>
    <w:rsid w:val="00756AA0"/>
    <w:rsid w:val="0075785E"/>
    <w:rsid w:val="00757CE6"/>
    <w:rsid w:val="007607F3"/>
    <w:rsid w:val="0076151C"/>
    <w:rsid w:val="00761801"/>
    <w:rsid w:val="00761E6B"/>
    <w:rsid w:val="00761FC2"/>
    <w:rsid w:val="007622F8"/>
    <w:rsid w:val="00762D4F"/>
    <w:rsid w:val="00763097"/>
    <w:rsid w:val="00763A41"/>
    <w:rsid w:val="00764C54"/>
    <w:rsid w:val="00764CB0"/>
    <w:rsid w:val="007651A7"/>
    <w:rsid w:val="00765229"/>
    <w:rsid w:val="007660A1"/>
    <w:rsid w:val="0076613D"/>
    <w:rsid w:val="0076641B"/>
    <w:rsid w:val="0076651A"/>
    <w:rsid w:val="007666D8"/>
    <w:rsid w:val="00766D03"/>
    <w:rsid w:val="00766F2A"/>
    <w:rsid w:val="007671B6"/>
    <w:rsid w:val="007671DA"/>
    <w:rsid w:val="0076767E"/>
    <w:rsid w:val="00767ADE"/>
    <w:rsid w:val="00767C28"/>
    <w:rsid w:val="00770C72"/>
    <w:rsid w:val="00770FBF"/>
    <w:rsid w:val="007719A8"/>
    <w:rsid w:val="00771DB8"/>
    <w:rsid w:val="0077228C"/>
    <w:rsid w:val="00772BB8"/>
    <w:rsid w:val="00772F03"/>
    <w:rsid w:val="00772FA8"/>
    <w:rsid w:val="00773149"/>
    <w:rsid w:val="007737D3"/>
    <w:rsid w:val="00773A71"/>
    <w:rsid w:val="00773B74"/>
    <w:rsid w:val="00773CAE"/>
    <w:rsid w:val="00774593"/>
    <w:rsid w:val="00774725"/>
    <w:rsid w:val="00774C88"/>
    <w:rsid w:val="00774D02"/>
    <w:rsid w:val="007753B5"/>
    <w:rsid w:val="00775AAA"/>
    <w:rsid w:val="00776EDA"/>
    <w:rsid w:val="00777599"/>
    <w:rsid w:val="007779A0"/>
    <w:rsid w:val="00777A2C"/>
    <w:rsid w:val="00780F1B"/>
    <w:rsid w:val="00780FEA"/>
    <w:rsid w:val="0078165D"/>
    <w:rsid w:val="00781C97"/>
    <w:rsid w:val="00782B59"/>
    <w:rsid w:val="00782D66"/>
    <w:rsid w:val="00782F57"/>
    <w:rsid w:val="00783603"/>
    <w:rsid w:val="00783786"/>
    <w:rsid w:val="00783D34"/>
    <w:rsid w:val="00784F4F"/>
    <w:rsid w:val="00785646"/>
    <w:rsid w:val="00785CF8"/>
    <w:rsid w:val="00785EA1"/>
    <w:rsid w:val="007860F9"/>
    <w:rsid w:val="007862B1"/>
    <w:rsid w:val="00786628"/>
    <w:rsid w:val="00786B64"/>
    <w:rsid w:val="0078734E"/>
    <w:rsid w:val="00787700"/>
    <w:rsid w:val="00790A3E"/>
    <w:rsid w:val="00790BBC"/>
    <w:rsid w:val="00790BE6"/>
    <w:rsid w:val="00790F87"/>
    <w:rsid w:val="00791119"/>
    <w:rsid w:val="0079147B"/>
    <w:rsid w:val="00791A59"/>
    <w:rsid w:val="00791B62"/>
    <w:rsid w:val="00792A24"/>
    <w:rsid w:val="0079304F"/>
    <w:rsid w:val="00793277"/>
    <w:rsid w:val="007934FB"/>
    <w:rsid w:val="00793987"/>
    <w:rsid w:val="0079435F"/>
    <w:rsid w:val="00794F40"/>
    <w:rsid w:val="007951D5"/>
    <w:rsid w:val="00795A23"/>
    <w:rsid w:val="00796068"/>
    <w:rsid w:val="00796163"/>
    <w:rsid w:val="00796472"/>
    <w:rsid w:val="00796CC0"/>
    <w:rsid w:val="00796CF1"/>
    <w:rsid w:val="007974AF"/>
    <w:rsid w:val="007979EA"/>
    <w:rsid w:val="00797A74"/>
    <w:rsid w:val="00797ACF"/>
    <w:rsid w:val="00797C1C"/>
    <w:rsid w:val="007A1151"/>
    <w:rsid w:val="007A1456"/>
    <w:rsid w:val="007A17A6"/>
    <w:rsid w:val="007A1970"/>
    <w:rsid w:val="007A19BC"/>
    <w:rsid w:val="007A1A35"/>
    <w:rsid w:val="007A2166"/>
    <w:rsid w:val="007A2B7F"/>
    <w:rsid w:val="007A3059"/>
    <w:rsid w:val="007A336F"/>
    <w:rsid w:val="007A33FA"/>
    <w:rsid w:val="007A3811"/>
    <w:rsid w:val="007A3A89"/>
    <w:rsid w:val="007A45A6"/>
    <w:rsid w:val="007A536B"/>
    <w:rsid w:val="007A5409"/>
    <w:rsid w:val="007A5922"/>
    <w:rsid w:val="007A5924"/>
    <w:rsid w:val="007A5969"/>
    <w:rsid w:val="007A5AAE"/>
    <w:rsid w:val="007A63D4"/>
    <w:rsid w:val="007A7750"/>
    <w:rsid w:val="007A77BF"/>
    <w:rsid w:val="007A7AA2"/>
    <w:rsid w:val="007A7C23"/>
    <w:rsid w:val="007B05AC"/>
    <w:rsid w:val="007B07A6"/>
    <w:rsid w:val="007B0A30"/>
    <w:rsid w:val="007B0BF2"/>
    <w:rsid w:val="007B100F"/>
    <w:rsid w:val="007B1ABA"/>
    <w:rsid w:val="007B2070"/>
    <w:rsid w:val="007B221D"/>
    <w:rsid w:val="007B24B8"/>
    <w:rsid w:val="007B259B"/>
    <w:rsid w:val="007B322F"/>
    <w:rsid w:val="007B3F28"/>
    <w:rsid w:val="007B434A"/>
    <w:rsid w:val="007B452C"/>
    <w:rsid w:val="007B459E"/>
    <w:rsid w:val="007B471E"/>
    <w:rsid w:val="007B4ACA"/>
    <w:rsid w:val="007B5018"/>
    <w:rsid w:val="007B53DE"/>
    <w:rsid w:val="007B53E7"/>
    <w:rsid w:val="007B65B3"/>
    <w:rsid w:val="007B66B8"/>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3515"/>
    <w:rsid w:val="007C38F7"/>
    <w:rsid w:val="007C3908"/>
    <w:rsid w:val="007C3AA6"/>
    <w:rsid w:val="007C4290"/>
    <w:rsid w:val="007C42FB"/>
    <w:rsid w:val="007C4499"/>
    <w:rsid w:val="007C4E99"/>
    <w:rsid w:val="007C5151"/>
    <w:rsid w:val="007C546B"/>
    <w:rsid w:val="007C565B"/>
    <w:rsid w:val="007C59C0"/>
    <w:rsid w:val="007C5B8D"/>
    <w:rsid w:val="007C5ECA"/>
    <w:rsid w:val="007C670D"/>
    <w:rsid w:val="007C68D2"/>
    <w:rsid w:val="007C6A87"/>
    <w:rsid w:val="007C6ACF"/>
    <w:rsid w:val="007C6B7A"/>
    <w:rsid w:val="007C6D5A"/>
    <w:rsid w:val="007C7170"/>
    <w:rsid w:val="007C7359"/>
    <w:rsid w:val="007C7DF2"/>
    <w:rsid w:val="007D0B2E"/>
    <w:rsid w:val="007D0C56"/>
    <w:rsid w:val="007D0CD1"/>
    <w:rsid w:val="007D0ED0"/>
    <w:rsid w:val="007D1005"/>
    <w:rsid w:val="007D1F01"/>
    <w:rsid w:val="007D246B"/>
    <w:rsid w:val="007D250D"/>
    <w:rsid w:val="007D3500"/>
    <w:rsid w:val="007D3868"/>
    <w:rsid w:val="007D3E0E"/>
    <w:rsid w:val="007D3F48"/>
    <w:rsid w:val="007D4104"/>
    <w:rsid w:val="007D420F"/>
    <w:rsid w:val="007D48CF"/>
    <w:rsid w:val="007D4A4A"/>
    <w:rsid w:val="007D4C4B"/>
    <w:rsid w:val="007D560E"/>
    <w:rsid w:val="007D5D5F"/>
    <w:rsid w:val="007D5F85"/>
    <w:rsid w:val="007D7606"/>
    <w:rsid w:val="007D77EB"/>
    <w:rsid w:val="007E018B"/>
    <w:rsid w:val="007E0637"/>
    <w:rsid w:val="007E0721"/>
    <w:rsid w:val="007E0B69"/>
    <w:rsid w:val="007E0C58"/>
    <w:rsid w:val="007E0CC7"/>
    <w:rsid w:val="007E0CF4"/>
    <w:rsid w:val="007E0D6F"/>
    <w:rsid w:val="007E0E05"/>
    <w:rsid w:val="007E0E11"/>
    <w:rsid w:val="007E133A"/>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E7D7E"/>
    <w:rsid w:val="007F00D0"/>
    <w:rsid w:val="007F0546"/>
    <w:rsid w:val="007F0754"/>
    <w:rsid w:val="007F1691"/>
    <w:rsid w:val="007F1B7A"/>
    <w:rsid w:val="007F1DEB"/>
    <w:rsid w:val="007F2142"/>
    <w:rsid w:val="007F22A5"/>
    <w:rsid w:val="007F27A7"/>
    <w:rsid w:val="007F2A0B"/>
    <w:rsid w:val="007F2DC4"/>
    <w:rsid w:val="007F2E4B"/>
    <w:rsid w:val="007F367E"/>
    <w:rsid w:val="007F3B8F"/>
    <w:rsid w:val="007F3D93"/>
    <w:rsid w:val="007F413A"/>
    <w:rsid w:val="007F421D"/>
    <w:rsid w:val="007F5240"/>
    <w:rsid w:val="007F532E"/>
    <w:rsid w:val="007F5688"/>
    <w:rsid w:val="007F588F"/>
    <w:rsid w:val="007F5E63"/>
    <w:rsid w:val="007F603C"/>
    <w:rsid w:val="007F617F"/>
    <w:rsid w:val="007F66A5"/>
    <w:rsid w:val="007F6947"/>
    <w:rsid w:val="007F7247"/>
    <w:rsid w:val="0080038A"/>
    <w:rsid w:val="008005B1"/>
    <w:rsid w:val="0080065F"/>
    <w:rsid w:val="008006D9"/>
    <w:rsid w:val="0080086D"/>
    <w:rsid w:val="00800BDB"/>
    <w:rsid w:val="00800CEF"/>
    <w:rsid w:val="008011F2"/>
    <w:rsid w:val="00801385"/>
    <w:rsid w:val="0080157F"/>
    <w:rsid w:val="00801588"/>
    <w:rsid w:val="00802807"/>
    <w:rsid w:val="00802CC5"/>
    <w:rsid w:val="00802DA0"/>
    <w:rsid w:val="00803139"/>
    <w:rsid w:val="00803CE2"/>
    <w:rsid w:val="008043A4"/>
    <w:rsid w:val="00804983"/>
    <w:rsid w:val="008051DE"/>
    <w:rsid w:val="00805594"/>
    <w:rsid w:val="00805656"/>
    <w:rsid w:val="00805659"/>
    <w:rsid w:val="0080593E"/>
    <w:rsid w:val="00805F9A"/>
    <w:rsid w:val="008069B2"/>
    <w:rsid w:val="0080733E"/>
    <w:rsid w:val="0080783D"/>
    <w:rsid w:val="008100B2"/>
    <w:rsid w:val="00810B66"/>
    <w:rsid w:val="00810CC2"/>
    <w:rsid w:val="00811B4D"/>
    <w:rsid w:val="00812C2A"/>
    <w:rsid w:val="00812FCB"/>
    <w:rsid w:val="0081324B"/>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3CB"/>
    <w:rsid w:val="008209BC"/>
    <w:rsid w:val="0082117C"/>
    <w:rsid w:val="00821702"/>
    <w:rsid w:val="008218ED"/>
    <w:rsid w:val="00822563"/>
    <w:rsid w:val="00823472"/>
    <w:rsid w:val="008234BD"/>
    <w:rsid w:val="00823663"/>
    <w:rsid w:val="00823997"/>
    <w:rsid w:val="00823A7E"/>
    <w:rsid w:val="00824A8C"/>
    <w:rsid w:val="00825155"/>
    <w:rsid w:val="00825D4C"/>
    <w:rsid w:val="00825EB9"/>
    <w:rsid w:val="008261E9"/>
    <w:rsid w:val="00826614"/>
    <w:rsid w:val="0082668A"/>
    <w:rsid w:val="00826786"/>
    <w:rsid w:val="00827461"/>
    <w:rsid w:val="008277BF"/>
    <w:rsid w:val="00830099"/>
    <w:rsid w:val="008301A9"/>
    <w:rsid w:val="008301B7"/>
    <w:rsid w:val="008303E2"/>
    <w:rsid w:val="00830537"/>
    <w:rsid w:val="00830917"/>
    <w:rsid w:val="00830D99"/>
    <w:rsid w:val="00830FFD"/>
    <w:rsid w:val="00831194"/>
    <w:rsid w:val="00831589"/>
    <w:rsid w:val="0083169F"/>
    <w:rsid w:val="00831B7E"/>
    <w:rsid w:val="00832496"/>
    <w:rsid w:val="0083324B"/>
    <w:rsid w:val="00833A8F"/>
    <w:rsid w:val="00833C13"/>
    <w:rsid w:val="00833D53"/>
    <w:rsid w:val="00834123"/>
    <w:rsid w:val="008341F8"/>
    <w:rsid w:val="00834892"/>
    <w:rsid w:val="008359DA"/>
    <w:rsid w:val="008359F3"/>
    <w:rsid w:val="00835C7F"/>
    <w:rsid w:val="00835DB6"/>
    <w:rsid w:val="00836113"/>
    <w:rsid w:val="00836AC2"/>
    <w:rsid w:val="00836D7F"/>
    <w:rsid w:val="00837188"/>
    <w:rsid w:val="008376FE"/>
    <w:rsid w:val="00837C00"/>
    <w:rsid w:val="00837D13"/>
    <w:rsid w:val="0084005B"/>
    <w:rsid w:val="0084051D"/>
    <w:rsid w:val="008406D5"/>
    <w:rsid w:val="008417E1"/>
    <w:rsid w:val="00841D7F"/>
    <w:rsid w:val="008425EB"/>
    <w:rsid w:val="00842833"/>
    <w:rsid w:val="0084289D"/>
    <w:rsid w:val="00842941"/>
    <w:rsid w:val="00843779"/>
    <w:rsid w:val="00843798"/>
    <w:rsid w:val="00843BED"/>
    <w:rsid w:val="00843FB3"/>
    <w:rsid w:val="008444E7"/>
    <w:rsid w:val="008447C8"/>
    <w:rsid w:val="00844C5B"/>
    <w:rsid w:val="00844F50"/>
    <w:rsid w:val="008451F5"/>
    <w:rsid w:val="00845856"/>
    <w:rsid w:val="00845944"/>
    <w:rsid w:val="00845DFB"/>
    <w:rsid w:val="00846833"/>
    <w:rsid w:val="008475D6"/>
    <w:rsid w:val="00847B37"/>
    <w:rsid w:val="008501A4"/>
    <w:rsid w:val="008502F2"/>
    <w:rsid w:val="008505A1"/>
    <w:rsid w:val="00850817"/>
    <w:rsid w:val="008508FD"/>
    <w:rsid w:val="00850D6A"/>
    <w:rsid w:val="00850D70"/>
    <w:rsid w:val="008511F2"/>
    <w:rsid w:val="00851D16"/>
    <w:rsid w:val="00851E54"/>
    <w:rsid w:val="00852005"/>
    <w:rsid w:val="0085284B"/>
    <w:rsid w:val="0085292C"/>
    <w:rsid w:val="0085292E"/>
    <w:rsid w:val="00852B02"/>
    <w:rsid w:val="00852B27"/>
    <w:rsid w:val="00853A16"/>
    <w:rsid w:val="00853B91"/>
    <w:rsid w:val="00853F97"/>
    <w:rsid w:val="0085433A"/>
    <w:rsid w:val="00854A85"/>
    <w:rsid w:val="00854B32"/>
    <w:rsid w:val="00854DD3"/>
    <w:rsid w:val="0085553C"/>
    <w:rsid w:val="00855F2B"/>
    <w:rsid w:val="00855FBE"/>
    <w:rsid w:val="00856252"/>
    <w:rsid w:val="00856C76"/>
    <w:rsid w:val="008570DF"/>
    <w:rsid w:val="008571A7"/>
    <w:rsid w:val="00857554"/>
    <w:rsid w:val="00857634"/>
    <w:rsid w:val="008577C7"/>
    <w:rsid w:val="008578B7"/>
    <w:rsid w:val="00857FFB"/>
    <w:rsid w:val="00860B38"/>
    <w:rsid w:val="0086124E"/>
    <w:rsid w:val="00861AF9"/>
    <w:rsid w:val="00861B74"/>
    <w:rsid w:val="00861DF4"/>
    <w:rsid w:val="00862DB7"/>
    <w:rsid w:val="00863C6A"/>
    <w:rsid w:val="00864A10"/>
    <w:rsid w:val="00864F86"/>
    <w:rsid w:val="00865089"/>
    <w:rsid w:val="008652C9"/>
    <w:rsid w:val="00865D8B"/>
    <w:rsid w:val="00866084"/>
    <w:rsid w:val="00866992"/>
    <w:rsid w:val="00866CA9"/>
    <w:rsid w:val="008676DF"/>
    <w:rsid w:val="00867897"/>
    <w:rsid w:val="00867AD6"/>
    <w:rsid w:val="00867C5B"/>
    <w:rsid w:val="00867E32"/>
    <w:rsid w:val="0087057E"/>
    <w:rsid w:val="00870AAD"/>
    <w:rsid w:val="00871909"/>
    <w:rsid w:val="008720A6"/>
    <w:rsid w:val="00872942"/>
    <w:rsid w:val="0087361A"/>
    <w:rsid w:val="00873B76"/>
    <w:rsid w:val="0087469C"/>
    <w:rsid w:val="00874DB9"/>
    <w:rsid w:val="0087504D"/>
    <w:rsid w:val="008754CA"/>
    <w:rsid w:val="0087568C"/>
    <w:rsid w:val="0087572F"/>
    <w:rsid w:val="00875991"/>
    <w:rsid w:val="00875BB1"/>
    <w:rsid w:val="00875BB5"/>
    <w:rsid w:val="008760C3"/>
    <w:rsid w:val="00876F26"/>
    <w:rsid w:val="008770A8"/>
    <w:rsid w:val="008771B6"/>
    <w:rsid w:val="008774D0"/>
    <w:rsid w:val="00877865"/>
    <w:rsid w:val="00877E86"/>
    <w:rsid w:val="00877FDD"/>
    <w:rsid w:val="0088015B"/>
    <w:rsid w:val="00880815"/>
    <w:rsid w:val="00880FED"/>
    <w:rsid w:val="00881415"/>
    <w:rsid w:val="0088186D"/>
    <w:rsid w:val="00881987"/>
    <w:rsid w:val="00881B40"/>
    <w:rsid w:val="00882A96"/>
    <w:rsid w:val="008841C8"/>
    <w:rsid w:val="0088463A"/>
    <w:rsid w:val="0088469F"/>
    <w:rsid w:val="0088480B"/>
    <w:rsid w:val="00884B9A"/>
    <w:rsid w:val="00884BD3"/>
    <w:rsid w:val="00885367"/>
    <w:rsid w:val="008853CE"/>
    <w:rsid w:val="008855A4"/>
    <w:rsid w:val="00885871"/>
    <w:rsid w:val="00885989"/>
    <w:rsid w:val="00885B0B"/>
    <w:rsid w:val="00885D27"/>
    <w:rsid w:val="00886050"/>
    <w:rsid w:val="00886EE2"/>
    <w:rsid w:val="00887082"/>
    <w:rsid w:val="0088722F"/>
    <w:rsid w:val="00887546"/>
    <w:rsid w:val="00887C8D"/>
    <w:rsid w:val="00887DC7"/>
    <w:rsid w:val="00890821"/>
    <w:rsid w:val="00890CE4"/>
    <w:rsid w:val="00890D3C"/>
    <w:rsid w:val="00891434"/>
    <w:rsid w:val="00891A0E"/>
    <w:rsid w:val="00891ADA"/>
    <w:rsid w:val="00891FCC"/>
    <w:rsid w:val="00892702"/>
    <w:rsid w:val="008928A8"/>
    <w:rsid w:val="00892ABE"/>
    <w:rsid w:val="00892BB8"/>
    <w:rsid w:val="00893014"/>
    <w:rsid w:val="008939C2"/>
    <w:rsid w:val="00893BAF"/>
    <w:rsid w:val="00894600"/>
    <w:rsid w:val="0089513A"/>
    <w:rsid w:val="008953B7"/>
    <w:rsid w:val="008954E8"/>
    <w:rsid w:val="00895D68"/>
    <w:rsid w:val="008961D5"/>
    <w:rsid w:val="008965FF"/>
    <w:rsid w:val="00896755"/>
    <w:rsid w:val="00896F38"/>
    <w:rsid w:val="00897A55"/>
    <w:rsid w:val="008A019D"/>
    <w:rsid w:val="008A0423"/>
    <w:rsid w:val="008A086B"/>
    <w:rsid w:val="008A0993"/>
    <w:rsid w:val="008A0F0E"/>
    <w:rsid w:val="008A12E6"/>
    <w:rsid w:val="008A140B"/>
    <w:rsid w:val="008A1565"/>
    <w:rsid w:val="008A1C9E"/>
    <w:rsid w:val="008A2417"/>
    <w:rsid w:val="008A273A"/>
    <w:rsid w:val="008A2B57"/>
    <w:rsid w:val="008A2C79"/>
    <w:rsid w:val="008A344D"/>
    <w:rsid w:val="008A3976"/>
    <w:rsid w:val="008A4647"/>
    <w:rsid w:val="008A47EC"/>
    <w:rsid w:val="008A4A7A"/>
    <w:rsid w:val="008A4D6C"/>
    <w:rsid w:val="008A5034"/>
    <w:rsid w:val="008A553E"/>
    <w:rsid w:val="008A55C0"/>
    <w:rsid w:val="008A5D49"/>
    <w:rsid w:val="008A5D4A"/>
    <w:rsid w:val="008A60C7"/>
    <w:rsid w:val="008A63CF"/>
    <w:rsid w:val="008A6414"/>
    <w:rsid w:val="008A6952"/>
    <w:rsid w:val="008A69D6"/>
    <w:rsid w:val="008A6BDC"/>
    <w:rsid w:val="008A7333"/>
    <w:rsid w:val="008A7429"/>
    <w:rsid w:val="008A751E"/>
    <w:rsid w:val="008A756C"/>
    <w:rsid w:val="008A7A77"/>
    <w:rsid w:val="008B0547"/>
    <w:rsid w:val="008B05EB"/>
    <w:rsid w:val="008B0D83"/>
    <w:rsid w:val="008B113C"/>
    <w:rsid w:val="008B11A3"/>
    <w:rsid w:val="008B18B9"/>
    <w:rsid w:val="008B1CA6"/>
    <w:rsid w:val="008B1FE5"/>
    <w:rsid w:val="008B2AD7"/>
    <w:rsid w:val="008B2E7E"/>
    <w:rsid w:val="008B2FF0"/>
    <w:rsid w:val="008B302F"/>
    <w:rsid w:val="008B3675"/>
    <w:rsid w:val="008B3A74"/>
    <w:rsid w:val="008B3D72"/>
    <w:rsid w:val="008B3DF6"/>
    <w:rsid w:val="008B3ED8"/>
    <w:rsid w:val="008B411A"/>
    <w:rsid w:val="008B434A"/>
    <w:rsid w:val="008B4A47"/>
    <w:rsid w:val="008B50D8"/>
    <w:rsid w:val="008B5688"/>
    <w:rsid w:val="008B58F9"/>
    <w:rsid w:val="008B5DA7"/>
    <w:rsid w:val="008B6640"/>
    <w:rsid w:val="008B756E"/>
    <w:rsid w:val="008B79A7"/>
    <w:rsid w:val="008B7B55"/>
    <w:rsid w:val="008B7E1F"/>
    <w:rsid w:val="008C0339"/>
    <w:rsid w:val="008C12EF"/>
    <w:rsid w:val="008C15C2"/>
    <w:rsid w:val="008C1A4A"/>
    <w:rsid w:val="008C1AFD"/>
    <w:rsid w:val="008C25D0"/>
    <w:rsid w:val="008C2691"/>
    <w:rsid w:val="008C26D0"/>
    <w:rsid w:val="008C29EE"/>
    <w:rsid w:val="008C2ABC"/>
    <w:rsid w:val="008C31CD"/>
    <w:rsid w:val="008C3730"/>
    <w:rsid w:val="008C39CB"/>
    <w:rsid w:val="008C3A5B"/>
    <w:rsid w:val="008C3D50"/>
    <w:rsid w:val="008C4823"/>
    <w:rsid w:val="008C4EF9"/>
    <w:rsid w:val="008C5633"/>
    <w:rsid w:val="008C5B71"/>
    <w:rsid w:val="008C5FFD"/>
    <w:rsid w:val="008C6B27"/>
    <w:rsid w:val="008C6BCE"/>
    <w:rsid w:val="008C6D01"/>
    <w:rsid w:val="008C7039"/>
    <w:rsid w:val="008C7559"/>
    <w:rsid w:val="008C7DC1"/>
    <w:rsid w:val="008D07A9"/>
    <w:rsid w:val="008D09E8"/>
    <w:rsid w:val="008D0E23"/>
    <w:rsid w:val="008D142E"/>
    <w:rsid w:val="008D1890"/>
    <w:rsid w:val="008D1A67"/>
    <w:rsid w:val="008D1FE1"/>
    <w:rsid w:val="008D2382"/>
    <w:rsid w:val="008D23DC"/>
    <w:rsid w:val="008D2D76"/>
    <w:rsid w:val="008D2EB8"/>
    <w:rsid w:val="008D2F21"/>
    <w:rsid w:val="008D3521"/>
    <w:rsid w:val="008D3570"/>
    <w:rsid w:val="008D3C87"/>
    <w:rsid w:val="008D40B3"/>
    <w:rsid w:val="008D421A"/>
    <w:rsid w:val="008D4846"/>
    <w:rsid w:val="008D5667"/>
    <w:rsid w:val="008D61B7"/>
    <w:rsid w:val="008D62A6"/>
    <w:rsid w:val="008D675C"/>
    <w:rsid w:val="008D6B2F"/>
    <w:rsid w:val="008D6F5D"/>
    <w:rsid w:val="008D7CB3"/>
    <w:rsid w:val="008D7CB8"/>
    <w:rsid w:val="008D7F62"/>
    <w:rsid w:val="008E003A"/>
    <w:rsid w:val="008E08A4"/>
    <w:rsid w:val="008E15E3"/>
    <w:rsid w:val="008E197E"/>
    <w:rsid w:val="008E2045"/>
    <w:rsid w:val="008E28AE"/>
    <w:rsid w:val="008E3380"/>
    <w:rsid w:val="008E3AC0"/>
    <w:rsid w:val="008E4027"/>
    <w:rsid w:val="008E477B"/>
    <w:rsid w:val="008E4A1F"/>
    <w:rsid w:val="008E4C62"/>
    <w:rsid w:val="008E4E55"/>
    <w:rsid w:val="008E537D"/>
    <w:rsid w:val="008E6003"/>
    <w:rsid w:val="008E6A21"/>
    <w:rsid w:val="008E6BEC"/>
    <w:rsid w:val="008E6F9F"/>
    <w:rsid w:val="008E727E"/>
    <w:rsid w:val="008E72E1"/>
    <w:rsid w:val="008E7D97"/>
    <w:rsid w:val="008F03C0"/>
    <w:rsid w:val="008F03CB"/>
    <w:rsid w:val="008F05FB"/>
    <w:rsid w:val="008F0B17"/>
    <w:rsid w:val="008F0C2D"/>
    <w:rsid w:val="008F0F1C"/>
    <w:rsid w:val="008F136C"/>
    <w:rsid w:val="008F1E31"/>
    <w:rsid w:val="008F2619"/>
    <w:rsid w:val="008F2902"/>
    <w:rsid w:val="008F2FAB"/>
    <w:rsid w:val="008F3912"/>
    <w:rsid w:val="008F4047"/>
    <w:rsid w:val="008F4111"/>
    <w:rsid w:val="008F4593"/>
    <w:rsid w:val="008F4FDF"/>
    <w:rsid w:val="008F50FE"/>
    <w:rsid w:val="008F5604"/>
    <w:rsid w:val="008F5AE6"/>
    <w:rsid w:val="008F6220"/>
    <w:rsid w:val="008F660B"/>
    <w:rsid w:val="008F695F"/>
    <w:rsid w:val="008F6E12"/>
    <w:rsid w:val="008F7290"/>
    <w:rsid w:val="00900057"/>
    <w:rsid w:val="0090019D"/>
    <w:rsid w:val="00900516"/>
    <w:rsid w:val="009005CE"/>
    <w:rsid w:val="00900822"/>
    <w:rsid w:val="00900C17"/>
    <w:rsid w:val="00900CF2"/>
    <w:rsid w:val="00901376"/>
    <w:rsid w:val="0090187D"/>
    <w:rsid w:val="0090188B"/>
    <w:rsid w:val="00901AF4"/>
    <w:rsid w:val="00901EE5"/>
    <w:rsid w:val="00901F83"/>
    <w:rsid w:val="009021A4"/>
    <w:rsid w:val="009027FA"/>
    <w:rsid w:val="009028CD"/>
    <w:rsid w:val="00902A54"/>
    <w:rsid w:val="0090306F"/>
    <w:rsid w:val="00903309"/>
    <w:rsid w:val="00904305"/>
    <w:rsid w:val="00904362"/>
    <w:rsid w:val="0090441C"/>
    <w:rsid w:val="009045D3"/>
    <w:rsid w:val="00904986"/>
    <w:rsid w:val="00904C5A"/>
    <w:rsid w:val="00904EC5"/>
    <w:rsid w:val="009104A9"/>
    <w:rsid w:val="00910550"/>
    <w:rsid w:val="00910A48"/>
    <w:rsid w:val="00910C0D"/>
    <w:rsid w:val="0091159F"/>
    <w:rsid w:val="0091267A"/>
    <w:rsid w:val="00912C43"/>
    <w:rsid w:val="00912EEF"/>
    <w:rsid w:val="0091308F"/>
    <w:rsid w:val="00913417"/>
    <w:rsid w:val="00913517"/>
    <w:rsid w:val="00913571"/>
    <w:rsid w:val="00913751"/>
    <w:rsid w:val="0091389B"/>
    <w:rsid w:val="00913C37"/>
    <w:rsid w:val="0091406E"/>
    <w:rsid w:val="00914672"/>
    <w:rsid w:val="009149EC"/>
    <w:rsid w:val="00914ADE"/>
    <w:rsid w:val="00914B48"/>
    <w:rsid w:val="0091511B"/>
    <w:rsid w:val="00916549"/>
    <w:rsid w:val="00916A57"/>
    <w:rsid w:val="009172D7"/>
    <w:rsid w:val="009173D0"/>
    <w:rsid w:val="00917A34"/>
    <w:rsid w:val="00917AFB"/>
    <w:rsid w:val="00917B6F"/>
    <w:rsid w:val="00917D2C"/>
    <w:rsid w:val="00917E08"/>
    <w:rsid w:val="00917E84"/>
    <w:rsid w:val="00920D31"/>
    <w:rsid w:val="009211F2"/>
    <w:rsid w:val="00921A3E"/>
    <w:rsid w:val="00921A4F"/>
    <w:rsid w:val="00921B79"/>
    <w:rsid w:val="00922061"/>
    <w:rsid w:val="009226F4"/>
    <w:rsid w:val="00922CD3"/>
    <w:rsid w:val="0092336E"/>
    <w:rsid w:val="009236AA"/>
    <w:rsid w:val="009238AF"/>
    <w:rsid w:val="009239AA"/>
    <w:rsid w:val="00924173"/>
    <w:rsid w:val="0092425D"/>
    <w:rsid w:val="009245B5"/>
    <w:rsid w:val="009245D0"/>
    <w:rsid w:val="00924AB4"/>
    <w:rsid w:val="009252B5"/>
    <w:rsid w:val="00925431"/>
    <w:rsid w:val="0092578D"/>
    <w:rsid w:val="00925DF7"/>
    <w:rsid w:val="00925EF2"/>
    <w:rsid w:val="00925F3C"/>
    <w:rsid w:val="00926204"/>
    <w:rsid w:val="009264C7"/>
    <w:rsid w:val="009265A0"/>
    <w:rsid w:val="00926984"/>
    <w:rsid w:val="009269E3"/>
    <w:rsid w:val="009274C7"/>
    <w:rsid w:val="00927CC9"/>
    <w:rsid w:val="0093097F"/>
    <w:rsid w:val="00930F0E"/>
    <w:rsid w:val="00932208"/>
    <w:rsid w:val="00932259"/>
    <w:rsid w:val="009327C5"/>
    <w:rsid w:val="00932814"/>
    <w:rsid w:val="00932973"/>
    <w:rsid w:val="00932ED6"/>
    <w:rsid w:val="009332F5"/>
    <w:rsid w:val="009336C8"/>
    <w:rsid w:val="009339EB"/>
    <w:rsid w:val="00933A1D"/>
    <w:rsid w:val="009346EA"/>
    <w:rsid w:val="00934BAF"/>
    <w:rsid w:val="00934D8A"/>
    <w:rsid w:val="00934F64"/>
    <w:rsid w:val="00934F6D"/>
    <w:rsid w:val="00935493"/>
    <w:rsid w:val="009354B8"/>
    <w:rsid w:val="009355A2"/>
    <w:rsid w:val="00935803"/>
    <w:rsid w:val="00935A19"/>
    <w:rsid w:val="00935B29"/>
    <w:rsid w:val="00935B3E"/>
    <w:rsid w:val="00935C40"/>
    <w:rsid w:val="00935C79"/>
    <w:rsid w:val="00935F4D"/>
    <w:rsid w:val="00936158"/>
    <w:rsid w:val="009361D3"/>
    <w:rsid w:val="00936798"/>
    <w:rsid w:val="0093685C"/>
    <w:rsid w:val="00936B5E"/>
    <w:rsid w:val="00936C7F"/>
    <w:rsid w:val="009373EF"/>
    <w:rsid w:val="009377EA"/>
    <w:rsid w:val="0093795C"/>
    <w:rsid w:val="00937DCB"/>
    <w:rsid w:val="00937EC9"/>
    <w:rsid w:val="00937F7E"/>
    <w:rsid w:val="0094001E"/>
    <w:rsid w:val="00940576"/>
    <w:rsid w:val="0094104B"/>
    <w:rsid w:val="0094141F"/>
    <w:rsid w:val="00942022"/>
    <w:rsid w:val="009425D0"/>
    <w:rsid w:val="00942814"/>
    <w:rsid w:val="00943395"/>
    <w:rsid w:val="00943453"/>
    <w:rsid w:val="009440DE"/>
    <w:rsid w:val="00944198"/>
    <w:rsid w:val="0094429F"/>
    <w:rsid w:val="009444E6"/>
    <w:rsid w:val="009449E0"/>
    <w:rsid w:val="00944A8E"/>
    <w:rsid w:val="009453E9"/>
    <w:rsid w:val="0094541F"/>
    <w:rsid w:val="009455E6"/>
    <w:rsid w:val="0094589B"/>
    <w:rsid w:val="00946A49"/>
    <w:rsid w:val="00947AEE"/>
    <w:rsid w:val="00950775"/>
    <w:rsid w:val="009509C0"/>
    <w:rsid w:val="00950AFF"/>
    <w:rsid w:val="00951313"/>
    <w:rsid w:val="00952A65"/>
    <w:rsid w:val="00952B9C"/>
    <w:rsid w:val="00952E93"/>
    <w:rsid w:val="009530DC"/>
    <w:rsid w:val="00953422"/>
    <w:rsid w:val="00953B70"/>
    <w:rsid w:val="00953CCB"/>
    <w:rsid w:val="00954978"/>
    <w:rsid w:val="00954C38"/>
    <w:rsid w:val="00955620"/>
    <w:rsid w:val="00955E2A"/>
    <w:rsid w:val="00956330"/>
    <w:rsid w:val="00956348"/>
    <w:rsid w:val="00956BA7"/>
    <w:rsid w:val="00956FD8"/>
    <w:rsid w:val="009575F7"/>
    <w:rsid w:val="009577D1"/>
    <w:rsid w:val="00957A98"/>
    <w:rsid w:val="00957B9A"/>
    <w:rsid w:val="00957E4B"/>
    <w:rsid w:val="0096021A"/>
    <w:rsid w:val="0096053C"/>
    <w:rsid w:val="00960F73"/>
    <w:rsid w:val="00961346"/>
    <w:rsid w:val="0096169A"/>
    <w:rsid w:val="00961A86"/>
    <w:rsid w:val="00961F29"/>
    <w:rsid w:val="009622D8"/>
    <w:rsid w:val="00962337"/>
    <w:rsid w:val="009624DE"/>
    <w:rsid w:val="00962C94"/>
    <w:rsid w:val="00962F11"/>
    <w:rsid w:val="009635FB"/>
    <w:rsid w:val="00964075"/>
    <w:rsid w:val="009642CA"/>
    <w:rsid w:val="00964559"/>
    <w:rsid w:val="00964B4C"/>
    <w:rsid w:val="00964BE5"/>
    <w:rsid w:val="00964ED5"/>
    <w:rsid w:val="00964F2B"/>
    <w:rsid w:val="009652B6"/>
    <w:rsid w:val="00965A36"/>
    <w:rsid w:val="00965CBD"/>
    <w:rsid w:val="00965D55"/>
    <w:rsid w:val="0096655D"/>
    <w:rsid w:val="009671A7"/>
    <w:rsid w:val="009675D1"/>
    <w:rsid w:val="009679CA"/>
    <w:rsid w:val="00967AB4"/>
    <w:rsid w:val="009705AB"/>
    <w:rsid w:val="009707B6"/>
    <w:rsid w:val="009709EC"/>
    <w:rsid w:val="00970E8A"/>
    <w:rsid w:val="00971139"/>
    <w:rsid w:val="009712B4"/>
    <w:rsid w:val="00971F21"/>
    <w:rsid w:val="00971F5D"/>
    <w:rsid w:val="00972288"/>
    <w:rsid w:val="00972B10"/>
    <w:rsid w:val="00973B6E"/>
    <w:rsid w:val="00973E1D"/>
    <w:rsid w:val="00973F4A"/>
    <w:rsid w:val="0097401F"/>
    <w:rsid w:val="0097465C"/>
    <w:rsid w:val="00974DB6"/>
    <w:rsid w:val="00974E53"/>
    <w:rsid w:val="009754B8"/>
    <w:rsid w:val="00975603"/>
    <w:rsid w:val="00975E28"/>
    <w:rsid w:val="00976F32"/>
    <w:rsid w:val="00977D85"/>
    <w:rsid w:val="00980C3D"/>
    <w:rsid w:val="0098103C"/>
    <w:rsid w:val="00981234"/>
    <w:rsid w:val="009812A8"/>
    <w:rsid w:val="00981632"/>
    <w:rsid w:val="00981F17"/>
    <w:rsid w:val="00981FA0"/>
    <w:rsid w:val="00982496"/>
    <w:rsid w:val="009825AE"/>
    <w:rsid w:val="0098263A"/>
    <w:rsid w:val="00983541"/>
    <w:rsid w:val="00983A7B"/>
    <w:rsid w:val="00984046"/>
    <w:rsid w:val="00984366"/>
    <w:rsid w:val="00984666"/>
    <w:rsid w:val="009848A7"/>
    <w:rsid w:val="00984E80"/>
    <w:rsid w:val="00985656"/>
    <w:rsid w:val="00985B6F"/>
    <w:rsid w:val="009861A8"/>
    <w:rsid w:val="0098634E"/>
    <w:rsid w:val="0098690F"/>
    <w:rsid w:val="00986A7E"/>
    <w:rsid w:val="00986FBE"/>
    <w:rsid w:val="0098701B"/>
    <w:rsid w:val="00987088"/>
    <w:rsid w:val="009870A0"/>
    <w:rsid w:val="0098752A"/>
    <w:rsid w:val="00987994"/>
    <w:rsid w:val="00987A84"/>
    <w:rsid w:val="00987B36"/>
    <w:rsid w:val="00987C66"/>
    <w:rsid w:val="00987EE5"/>
    <w:rsid w:val="009900F0"/>
    <w:rsid w:val="00990180"/>
    <w:rsid w:val="00990C67"/>
    <w:rsid w:val="00990E8A"/>
    <w:rsid w:val="00991CD8"/>
    <w:rsid w:val="00991EBE"/>
    <w:rsid w:val="009923AC"/>
    <w:rsid w:val="00992830"/>
    <w:rsid w:val="009928B3"/>
    <w:rsid w:val="00992A4A"/>
    <w:rsid w:val="00992B6B"/>
    <w:rsid w:val="00992C88"/>
    <w:rsid w:val="00993431"/>
    <w:rsid w:val="00993B9D"/>
    <w:rsid w:val="00993C2E"/>
    <w:rsid w:val="00993D33"/>
    <w:rsid w:val="0099454E"/>
    <w:rsid w:val="0099456D"/>
    <w:rsid w:val="00994618"/>
    <w:rsid w:val="00994F60"/>
    <w:rsid w:val="00995151"/>
    <w:rsid w:val="00995BF1"/>
    <w:rsid w:val="00995DF2"/>
    <w:rsid w:val="00997832"/>
    <w:rsid w:val="00997905"/>
    <w:rsid w:val="00997A8C"/>
    <w:rsid w:val="00997B51"/>
    <w:rsid w:val="00997B80"/>
    <w:rsid w:val="00997C8A"/>
    <w:rsid w:val="009A019F"/>
    <w:rsid w:val="009A0493"/>
    <w:rsid w:val="009A0547"/>
    <w:rsid w:val="009A0CFB"/>
    <w:rsid w:val="009A0E89"/>
    <w:rsid w:val="009A0F40"/>
    <w:rsid w:val="009A0F9E"/>
    <w:rsid w:val="009A11C4"/>
    <w:rsid w:val="009A1339"/>
    <w:rsid w:val="009A188A"/>
    <w:rsid w:val="009A1A95"/>
    <w:rsid w:val="009A1BCF"/>
    <w:rsid w:val="009A1C41"/>
    <w:rsid w:val="009A1D11"/>
    <w:rsid w:val="009A26E9"/>
    <w:rsid w:val="009A2CCC"/>
    <w:rsid w:val="009A2F68"/>
    <w:rsid w:val="009A3006"/>
    <w:rsid w:val="009A3994"/>
    <w:rsid w:val="009A3BB3"/>
    <w:rsid w:val="009A4241"/>
    <w:rsid w:val="009A42F6"/>
    <w:rsid w:val="009A45C8"/>
    <w:rsid w:val="009A4EAD"/>
    <w:rsid w:val="009A50CD"/>
    <w:rsid w:val="009A52F3"/>
    <w:rsid w:val="009A532D"/>
    <w:rsid w:val="009A59FF"/>
    <w:rsid w:val="009A65F4"/>
    <w:rsid w:val="009B03E8"/>
    <w:rsid w:val="009B09BF"/>
    <w:rsid w:val="009B0B80"/>
    <w:rsid w:val="009B0E76"/>
    <w:rsid w:val="009B0F4A"/>
    <w:rsid w:val="009B1B10"/>
    <w:rsid w:val="009B1DAD"/>
    <w:rsid w:val="009B2107"/>
    <w:rsid w:val="009B23FD"/>
    <w:rsid w:val="009B2839"/>
    <w:rsid w:val="009B2CAA"/>
    <w:rsid w:val="009B2FB9"/>
    <w:rsid w:val="009B3134"/>
    <w:rsid w:val="009B3668"/>
    <w:rsid w:val="009B436E"/>
    <w:rsid w:val="009B4598"/>
    <w:rsid w:val="009B45C4"/>
    <w:rsid w:val="009B4C24"/>
    <w:rsid w:val="009B4E58"/>
    <w:rsid w:val="009B57F6"/>
    <w:rsid w:val="009B5B02"/>
    <w:rsid w:val="009B5B0F"/>
    <w:rsid w:val="009B5BD6"/>
    <w:rsid w:val="009B5D6F"/>
    <w:rsid w:val="009B62AF"/>
    <w:rsid w:val="009B6745"/>
    <w:rsid w:val="009B68AF"/>
    <w:rsid w:val="009B6ED3"/>
    <w:rsid w:val="009B74EA"/>
    <w:rsid w:val="009B7549"/>
    <w:rsid w:val="009B7AB7"/>
    <w:rsid w:val="009B7AB9"/>
    <w:rsid w:val="009C0C4E"/>
    <w:rsid w:val="009C1101"/>
    <w:rsid w:val="009C1647"/>
    <w:rsid w:val="009C1D47"/>
    <w:rsid w:val="009C22E6"/>
    <w:rsid w:val="009C2E9D"/>
    <w:rsid w:val="009C33CA"/>
    <w:rsid w:val="009C39AF"/>
    <w:rsid w:val="009C3EB1"/>
    <w:rsid w:val="009C4359"/>
    <w:rsid w:val="009C4B6D"/>
    <w:rsid w:val="009C57AC"/>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890"/>
    <w:rsid w:val="009D3B41"/>
    <w:rsid w:val="009D45C8"/>
    <w:rsid w:val="009D4D44"/>
    <w:rsid w:val="009D4FF7"/>
    <w:rsid w:val="009D5393"/>
    <w:rsid w:val="009D5445"/>
    <w:rsid w:val="009D5604"/>
    <w:rsid w:val="009D565F"/>
    <w:rsid w:val="009D6026"/>
    <w:rsid w:val="009D65B9"/>
    <w:rsid w:val="009D6C11"/>
    <w:rsid w:val="009D6C99"/>
    <w:rsid w:val="009D70EE"/>
    <w:rsid w:val="009D7194"/>
    <w:rsid w:val="009D733B"/>
    <w:rsid w:val="009D7949"/>
    <w:rsid w:val="009E0488"/>
    <w:rsid w:val="009E04DC"/>
    <w:rsid w:val="009E0931"/>
    <w:rsid w:val="009E0FB3"/>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6EE"/>
    <w:rsid w:val="009E733E"/>
    <w:rsid w:val="009E74C5"/>
    <w:rsid w:val="009F015D"/>
    <w:rsid w:val="009F01DB"/>
    <w:rsid w:val="009F1041"/>
    <w:rsid w:val="009F18E8"/>
    <w:rsid w:val="009F202B"/>
    <w:rsid w:val="009F20C6"/>
    <w:rsid w:val="009F2E7E"/>
    <w:rsid w:val="009F37BF"/>
    <w:rsid w:val="009F3DA5"/>
    <w:rsid w:val="009F4326"/>
    <w:rsid w:val="009F43AF"/>
    <w:rsid w:val="009F4D5E"/>
    <w:rsid w:val="009F519F"/>
    <w:rsid w:val="009F5834"/>
    <w:rsid w:val="009F5ABD"/>
    <w:rsid w:val="009F5E79"/>
    <w:rsid w:val="009F7078"/>
    <w:rsid w:val="009F7379"/>
    <w:rsid w:val="009F73DA"/>
    <w:rsid w:val="009F7B0A"/>
    <w:rsid w:val="009F7BB2"/>
    <w:rsid w:val="009F7FA6"/>
    <w:rsid w:val="00A00005"/>
    <w:rsid w:val="00A00028"/>
    <w:rsid w:val="00A001C8"/>
    <w:rsid w:val="00A0082F"/>
    <w:rsid w:val="00A00AE7"/>
    <w:rsid w:val="00A01593"/>
    <w:rsid w:val="00A016AA"/>
    <w:rsid w:val="00A01B3E"/>
    <w:rsid w:val="00A0244C"/>
    <w:rsid w:val="00A02A53"/>
    <w:rsid w:val="00A02EFA"/>
    <w:rsid w:val="00A033FF"/>
    <w:rsid w:val="00A038D7"/>
    <w:rsid w:val="00A03FA4"/>
    <w:rsid w:val="00A0409E"/>
    <w:rsid w:val="00A046C7"/>
    <w:rsid w:val="00A04E2C"/>
    <w:rsid w:val="00A04EDA"/>
    <w:rsid w:val="00A05840"/>
    <w:rsid w:val="00A05843"/>
    <w:rsid w:val="00A06137"/>
    <w:rsid w:val="00A063FE"/>
    <w:rsid w:val="00A06C38"/>
    <w:rsid w:val="00A06EDB"/>
    <w:rsid w:val="00A07ACC"/>
    <w:rsid w:val="00A11259"/>
    <w:rsid w:val="00A11430"/>
    <w:rsid w:val="00A1184F"/>
    <w:rsid w:val="00A11BFE"/>
    <w:rsid w:val="00A122A9"/>
    <w:rsid w:val="00A122C5"/>
    <w:rsid w:val="00A123F2"/>
    <w:rsid w:val="00A131A1"/>
    <w:rsid w:val="00A1329C"/>
    <w:rsid w:val="00A138CF"/>
    <w:rsid w:val="00A13A8C"/>
    <w:rsid w:val="00A13DEE"/>
    <w:rsid w:val="00A141DC"/>
    <w:rsid w:val="00A14503"/>
    <w:rsid w:val="00A14928"/>
    <w:rsid w:val="00A14E25"/>
    <w:rsid w:val="00A14E81"/>
    <w:rsid w:val="00A15901"/>
    <w:rsid w:val="00A160DD"/>
    <w:rsid w:val="00A16331"/>
    <w:rsid w:val="00A163B8"/>
    <w:rsid w:val="00A16896"/>
    <w:rsid w:val="00A16A60"/>
    <w:rsid w:val="00A16A7B"/>
    <w:rsid w:val="00A17A3D"/>
    <w:rsid w:val="00A17BC7"/>
    <w:rsid w:val="00A20252"/>
    <w:rsid w:val="00A203C2"/>
    <w:rsid w:val="00A2062A"/>
    <w:rsid w:val="00A2065D"/>
    <w:rsid w:val="00A2066E"/>
    <w:rsid w:val="00A20765"/>
    <w:rsid w:val="00A21D7A"/>
    <w:rsid w:val="00A21E19"/>
    <w:rsid w:val="00A21EE2"/>
    <w:rsid w:val="00A22796"/>
    <w:rsid w:val="00A22B7C"/>
    <w:rsid w:val="00A22C2E"/>
    <w:rsid w:val="00A233F6"/>
    <w:rsid w:val="00A2348F"/>
    <w:rsid w:val="00A236A1"/>
    <w:rsid w:val="00A239A8"/>
    <w:rsid w:val="00A24599"/>
    <w:rsid w:val="00A24FBC"/>
    <w:rsid w:val="00A25B79"/>
    <w:rsid w:val="00A25D7B"/>
    <w:rsid w:val="00A260A0"/>
    <w:rsid w:val="00A273A9"/>
    <w:rsid w:val="00A27FF0"/>
    <w:rsid w:val="00A30007"/>
    <w:rsid w:val="00A300CB"/>
    <w:rsid w:val="00A3064C"/>
    <w:rsid w:val="00A30683"/>
    <w:rsid w:val="00A307BD"/>
    <w:rsid w:val="00A3101A"/>
    <w:rsid w:val="00A3115F"/>
    <w:rsid w:val="00A3194F"/>
    <w:rsid w:val="00A31BFC"/>
    <w:rsid w:val="00A31E6C"/>
    <w:rsid w:val="00A32209"/>
    <w:rsid w:val="00A32BA0"/>
    <w:rsid w:val="00A32BC7"/>
    <w:rsid w:val="00A32D77"/>
    <w:rsid w:val="00A32DFD"/>
    <w:rsid w:val="00A32F2C"/>
    <w:rsid w:val="00A33030"/>
    <w:rsid w:val="00A3314D"/>
    <w:rsid w:val="00A34307"/>
    <w:rsid w:val="00A35595"/>
    <w:rsid w:val="00A35A7A"/>
    <w:rsid w:val="00A36427"/>
    <w:rsid w:val="00A36845"/>
    <w:rsid w:val="00A36BDF"/>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E47"/>
    <w:rsid w:val="00A42F3E"/>
    <w:rsid w:val="00A43329"/>
    <w:rsid w:val="00A43D01"/>
    <w:rsid w:val="00A43FBD"/>
    <w:rsid w:val="00A43FD4"/>
    <w:rsid w:val="00A441B8"/>
    <w:rsid w:val="00A44703"/>
    <w:rsid w:val="00A44A48"/>
    <w:rsid w:val="00A44D9B"/>
    <w:rsid w:val="00A44ECE"/>
    <w:rsid w:val="00A455C7"/>
    <w:rsid w:val="00A4568D"/>
    <w:rsid w:val="00A45893"/>
    <w:rsid w:val="00A459E6"/>
    <w:rsid w:val="00A45A7F"/>
    <w:rsid w:val="00A4679A"/>
    <w:rsid w:val="00A473D7"/>
    <w:rsid w:val="00A477C6"/>
    <w:rsid w:val="00A478FA"/>
    <w:rsid w:val="00A47D31"/>
    <w:rsid w:val="00A50BCE"/>
    <w:rsid w:val="00A51CBF"/>
    <w:rsid w:val="00A51DF8"/>
    <w:rsid w:val="00A5205B"/>
    <w:rsid w:val="00A5219C"/>
    <w:rsid w:val="00A5256F"/>
    <w:rsid w:val="00A52D8E"/>
    <w:rsid w:val="00A52DA1"/>
    <w:rsid w:val="00A53AA9"/>
    <w:rsid w:val="00A54367"/>
    <w:rsid w:val="00A544CD"/>
    <w:rsid w:val="00A5485E"/>
    <w:rsid w:val="00A5499C"/>
    <w:rsid w:val="00A54CCB"/>
    <w:rsid w:val="00A54E77"/>
    <w:rsid w:val="00A55C52"/>
    <w:rsid w:val="00A5605D"/>
    <w:rsid w:val="00A560D5"/>
    <w:rsid w:val="00A57301"/>
    <w:rsid w:val="00A574DE"/>
    <w:rsid w:val="00A5757E"/>
    <w:rsid w:val="00A57A93"/>
    <w:rsid w:val="00A60A6E"/>
    <w:rsid w:val="00A60F52"/>
    <w:rsid w:val="00A61DFE"/>
    <w:rsid w:val="00A62AA8"/>
    <w:rsid w:val="00A63062"/>
    <w:rsid w:val="00A630D8"/>
    <w:rsid w:val="00A637A4"/>
    <w:rsid w:val="00A63B4C"/>
    <w:rsid w:val="00A63F67"/>
    <w:rsid w:val="00A64067"/>
    <w:rsid w:val="00A640B1"/>
    <w:rsid w:val="00A6508F"/>
    <w:rsid w:val="00A6526F"/>
    <w:rsid w:val="00A65373"/>
    <w:rsid w:val="00A65854"/>
    <w:rsid w:val="00A6594D"/>
    <w:rsid w:val="00A6604B"/>
    <w:rsid w:val="00A6633B"/>
    <w:rsid w:val="00A664AD"/>
    <w:rsid w:val="00A664E7"/>
    <w:rsid w:val="00A66C39"/>
    <w:rsid w:val="00A66E7F"/>
    <w:rsid w:val="00A66F54"/>
    <w:rsid w:val="00A671A4"/>
    <w:rsid w:val="00A673A7"/>
    <w:rsid w:val="00A675F4"/>
    <w:rsid w:val="00A67670"/>
    <w:rsid w:val="00A6786C"/>
    <w:rsid w:val="00A678AB"/>
    <w:rsid w:val="00A67917"/>
    <w:rsid w:val="00A679B0"/>
    <w:rsid w:val="00A67A14"/>
    <w:rsid w:val="00A67F19"/>
    <w:rsid w:val="00A70225"/>
    <w:rsid w:val="00A70517"/>
    <w:rsid w:val="00A708DF"/>
    <w:rsid w:val="00A70904"/>
    <w:rsid w:val="00A709BB"/>
    <w:rsid w:val="00A717CF"/>
    <w:rsid w:val="00A71BA3"/>
    <w:rsid w:val="00A72239"/>
    <w:rsid w:val="00A722E2"/>
    <w:rsid w:val="00A72D44"/>
    <w:rsid w:val="00A72FAC"/>
    <w:rsid w:val="00A73406"/>
    <w:rsid w:val="00A735A4"/>
    <w:rsid w:val="00A7377A"/>
    <w:rsid w:val="00A740EA"/>
    <w:rsid w:val="00A7424A"/>
    <w:rsid w:val="00A74597"/>
    <w:rsid w:val="00A74A7D"/>
    <w:rsid w:val="00A7542C"/>
    <w:rsid w:val="00A756FE"/>
    <w:rsid w:val="00A757F9"/>
    <w:rsid w:val="00A759BE"/>
    <w:rsid w:val="00A75BC4"/>
    <w:rsid w:val="00A75C52"/>
    <w:rsid w:val="00A764E0"/>
    <w:rsid w:val="00A767B2"/>
    <w:rsid w:val="00A7717C"/>
    <w:rsid w:val="00A774B2"/>
    <w:rsid w:val="00A77C30"/>
    <w:rsid w:val="00A77C6C"/>
    <w:rsid w:val="00A77CCE"/>
    <w:rsid w:val="00A80549"/>
    <w:rsid w:val="00A80B0C"/>
    <w:rsid w:val="00A81234"/>
    <w:rsid w:val="00A81367"/>
    <w:rsid w:val="00A819D7"/>
    <w:rsid w:val="00A81B11"/>
    <w:rsid w:val="00A82229"/>
    <w:rsid w:val="00A8244E"/>
    <w:rsid w:val="00A82662"/>
    <w:rsid w:val="00A827FC"/>
    <w:rsid w:val="00A82B9E"/>
    <w:rsid w:val="00A82D16"/>
    <w:rsid w:val="00A82F78"/>
    <w:rsid w:val="00A831CF"/>
    <w:rsid w:val="00A831FB"/>
    <w:rsid w:val="00A833BB"/>
    <w:rsid w:val="00A8358F"/>
    <w:rsid w:val="00A83BC5"/>
    <w:rsid w:val="00A84186"/>
    <w:rsid w:val="00A846F1"/>
    <w:rsid w:val="00A84937"/>
    <w:rsid w:val="00A857B4"/>
    <w:rsid w:val="00A85B14"/>
    <w:rsid w:val="00A85B90"/>
    <w:rsid w:val="00A8674E"/>
    <w:rsid w:val="00A875C0"/>
    <w:rsid w:val="00A87C15"/>
    <w:rsid w:val="00A90925"/>
    <w:rsid w:val="00A90DDB"/>
    <w:rsid w:val="00A925D7"/>
    <w:rsid w:val="00A92706"/>
    <w:rsid w:val="00A9281E"/>
    <w:rsid w:val="00A92939"/>
    <w:rsid w:val="00A92CF1"/>
    <w:rsid w:val="00A93190"/>
    <w:rsid w:val="00A93DAF"/>
    <w:rsid w:val="00A93E6F"/>
    <w:rsid w:val="00A9439C"/>
    <w:rsid w:val="00A943F8"/>
    <w:rsid w:val="00A945C2"/>
    <w:rsid w:val="00A94DF6"/>
    <w:rsid w:val="00A951F2"/>
    <w:rsid w:val="00A96195"/>
    <w:rsid w:val="00A962D6"/>
    <w:rsid w:val="00A963C1"/>
    <w:rsid w:val="00A9668E"/>
    <w:rsid w:val="00A9704A"/>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B2"/>
    <w:rsid w:val="00AA3DB9"/>
    <w:rsid w:val="00AA421C"/>
    <w:rsid w:val="00AA4590"/>
    <w:rsid w:val="00AA46CC"/>
    <w:rsid w:val="00AA46CE"/>
    <w:rsid w:val="00AA49AF"/>
    <w:rsid w:val="00AA4F2F"/>
    <w:rsid w:val="00AA57CE"/>
    <w:rsid w:val="00AA5AD2"/>
    <w:rsid w:val="00AA5ADC"/>
    <w:rsid w:val="00AA5D14"/>
    <w:rsid w:val="00AA5D22"/>
    <w:rsid w:val="00AA5DF4"/>
    <w:rsid w:val="00AA5E45"/>
    <w:rsid w:val="00AA6C4B"/>
    <w:rsid w:val="00AA6CB3"/>
    <w:rsid w:val="00AA6E1B"/>
    <w:rsid w:val="00AA7078"/>
    <w:rsid w:val="00AA7211"/>
    <w:rsid w:val="00AA7540"/>
    <w:rsid w:val="00AA7779"/>
    <w:rsid w:val="00AA780F"/>
    <w:rsid w:val="00AA7B8C"/>
    <w:rsid w:val="00AB0B9C"/>
    <w:rsid w:val="00AB0EAC"/>
    <w:rsid w:val="00AB10A3"/>
    <w:rsid w:val="00AB12C8"/>
    <w:rsid w:val="00AB146D"/>
    <w:rsid w:val="00AB1BB4"/>
    <w:rsid w:val="00AB1DEB"/>
    <w:rsid w:val="00AB27AA"/>
    <w:rsid w:val="00AB2A85"/>
    <w:rsid w:val="00AB3283"/>
    <w:rsid w:val="00AB38AD"/>
    <w:rsid w:val="00AB3C8A"/>
    <w:rsid w:val="00AB3E6B"/>
    <w:rsid w:val="00AB4D0B"/>
    <w:rsid w:val="00AB51C8"/>
    <w:rsid w:val="00AB5586"/>
    <w:rsid w:val="00AB5FC3"/>
    <w:rsid w:val="00AB6406"/>
    <w:rsid w:val="00AB65B4"/>
    <w:rsid w:val="00AB7918"/>
    <w:rsid w:val="00AB7B25"/>
    <w:rsid w:val="00AB7CB8"/>
    <w:rsid w:val="00AC00E7"/>
    <w:rsid w:val="00AC06DB"/>
    <w:rsid w:val="00AC0BAE"/>
    <w:rsid w:val="00AC0E78"/>
    <w:rsid w:val="00AC10AA"/>
    <w:rsid w:val="00AC126F"/>
    <w:rsid w:val="00AC13D9"/>
    <w:rsid w:val="00AC13F7"/>
    <w:rsid w:val="00AC1BD7"/>
    <w:rsid w:val="00AC1E9C"/>
    <w:rsid w:val="00AC2005"/>
    <w:rsid w:val="00AC265D"/>
    <w:rsid w:val="00AC2A1F"/>
    <w:rsid w:val="00AC3256"/>
    <w:rsid w:val="00AC3304"/>
    <w:rsid w:val="00AC3DC0"/>
    <w:rsid w:val="00AC409D"/>
    <w:rsid w:val="00AC426D"/>
    <w:rsid w:val="00AC43D2"/>
    <w:rsid w:val="00AC47AE"/>
    <w:rsid w:val="00AC4A94"/>
    <w:rsid w:val="00AC4B34"/>
    <w:rsid w:val="00AC4F91"/>
    <w:rsid w:val="00AC50A6"/>
    <w:rsid w:val="00AC55C0"/>
    <w:rsid w:val="00AC5C45"/>
    <w:rsid w:val="00AC66A0"/>
    <w:rsid w:val="00AC6DE2"/>
    <w:rsid w:val="00AC70D4"/>
    <w:rsid w:val="00AC737D"/>
    <w:rsid w:val="00AC7655"/>
    <w:rsid w:val="00AC76A6"/>
    <w:rsid w:val="00AC7E8B"/>
    <w:rsid w:val="00AC7F43"/>
    <w:rsid w:val="00AC7F52"/>
    <w:rsid w:val="00AD0007"/>
    <w:rsid w:val="00AD05A6"/>
    <w:rsid w:val="00AD0ABD"/>
    <w:rsid w:val="00AD2262"/>
    <w:rsid w:val="00AD22C5"/>
    <w:rsid w:val="00AD2519"/>
    <w:rsid w:val="00AD283D"/>
    <w:rsid w:val="00AD294A"/>
    <w:rsid w:val="00AD3115"/>
    <w:rsid w:val="00AD3920"/>
    <w:rsid w:val="00AD3D9F"/>
    <w:rsid w:val="00AD4D66"/>
    <w:rsid w:val="00AD516C"/>
    <w:rsid w:val="00AD5922"/>
    <w:rsid w:val="00AD5E96"/>
    <w:rsid w:val="00AD5F80"/>
    <w:rsid w:val="00AD6555"/>
    <w:rsid w:val="00AD6A0F"/>
    <w:rsid w:val="00AD6F4A"/>
    <w:rsid w:val="00AD72AF"/>
    <w:rsid w:val="00AD77E5"/>
    <w:rsid w:val="00AD791A"/>
    <w:rsid w:val="00AD7D8F"/>
    <w:rsid w:val="00AD7FA3"/>
    <w:rsid w:val="00AE0162"/>
    <w:rsid w:val="00AE05EA"/>
    <w:rsid w:val="00AE0781"/>
    <w:rsid w:val="00AE0DE1"/>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FB"/>
    <w:rsid w:val="00AF2FFD"/>
    <w:rsid w:val="00AF3458"/>
    <w:rsid w:val="00AF37F7"/>
    <w:rsid w:val="00AF3888"/>
    <w:rsid w:val="00AF3A05"/>
    <w:rsid w:val="00AF44C8"/>
    <w:rsid w:val="00AF4BF4"/>
    <w:rsid w:val="00AF4BF9"/>
    <w:rsid w:val="00AF551F"/>
    <w:rsid w:val="00AF55FA"/>
    <w:rsid w:val="00AF5706"/>
    <w:rsid w:val="00AF5967"/>
    <w:rsid w:val="00AF5AE8"/>
    <w:rsid w:val="00AF5F84"/>
    <w:rsid w:val="00AF6EEF"/>
    <w:rsid w:val="00AF735A"/>
    <w:rsid w:val="00B0025D"/>
    <w:rsid w:val="00B006D8"/>
    <w:rsid w:val="00B0073B"/>
    <w:rsid w:val="00B02174"/>
    <w:rsid w:val="00B02209"/>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231B"/>
    <w:rsid w:val="00B12904"/>
    <w:rsid w:val="00B12B44"/>
    <w:rsid w:val="00B12B95"/>
    <w:rsid w:val="00B1394E"/>
    <w:rsid w:val="00B13DA6"/>
    <w:rsid w:val="00B141BB"/>
    <w:rsid w:val="00B1466C"/>
    <w:rsid w:val="00B149B2"/>
    <w:rsid w:val="00B14F7F"/>
    <w:rsid w:val="00B15074"/>
    <w:rsid w:val="00B152F4"/>
    <w:rsid w:val="00B154B3"/>
    <w:rsid w:val="00B154B5"/>
    <w:rsid w:val="00B1664E"/>
    <w:rsid w:val="00B17074"/>
    <w:rsid w:val="00B17303"/>
    <w:rsid w:val="00B1744E"/>
    <w:rsid w:val="00B17682"/>
    <w:rsid w:val="00B17BDD"/>
    <w:rsid w:val="00B17CA4"/>
    <w:rsid w:val="00B17FBB"/>
    <w:rsid w:val="00B200F2"/>
    <w:rsid w:val="00B20223"/>
    <w:rsid w:val="00B20496"/>
    <w:rsid w:val="00B20833"/>
    <w:rsid w:val="00B20BDB"/>
    <w:rsid w:val="00B21343"/>
    <w:rsid w:val="00B21776"/>
    <w:rsid w:val="00B219AA"/>
    <w:rsid w:val="00B21A5B"/>
    <w:rsid w:val="00B21D99"/>
    <w:rsid w:val="00B221C7"/>
    <w:rsid w:val="00B22260"/>
    <w:rsid w:val="00B22549"/>
    <w:rsid w:val="00B2279B"/>
    <w:rsid w:val="00B22D6E"/>
    <w:rsid w:val="00B230E1"/>
    <w:rsid w:val="00B23135"/>
    <w:rsid w:val="00B232FE"/>
    <w:rsid w:val="00B23522"/>
    <w:rsid w:val="00B2376E"/>
    <w:rsid w:val="00B2388A"/>
    <w:rsid w:val="00B23EB7"/>
    <w:rsid w:val="00B23FFE"/>
    <w:rsid w:val="00B240EE"/>
    <w:rsid w:val="00B243EB"/>
    <w:rsid w:val="00B24C80"/>
    <w:rsid w:val="00B24FB1"/>
    <w:rsid w:val="00B25143"/>
    <w:rsid w:val="00B25825"/>
    <w:rsid w:val="00B2585D"/>
    <w:rsid w:val="00B25962"/>
    <w:rsid w:val="00B25E57"/>
    <w:rsid w:val="00B266FA"/>
    <w:rsid w:val="00B269DB"/>
    <w:rsid w:val="00B26A9C"/>
    <w:rsid w:val="00B26C40"/>
    <w:rsid w:val="00B26D82"/>
    <w:rsid w:val="00B27359"/>
    <w:rsid w:val="00B30B4B"/>
    <w:rsid w:val="00B30BA2"/>
    <w:rsid w:val="00B30D09"/>
    <w:rsid w:val="00B30E29"/>
    <w:rsid w:val="00B30F71"/>
    <w:rsid w:val="00B3172B"/>
    <w:rsid w:val="00B3194F"/>
    <w:rsid w:val="00B31C49"/>
    <w:rsid w:val="00B31DDF"/>
    <w:rsid w:val="00B32EB9"/>
    <w:rsid w:val="00B3312D"/>
    <w:rsid w:val="00B333F8"/>
    <w:rsid w:val="00B3374A"/>
    <w:rsid w:val="00B33B47"/>
    <w:rsid w:val="00B33D16"/>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602A"/>
    <w:rsid w:val="00B36473"/>
    <w:rsid w:val="00B3656D"/>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220C"/>
    <w:rsid w:val="00B42D97"/>
    <w:rsid w:val="00B42DCD"/>
    <w:rsid w:val="00B431BA"/>
    <w:rsid w:val="00B43B2D"/>
    <w:rsid w:val="00B44029"/>
    <w:rsid w:val="00B44FFA"/>
    <w:rsid w:val="00B451D8"/>
    <w:rsid w:val="00B45428"/>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919"/>
    <w:rsid w:val="00B51A42"/>
    <w:rsid w:val="00B527BF"/>
    <w:rsid w:val="00B52AF7"/>
    <w:rsid w:val="00B52C0E"/>
    <w:rsid w:val="00B52DC6"/>
    <w:rsid w:val="00B530FD"/>
    <w:rsid w:val="00B53159"/>
    <w:rsid w:val="00B531DC"/>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609C5"/>
    <w:rsid w:val="00B60B63"/>
    <w:rsid w:val="00B60C3E"/>
    <w:rsid w:val="00B610BA"/>
    <w:rsid w:val="00B615CB"/>
    <w:rsid w:val="00B616D8"/>
    <w:rsid w:val="00B61D95"/>
    <w:rsid w:val="00B61E41"/>
    <w:rsid w:val="00B61ED5"/>
    <w:rsid w:val="00B62AE0"/>
    <w:rsid w:val="00B63284"/>
    <w:rsid w:val="00B6373D"/>
    <w:rsid w:val="00B63964"/>
    <w:rsid w:val="00B63E30"/>
    <w:rsid w:val="00B645FA"/>
    <w:rsid w:val="00B64775"/>
    <w:rsid w:val="00B64F04"/>
    <w:rsid w:val="00B6520E"/>
    <w:rsid w:val="00B65660"/>
    <w:rsid w:val="00B657AB"/>
    <w:rsid w:val="00B657E6"/>
    <w:rsid w:val="00B65AF9"/>
    <w:rsid w:val="00B65FF0"/>
    <w:rsid w:val="00B663CD"/>
    <w:rsid w:val="00B665C8"/>
    <w:rsid w:val="00B67AB1"/>
    <w:rsid w:val="00B67B4F"/>
    <w:rsid w:val="00B67E6B"/>
    <w:rsid w:val="00B702CD"/>
    <w:rsid w:val="00B7041C"/>
    <w:rsid w:val="00B71A1D"/>
    <w:rsid w:val="00B71BBB"/>
    <w:rsid w:val="00B71D73"/>
    <w:rsid w:val="00B72089"/>
    <w:rsid w:val="00B726F8"/>
    <w:rsid w:val="00B7273E"/>
    <w:rsid w:val="00B72EBB"/>
    <w:rsid w:val="00B7305E"/>
    <w:rsid w:val="00B7316F"/>
    <w:rsid w:val="00B73288"/>
    <w:rsid w:val="00B7350D"/>
    <w:rsid w:val="00B73B28"/>
    <w:rsid w:val="00B74251"/>
    <w:rsid w:val="00B74FE2"/>
    <w:rsid w:val="00B75317"/>
    <w:rsid w:val="00B763BE"/>
    <w:rsid w:val="00B76FCB"/>
    <w:rsid w:val="00B7749A"/>
    <w:rsid w:val="00B77582"/>
    <w:rsid w:val="00B779BB"/>
    <w:rsid w:val="00B77A5A"/>
    <w:rsid w:val="00B77B07"/>
    <w:rsid w:val="00B77BB8"/>
    <w:rsid w:val="00B77E78"/>
    <w:rsid w:val="00B800EC"/>
    <w:rsid w:val="00B80561"/>
    <w:rsid w:val="00B8103D"/>
    <w:rsid w:val="00B81718"/>
    <w:rsid w:val="00B8179E"/>
    <w:rsid w:val="00B81A37"/>
    <w:rsid w:val="00B8314D"/>
    <w:rsid w:val="00B8325B"/>
    <w:rsid w:val="00B84245"/>
    <w:rsid w:val="00B8556E"/>
    <w:rsid w:val="00B85845"/>
    <w:rsid w:val="00B8586E"/>
    <w:rsid w:val="00B858B1"/>
    <w:rsid w:val="00B85A97"/>
    <w:rsid w:val="00B85C3D"/>
    <w:rsid w:val="00B8600B"/>
    <w:rsid w:val="00B86278"/>
    <w:rsid w:val="00B86AF6"/>
    <w:rsid w:val="00B86E2A"/>
    <w:rsid w:val="00B86F73"/>
    <w:rsid w:val="00B877AA"/>
    <w:rsid w:val="00B87C87"/>
    <w:rsid w:val="00B87E3D"/>
    <w:rsid w:val="00B87FCD"/>
    <w:rsid w:val="00B909D7"/>
    <w:rsid w:val="00B909E7"/>
    <w:rsid w:val="00B9121D"/>
    <w:rsid w:val="00B915C5"/>
    <w:rsid w:val="00B91C52"/>
    <w:rsid w:val="00B91F21"/>
    <w:rsid w:val="00B92713"/>
    <w:rsid w:val="00B92BC7"/>
    <w:rsid w:val="00B9307F"/>
    <w:rsid w:val="00B93378"/>
    <w:rsid w:val="00B93455"/>
    <w:rsid w:val="00B9389E"/>
    <w:rsid w:val="00B93B9C"/>
    <w:rsid w:val="00B93E85"/>
    <w:rsid w:val="00B946A8"/>
    <w:rsid w:val="00B94A6A"/>
    <w:rsid w:val="00B94D4C"/>
    <w:rsid w:val="00B94DFE"/>
    <w:rsid w:val="00B94EB5"/>
    <w:rsid w:val="00B95110"/>
    <w:rsid w:val="00B95F6F"/>
    <w:rsid w:val="00B95FC8"/>
    <w:rsid w:val="00B966FB"/>
    <w:rsid w:val="00B96EA4"/>
    <w:rsid w:val="00B97282"/>
    <w:rsid w:val="00B975D7"/>
    <w:rsid w:val="00B97A3E"/>
    <w:rsid w:val="00B97A65"/>
    <w:rsid w:val="00B97D3D"/>
    <w:rsid w:val="00B97DE9"/>
    <w:rsid w:val="00BA07B1"/>
    <w:rsid w:val="00BA101D"/>
    <w:rsid w:val="00BA1FFF"/>
    <w:rsid w:val="00BA2089"/>
    <w:rsid w:val="00BA267F"/>
    <w:rsid w:val="00BA2F02"/>
    <w:rsid w:val="00BA2FFD"/>
    <w:rsid w:val="00BA3254"/>
    <w:rsid w:val="00BA3492"/>
    <w:rsid w:val="00BA3608"/>
    <w:rsid w:val="00BA428A"/>
    <w:rsid w:val="00BA4ED9"/>
    <w:rsid w:val="00BA5023"/>
    <w:rsid w:val="00BA5365"/>
    <w:rsid w:val="00BA56EB"/>
    <w:rsid w:val="00BA58B6"/>
    <w:rsid w:val="00BA5B30"/>
    <w:rsid w:val="00BA5B72"/>
    <w:rsid w:val="00BA62AD"/>
    <w:rsid w:val="00BA664A"/>
    <w:rsid w:val="00BA678B"/>
    <w:rsid w:val="00BA6C22"/>
    <w:rsid w:val="00BA6DBD"/>
    <w:rsid w:val="00BB0267"/>
    <w:rsid w:val="00BB078B"/>
    <w:rsid w:val="00BB0DE7"/>
    <w:rsid w:val="00BB0E0C"/>
    <w:rsid w:val="00BB112C"/>
    <w:rsid w:val="00BB135F"/>
    <w:rsid w:val="00BB209C"/>
    <w:rsid w:val="00BB2B25"/>
    <w:rsid w:val="00BB30EA"/>
    <w:rsid w:val="00BB35B6"/>
    <w:rsid w:val="00BB37AF"/>
    <w:rsid w:val="00BB3BBC"/>
    <w:rsid w:val="00BB4011"/>
    <w:rsid w:val="00BB4769"/>
    <w:rsid w:val="00BB49D4"/>
    <w:rsid w:val="00BB4AF9"/>
    <w:rsid w:val="00BB4C08"/>
    <w:rsid w:val="00BB4FDA"/>
    <w:rsid w:val="00BB61BE"/>
    <w:rsid w:val="00BB66B2"/>
    <w:rsid w:val="00BB6891"/>
    <w:rsid w:val="00BB6AC3"/>
    <w:rsid w:val="00BB6C49"/>
    <w:rsid w:val="00BB779D"/>
    <w:rsid w:val="00BB7C9F"/>
    <w:rsid w:val="00BC050A"/>
    <w:rsid w:val="00BC066A"/>
    <w:rsid w:val="00BC122C"/>
    <w:rsid w:val="00BC15CC"/>
    <w:rsid w:val="00BC174B"/>
    <w:rsid w:val="00BC17A9"/>
    <w:rsid w:val="00BC1866"/>
    <w:rsid w:val="00BC1DBD"/>
    <w:rsid w:val="00BC220C"/>
    <w:rsid w:val="00BC2414"/>
    <w:rsid w:val="00BC322A"/>
    <w:rsid w:val="00BC45D9"/>
    <w:rsid w:val="00BC47C5"/>
    <w:rsid w:val="00BC4A4E"/>
    <w:rsid w:val="00BC4B4A"/>
    <w:rsid w:val="00BC4D16"/>
    <w:rsid w:val="00BC5092"/>
    <w:rsid w:val="00BC50F1"/>
    <w:rsid w:val="00BC526B"/>
    <w:rsid w:val="00BC5737"/>
    <w:rsid w:val="00BC5EB0"/>
    <w:rsid w:val="00BC6274"/>
    <w:rsid w:val="00BC64D9"/>
    <w:rsid w:val="00BC65A7"/>
    <w:rsid w:val="00BC6782"/>
    <w:rsid w:val="00BC6D81"/>
    <w:rsid w:val="00BC70A9"/>
    <w:rsid w:val="00BD032B"/>
    <w:rsid w:val="00BD043C"/>
    <w:rsid w:val="00BD0DA1"/>
    <w:rsid w:val="00BD11FF"/>
    <w:rsid w:val="00BD151C"/>
    <w:rsid w:val="00BD1747"/>
    <w:rsid w:val="00BD386A"/>
    <w:rsid w:val="00BD3A51"/>
    <w:rsid w:val="00BD3C1A"/>
    <w:rsid w:val="00BD3C68"/>
    <w:rsid w:val="00BD421D"/>
    <w:rsid w:val="00BD4493"/>
    <w:rsid w:val="00BD5052"/>
    <w:rsid w:val="00BD5160"/>
    <w:rsid w:val="00BD5413"/>
    <w:rsid w:val="00BD58AC"/>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F6E"/>
    <w:rsid w:val="00BE4614"/>
    <w:rsid w:val="00BE4E6F"/>
    <w:rsid w:val="00BE5100"/>
    <w:rsid w:val="00BE529D"/>
    <w:rsid w:val="00BE53DD"/>
    <w:rsid w:val="00BE573E"/>
    <w:rsid w:val="00BE59E2"/>
    <w:rsid w:val="00BE5D1B"/>
    <w:rsid w:val="00BE6584"/>
    <w:rsid w:val="00BE6637"/>
    <w:rsid w:val="00BE6F2B"/>
    <w:rsid w:val="00BE6FD4"/>
    <w:rsid w:val="00BE7090"/>
    <w:rsid w:val="00BE749B"/>
    <w:rsid w:val="00BE7D8D"/>
    <w:rsid w:val="00BF05CA"/>
    <w:rsid w:val="00BF10E8"/>
    <w:rsid w:val="00BF1376"/>
    <w:rsid w:val="00BF1B38"/>
    <w:rsid w:val="00BF1B73"/>
    <w:rsid w:val="00BF1D1B"/>
    <w:rsid w:val="00BF2033"/>
    <w:rsid w:val="00BF2C93"/>
    <w:rsid w:val="00BF3158"/>
    <w:rsid w:val="00BF3169"/>
    <w:rsid w:val="00BF34E0"/>
    <w:rsid w:val="00BF3911"/>
    <w:rsid w:val="00BF3BD1"/>
    <w:rsid w:val="00BF412D"/>
    <w:rsid w:val="00BF5023"/>
    <w:rsid w:val="00BF51B7"/>
    <w:rsid w:val="00BF5491"/>
    <w:rsid w:val="00BF56BE"/>
    <w:rsid w:val="00BF6229"/>
    <w:rsid w:val="00BF6676"/>
    <w:rsid w:val="00BF670D"/>
    <w:rsid w:val="00BF6B8D"/>
    <w:rsid w:val="00BF6EA0"/>
    <w:rsid w:val="00BF725A"/>
    <w:rsid w:val="00BF7B60"/>
    <w:rsid w:val="00BF7BD9"/>
    <w:rsid w:val="00BF7F14"/>
    <w:rsid w:val="00C004DD"/>
    <w:rsid w:val="00C00723"/>
    <w:rsid w:val="00C00953"/>
    <w:rsid w:val="00C00C95"/>
    <w:rsid w:val="00C00F38"/>
    <w:rsid w:val="00C021B2"/>
    <w:rsid w:val="00C02493"/>
    <w:rsid w:val="00C02802"/>
    <w:rsid w:val="00C0314D"/>
    <w:rsid w:val="00C03312"/>
    <w:rsid w:val="00C03532"/>
    <w:rsid w:val="00C03605"/>
    <w:rsid w:val="00C039A5"/>
    <w:rsid w:val="00C03A04"/>
    <w:rsid w:val="00C03C67"/>
    <w:rsid w:val="00C0441D"/>
    <w:rsid w:val="00C046F7"/>
    <w:rsid w:val="00C062B9"/>
    <w:rsid w:val="00C06374"/>
    <w:rsid w:val="00C064FE"/>
    <w:rsid w:val="00C066AB"/>
    <w:rsid w:val="00C06EA1"/>
    <w:rsid w:val="00C070F7"/>
    <w:rsid w:val="00C071E1"/>
    <w:rsid w:val="00C07795"/>
    <w:rsid w:val="00C079DE"/>
    <w:rsid w:val="00C07A9D"/>
    <w:rsid w:val="00C07B5B"/>
    <w:rsid w:val="00C10C0B"/>
    <w:rsid w:val="00C10DD5"/>
    <w:rsid w:val="00C10F51"/>
    <w:rsid w:val="00C1122F"/>
    <w:rsid w:val="00C116FB"/>
    <w:rsid w:val="00C11A6C"/>
    <w:rsid w:val="00C11F76"/>
    <w:rsid w:val="00C12197"/>
    <w:rsid w:val="00C124A6"/>
    <w:rsid w:val="00C12989"/>
    <w:rsid w:val="00C13567"/>
    <w:rsid w:val="00C13C61"/>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442"/>
    <w:rsid w:val="00C21BF1"/>
    <w:rsid w:val="00C21D92"/>
    <w:rsid w:val="00C22275"/>
    <w:rsid w:val="00C22519"/>
    <w:rsid w:val="00C22725"/>
    <w:rsid w:val="00C229D9"/>
    <w:rsid w:val="00C22C7B"/>
    <w:rsid w:val="00C22F12"/>
    <w:rsid w:val="00C2305C"/>
    <w:rsid w:val="00C233D0"/>
    <w:rsid w:val="00C234A2"/>
    <w:rsid w:val="00C2380D"/>
    <w:rsid w:val="00C23EEE"/>
    <w:rsid w:val="00C23F25"/>
    <w:rsid w:val="00C240E7"/>
    <w:rsid w:val="00C24162"/>
    <w:rsid w:val="00C24C34"/>
    <w:rsid w:val="00C24CF8"/>
    <w:rsid w:val="00C24E5C"/>
    <w:rsid w:val="00C24E78"/>
    <w:rsid w:val="00C2509D"/>
    <w:rsid w:val="00C2514A"/>
    <w:rsid w:val="00C25769"/>
    <w:rsid w:val="00C25816"/>
    <w:rsid w:val="00C25854"/>
    <w:rsid w:val="00C25AD4"/>
    <w:rsid w:val="00C25C99"/>
    <w:rsid w:val="00C25DA4"/>
    <w:rsid w:val="00C26BEC"/>
    <w:rsid w:val="00C26C06"/>
    <w:rsid w:val="00C27175"/>
    <w:rsid w:val="00C2796E"/>
    <w:rsid w:val="00C27A2E"/>
    <w:rsid w:val="00C30008"/>
    <w:rsid w:val="00C302BD"/>
    <w:rsid w:val="00C30BF7"/>
    <w:rsid w:val="00C3140F"/>
    <w:rsid w:val="00C31921"/>
    <w:rsid w:val="00C31A5B"/>
    <w:rsid w:val="00C31AB7"/>
    <w:rsid w:val="00C32176"/>
    <w:rsid w:val="00C32A02"/>
    <w:rsid w:val="00C32A16"/>
    <w:rsid w:val="00C32EA6"/>
    <w:rsid w:val="00C33356"/>
    <w:rsid w:val="00C341B8"/>
    <w:rsid w:val="00C344DC"/>
    <w:rsid w:val="00C34ABD"/>
    <w:rsid w:val="00C351DF"/>
    <w:rsid w:val="00C353CF"/>
    <w:rsid w:val="00C35F0A"/>
    <w:rsid w:val="00C35F43"/>
    <w:rsid w:val="00C360CA"/>
    <w:rsid w:val="00C363A9"/>
    <w:rsid w:val="00C364A5"/>
    <w:rsid w:val="00C36603"/>
    <w:rsid w:val="00C369A4"/>
    <w:rsid w:val="00C36C55"/>
    <w:rsid w:val="00C37088"/>
    <w:rsid w:val="00C3715E"/>
    <w:rsid w:val="00C4002D"/>
    <w:rsid w:val="00C401E4"/>
    <w:rsid w:val="00C40316"/>
    <w:rsid w:val="00C408C2"/>
    <w:rsid w:val="00C408D5"/>
    <w:rsid w:val="00C40B77"/>
    <w:rsid w:val="00C40D55"/>
    <w:rsid w:val="00C411B7"/>
    <w:rsid w:val="00C41401"/>
    <w:rsid w:val="00C41D3C"/>
    <w:rsid w:val="00C42402"/>
    <w:rsid w:val="00C427D6"/>
    <w:rsid w:val="00C430EE"/>
    <w:rsid w:val="00C432EC"/>
    <w:rsid w:val="00C43801"/>
    <w:rsid w:val="00C4383F"/>
    <w:rsid w:val="00C438BB"/>
    <w:rsid w:val="00C43A90"/>
    <w:rsid w:val="00C43AD9"/>
    <w:rsid w:val="00C440B0"/>
    <w:rsid w:val="00C44372"/>
    <w:rsid w:val="00C4467E"/>
    <w:rsid w:val="00C44A07"/>
    <w:rsid w:val="00C44BDC"/>
    <w:rsid w:val="00C45BFB"/>
    <w:rsid w:val="00C45DCE"/>
    <w:rsid w:val="00C46085"/>
    <w:rsid w:val="00C460FC"/>
    <w:rsid w:val="00C46D15"/>
    <w:rsid w:val="00C47127"/>
    <w:rsid w:val="00C4768C"/>
    <w:rsid w:val="00C47AA0"/>
    <w:rsid w:val="00C500A8"/>
    <w:rsid w:val="00C503C8"/>
    <w:rsid w:val="00C50C7D"/>
    <w:rsid w:val="00C50FF9"/>
    <w:rsid w:val="00C5116D"/>
    <w:rsid w:val="00C511CC"/>
    <w:rsid w:val="00C520A5"/>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B3F"/>
    <w:rsid w:val="00C60320"/>
    <w:rsid w:val="00C60A94"/>
    <w:rsid w:val="00C60ED3"/>
    <w:rsid w:val="00C624FC"/>
    <w:rsid w:val="00C62BAA"/>
    <w:rsid w:val="00C6352A"/>
    <w:rsid w:val="00C635CC"/>
    <w:rsid w:val="00C63B29"/>
    <w:rsid w:val="00C63D29"/>
    <w:rsid w:val="00C64538"/>
    <w:rsid w:val="00C64E85"/>
    <w:rsid w:val="00C64FE6"/>
    <w:rsid w:val="00C65B2D"/>
    <w:rsid w:val="00C65C5D"/>
    <w:rsid w:val="00C65DA0"/>
    <w:rsid w:val="00C65EC2"/>
    <w:rsid w:val="00C66083"/>
    <w:rsid w:val="00C6656A"/>
    <w:rsid w:val="00C6671F"/>
    <w:rsid w:val="00C6688A"/>
    <w:rsid w:val="00C66C03"/>
    <w:rsid w:val="00C67057"/>
    <w:rsid w:val="00C67158"/>
    <w:rsid w:val="00C6724A"/>
    <w:rsid w:val="00C70383"/>
    <w:rsid w:val="00C70731"/>
    <w:rsid w:val="00C71104"/>
    <w:rsid w:val="00C711E5"/>
    <w:rsid w:val="00C716F1"/>
    <w:rsid w:val="00C72816"/>
    <w:rsid w:val="00C729C9"/>
    <w:rsid w:val="00C72B1D"/>
    <w:rsid w:val="00C730CB"/>
    <w:rsid w:val="00C731FC"/>
    <w:rsid w:val="00C73586"/>
    <w:rsid w:val="00C73782"/>
    <w:rsid w:val="00C73B8D"/>
    <w:rsid w:val="00C73F9C"/>
    <w:rsid w:val="00C74107"/>
    <w:rsid w:val="00C74430"/>
    <w:rsid w:val="00C745E5"/>
    <w:rsid w:val="00C754FF"/>
    <w:rsid w:val="00C7593A"/>
    <w:rsid w:val="00C76D32"/>
    <w:rsid w:val="00C778A2"/>
    <w:rsid w:val="00C77E68"/>
    <w:rsid w:val="00C80D90"/>
    <w:rsid w:val="00C81245"/>
    <w:rsid w:val="00C815D0"/>
    <w:rsid w:val="00C81B05"/>
    <w:rsid w:val="00C82179"/>
    <w:rsid w:val="00C8228A"/>
    <w:rsid w:val="00C83607"/>
    <w:rsid w:val="00C836EE"/>
    <w:rsid w:val="00C83ADF"/>
    <w:rsid w:val="00C83AEE"/>
    <w:rsid w:val="00C83B2A"/>
    <w:rsid w:val="00C842BA"/>
    <w:rsid w:val="00C84CAA"/>
    <w:rsid w:val="00C85531"/>
    <w:rsid w:val="00C85563"/>
    <w:rsid w:val="00C85AC7"/>
    <w:rsid w:val="00C85B0B"/>
    <w:rsid w:val="00C85DAD"/>
    <w:rsid w:val="00C8628E"/>
    <w:rsid w:val="00C86DDF"/>
    <w:rsid w:val="00C87BA6"/>
    <w:rsid w:val="00C87F13"/>
    <w:rsid w:val="00C9003E"/>
    <w:rsid w:val="00C9045E"/>
    <w:rsid w:val="00C90466"/>
    <w:rsid w:val="00C904F9"/>
    <w:rsid w:val="00C906CD"/>
    <w:rsid w:val="00C90962"/>
    <w:rsid w:val="00C90C8A"/>
    <w:rsid w:val="00C90F10"/>
    <w:rsid w:val="00C9133D"/>
    <w:rsid w:val="00C918B8"/>
    <w:rsid w:val="00C91F02"/>
    <w:rsid w:val="00C92840"/>
    <w:rsid w:val="00C93301"/>
    <w:rsid w:val="00C934E0"/>
    <w:rsid w:val="00C94A2F"/>
    <w:rsid w:val="00C94BDC"/>
    <w:rsid w:val="00C94CF0"/>
    <w:rsid w:val="00C95005"/>
    <w:rsid w:val="00C9557C"/>
    <w:rsid w:val="00C961CA"/>
    <w:rsid w:val="00C96242"/>
    <w:rsid w:val="00C96454"/>
    <w:rsid w:val="00C96501"/>
    <w:rsid w:val="00C96747"/>
    <w:rsid w:val="00C97075"/>
    <w:rsid w:val="00C97276"/>
    <w:rsid w:val="00C97C47"/>
    <w:rsid w:val="00CA0704"/>
    <w:rsid w:val="00CA08DA"/>
    <w:rsid w:val="00CA0CE8"/>
    <w:rsid w:val="00CA0FB8"/>
    <w:rsid w:val="00CA107A"/>
    <w:rsid w:val="00CA15F3"/>
    <w:rsid w:val="00CA2056"/>
    <w:rsid w:val="00CA2680"/>
    <w:rsid w:val="00CA3312"/>
    <w:rsid w:val="00CA4C2D"/>
    <w:rsid w:val="00CA4C35"/>
    <w:rsid w:val="00CA4D23"/>
    <w:rsid w:val="00CA4FA9"/>
    <w:rsid w:val="00CA50CD"/>
    <w:rsid w:val="00CA522F"/>
    <w:rsid w:val="00CA5262"/>
    <w:rsid w:val="00CA52D2"/>
    <w:rsid w:val="00CA563C"/>
    <w:rsid w:val="00CA567B"/>
    <w:rsid w:val="00CA5B9D"/>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FD2"/>
    <w:rsid w:val="00CB225B"/>
    <w:rsid w:val="00CB2391"/>
    <w:rsid w:val="00CB2A98"/>
    <w:rsid w:val="00CB2EAD"/>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18C0"/>
    <w:rsid w:val="00CC1939"/>
    <w:rsid w:val="00CC1F80"/>
    <w:rsid w:val="00CC23EB"/>
    <w:rsid w:val="00CC2A2C"/>
    <w:rsid w:val="00CC42D4"/>
    <w:rsid w:val="00CC4364"/>
    <w:rsid w:val="00CC472C"/>
    <w:rsid w:val="00CC4E16"/>
    <w:rsid w:val="00CC5628"/>
    <w:rsid w:val="00CC5ABF"/>
    <w:rsid w:val="00CC64E3"/>
    <w:rsid w:val="00CC727E"/>
    <w:rsid w:val="00CC7712"/>
    <w:rsid w:val="00CC774A"/>
    <w:rsid w:val="00CC7DDA"/>
    <w:rsid w:val="00CD054D"/>
    <w:rsid w:val="00CD16A5"/>
    <w:rsid w:val="00CD179A"/>
    <w:rsid w:val="00CD1B50"/>
    <w:rsid w:val="00CD2030"/>
    <w:rsid w:val="00CD2536"/>
    <w:rsid w:val="00CD307F"/>
    <w:rsid w:val="00CD3369"/>
    <w:rsid w:val="00CD3DB8"/>
    <w:rsid w:val="00CD3EBA"/>
    <w:rsid w:val="00CD3F00"/>
    <w:rsid w:val="00CD407F"/>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37"/>
    <w:rsid w:val="00CE0BA7"/>
    <w:rsid w:val="00CE15A4"/>
    <w:rsid w:val="00CE16B9"/>
    <w:rsid w:val="00CE19D0"/>
    <w:rsid w:val="00CE1D09"/>
    <w:rsid w:val="00CE27DA"/>
    <w:rsid w:val="00CE2942"/>
    <w:rsid w:val="00CE2DFC"/>
    <w:rsid w:val="00CE2FAA"/>
    <w:rsid w:val="00CE36EF"/>
    <w:rsid w:val="00CE3783"/>
    <w:rsid w:val="00CE3839"/>
    <w:rsid w:val="00CE3B18"/>
    <w:rsid w:val="00CE3FC3"/>
    <w:rsid w:val="00CE45BD"/>
    <w:rsid w:val="00CE4C13"/>
    <w:rsid w:val="00CE552B"/>
    <w:rsid w:val="00CE570B"/>
    <w:rsid w:val="00CE631A"/>
    <w:rsid w:val="00CE6822"/>
    <w:rsid w:val="00CE6ACB"/>
    <w:rsid w:val="00CE6D09"/>
    <w:rsid w:val="00CE72DC"/>
    <w:rsid w:val="00CE757F"/>
    <w:rsid w:val="00CE79AB"/>
    <w:rsid w:val="00CF0105"/>
    <w:rsid w:val="00CF099B"/>
    <w:rsid w:val="00CF0E4D"/>
    <w:rsid w:val="00CF1081"/>
    <w:rsid w:val="00CF109E"/>
    <w:rsid w:val="00CF180F"/>
    <w:rsid w:val="00CF19C6"/>
    <w:rsid w:val="00CF1E9A"/>
    <w:rsid w:val="00CF230D"/>
    <w:rsid w:val="00CF2A98"/>
    <w:rsid w:val="00CF4349"/>
    <w:rsid w:val="00CF43C6"/>
    <w:rsid w:val="00CF454F"/>
    <w:rsid w:val="00CF48A5"/>
    <w:rsid w:val="00CF4B22"/>
    <w:rsid w:val="00CF4ED1"/>
    <w:rsid w:val="00CF5489"/>
    <w:rsid w:val="00CF6B84"/>
    <w:rsid w:val="00CF6DDB"/>
    <w:rsid w:val="00CF7111"/>
    <w:rsid w:val="00CF7615"/>
    <w:rsid w:val="00CF7796"/>
    <w:rsid w:val="00CF7823"/>
    <w:rsid w:val="00CF78DA"/>
    <w:rsid w:val="00CF7A96"/>
    <w:rsid w:val="00D003F8"/>
    <w:rsid w:val="00D0052C"/>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45B"/>
    <w:rsid w:val="00D035D9"/>
    <w:rsid w:val="00D03823"/>
    <w:rsid w:val="00D04613"/>
    <w:rsid w:val="00D04AF3"/>
    <w:rsid w:val="00D04C4B"/>
    <w:rsid w:val="00D04CB3"/>
    <w:rsid w:val="00D04D9F"/>
    <w:rsid w:val="00D05C77"/>
    <w:rsid w:val="00D05CDE"/>
    <w:rsid w:val="00D06784"/>
    <w:rsid w:val="00D067C5"/>
    <w:rsid w:val="00D06D80"/>
    <w:rsid w:val="00D06DC6"/>
    <w:rsid w:val="00D07581"/>
    <w:rsid w:val="00D07739"/>
    <w:rsid w:val="00D078A1"/>
    <w:rsid w:val="00D10531"/>
    <w:rsid w:val="00D10769"/>
    <w:rsid w:val="00D11348"/>
    <w:rsid w:val="00D114EA"/>
    <w:rsid w:val="00D1152B"/>
    <w:rsid w:val="00D1154A"/>
    <w:rsid w:val="00D11642"/>
    <w:rsid w:val="00D116C7"/>
    <w:rsid w:val="00D11D08"/>
    <w:rsid w:val="00D12514"/>
    <w:rsid w:val="00D137EC"/>
    <w:rsid w:val="00D13AC5"/>
    <w:rsid w:val="00D13C39"/>
    <w:rsid w:val="00D13D2F"/>
    <w:rsid w:val="00D13E32"/>
    <w:rsid w:val="00D14237"/>
    <w:rsid w:val="00D142C5"/>
    <w:rsid w:val="00D148EB"/>
    <w:rsid w:val="00D149CF"/>
    <w:rsid w:val="00D14A15"/>
    <w:rsid w:val="00D14C59"/>
    <w:rsid w:val="00D14E5F"/>
    <w:rsid w:val="00D14F7D"/>
    <w:rsid w:val="00D14FA3"/>
    <w:rsid w:val="00D14FB2"/>
    <w:rsid w:val="00D157A1"/>
    <w:rsid w:val="00D15B6C"/>
    <w:rsid w:val="00D15C72"/>
    <w:rsid w:val="00D164EA"/>
    <w:rsid w:val="00D164FD"/>
    <w:rsid w:val="00D16754"/>
    <w:rsid w:val="00D16827"/>
    <w:rsid w:val="00D16AE5"/>
    <w:rsid w:val="00D16E89"/>
    <w:rsid w:val="00D17548"/>
    <w:rsid w:val="00D17604"/>
    <w:rsid w:val="00D17A20"/>
    <w:rsid w:val="00D17A85"/>
    <w:rsid w:val="00D17CC6"/>
    <w:rsid w:val="00D17E0C"/>
    <w:rsid w:val="00D17E48"/>
    <w:rsid w:val="00D2041E"/>
    <w:rsid w:val="00D20454"/>
    <w:rsid w:val="00D2058E"/>
    <w:rsid w:val="00D206CA"/>
    <w:rsid w:val="00D20B8F"/>
    <w:rsid w:val="00D20D10"/>
    <w:rsid w:val="00D20D1D"/>
    <w:rsid w:val="00D20FEA"/>
    <w:rsid w:val="00D2153B"/>
    <w:rsid w:val="00D219FB"/>
    <w:rsid w:val="00D21ADC"/>
    <w:rsid w:val="00D21EFF"/>
    <w:rsid w:val="00D22DD2"/>
    <w:rsid w:val="00D23801"/>
    <w:rsid w:val="00D24035"/>
    <w:rsid w:val="00D24CA3"/>
    <w:rsid w:val="00D24DAB"/>
    <w:rsid w:val="00D2516D"/>
    <w:rsid w:val="00D251AC"/>
    <w:rsid w:val="00D257FD"/>
    <w:rsid w:val="00D25AEC"/>
    <w:rsid w:val="00D25B2F"/>
    <w:rsid w:val="00D25CC0"/>
    <w:rsid w:val="00D25F2E"/>
    <w:rsid w:val="00D2608B"/>
    <w:rsid w:val="00D26A86"/>
    <w:rsid w:val="00D274CE"/>
    <w:rsid w:val="00D2772C"/>
    <w:rsid w:val="00D27D36"/>
    <w:rsid w:val="00D27E10"/>
    <w:rsid w:val="00D27E9B"/>
    <w:rsid w:val="00D3037E"/>
    <w:rsid w:val="00D305AC"/>
    <w:rsid w:val="00D3067A"/>
    <w:rsid w:val="00D30789"/>
    <w:rsid w:val="00D30BF9"/>
    <w:rsid w:val="00D314BD"/>
    <w:rsid w:val="00D31FFD"/>
    <w:rsid w:val="00D32074"/>
    <w:rsid w:val="00D3210D"/>
    <w:rsid w:val="00D32376"/>
    <w:rsid w:val="00D323B1"/>
    <w:rsid w:val="00D326DD"/>
    <w:rsid w:val="00D32DD5"/>
    <w:rsid w:val="00D32E91"/>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7427"/>
    <w:rsid w:val="00D3793E"/>
    <w:rsid w:val="00D37E78"/>
    <w:rsid w:val="00D37FB2"/>
    <w:rsid w:val="00D4024B"/>
    <w:rsid w:val="00D404C7"/>
    <w:rsid w:val="00D41A6A"/>
    <w:rsid w:val="00D420E0"/>
    <w:rsid w:val="00D4233A"/>
    <w:rsid w:val="00D423E8"/>
    <w:rsid w:val="00D42A1E"/>
    <w:rsid w:val="00D43015"/>
    <w:rsid w:val="00D438C4"/>
    <w:rsid w:val="00D43B76"/>
    <w:rsid w:val="00D43DDA"/>
    <w:rsid w:val="00D43E3F"/>
    <w:rsid w:val="00D4446B"/>
    <w:rsid w:val="00D44B3D"/>
    <w:rsid w:val="00D45047"/>
    <w:rsid w:val="00D45108"/>
    <w:rsid w:val="00D453A0"/>
    <w:rsid w:val="00D4541B"/>
    <w:rsid w:val="00D45872"/>
    <w:rsid w:val="00D45A0C"/>
    <w:rsid w:val="00D464D7"/>
    <w:rsid w:val="00D46787"/>
    <w:rsid w:val="00D4691A"/>
    <w:rsid w:val="00D46C4C"/>
    <w:rsid w:val="00D47D2E"/>
    <w:rsid w:val="00D47EA9"/>
    <w:rsid w:val="00D508B4"/>
    <w:rsid w:val="00D50F43"/>
    <w:rsid w:val="00D51635"/>
    <w:rsid w:val="00D5163B"/>
    <w:rsid w:val="00D51B31"/>
    <w:rsid w:val="00D51C76"/>
    <w:rsid w:val="00D51F18"/>
    <w:rsid w:val="00D520B5"/>
    <w:rsid w:val="00D52DA3"/>
    <w:rsid w:val="00D52E44"/>
    <w:rsid w:val="00D52E5A"/>
    <w:rsid w:val="00D53537"/>
    <w:rsid w:val="00D5360E"/>
    <w:rsid w:val="00D53B2D"/>
    <w:rsid w:val="00D542DB"/>
    <w:rsid w:val="00D546CE"/>
    <w:rsid w:val="00D54E49"/>
    <w:rsid w:val="00D54E9E"/>
    <w:rsid w:val="00D54EBF"/>
    <w:rsid w:val="00D551C8"/>
    <w:rsid w:val="00D552EB"/>
    <w:rsid w:val="00D55972"/>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27"/>
    <w:rsid w:val="00D630E7"/>
    <w:rsid w:val="00D640BA"/>
    <w:rsid w:val="00D6444B"/>
    <w:rsid w:val="00D64C56"/>
    <w:rsid w:val="00D654B4"/>
    <w:rsid w:val="00D65A49"/>
    <w:rsid w:val="00D66008"/>
    <w:rsid w:val="00D662FC"/>
    <w:rsid w:val="00D66381"/>
    <w:rsid w:val="00D66410"/>
    <w:rsid w:val="00D66472"/>
    <w:rsid w:val="00D6679A"/>
    <w:rsid w:val="00D66D20"/>
    <w:rsid w:val="00D66F17"/>
    <w:rsid w:val="00D66F26"/>
    <w:rsid w:val="00D672A3"/>
    <w:rsid w:val="00D6744F"/>
    <w:rsid w:val="00D67B55"/>
    <w:rsid w:val="00D700E5"/>
    <w:rsid w:val="00D70900"/>
    <w:rsid w:val="00D70E28"/>
    <w:rsid w:val="00D71B77"/>
    <w:rsid w:val="00D725CA"/>
    <w:rsid w:val="00D7374B"/>
    <w:rsid w:val="00D741F4"/>
    <w:rsid w:val="00D74A87"/>
    <w:rsid w:val="00D7517B"/>
    <w:rsid w:val="00D755DE"/>
    <w:rsid w:val="00D7587B"/>
    <w:rsid w:val="00D75CE3"/>
    <w:rsid w:val="00D76186"/>
    <w:rsid w:val="00D76320"/>
    <w:rsid w:val="00D76513"/>
    <w:rsid w:val="00D7678D"/>
    <w:rsid w:val="00D768A4"/>
    <w:rsid w:val="00D771E9"/>
    <w:rsid w:val="00D7771F"/>
    <w:rsid w:val="00D77800"/>
    <w:rsid w:val="00D77DB1"/>
    <w:rsid w:val="00D80898"/>
    <w:rsid w:val="00D80DF6"/>
    <w:rsid w:val="00D817F1"/>
    <w:rsid w:val="00D818F2"/>
    <w:rsid w:val="00D825BC"/>
    <w:rsid w:val="00D82676"/>
    <w:rsid w:val="00D82706"/>
    <w:rsid w:val="00D8312E"/>
    <w:rsid w:val="00D8414C"/>
    <w:rsid w:val="00D841A5"/>
    <w:rsid w:val="00D844B1"/>
    <w:rsid w:val="00D8469F"/>
    <w:rsid w:val="00D84E4D"/>
    <w:rsid w:val="00D8603D"/>
    <w:rsid w:val="00D86C20"/>
    <w:rsid w:val="00D86DD4"/>
    <w:rsid w:val="00D90046"/>
    <w:rsid w:val="00D9038D"/>
    <w:rsid w:val="00D90898"/>
    <w:rsid w:val="00D90998"/>
    <w:rsid w:val="00D909BB"/>
    <w:rsid w:val="00D9111B"/>
    <w:rsid w:val="00D91D92"/>
    <w:rsid w:val="00D92529"/>
    <w:rsid w:val="00D92870"/>
    <w:rsid w:val="00D92B67"/>
    <w:rsid w:val="00D92F08"/>
    <w:rsid w:val="00D93743"/>
    <w:rsid w:val="00D9420E"/>
    <w:rsid w:val="00D94BD0"/>
    <w:rsid w:val="00D9558B"/>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1613"/>
    <w:rsid w:val="00DA1868"/>
    <w:rsid w:val="00DA18EE"/>
    <w:rsid w:val="00DA1A4B"/>
    <w:rsid w:val="00DA2074"/>
    <w:rsid w:val="00DA240D"/>
    <w:rsid w:val="00DA2675"/>
    <w:rsid w:val="00DA27D7"/>
    <w:rsid w:val="00DA29C5"/>
    <w:rsid w:val="00DA2AEB"/>
    <w:rsid w:val="00DA301E"/>
    <w:rsid w:val="00DA330A"/>
    <w:rsid w:val="00DA4300"/>
    <w:rsid w:val="00DA453C"/>
    <w:rsid w:val="00DA51E1"/>
    <w:rsid w:val="00DA5AAB"/>
    <w:rsid w:val="00DA5B18"/>
    <w:rsid w:val="00DA5F70"/>
    <w:rsid w:val="00DA663C"/>
    <w:rsid w:val="00DA671A"/>
    <w:rsid w:val="00DA6858"/>
    <w:rsid w:val="00DA7233"/>
    <w:rsid w:val="00DA7266"/>
    <w:rsid w:val="00DA7904"/>
    <w:rsid w:val="00DA7A9F"/>
    <w:rsid w:val="00DA7AFF"/>
    <w:rsid w:val="00DA7CBB"/>
    <w:rsid w:val="00DA7EC2"/>
    <w:rsid w:val="00DB0380"/>
    <w:rsid w:val="00DB08FA"/>
    <w:rsid w:val="00DB1637"/>
    <w:rsid w:val="00DB1CD7"/>
    <w:rsid w:val="00DB2086"/>
    <w:rsid w:val="00DB24A2"/>
    <w:rsid w:val="00DB2651"/>
    <w:rsid w:val="00DB28B4"/>
    <w:rsid w:val="00DB2A1C"/>
    <w:rsid w:val="00DB30B1"/>
    <w:rsid w:val="00DB31FF"/>
    <w:rsid w:val="00DB33C7"/>
    <w:rsid w:val="00DB39BE"/>
    <w:rsid w:val="00DB3AD0"/>
    <w:rsid w:val="00DB3DC6"/>
    <w:rsid w:val="00DB3ECD"/>
    <w:rsid w:val="00DB4717"/>
    <w:rsid w:val="00DB4BC2"/>
    <w:rsid w:val="00DB4BD4"/>
    <w:rsid w:val="00DB59DB"/>
    <w:rsid w:val="00DB5B0F"/>
    <w:rsid w:val="00DB5B94"/>
    <w:rsid w:val="00DB60A0"/>
    <w:rsid w:val="00DB6278"/>
    <w:rsid w:val="00DB6D7D"/>
    <w:rsid w:val="00DB7178"/>
    <w:rsid w:val="00DB7320"/>
    <w:rsid w:val="00DB75E7"/>
    <w:rsid w:val="00DB78E8"/>
    <w:rsid w:val="00DB79D5"/>
    <w:rsid w:val="00DB7F8E"/>
    <w:rsid w:val="00DC00E8"/>
    <w:rsid w:val="00DC0CC3"/>
    <w:rsid w:val="00DC0F8C"/>
    <w:rsid w:val="00DC12C8"/>
    <w:rsid w:val="00DC1C61"/>
    <w:rsid w:val="00DC2232"/>
    <w:rsid w:val="00DC2611"/>
    <w:rsid w:val="00DC343C"/>
    <w:rsid w:val="00DC36E8"/>
    <w:rsid w:val="00DC3B0F"/>
    <w:rsid w:val="00DC3F3D"/>
    <w:rsid w:val="00DC4AC6"/>
    <w:rsid w:val="00DC56F0"/>
    <w:rsid w:val="00DC570A"/>
    <w:rsid w:val="00DC5C68"/>
    <w:rsid w:val="00DC5D8F"/>
    <w:rsid w:val="00DC6AB5"/>
    <w:rsid w:val="00DC6CD0"/>
    <w:rsid w:val="00DC6F31"/>
    <w:rsid w:val="00DC7004"/>
    <w:rsid w:val="00DC7070"/>
    <w:rsid w:val="00DC72FE"/>
    <w:rsid w:val="00DC7BF7"/>
    <w:rsid w:val="00DC7FFD"/>
    <w:rsid w:val="00DD0277"/>
    <w:rsid w:val="00DD0698"/>
    <w:rsid w:val="00DD1129"/>
    <w:rsid w:val="00DD15C7"/>
    <w:rsid w:val="00DD1B11"/>
    <w:rsid w:val="00DD1B33"/>
    <w:rsid w:val="00DD1B59"/>
    <w:rsid w:val="00DD1CE2"/>
    <w:rsid w:val="00DD371B"/>
    <w:rsid w:val="00DD4238"/>
    <w:rsid w:val="00DD4F6E"/>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240"/>
    <w:rsid w:val="00DE1258"/>
    <w:rsid w:val="00DE1852"/>
    <w:rsid w:val="00DE1AA5"/>
    <w:rsid w:val="00DE1C68"/>
    <w:rsid w:val="00DE1E1F"/>
    <w:rsid w:val="00DE231A"/>
    <w:rsid w:val="00DE23D6"/>
    <w:rsid w:val="00DE2825"/>
    <w:rsid w:val="00DE29B9"/>
    <w:rsid w:val="00DE2CB6"/>
    <w:rsid w:val="00DE2D48"/>
    <w:rsid w:val="00DE2DDE"/>
    <w:rsid w:val="00DE30B8"/>
    <w:rsid w:val="00DE310A"/>
    <w:rsid w:val="00DE395F"/>
    <w:rsid w:val="00DE3E1D"/>
    <w:rsid w:val="00DE423F"/>
    <w:rsid w:val="00DE4567"/>
    <w:rsid w:val="00DE4978"/>
    <w:rsid w:val="00DE4A0A"/>
    <w:rsid w:val="00DE4CAF"/>
    <w:rsid w:val="00DE5039"/>
    <w:rsid w:val="00DE5414"/>
    <w:rsid w:val="00DE563D"/>
    <w:rsid w:val="00DE5B1E"/>
    <w:rsid w:val="00DE5BAE"/>
    <w:rsid w:val="00DE7267"/>
    <w:rsid w:val="00DE74A8"/>
    <w:rsid w:val="00DE7566"/>
    <w:rsid w:val="00DE7D4D"/>
    <w:rsid w:val="00DE7E46"/>
    <w:rsid w:val="00DF066D"/>
    <w:rsid w:val="00DF0C37"/>
    <w:rsid w:val="00DF0C88"/>
    <w:rsid w:val="00DF10A6"/>
    <w:rsid w:val="00DF135C"/>
    <w:rsid w:val="00DF18FC"/>
    <w:rsid w:val="00DF2234"/>
    <w:rsid w:val="00DF22B4"/>
    <w:rsid w:val="00DF24FD"/>
    <w:rsid w:val="00DF2506"/>
    <w:rsid w:val="00DF27E3"/>
    <w:rsid w:val="00DF2F26"/>
    <w:rsid w:val="00DF301A"/>
    <w:rsid w:val="00DF3123"/>
    <w:rsid w:val="00DF3469"/>
    <w:rsid w:val="00DF3693"/>
    <w:rsid w:val="00DF3BE2"/>
    <w:rsid w:val="00DF3C3B"/>
    <w:rsid w:val="00DF404D"/>
    <w:rsid w:val="00DF4E2C"/>
    <w:rsid w:val="00DF4E34"/>
    <w:rsid w:val="00DF4F1B"/>
    <w:rsid w:val="00DF51A8"/>
    <w:rsid w:val="00DF5ACC"/>
    <w:rsid w:val="00DF5CAC"/>
    <w:rsid w:val="00DF5CF7"/>
    <w:rsid w:val="00DF5DC3"/>
    <w:rsid w:val="00DF6022"/>
    <w:rsid w:val="00DF6A93"/>
    <w:rsid w:val="00DF6AC3"/>
    <w:rsid w:val="00DF744D"/>
    <w:rsid w:val="00DF75EC"/>
    <w:rsid w:val="00DF770C"/>
    <w:rsid w:val="00DF78E1"/>
    <w:rsid w:val="00DF7D56"/>
    <w:rsid w:val="00DF7DBE"/>
    <w:rsid w:val="00E002D6"/>
    <w:rsid w:val="00E00A7C"/>
    <w:rsid w:val="00E00E96"/>
    <w:rsid w:val="00E0133D"/>
    <w:rsid w:val="00E0199E"/>
    <w:rsid w:val="00E019ED"/>
    <w:rsid w:val="00E01B31"/>
    <w:rsid w:val="00E01E09"/>
    <w:rsid w:val="00E0231C"/>
    <w:rsid w:val="00E02392"/>
    <w:rsid w:val="00E025BF"/>
    <w:rsid w:val="00E0312F"/>
    <w:rsid w:val="00E03889"/>
    <w:rsid w:val="00E03BA3"/>
    <w:rsid w:val="00E03BA8"/>
    <w:rsid w:val="00E0429D"/>
    <w:rsid w:val="00E04C48"/>
    <w:rsid w:val="00E0584B"/>
    <w:rsid w:val="00E058F4"/>
    <w:rsid w:val="00E05C97"/>
    <w:rsid w:val="00E05DA6"/>
    <w:rsid w:val="00E05F35"/>
    <w:rsid w:val="00E06065"/>
    <w:rsid w:val="00E0668C"/>
    <w:rsid w:val="00E066F2"/>
    <w:rsid w:val="00E06A81"/>
    <w:rsid w:val="00E06B51"/>
    <w:rsid w:val="00E07772"/>
    <w:rsid w:val="00E07901"/>
    <w:rsid w:val="00E079C6"/>
    <w:rsid w:val="00E10BFA"/>
    <w:rsid w:val="00E1133A"/>
    <w:rsid w:val="00E11428"/>
    <w:rsid w:val="00E116C6"/>
    <w:rsid w:val="00E12030"/>
    <w:rsid w:val="00E1239C"/>
    <w:rsid w:val="00E1262D"/>
    <w:rsid w:val="00E1273C"/>
    <w:rsid w:val="00E128A2"/>
    <w:rsid w:val="00E12AD1"/>
    <w:rsid w:val="00E13207"/>
    <w:rsid w:val="00E134FE"/>
    <w:rsid w:val="00E13958"/>
    <w:rsid w:val="00E1434A"/>
    <w:rsid w:val="00E14600"/>
    <w:rsid w:val="00E146CF"/>
    <w:rsid w:val="00E1488A"/>
    <w:rsid w:val="00E14BED"/>
    <w:rsid w:val="00E15048"/>
    <w:rsid w:val="00E15606"/>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D6C"/>
    <w:rsid w:val="00E210C4"/>
    <w:rsid w:val="00E211F7"/>
    <w:rsid w:val="00E21488"/>
    <w:rsid w:val="00E217A2"/>
    <w:rsid w:val="00E21B26"/>
    <w:rsid w:val="00E2207F"/>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71DE"/>
    <w:rsid w:val="00E27664"/>
    <w:rsid w:val="00E27927"/>
    <w:rsid w:val="00E27EBF"/>
    <w:rsid w:val="00E27F00"/>
    <w:rsid w:val="00E27F70"/>
    <w:rsid w:val="00E301A0"/>
    <w:rsid w:val="00E3021E"/>
    <w:rsid w:val="00E302AD"/>
    <w:rsid w:val="00E30431"/>
    <w:rsid w:val="00E304EB"/>
    <w:rsid w:val="00E30EF7"/>
    <w:rsid w:val="00E3187A"/>
    <w:rsid w:val="00E31FA1"/>
    <w:rsid w:val="00E32086"/>
    <w:rsid w:val="00E3273D"/>
    <w:rsid w:val="00E329D0"/>
    <w:rsid w:val="00E32C08"/>
    <w:rsid w:val="00E330AD"/>
    <w:rsid w:val="00E33746"/>
    <w:rsid w:val="00E33AFF"/>
    <w:rsid w:val="00E33DEF"/>
    <w:rsid w:val="00E3422F"/>
    <w:rsid w:val="00E342B3"/>
    <w:rsid w:val="00E3451F"/>
    <w:rsid w:val="00E3469B"/>
    <w:rsid w:val="00E34969"/>
    <w:rsid w:val="00E34B80"/>
    <w:rsid w:val="00E34CC9"/>
    <w:rsid w:val="00E34DDA"/>
    <w:rsid w:val="00E34EE9"/>
    <w:rsid w:val="00E3590B"/>
    <w:rsid w:val="00E36ADF"/>
    <w:rsid w:val="00E36B53"/>
    <w:rsid w:val="00E3705A"/>
    <w:rsid w:val="00E37585"/>
    <w:rsid w:val="00E40652"/>
    <w:rsid w:val="00E40A18"/>
    <w:rsid w:val="00E40C48"/>
    <w:rsid w:val="00E419F3"/>
    <w:rsid w:val="00E41B64"/>
    <w:rsid w:val="00E41E78"/>
    <w:rsid w:val="00E41F4B"/>
    <w:rsid w:val="00E4203F"/>
    <w:rsid w:val="00E422B5"/>
    <w:rsid w:val="00E42C35"/>
    <w:rsid w:val="00E42E41"/>
    <w:rsid w:val="00E42EE0"/>
    <w:rsid w:val="00E432D2"/>
    <w:rsid w:val="00E43ACE"/>
    <w:rsid w:val="00E43E70"/>
    <w:rsid w:val="00E447D5"/>
    <w:rsid w:val="00E4492C"/>
    <w:rsid w:val="00E44995"/>
    <w:rsid w:val="00E45452"/>
    <w:rsid w:val="00E4557B"/>
    <w:rsid w:val="00E45816"/>
    <w:rsid w:val="00E460C8"/>
    <w:rsid w:val="00E463D1"/>
    <w:rsid w:val="00E469D5"/>
    <w:rsid w:val="00E46B25"/>
    <w:rsid w:val="00E46CD5"/>
    <w:rsid w:val="00E473F4"/>
    <w:rsid w:val="00E500D9"/>
    <w:rsid w:val="00E504BE"/>
    <w:rsid w:val="00E505F4"/>
    <w:rsid w:val="00E505FC"/>
    <w:rsid w:val="00E50778"/>
    <w:rsid w:val="00E50FBC"/>
    <w:rsid w:val="00E51AB5"/>
    <w:rsid w:val="00E51C9F"/>
    <w:rsid w:val="00E51DFD"/>
    <w:rsid w:val="00E52345"/>
    <w:rsid w:val="00E52763"/>
    <w:rsid w:val="00E53948"/>
    <w:rsid w:val="00E53DED"/>
    <w:rsid w:val="00E5411A"/>
    <w:rsid w:val="00E54129"/>
    <w:rsid w:val="00E553BC"/>
    <w:rsid w:val="00E55509"/>
    <w:rsid w:val="00E55B9C"/>
    <w:rsid w:val="00E55EC9"/>
    <w:rsid w:val="00E5619A"/>
    <w:rsid w:val="00E5629F"/>
    <w:rsid w:val="00E563AE"/>
    <w:rsid w:val="00E56582"/>
    <w:rsid w:val="00E565DD"/>
    <w:rsid w:val="00E565F4"/>
    <w:rsid w:val="00E568D9"/>
    <w:rsid w:val="00E56D49"/>
    <w:rsid w:val="00E56E35"/>
    <w:rsid w:val="00E57005"/>
    <w:rsid w:val="00E57091"/>
    <w:rsid w:val="00E570AE"/>
    <w:rsid w:val="00E574A2"/>
    <w:rsid w:val="00E57B6E"/>
    <w:rsid w:val="00E60616"/>
    <w:rsid w:val="00E60B3B"/>
    <w:rsid w:val="00E60BDC"/>
    <w:rsid w:val="00E61029"/>
    <w:rsid w:val="00E61462"/>
    <w:rsid w:val="00E61498"/>
    <w:rsid w:val="00E6177F"/>
    <w:rsid w:val="00E61EA6"/>
    <w:rsid w:val="00E62BF6"/>
    <w:rsid w:val="00E62F89"/>
    <w:rsid w:val="00E6376A"/>
    <w:rsid w:val="00E638B2"/>
    <w:rsid w:val="00E63D29"/>
    <w:rsid w:val="00E647AB"/>
    <w:rsid w:val="00E64877"/>
    <w:rsid w:val="00E64A96"/>
    <w:rsid w:val="00E64D8F"/>
    <w:rsid w:val="00E6575A"/>
    <w:rsid w:val="00E6594B"/>
    <w:rsid w:val="00E65B70"/>
    <w:rsid w:val="00E65F7E"/>
    <w:rsid w:val="00E660D8"/>
    <w:rsid w:val="00E66288"/>
    <w:rsid w:val="00E662CD"/>
    <w:rsid w:val="00E66827"/>
    <w:rsid w:val="00E669AB"/>
    <w:rsid w:val="00E66FCC"/>
    <w:rsid w:val="00E67427"/>
    <w:rsid w:val="00E676F1"/>
    <w:rsid w:val="00E67860"/>
    <w:rsid w:val="00E70088"/>
    <w:rsid w:val="00E705FE"/>
    <w:rsid w:val="00E7064C"/>
    <w:rsid w:val="00E70C7F"/>
    <w:rsid w:val="00E70EA0"/>
    <w:rsid w:val="00E7186E"/>
    <w:rsid w:val="00E71AE2"/>
    <w:rsid w:val="00E71AF5"/>
    <w:rsid w:val="00E7270A"/>
    <w:rsid w:val="00E72EB3"/>
    <w:rsid w:val="00E73271"/>
    <w:rsid w:val="00E734C7"/>
    <w:rsid w:val="00E735DA"/>
    <w:rsid w:val="00E73BE5"/>
    <w:rsid w:val="00E73F5C"/>
    <w:rsid w:val="00E74214"/>
    <w:rsid w:val="00E74762"/>
    <w:rsid w:val="00E74D52"/>
    <w:rsid w:val="00E74D95"/>
    <w:rsid w:val="00E75855"/>
    <w:rsid w:val="00E758BB"/>
    <w:rsid w:val="00E75D63"/>
    <w:rsid w:val="00E7609C"/>
    <w:rsid w:val="00E80278"/>
    <w:rsid w:val="00E80724"/>
    <w:rsid w:val="00E80E3F"/>
    <w:rsid w:val="00E814F5"/>
    <w:rsid w:val="00E81B70"/>
    <w:rsid w:val="00E82322"/>
    <w:rsid w:val="00E82556"/>
    <w:rsid w:val="00E82D19"/>
    <w:rsid w:val="00E830E2"/>
    <w:rsid w:val="00E832D1"/>
    <w:rsid w:val="00E83809"/>
    <w:rsid w:val="00E83A40"/>
    <w:rsid w:val="00E84688"/>
    <w:rsid w:val="00E8470D"/>
    <w:rsid w:val="00E8475C"/>
    <w:rsid w:val="00E847C9"/>
    <w:rsid w:val="00E85288"/>
    <w:rsid w:val="00E852EC"/>
    <w:rsid w:val="00E859B8"/>
    <w:rsid w:val="00E85A95"/>
    <w:rsid w:val="00E85CBE"/>
    <w:rsid w:val="00E85EE6"/>
    <w:rsid w:val="00E85F06"/>
    <w:rsid w:val="00E861C4"/>
    <w:rsid w:val="00E86503"/>
    <w:rsid w:val="00E86566"/>
    <w:rsid w:val="00E86641"/>
    <w:rsid w:val="00E866C4"/>
    <w:rsid w:val="00E871CE"/>
    <w:rsid w:val="00E875F5"/>
    <w:rsid w:val="00E903F5"/>
    <w:rsid w:val="00E905D8"/>
    <w:rsid w:val="00E906F6"/>
    <w:rsid w:val="00E90988"/>
    <w:rsid w:val="00E90A23"/>
    <w:rsid w:val="00E91B1C"/>
    <w:rsid w:val="00E91BC3"/>
    <w:rsid w:val="00E91BF5"/>
    <w:rsid w:val="00E92527"/>
    <w:rsid w:val="00E927A6"/>
    <w:rsid w:val="00E92A93"/>
    <w:rsid w:val="00E93620"/>
    <w:rsid w:val="00E93ACF"/>
    <w:rsid w:val="00E93E4F"/>
    <w:rsid w:val="00E941E0"/>
    <w:rsid w:val="00E951D5"/>
    <w:rsid w:val="00E9567F"/>
    <w:rsid w:val="00E95761"/>
    <w:rsid w:val="00E959A0"/>
    <w:rsid w:val="00E95A73"/>
    <w:rsid w:val="00E96897"/>
    <w:rsid w:val="00E969FC"/>
    <w:rsid w:val="00E97045"/>
    <w:rsid w:val="00E973CF"/>
    <w:rsid w:val="00E976A8"/>
    <w:rsid w:val="00E97B8E"/>
    <w:rsid w:val="00E97DA3"/>
    <w:rsid w:val="00E97E70"/>
    <w:rsid w:val="00EA0AE7"/>
    <w:rsid w:val="00EA0CE1"/>
    <w:rsid w:val="00EA1086"/>
    <w:rsid w:val="00EA10B1"/>
    <w:rsid w:val="00EA20D4"/>
    <w:rsid w:val="00EA270C"/>
    <w:rsid w:val="00EA2AE4"/>
    <w:rsid w:val="00EA2ECB"/>
    <w:rsid w:val="00EA2ED7"/>
    <w:rsid w:val="00EA3185"/>
    <w:rsid w:val="00EA36EA"/>
    <w:rsid w:val="00EA413E"/>
    <w:rsid w:val="00EA443F"/>
    <w:rsid w:val="00EA4645"/>
    <w:rsid w:val="00EA466B"/>
    <w:rsid w:val="00EA4A82"/>
    <w:rsid w:val="00EA5CB5"/>
    <w:rsid w:val="00EA5CF4"/>
    <w:rsid w:val="00EA67AD"/>
    <w:rsid w:val="00EA6CF3"/>
    <w:rsid w:val="00EA72D8"/>
    <w:rsid w:val="00EA72FC"/>
    <w:rsid w:val="00EA7303"/>
    <w:rsid w:val="00EA7E45"/>
    <w:rsid w:val="00EB09B9"/>
    <w:rsid w:val="00EB0C2C"/>
    <w:rsid w:val="00EB1714"/>
    <w:rsid w:val="00EB2310"/>
    <w:rsid w:val="00EB2721"/>
    <w:rsid w:val="00EB30BE"/>
    <w:rsid w:val="00EB3404"/>
    <w:rsid w:val="00EB3599"/>
    <w:rsid w:val="00EB3934"/>
    <w:rsid w:val="00EB3C52"/>
    <w:rsid w:val="00EB3F79"/>
    <w:rsid w:val="00EB41F5"/>
    <w:rsid w:val="00EB45F6"/>
    <w:rsid w:val="00EB4992"/>
    <w:rsid w:val="00EB50B2"/>
    <w:rsid w:val="00EB5799"/>
    <w:rsid w:val="00EB659F"/>
    <w:rsid w:val="00EB76F7"/>
    <w:rsid w:val="00EB77B7"/>
    <w:rsid w:val="00EB793B"/>
    <w:rsid w:val="00EB7C5B"/>
    <w:rsid w:val="00EB7CB1"/>
    <w:rsid w:val="00EC01B9"/>
    <w:rsid w:val="00EC04E1"/>
    <w:rsid w:val="00EC0569"/>
    <w:rsid w:val="00EC0715"/>
    <w:rsid w:val="00EC084D"/>
    <w:rsid w:val="00EC0C7B"/>
    <w:rsid w:val="00EC1658"/>
    <w:rsid w:val="00EC1877"/>
    <w:rsid w:val="00EC195F"/>
    <w:rsid w:val="00EC1C35"/>
    <w:rsid w:val="00EC1F63"/>
    <w:rsid w:val="00EC22A5"/>
    <w:rsid w:val="00EC358F"/>
    <w:rsid w:val="00EC3CFC"/>
    <w:rsid w:val="00EC3F0C"/>
    <w:rsid w:val="00EC4347"/>
    <w:rsid w:val="00EC52C3"/>
    <w:rsid w:val="00EC5C49"/>
    <w:rsid w:val="00EC5E45"/>
    <w:rsid w:val="00EC5ED6"/>
    <w:rsid w:val="00EC608C"/>
    <w:rsid w:val="00EC61C2"/>
    <w:rsid w:val="00EC61FC"/>
    <w:rsid w:val="00EC6DE5"/>
    <w:rsid w:val="00ED0557"/>
    <w:rsid w:val="00ED0CF0"/>
    <w:rsid w:val="00ED10FA"/>
    <w:rsid w:val="00ED1407"/>
    <w:rsid w:val="00ED1A74"/>
    <w:rsid w:val="00ED21EF"/>
    <w:rsid w:val="00ED2B62"/>
    <w:rsid w:val="00ED34D4"/>
    <w:rsid w:val="00ED3ADF"/>
    <w:rsid w:val="00ED3D84"/>
    <w:rsid w:val="00ED3D87"/>
    <w:rsid w:val="00ED3E53"/>
    <w:rsid w:val="00ED42FF"/>
    <w:rsid w:val="00ED58B3"/>
    <w:rsid w:val="00ED59A5"/>
    <w:rsid w:val="00ED5E6C"/>
    <w:rsid w:val="00ED74FB"/>
    <w:rsid w:val="00ED766C"/>
    <w:rsid w:val="00ED76FB"/>
    <w:rsid w:val="00ED78A3"/>
    <w:rsid w:val="00EE05C2"/>
    <w:rsid w:val="00EE06A6"/>
    <w:rsid w:val="00EE0D01"/>
    <w:rsid w:val="00EE11DC"/>
    <w:rsid w:val="00EE124D"/>
    <w:rsid w:val="00EE1C02"/>
    <w:rsid w:val="00EE2358"/>
    <w:rsid w:val="00EE2793"/>
    <w:rsid w:val="00EE27F6"/>
    <w:rsid w:val="00EE296D"/>
    <w:rsid w:val="00EE2A6C"/>
    <w:rsid w:val="00EE30EE"/>
    <w:rsid w:val="00EE3121"/>
    <w:rsid w:val="00EE3C6D"/>
    <w:rsid w:val="00EE4028"/>
    <w:rsid w:val="00EE4551"/>
    <w:rsid w:val="00EE4999"/>
    <w:rsid w:val="00EE4C6E"/>
    <w:rsid w:val="00EE4E97"/>
    <w:rsid w:val="00EE4F89"/>
    <w:rsid w:val="00EE5135"/>
    <w:rsid w:val="00EE558C"/>
    <w:rsid w:val="00EE5783"/>
    <w:rsid w:val="00EE6019"/>
    <w:rsid w:val="00EE61BE"/>
    <w:rsid w:val="00EE6DE6"/>
    <w:rsid w:val="00EE7904"/>
    <w:rsid w:val="00EE790F"/>
    <w:rsid w:val="00EF057C"/>
    <w:rsid w:val="00EF1D14"/>
    <w:rsid w:val="00EF23A1"/>
    <w:rsid w:val="00EF2755"/>
    <w:rsid w:val="00EF3218"/>
    <w:rsid w:val="00EF334E"/>
    <w:rsid w:val="00EF359E"/>
    <w:rsid w:val="00EF3B45"/>
    <w:rsid w:val="00EF42FB"/>
    <w:rsid w:val="00EF4668"/>
    <w:rsid w:val="00EF4685"/>
    <w:rsid w:val="00EF4AEB"/>
    <w:rsid w:val="00EF4FEE"/>
    <w:rsid w:val="00EF542B"/>
    <w:rsid w:val="00EF6873"/>
    <w:rsid w:val="00EF6902"/>
    <w:rsid w:val="00EF6F24"/>
    <w:rsid w:val="00EF7132"/>
    <w:rsid w:val="00EF7143"/>
    <w:rsid w:val="00EF7C7D"/>
    <w:rsid w:val="00F0055F"/>
    <w:rsid w:val="00F0080B"/>
    <w:rsid w:val="00F00BE1"/>
    <w:rsid w:val="00F01572"/>
    <w:rsid w:val="00F015B1"/>
    <w:rsid w:val="00F01B31"/>
    <w:rsid w:val="00F02322"/>
    <w:rsid w:val="00F02D9C"/>
    <w:rsid w:val="00F037D5"/>
    <w:rsid w:val="00F038D5"/>
    <w:rsid w:val="00F03AB6"/>
    <w:rsid w:val="00F03AB9"/>
    <w:rsid w:val="00F03CD6"/>
    <w:rsid w:val="00F03F08"/>
    <w:rsid w:val="00F03F4E"/>
    <w:rsid w:val="00F0439A"/>
    <w:rsid w:val="00F048EF"/>
    <w:rsid w:val="00F06479"/>
    <w:rsid w:val="00F066CF"/>
    <w:rsid w:val="00F06958"/>
    <w:rsid w:val="00F07241"/>
    <w:rsid w:val="00F07571"/>
    <w:rsid w:val="00F076C5"/>
    <w:rsid w:val="00F07E96"/>
    <w:rsid w:val="00F10B0A"/>
    <w:rsid w:val="00F11537"/>
    <w:rsid w:val="00F120D9"/>
    <w:rsid w:val="00F124BE"/>
    <w:rsid w:val="00F125DE"/>
    <w:rsid w:val="00F12638"/>
    <w:rsid w:val="00F12A9F"/>
    <w:rsid w:val="00F13137"/>
    <w:rsid w:val="00F1339B"/>
    <w:rsid w:val="00F14C13"/>
    <w:rsid w:val="00F14CE8"/>
    <w:rsid w:val="00F15FBF"/>
    <w:rsid w:val="00F17174"/>
    <w:rsid w:val="00F172D0"/>
    <w:rsid w:val="00F211DE"/>
    <w:rsid w:val="00F21A9F"/>
    <w:rsid w:val="00F21D2A"/>
    <w:rsid w:val="00F21E63"/>
    <w:rsid w:val="00F21E86"/>
    <w:rsid w:val="00F2254A"/>
    <w:rsid w:val="00F2276D"/>
    <w:rsid w:val="00F22B7B"/>
    <w:rsid w:val="00F22C15"/>
    <w:rsid w:val="00F22DC5"/>
    <w:rsid w:val="00F22EDB"/>
    <w:rsid w:val="00F2304F"/>
    <w:rsid w:val="00F23124"/>
    <w:rsid w:val="00F23423"/>
    <w:rsid w:val="00F23570"/>
    <w:rsid w:val="00F23F06"/>
    <w:rsid w:val="00F23F7D"/>
    <w:rsid w:val="00F24232"/>
    <w:rsid w:val="00F2486E"/>
    <w:rsid w:val="00F24E8D"/>
    <w:rsid w:val="00F25177"/>
    <w:rsid w:val="00F2526C"/>
    <w:rsid w:val="00F25420"/>
    <w:rsid w:val="00F256A5"/>
    <w:rsid w:val="00F2586C"/>
    <w:rsid w:val="00F2604B"/>
    <w:rsid w:val="00F261F0"/>
    <w:rsid w:val="00F2659D"/>
    <w:rsid w:val="00F265C5"/>
    <w:rsid w:val="00F27170"/>
    <w:rsid w:val="00F27319"/>
    <w:rsid w:val="00F274A5"/>
    <w:rsid w:val="00F27BB8"/>
    <w:rsid w:val="00F30016"/>
    <w:rsid w:val="00F3013E"/>
    <w:rsid w:val="00F3058F"/>
    <w:rsid w:val="00F30C02"/>
    <w:rsid w:val="00F30CE5"/>
    <w:rsid w:val="00F30E85"/>
    <w:rsid w:val="00F30FDC"/>
    <w:rsid w:val="00F313D1"/>
    <w:rsid w:val="00F3144A"/>
    <w:rsid w:val="00F31C75"/>
    <w:rsid w:val="00F31F4C"/>
    <w:rsid w:val="00F31FA1"/>
    <w:rsid w:val="00F32543"/>
    <w:rsid w:val="00F33050"/>
    <w:rsid w:val="00F33277"/>
    <w:rsid w:val="00F33286"/>
    <w:rsid w:val="00F333D8"/>
    <w:rsid w:val="00F339D7"/>
    <w:rsid w:val="00F33CE0"/>
    <w:rsid w:val="00F3402A"/>
    <w:rsid w:val="00F340CD"/>
    <w:rsid w:val="00F3417F"/>
    <w:rsid w:val="00F341B5"/>
    <w:rsid w:val="00F341CC"/>
    <w:rsid w:val="00F342DC"/>
    <w:rsid w:val="00F3481A"/>
    <w:rsid w:val="00F34A3B"/>
    <w:rsid w:val="00F34E67"/>
    <w:rsid w:val="00F35095"/>
    <w:rsid w:val="00F35664"/>
    <w:rsid w:val="00F35C54"/>
    <w:rsid w:val="00F35E63"/>
    <w:rsid w:val="00F35FC7"/>
    <w:rsid w:val="00F364CF"/>
    <w:rsid w:val="00F36AE4"/>
    <w:rsid w:val="00F36B6C"/>
    <w:rsid w:val="00F36BCA"/>
    <w:rsid w:val="00F36D10"/>
    <w:rsid w:val="00F36DE3"/>
    <w:rsid w:val="00F370DC"/>
    <w:rsid w:val="00F37487"/>
    <w:rsid w:val="00F37566"/>
    <w:rsid w:val="00F37C18"/>
    <w:rsid w:val="00F37E5B"/>
    <w:rsid w:val="00F40508"/>
    <w:rsid w:val="00F406D5"/>
    <w:rsid w:val="00F409C2"/>
    <w:rsid w:val="00F40CAB"/>
    <w:rsid w:val="00F40D09"/>
    <w:rsid w:val="00F429E5"/>
    <w:rsid w:val="00F432C6"/>
    <w:rsid w:val="00F4352E"/>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51A"/>
    <w:rsid w:val="00F5068E"/>
    <w:rsid w:val="00F50A8A"/>
    <w:rsid w:val="00F50BFA"/>
    <w:rsid w:val="00F510A6"/>
    <w:rsid w:val="00F515CA"/>
    <w:rsid w:val="00F51D20"/>
    <w:rsid w:val="00F52BF1"/>
    <w:rsid w:val="00F530D0"/>
    <w:rsid w:val="00F53166"/>
    <w:rsid w:val="00F5335D"/>
    <w:rsid w:val="00F53A12"/>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650"/>
    <w:rsid w:val="00F579FC"/>
    <w:rsid w:val="00F57FD9"/>
    <w:rsid w:val="00F601CA"/>
    <w:rsid w:val="00F60277"/>
    <w:rsid w:val="00F6089D"/>
    <w:rsid w:val="00F60C74"/>
    <w:rsid w:val="00F61342"/>
    <w:rsid w:val="00F61602"/>
    <w:rsid w:val="00F6161C"/>
    <w:rsid w:val="00F61841"/>
    <w:rsid w:val="00F61E93"/>
    <w:rsid w:val="00F623EC"/>
    <w:rsid w:val="00F62773"/>
    <w:rsid w:val="00F62B95"/>
    <w:rsid w:val="00F62FE5"/>
    <w:rsid w:val="00F6359C"/>
    <w:rsid w:val="00F637C9"/>
    <w:rsid w:val="00F63DDA"/>
    <w:rsid w:val="00F64243"/>
    <w:rsid w:val="00F644C7"/>
    <w:rsid w:val="00F648B2"/>
    <w:rsid w:val="00F64CF8"/>
    <w:rsid w:val="00F64DD3"/>
    <w:rsid w:val="00F64F51"/>
    <w:rsid w:val="00F654E8"/>
    <w:rsid w:val="00F6607F"/>
    <w:rsid w:val="00F66122"/>
    <w:rsid w:val="00F665D5"/>
    <w:rsid w:val="00F666FD"/>
    <w:rsid w:val="00F66EC1"/>
    <w:rsid w:val="00F67099"/>
    <w:rsid w:val="00F672F1"/>
    <w:rsid w:val="00F67302"/>
    <w:rsid w:val="00F677AF"/>
    <w:rsid w:val="00F67A35"/>
    <w:rsid w:val="00F67B7D"/>
    <w:rsid w:val="00F67FC4"/>
    <w:rsid w:val="00F71419"/>
    <w:rsid w:val="00F72357"/>
    <w:rsid w:val="00F72620"/>
    <w:rsid w:val="00F733CC"/>
    <w:rsid w:val="00F73930"/>
    <w:rsid w:val="00F73B70"/>
    <w:rsid w:val="00F74118"/>
    <w:rsid w:val="00F74217"/>
    <w:rsid w:val="00F746A3"/>
    <w:rsid w:val="00F759AD"/>
    <w:rsid w:val="00F75BDF"/>
    <w:rsid w:val="00F765E8"/>
    <w:rsid w:val="00F76851"/>
    <w:rsid w:val="00F76EE1"/>
    <w:rsid w:val="00F77084"/>
    <w:rsid w:val="00F772AD"/>
    <w:rsid w:val="00F7768D"/>
    <w:rsid w:val="00F80A71"/>
    <w:rsid w:val="00F80F3C"/>
    <w:rsid w:val="00F8124E"/>
    <w:rsid w:val="00F81526"/>
    <w:rsid w:val="00F81886"/>
    <w:rsid w:val="00F8200C"/>
    <w:rsid w:val="00F823C1"/>
    <w:rsid w:val="00F82B09"/>
    <w:rsid w:val="00F82F09"/>
    <w:rsid w:val="00F834BC"/>
    <w:rsid w:val="00F83841"/>
    <w:rsid w:val="00F839E0"/>
    <w:rsid w:val="00F84B88"/>
    <w:rsid w:val="00F85244"/>
    <w:rsid w:val="00F856F0"/>
    <w:rsid w:val="00F85AF0"/>
    <w:rsid w:val="00F85D77"/>
    <w:rsid w:val="00F863C8"/>
    <w:rsid w:val="00F86D88"/>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5B0B"/>
    <w:rsid w:val="00F95F58"/>
    <w:rsid w:val="00F963E1"/>
    <w:rsid w:val="00F9721B"/>
    <w:rsid w:val="00F977CB"/>
    <w:rsid w:val="00F97854"/>
    <w:rsid w:val="00F97C49"/>
    <w:rsid w:val="00FA0942"/>
    <w:rsid w:val="00FA0AC9"/>
    <w:rsid w:val="00FA188C"/>
    <w:rsid w:val="00FA1FF2"/>
    <w:rsid w:val="00FA2910"/>
    <w:rsid w:val="00FA29F4"/>
    <w:rsid w:val="00FA362D"/>
    <w:rsid w:val="00FA3D8C"/>
    <w:rsid w:val="00FA3E51"/>
    <w:rsid w:val="00FA403D"/>
    <w:rsid w:val="00FA40A3"/>
    <w:rsid w:val="00FA427F"/>
    <w:rsid w:val="00FA45CD"/>
    <w:rsid w:val="00FA4D76"/>
    <w:rsid w:val="00FA52BF"/>
    <w:rsid w:val="00FA5989"/>
    <w:rsid w:val="00FA5A62"/>
    <w:rsid w:val="00FA5B17"/>
    <w:rsid w:val="00FA6924"/>
    <w:rsid w:val="00FA69D3"/>
    <w:rsid w:val="00FA6C90"/>
    <w:rsid w:val="00FA7125"/>
    <w:rsid w:val="00FA7131"/>
    <w:rsid w:val="00FA7DF7"/>
    <w:rsid w:val="00FB01CC"/>
    <w:rsid w:val="00FB1350"/>
    <w:rsid w:val="00FB16CA"/>
    <w:rsid w:val="00FB26BD"/>
    <w:rsid w:val="00FB2C23"/>
    <w:rsid w:val="00FB2DE1"/>
    <w:rsid w:val="00FB3325"/>
    <w:rsid w:val="00FB33FA"/>
    <w:rsid w:val="00FB35CC"/>
    <w:rsid w:val="00FB3866"/>
    <w:rsid w:val="00FB386A"/>
    <w:rsid w:val="00FB3966"/>
    <w:rsid w:val="00FB3B56"/>
    <w:rsid w:val="00FB3BA6"/>
    <w:rsid w:val="00FB4411"/>
    <w:rsid w:val="00FB4D65"/>
    <w:rsid w:val="00FB5001"/>
    <w:rsid w:val="00FB56CA"/>
    <w:rsid w:val="00FB5954"/>
    <w:rsid w:val="00FB5B4B"/>
    <w:rsid w:val="00FB5BD1"/>
    <w:rsid w:val="00FB60A1"/>
    <w:rsid w:val="00FB6695"/>
    <w:rsid w:val="00FB7222"/>
    <w:rsid w:val="00FB7397"/>
    <w:rsid w:val="00FC012F"/>
    <w:rsid w:val="00FC0253"/>
    <w:rsid w:val="00FC060B"/>
    <w:rsid w:val="00FC085C"/>
    <w:rsid w:val="00FC0CDF"/>
    <w:rsid w:val="00FC0D7C"/>
    <w:rsid w:val="00FC1337"/>
    <w:rsid w:val="00FC1411"/>
    <w:rsid w:val="00FC163A"/>
    <w:rsid w:val="00FC16FB"/>
    <w:rsid w:val="00FC183A"/>
    <w:rsid w:val="00FC19F5"/>
    <w:rsid w:val="00FC28D1"/>
    <w:rsid w:val="00FC2C28"/>
    <w:rsid w:val="00FC2C37"/>
    <w:rsid w:val="00FC2EA2"/>
    <w:rsid w:val="00FC330D"/>
    <w:rsid w:val="00FC333B"/>
    <w:rsid w:val="00FC35A0"/>
    <w:rsid w:val="00FC3D1C"/>
    <w:rsid w:val="00FC50EA"/>
    <w:rsid w:val="00FC51C4"/>
    <w:rsid w:val="00FC51D7"/>
    <w:rsid w:val="00FC5656"/>
    <w:rsid w:val="00FC5661"/>
    <w:rsid w:val="00FC5964"/>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4073"/>
    <w:rsid w:val="00FD40CF"/>
    <w:rsid w:val="00FD5043"/>
    <w:rsid w:val="00FD510B"/>
    <w:rsid w:val="00FD52F8"/>
    <w:rsid w:val="00FD5360"/>
    <w:rsid w:val="00FD54CC"/>
    <w:rsid w:val="00FD5914"/>
    <w:rsid w:val="00FD5F6C"/>
    <w:rsid w:val="00FD65AD"/>
    <w:rsid w:val="00FD6B34"/>
    <w:rsid w:val="00FD6C8C"/>
    <w:rsid w:val="00FD6DBB"/>
    <w:rsid w:val="00FD7529"/>
    <w:rsid w:val="00FD795C"/>
    <w:rsid w:val="00FD7A8D"/>
    <w:rsid w:val="00FE06A2"/>
    <w:rsid w:val="00FE0CE6"/>
    <w:rsid w:val="00FE0E39"/>
    <w:rsid w:val="00FE0FBC"/>
    <w:rsid w:val="00FE1630"/>
    <w:rsid w:val="00FE169D"/>
    <w:rsid w:val="00FE190A"/>
    <w:rsid w:val="00FE1B04"/>
    <w:rsid w:val="00FE28C8"/>
    <w:rsid w:val="00FE2C3A"/>
    <w:rsid w:val="00FE2E81"/>
    <w:rsid w:val="00FE33B0"/>
    <w:rsid w:val="00FE36BA"/>
    <w:rsid w:val="00FE378C"/>
    <w:rsid w:val="00FE39E1"/>
    <w:rsid w:val="00FE422E"/>
    <w:rsid w:val="00FE4CFC"/>
    <w:rsid w:val="00FE5E92"/>
    <w:rsid w:val="00FE5F93"/>
    <w:rsid w:val="00FE62CD"/>
    <w:rsid w:val="00FE6871"/>
    <w:rsid w:val="00FE6D96"/>
    <w:rsid w:val="00FE6F3B"/>
    <w:rsid w:val="00FE71CB"/>
    <w:rsid w:val="00FE792B"/>
    <w:rsid w:val="00FE79EF"/>
    <w:rsid w:val="00FE7BCD"/>
    <w:rsid w:val="00FF013B"/>
    <w:rsid w:val="00FF025A"/>
    <w:rsid w:val="00FF0874"/>
    <w:rsid w:val="00FF088B"/>
    <w:rsid w:val="00FF0A4D"/>
    <w:rsid w:val="00FF0AC4"/>
    <w:rsid w:val="00FF0D1C"/>
    <w:rsid w:val="00FF0E3B"/>
    <w:rsid w:val="00FF10AF"/>
    <w:rsid w:val="00FF1304"/>
    <w:rsid w:val="00FF140F"/>
    <w:rsid w:val="00FF18BB"/>
    <w:rsid w:val="00FF1E46"/>
    <w:rsid w:val="00FF209F"/>
    <w:rsid w:val="00FF2151"/>
    <w:rsid w:val="00FF22C2"/>
    <w:rsid w:val="00FF23FB"/>
    <w:rsid w:val="00FF2C03"/>
    <w:rsid w:val="00FF30BA"/>
    <w:rsid w:val="00FF3298"/>
    <w:rsid w:val="00FF334E"/>
    <w:rsid w:val="00FF3880"/>
    <w:rsid w:val="00FF394B"/>
    <w:rsid w:val="00FF465F"/>
    <w:rsid w:val="00FF4BC9"/>
    <w:rsid w:val="00FF4EB5"/>
    <w:rsid w:val="00FF5893"/>
    <w:rsid w:val="00FF5F7D"/>
    <w:rsid w:val="00FF6062"/>
    <w:rsid w:val="00FF636B"/>
    <w:rsid w:val="00FF66BB"/>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5C423DB9-47F4-4DB8-8EA3-7DD26F1E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semiHidden/>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semiHidden/>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5909&amp;texto=2b434f4c45474941444f253341253232504c454e4152494f2532322b414e442b2b2532384e554d41434f5244414f253341323134332b4f522b4e554d52454c4143414f25334132313433253239&amp;sort=DTRELEVANCIA&amp;ordem=DESC&amp;bases=ACORDAO-LEGADO;DECISAO-LEGADO;RELACAO-LEGADO;ACORDAO-RELACAO-LEGADO;&amp;highlight=&amp;posicaoDocumento=0%20%20%20" TargetMode="External"/><Relationship Id="rId13" Type="http://schemas.openxmlformats.org/officeDocument/2006/relationships/hyperlink" Target="https://contas.tcu.gov.br/juris/SvlHighLight?key=ACORDAO-LEGADO-115867&amp;texto=2b434f4c45474941444f253341253232534547554e44412b43414d4152412532322b414e442b2b2532384e554d41434f5244414f253341343739312b4f522b4e554d52454c4143414f25334134373931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HighLight?key=ACORDAO-LEGADO-115868&amp;texto=2b434f4c45474941444f253341253232534547554e44412b43414d4152412532322b414e442b2b2532384e554d41434f5244414f253341343739302b4f522b4e554d52454c4143414f25334134373930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15901&amp;texto=2b434f4c45474941444f253341253232504c454e4152494f2532322b414e442b2b2532384e554d41434f5244414f253341323134352b4f522b4e554d52454c4143414f25334132313435253239&amp;sort=DTRELEVANCIA&amp;ordem=DESC&amp;bases=ACORDAO-LEGADO;DECISAO-LEGADO;RELACAO-LEGADO;ACORDAO-RELACAO-LEGADO;&amp;highlight=&amp;posicaoDocumento=0%20%20%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tas.tcu.gov.br/juris/SvlHighLight?key=ACORDAO-LEGADO-115901&amp;texto=2b434f4c45474941444f253341253232504c454e4152494f2532322b414e442b2b2532384e554d41434f5244414f253341323134352b4f522b4e554d52454c4143414f25334132313435253239&amp;sort=DTRELEVANCIA&amp;ordem=DESC&amp;bases=ACORDAO-LEGADO;DECISAO-LEGADO;RELACAO-LEGADO;ACORDAO-RELACAO-LEGADO;&amp;highlight=&amp;posicaoDocumento=0%20%20%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as.tcu.gov.br/juris/SvlHighLight?key=ACORDAO-LEGADO-115901&amp;texto=2b434f4c45474941444f253341253232504c454e4152494f2532322b414e442b2b2532384e554d41434f5244414f253341323134352b4f522b4e554d52454c4143414f25334132313435253239&amp;sort=DTRELEVANCIA&amp;ordem=DESC&amp;bases=ACORDAO-LEGADO;DECISAO-LEGADO;RELACAO-LEGADO;ACORDAO-RELACAO-LEGADO;&amp;highlight=&amp;posicaoDocumento=0%20%20%20%20" TargetMode="External"/><Relationship Id="rId14" Type="http://schemas.openxmlformats.org/officeDocument/2006/relationships/hyperlink" Target="mailto:infojuris@tcu.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45F50-3A35-4C84-AEBF-5CB75748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3111</Words>
  <Characters>16801</Characters>
  <Application>Microsoft Office Word</Application>
  <DocSecurity>4</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19873</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2883643</vt:i4>
      </vt:variant>
      <vt:variant>
        <vt:i4>15</vt:i4>
      </vt:variant>
      <vt:variant>
        <vt:i4>0</vt:i4>
      </vt:variant>
      <vt:variant>
        <vt:i4>5</vt:i4>
      </vt:variant>
      <vt:variant>
        <vt:lpwstr>https://contas.tcu.gov.br/juris/SvlHighLight?key=ACORDAO-LEGADO-115867&amp;texto=2b434f4c45474941444f253341253232534547554e44412b43414d4152412532322b414e442b2b2532384e554d41434f5244414f253341343739312b4f522b4e554d52454c4143414f253341343739312532392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2293819</vt:i4>
      </vt:variant>
      <vt:variant>
        <vt:i4>12</vt:i4>
      </vt:variant>
      <vt:variant>
        <vt:i4>0</vt:i4>
      </vt:variant>
      <vt:variant>
        <vt:i4>5</vt:i4>
      </vt:variant>
      <vt:variant>
        <vt:lpwstr>https://contas.tcu.gov.br/juris/SvlHighLight?key=ACORDAO-LEGADO-115868&amp;texto=2b434f4c45474941444f253341253232534547554e44412b43414d4152412532322b414e442b2b2532384e554d41434f5244414f253341343739302b4f522b4e554d52454c4143414f253341343739302532392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2949232</vt:i4>
      </vt:variant>
      <vt:variant>
        <vt:i4>9</vt:i4>
      </vt:variant>
      <vt:variant>
        <vt:i4>0</vt:i4>
      </vt:variant>
      <vt:variant>
        <vt:i4>5</vt:i4>
      </vt:variant>
      <vt:variant>
        <vt:lpwstr>https://contas.tcu.gov.br/juris/SvlHighLight?key=ACORDAO-LEGADO-115901&amp;texto=2b434f4c45474941444f253341253232504c454e4152494f2532322b414e442b2b2532384e554d41434f5244414f253341323134352b4f522b4e554d52454c4143414f25334132313435253239&amp;sort=DTRELEVANCIA&amp;ordem=DESC&amp;bases=ACORDAO-LEGADO;DECISAO-LEGADO;RELACAO-LEGADO;ACORDAO-RELACAO-LEGADO;&amp;highlight=&amp;posicaoDocumento=0%20%20%20%20</vt:lpwstr>
      </vt:variant>
      <vt:variant>
        <vt:lpwstr/>
      </vt:variant>
      <vt:variant>
        <vt:i4>2949232</vt:i4>
      </vt:variant>
      <vt:variant>
        <vt:i4>6</vt:i4>
      </vt:variant>
      <vt:variant>
        <vt:i4>0</vt:i4>
      </vt:variant>
      <vt:variant>
        <vt:i4>5</vt:i4>
      </vt:variant>
      <vt:variant>
        <vt:lpwstr>https://contas.tcu.gov.br/juris/SvlHighLight?key=ACORDAO-LEGADO-115901&amp;texto=2b434f4c45474941444f253341253232504c454e4152494f2532322b414e442b2b2532384e554d41434f5244414f253341323134352b4f522b4e554d52454c4143414f25334132313435253239&amp;sort=DTRELEVANCIA&amp;ordem=DESC&amp;bases=ACORDAO-LEGADO;DECISAO-LEGADO;RELACAO-LEGADO;ACORDAO-RELACAO-LEGADO;&amp;highlight=&amp;posicaoDocumento=0%20%20%20%20</vt:lpwstr>
      </vt:variant>
      <vt:variant>
        <vt:lpwstr/>
      </vt:variant>
      <vt:variant>
        <vt:i4>2949232</vt:i4>
      </vt:variant>
      <vt:variant>
        <vt:i4>3</vt:i4>
      </vt:variant>
      <vt:variant>
        <vt:i4>0</vt:i4>
      </vt:variant>
      <vt:variant>
        <vt:i4>5</vt:i4>
      </vt:variant>
      <vt:variant>
        <vt:lpwstr>https://contas.tcu.gov.br/juris/SvlHighLight?key=ACORDAO-LEGADO-115901&amp;texto=2b434f4c45474941444f253341253232504c454e4152494f2532322b414e442b2b2532384e554d41434f5244414f253341323134352b4f522b4e554d52454c4143414f25334132313435253239&amp;sort=DTRELEVANCIA&amp;ordem=DESC&amp;bases=ACORDAO-LEGADO;DECISAO-LEGADO;RELACAO-LEGADO;ACORDAO-RELACAO-LEGADO;&amp;highlight=&amp;posicaoDocumento=0%20%20%20%20</vt:lpwstr>
      </vt:variant>
      <vt:variant>
        <vt:lpwstr/>
      </vt:variant>
      <vt:variant>
        <vt:i4>2424944</vt:i4>
      </vt:variant>
      <vt:variant>
        <vt:i4>0</vt:i4>
      </vt:variant>
      <vt:variant>
        <vt:i4>0</vt:i4>
      </vt:variant>
      <vt:variant>
        <vt:i4>5</vt:i4>
      </vt:variant>
      <vt:variant>
        <vt:lpwstr>https://contas.tcu.gov.br/juris/SvlHighLight?key=ACORDAO-LEGADO-115909&amp;texto=2b434f4c45474941444f253341253232504c454e4152494f2532322b414e442b2b2532384e554d41434f5244414f253341323134332b4f522b4e554d52454c4143414f25334132313433253239&amp;sort=DTRELEVANCIA&amp;ordem=DESC&amp;bases=ACORDAO-LEGADO;DECISAO-LEGADO;RELACAO-LEGADO;ACORDAO-RELACAO-LEGADO;&amp;highlight=&amp;posicaoDocumento=0%20%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2013-07-30T19:47:00Z</cp:lastPrinted>
  <dcterms:created xsi:type="dcterms:W3CDTF">2015-05-07T13:08:00Z</dcterms:created>
  <dcterms:modified xsi:type="dcterms:W3CDTF">2015-05-07T13:08:00Z</dcterms:modified>
</cp:coreProperties>
</file>