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Default="00CF6DDB" w:rsidP="000824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159</w:t>
      </w:r>
    </w:p>
    <w:p w:rsidR="0008246E" w:rsidRPr="00F2486E" w:rsidRDefault="0008246E" w:rsidP="000824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Sessões:</w:t>
      </w:r>
      <w:r w:rsidR="00CF6DDB">
        <w:rPr>
          <w:rFonts w:ascii="Times New Roman" w:hAnsi="Times New Roman"/>
          <w:b/>
          <w:i w:val="0"/>
          <w:sz w:val="22"/>
          <w:szCs w:val="22"/>
        </w:rPr>
        <w:t xml:space="preserve"> 9 e 10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>
        <w:rPr>
          <w:rFonts w:ascii="Times New Roman" w:hAnsi="Times New Roman"/>
          <w:b/>
          <w:i w:val="0"/>
          <w:sz w:val="22"/>
          <w:szCs w:val="22"/>
        </w:rPr>
        <w:t>julho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5220A9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5220A9">
        <w:rPr>
          <w:b/>
          <w:bCs/>
          <w:smallCaps/>
          <w:sz w:val="22"/>
          <w:szCs w:val="22"/>
        </w:rPr>
        <w:t>SUMÁRIO</w:t>
      </w:r>
    </w:p>
    <w:p w:rsidR="0008246E" w:rsidRDefault="0008246E" w:rsidP="0008246E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5220A9">
        <w:rPr>
          <w:b/>
          <w:sz w:val="22"/>
          <w:szCs w:val="22"/>
          <w:lang w:eastAsia="pt-BR"/>
        </w:rPr>
        <w:t>Plenário</w:t>
      </w:r>
    </w:p>
    <w:p w:rsidR="00831589" w:rsidRDefault="00831589" w:rsidP="00831589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77D2C">
        <w:rPr>
          <w:sz w:val="22"/>
          <w:szCs w:val="22"/>
        </w:rPr>
        <w:t>Às entidades do Sistema S</w:t>
      </w:r>
      <w:r w:rsidRPr="006C37B4">
        <w:rPr>
          <w:sz w:val="22"/>
          <w:szCs w:val="22"/>
        </w:rPr>
        <w:t xml:space="preserve"> é vedada a contratação com aqueles que se encontrem em débito com a seguridade social ou </w:t>
      </w:r>
      <w:r>
        <w:rPr>
          <w:sz w:val="22"/>
          <w:szCs w:val="22"/>
        </w:rPr>
        <w:t xml:space="preserve">com o FGTS, devendo </w:t>
      </w:r>
      <w:r w:rsidRPr="00FF5893">
        <w:rPr>
          <w:sz w:val="22"/>
          <w:szCs w:val="22"/>
        </w:rPr>
        <w:t>a regularidade fiscal ser verificada</w:t>
      </w:r>
      <w:r w:rsidRPr="006C37B4">
        <w:rPr>
          <w:sz w:val="22"/>
          <w:szCs w:val="22"/>
        </w:rPr>
        <w:t>, na forma estabelecida pelo gestor, durante toda a execução contratual.</w:t>
      </w:r>
      <w:r>
        <w:rPr>
          <w:sz w:val="22"/>
          <w:szCs w:val="22"/>
        </w:rPr>
        <w:t xml:space="preserve"> </w:t>
      </w:r>
    </w:p>
    <w:p w:rsidR="0008246E" w:rsidRDefault="00AC5C45" w:rsidP="0008246E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2</w:t>
      </w:r>
      <w:r w:rsidR="0008246E" w:rsidRPr="006E79FB">
        <w:rPr>
          <w:sz w:val="22"/>
          <w:szCs w:val="22"/>
          <w:lang w:eastAsia="pt-BR"/>
        </w:rPr>
        <w:t>.</w:t>
      </w:r>
      <w:r w:rsidR="0008246E">
        <w:rPr>
          <w:sz w:val="22"/>
          <w:szCs w:val="22"/>
          <w:lang w:eastAsia="pt-BR"/>
        </w:rPr>
        <w:t xml:space="preserve"> </w:t>
      </w:r>
      <w:r w:rsidR="00C64E85" w:rsidRPr="00C64E85">
        <w:rPr>
          <w:sz w:val="22"/>
          <w:szCs w:val="22"/>
          <w:lang w:eastAsia="pt-BR"/>
        </w:rPr>
        <w:t xml:space="preserve">A inclusão de novos serviços, mediante termos aditivos, </w:t>
      </w:r>
      <w:r w:rsidR="00C64E85" w:rsidRPr="005B6BF6">
        <w:rPr>
          <w:sz w:val="22"/>
          <w:szCs w:val="22"/>
          <w:lang w:eastAsia="pt-BR"/>
        </w:rPr>
        <w:t>deve observar o valor médio de serviços similares presentes nos demais lotes de uma mesma licitação,</w:t>
      </w:r>
      <w:r w:rsidR="00C64E85" w:rsidRPr="00C64E85">
        <w:rPr>
          <w:sz w:val="22"/>
          <w:szCs w:val="22"/>
          <w:lang w:eastAsia="pt-BR"/>
        </w:rPr>
        <w:t xml:space="preserve"> em atendimento ao que d</w:t>
      </w:r>
      <w:r w:rsidR="00A455C7">
        <w:rPr>
          <w:sz w:val="22"/>
          <w:szCs w:val="22"/>
          <w:lang w:eastAsia="pt-BR"/>
        </w:rPr>
        <w:t xml:space="preserve">etermina o </w:t>
      </w:r>
      <w:r w:rsidR="00BF7F14">
        <w:rPr>
          <w:sz w:val="22"/>
          <w:szCs w:val="22"/>
          <w:lang w:eastAsia="pt-BR"/>
        </w:rPr>
        <w:t xml:space="preserve">Acórdão 2013/2004 – </w:t>
      </w:r>
      <w:r w:rsidR="00C64E85" w:rsidRPr="00C64E85">
        <w:rPr>
          <w:sz w:val="22"/>
          <w:szCs w:val="22"/>
          <w:lang w:eastAsia="pt-BR"/>
        </w:rPr>
        <w:t xml:space="preserve">Plenário, bem como </w:t>
      </w:r>
      <w:r w:rsidR="00572B78" w:rsidRPr="00FF5893">
        <w:rPr>
          <w:sz w:val="22"/>
          <w:szCs w:val="22"/>
          <w:lang w:eastAsia="pt-BR"/>
        </w:rPr>
        <w:t>a</w:t>
      </w:r>
      <w:r w:rsidR="00C64E85" w:rsidRPr="00FF5893">
        <w:rPr>
          <w:sz w:val="22"/>
          <w:szCs w:val="22"/>
          <w:lang w:eastAsia="pt-BR"/>
        </w:rPr>
        <w:t>o</w:t>
      </w:r>
      <w:r w:rsidR="00C64E85" w:rsidRPr="00C64E85">
        <w:rPr>
          <w:sz w:val="22"/>
          <w:szCs w:val="22"/>
          <w:lang w:eastAsia="pt-BR"/>
        </w:rPr>
        <w:t xml:space="preserve"> disposto no § 6º do art.</w:t>
      </w:r>
      <w:r w:rsidR="00A455C7">
        <w:rPr>
          <w:sz w:val="22"/>
          <w:szCs w:val="22"/>
          <w:lang w:eastAsia="pt-BR"/>
        </w:rPr>
        <w:t xml:space="preserve"> 109 da Lei 11.768/</w:t>
      </w:r>
      <w:r w:rsidR="00C64E85" w:rsidRPr="00C64E85">
        <w:rPr>
          <w:sz w:val="22"/>
          <w:szCs w:val="22"/>
          <w:lang w:eastAsia="pt-BR"/>
        </w:rPr>
        <w:t>08, mantendo-se, no que se refere ao valor total contratado, o percentual de desconto oferecido no certame licitatório</w:t>
      </w:r>
      <w:r w:rsidR="0008246E" w:rsidRPr="00C64E85">
        <w:rPr>
          <w:sz w:val="22"/>
          <w:szCs w:val="22"/>
          <w:lang w:eastAsia="pt-BR"/>
        </w:rPr>
        <w:t>.</w:t>
      </w:r>
      <w:r w:rsidR="0008246E">
        <w:rPr>
          <w:sz w:val="22"/>
          <w:szCs w:val="22"/>
          <w:lang w:eastAsia="pt-BR"/>
        </w:rPr>
        <w:t xml:space="preserve"> </w:t>
      </w:r>
    </w:p>
    <w:p w:rsidR="00831589" w:rsidRPr="00831589" w:rsidRDefault="00831589" w:rsidP="00831589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3. A</w:t>
      </w:r>
      <w:r w:rsidRPr="00A3101A">
        <w:rPr>
          <w:sz w:val="22"/>
          <w:szCs w:val="22"/>
          <w:lang w:eastAsia="pt-BR"/>
        </w:rPr>
        <w:t>s entidades do Sistema S não podem inovar na ordem jurídica, por meio de seus regulamentos próprios, instituindo novas hipóteses de dispensa e de</w:t>
      </w:r>
      <w:r>
        <w:rPr>
          <w:sz w:val="22"/>
          <w:szCs w:val="22"/>
          <w:lang w:eastAsia="pt-BR"/>
        </w:rPr>
        <w:t xml:space="preserve"> </w:t>
      </w:r>
      <w:r w:rsidRPr="00A3101A">
        <w:rPr>
          <w:sz w:val="22"/>
          <w:szCs w:val="22"/>
          <w:lang w:eastAsia="pt-BR"/>
        </w:rPr>
        <w:t>inexigibilidade de licitação, haja vista que a matéria deve ser disciplinada por norma geral, de competência privativa da União</w:t>
      </w:r>
      <w:r w:rsidRPr="00A774B2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</w:t>
      </w:r>
    </w:p>
    <w:p w:rsidR="0008246E" w:rsidRPr="00C02493" w:rsidRDefault="0008246E" w:rsidP="0008246E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</w:rPr>
      </w:pPr>
      <w:r w:rsidRPr="00C02493">
        <w:rPr>
          <w:b/>
          <w:sz w:val="22"/>
          <w:szCs w:val="22"/>
        </w:rPr>
        <w:t>Segunda Câmara</w:t>
      </w:r>
    </w:p>
    <w:p w:rsidR="0008246E" w:rsidRPr="0054533C" w:rsidRDefault="00AC5C45" w:rsidP="0008246E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="0008246E" w:rsidRPr="0054533C">
        <w:rPr>
          <w:sz w:val="22"/>
          <w:szCs w:val="22"/>
        </w:rPr>
        <w:t xml:space="preserve">. </w:t>
      </w:r>
      <w:r w:rsidR="001B2809" w:rsidRPr="001B2809">
        <w:rPr>
          <w:sz w:val="22"/>
          <w:szCs w:val="22"/>
        </w:rPr>
        <w:t>A contratação de serviços por preços superiores às referências legais (</w:t>
      </w:r>
      <w:proofErr w:type="spellStart"/>
      <w:r w:rsidR="001B2809" w:rsidRPr="001B2809">
        <w:rPr>
          <w:sz w:val="22"/>
          <w:szCs w:val="22"/>
        </w:rPr>
        <w:t>Sinapi</w:t>
      </w:r>
      <w:proofErr w:type="spellEnd"/>
      <w:r w:rsidR="001B2809" w:rsidRPr="001B2809">
        <w:rPr>
          <w:sz w:val="22"/>
          <w:szCs w:val="22"/>
        </w:rPr>
        <w:t xml:space="preserve"> e </w:t>
      </w:r>
      <w:proofErr w:type="spellStart"/>
      <w:r w:rsidR="001B2809" w:rsidRPr="001B2809">
        <w:rPr>
          <w:sz w:val="22"/>
          <w:szCs w:val="22"/>
        </w:rPr>
        <w:t>Sicro</w:t>
      </w:r>
      <w:proofErr w:type="spellEnd"/>
      <w:r w:rsidR="001B2809" w:rsidRPr="001B2809">
        <w:rPr>
          <w:sz w:val="22"/>
          <w:szCs w:val="22"/>
        </w:rPr>
        <w:t>) deve ser, à vista das disposições contidas nas recentes leis de diretrizes orçamentárias, justificada por relatório técnico circunstanciado aprovado pela autoridade competente.</w:t>
      </w:r>
    </w:p>
    <w:p w:rsidR="0008246E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PLENÁRIO</w:t>
      </w:r>
    </w:p>
    <w:p w:rsidR="0008246E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831589" w:rsidRPr="003F12AB" w:rsidRDefault="00831589" w:rsidP="0083158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526CEC">
        <w:rPr>
          <w:b/>
          <w:sz w:val="22"/>
          <w:szCs w:val="22"/>
        </w:rPr>
        <w:t xml:space="preserve">. </w:t>
      </w:r>
      <w:r w:rsidR="00577D2C">
        <w:rPr>
          <w:b/>
          <w:sz w:val="22"/>
          <w:szCs w:val="22"/>
        </w:rPr>
        <w:t>Às entidades do Sistema S</w:t>
      </w:r>
      <w:r w:rsidRPr="000E372B">
        <w:rPr>
          <w:b/>
          <w:sz w:val="22"/>
          <w:szCs w:val="22"/>
        </w:rPr>
        <w:t xml:space="preserve"> é vedada a contratação com aqueles que se encontrem em débito com </w:t>
      </w:r>
      <w:r>
        <w:rPr>
          <w:b/>
          <w:sz w:val="22"/>
          <w:szCs w:val="22"/>
        </w:rPr>
        <w:t>a</w:t>
      </w:r>
      <w:r w:rsidRPr="000E372B">
        <w:rPr>
          <w:b/>
          <w:sz w:val="22"/>
          <w:szCs w:val="22"/>
        </w:rPr>
        <w:t xml:space="preserve"> seguridade social ou </w:t>
      </w:r>
      <w:r>
        <w:rPr>
          <w:b/>
          <w:sz w:val="22"/>
          <w:szCs w:val="22"/>
        </w:rPr>
        <w:t xml:space="preserve">com o FGTS, devendo </w:t>
      </w:r>
      <w:r w:rsidRPr="00FF5893">
        <w:rPr>
          <w:b/>
          <w:sz w:val="22"/>
          <w:szCs w:val="22"/>
        </w:rPr>
        <w:t>a regularidade fiscal ser verificada</w:t>
      </w:r>
      <w:r w:rsidRPr="000E372B">
        <w:rPr>
          <w:b/>
          <w:sz w:val="22"/>
          <w:szCs w:val="22"/>
        </w:rPr>
        <w:t>, na forma estabelecida pelo gestor, durante toda a execução contratual</w:t>
      </w:r>
      <w:r w:rsidRPr="003F12AB">
        <w:rPr>
          <w:b/>
          <w:sz w:val="22"/>
          <w:szCs w:val="22"/>
        </w:rPr>
        <w:t>.</w:t>
      </w:r>
    </w:p>
    <w:p w:rsidR="00831589" w:rsidRPr="003F5E59" w:rsidRDefault="00831589" w:rsidP="00831589">
      <w:pPr>
        <w:spacing w:after="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 xml:space="preserve">Pedido de Reexame interposto pelo </w:t>
      </w:r>
      <w:r w:rsidRPr="00B05D03">
        <w:rPr>
          <w:sz w:val="22"/>
          <w:szCs w:val="22"/>
          <w:lang w:eastAsia="pt-BR"/>
        </w:rPr>
        <w:t xml:space="preserve">Departamento Nacional do Serviço Social da Indústria (Sesi/DN) e </w:t>
      </w:r>
      <w:r>
        <w:rPr>
          <w:sz w:val="22"/>
          <w:szCs w:val="22"/>
          <w:lang w:eastAsia="pt-BR"/>
        </w:rPr>
        <w:t>pel</w:t>
      </w:r>
      <w:r w:rsidRPr="00B05D03">
        <w:rPr>
          <w:sz w:val="22"/>
          <w:szCs w:val="22"/>
          <w:lang w:eastAsia="pt-BR"/>
        </w:rPr>
        <w:t>o Departamento Nacional do Serviço Nacional de Aprendizagem Industrial (Senai/DN)</w:t>
      </w:r>
      <w:r>
        <w:rPr>
          <w:sz w:val="22"/>
          <w:szCs w:val="22"/>
          <w:lang w:eastAsia="pt-BR"/>
        </w:rPr>
        <w:t xml:space="preserve"> questionou, dentre outros pontos, determinação exarada pelo Acórdão 526/2013 – Plenário no sentido de que fosse exigida “</w:t>
      </w:r>
      <w:r w:rsidRPr="00B05D03">
        <w:rPr>
          <w:i/>
          <w:sz w:val="22"/>
          <w:szCs w:val="22"/>
          <w:lang w:eastAsia="pt-BR"/>
        </w:rPr>
        <w:t>nas contratações cuja comprovação da regularidade fiscal é obrigatória, nos termos do parágrafo único do art. 11 do Regulamento de Licitações e Contratos do Sesi/Senai, a verificação de tal regularidade previamente à realização de cada pagamento, em observância ao art. 195, § 3º, da Constituição Federal e à jurisprudência do Tribunal de Contas da União</w:t>
      </w:r>
      <w:r>
        <w:rPr>
          <w:i/>
          <w:sz w:val="22"/>
          <w:szCs w:val="22"/>
          <w:lang w:eastAsia="pt-BR"/>
        </w:rPr>
        <w:t>”</w:t>
      </w:r>
      <w:r>
        <w:rPr>
          <w:sz w:val="22"/>
          <w:szCs w:val="22"/>
          <w:lang w:eastAsia="pt-BR"/>
        </w:rPr>
        <w:t>. Os recorrentes enfatizaram que, nesse mister, a jurisprudência do Poder Judiciário é uníssona ao vedar a retenção de pagamento por serviços já prestados</w:t>
      </w:r>
      <w:r w:rsidRPr="003F12AB">
        <w:rPr>
          <w:sz w:val="22"/>
          <w:szCs w:val="22"/>
          <w:lang w:eastAsia="pt-BR"/>
        </w:rPr>
        <w:t xml:space="preserve">. </w:t>
      </w:r>
      <w:r>
        <w:rPr>
          <w:sz w:val="22"/>
          <w:szCs w:val="22"/>
          <w:lang w:eastAsia="pt-BR"/>
        </w:rPr>
        <w:t xml:space="preserve">Analisando a peça recursal, o </w:t>
      </w:r>
      <w:r w:rsidRPr="000B3C52">
        <w:rPr>
          <w:sz w:val="22"/>
          <w:szCs w:val="22"/>
          <w:lang w:eastAsia="pt-BR"/>
        </w:rPr>
        <w:t>r</w:t>
      </w:r>
      <w:r w:rsidRPr="003F12AB">
        <w:rPr>
          <w:sz w:val="22"/>
          <w:szCs w:val="22"/>
          <w:lang w:eastAsia="pt-BR"/>
        </w:rPr>
        <w:t>elator</w:t>
      </w:r>
      <w:r>
        <w:rPr>
          <w:sz w:val="22"/>
          <w:szCs w:val="22"/>
          <w:lang w:eastAsia="pt-BR"/>
        </w:rPr>
        <w:t xml:space="preserve"> esclareceu que </w:t>
      </w:r>
      <w:r w:rsidRPr="003F12AB">
        <w:rPr>
          <w:i/>
          <w:sz w:val="22"/>
          <w:szCs w:val="22"/>
          <w:lang w:eastAsia="pt-BR"/>
        </w:rPr>
        <w:t>“</w:t>
      </w:r>
      <w:r w:rsidRPr="00313938">
        <w:rPr>
          <w:i/>
          <w:sz w:val="22"/>
          <w:szCs w:val="22"/>
        </w:rPr>
        <w:t>não foi determinada qualquer retenção de pagamento por serviços já realizados, mas tão somente que fosse verificada a regularidade fiscal da contratada por ocasião de cada pagamento</w:t>
      </w:r>
      <w:r w:rsidRPr="003F12AB">
        <w:rPr>
          <w:i/>
          <w:sz w:val="22"/>
          <w:szCs w:val="22"/>
        </w:rPr>
        <w:t>”</w:t>
      </w:r>
      <w:r w:rsidRPr="003F12A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Reconheceu, contudo, que </w:t>
      </w:r>
      <w:r w:rsidRPr="00D84E4D">
        <w:rPr>
          <w:i/>
          <w:sz w:val="22"/>
          <w:szCs w:val="22"/>
        </w:rPr>
        <w:t>“os dispositivos que fundamentaram a determinação em questão, o art. 195, §3º, da Constituição, e o art. 2º da Lei 9.012/1995, citados nos precedentes desta Corte, preveem apenas a vedação de contratação pelo Poder Público com aqueles que se encontrem em débito com o sistema da seguridade social ou com o Fundo de Garantia do Tempo de Serviço-FGTS, não fazendo menção à verificação da regularidade fiscal durante a execução contratual”</w:t>
      </w:r>
      <w:r>
        <w:rPr>
          <w:sz w:val="22"/>
          <w:szCs w:val="22"/>
        </w:rPr>
        <w:t xml:space="preserve">. Nesse sentido, embora seja pacífico que as condições de habilitação devam ser mantidas ao longo da execução contratual, entendeu que </w:t>
      </w:r>
      <w:r w:rsidRPr="00FF6779">
        <w:rPr>
          <w:i/>
          <w:sz w:val="22"/>
          <w:szCs w:val="22"/>
        </w:rPr>
        <w:t>“a forma de verificação dessas condições insere-se no âmbito de discricionariedade da entidade”</w:t>
      </w:r>
      <w:r>
        <w:rPr>
          <w:sz w:val="22"/>
          <w:szCs w:val="22"/>
        </w:rPr>
        <w:t xml:space="preserve">, sendo demasiado exigir a verificação dessas condições a cada pagamento. </w:t>
      </w:r>
      <w:r w:rsidRPr="003F12AB">
        <w:rPr>
          <w:sz w:val="22"/>
          <w:szCs w:val="22"/>
          <w:lang w:eastAsia="pt-BR"/>
        </w:rPr>
        <w:t xml:space="preserve">Nesse passo, </w:t>
      </w:r>
      <w:r>
        <w:rPr>
          <w:sz w:val="22"/>
          <w:szCs w:val="22"/>
          <w:lang w:eastAsia="pt-BR"/>
        </w:rPr>
        <w:t xml:space="preserve">acatando, no ponto, as razões recursais, propôs nova redação para a determinação </w:t>
      </w:r>
      <w:r w:rsidRPr="00FF5893">
        <w:rPr>
          <w:sz w:val="22"/>
          <w:szCs w:val="22"/>
          <w:lang w:eastAsia="pt-BR"/>
        </w:rPr>
        <w:t>combatida</w:t>
      </w:r>
      <w:r w:rsidRPr="003F12AB">
        <w:rPr>
          <w:sz w:val="22"/>
          <w:szCs w:val="22"/>
          <w:lang w:eastAsia="pt-BR"/>
        </w:rPr>
        <w:t xml:space="preserve">. O Tribunal, ao acolher </w:t>
      </w:r>
      <w:r>
        <w:rPr>
          <w:sz w:val="22"/>
          <w:szCs w:val="22"/>
          <w:lang w:eastAsia="pt-BR"/>
        </w:rPr>
        <w:t>a proposta do</w:t>
      </w:r>
      <w:r w:rsidRPr="003F12AB">
        <w:rPr>
          <w:sz w:val="22"/>
          <w:szCs w:val="22"/>
          <w:lang w:eastAsia="pt-BR"/>
        </w:rPr>
        <w:t xml:space="preserve"> relator, </w:t>
      </w:r>
      <w:r>
        <w:rPr>
          <w:sz w:val="22"/>
          <w:szCs w:val="22"/>
          <w:lang w:eastAsia="pt-BR"/>
        </w:rPr>
        <w:t xml:space="preserve">deu provimento parcial ao recurso de modo a conferir a seguinte redação ao item questionado: </w:t>
      </w:r>
      <w:r>
        <w:rPr>
          <w:i/>
          <w:sz w:val="22"/>
          <w:szCs w:val="22"/>
          <w:lang w:eastAsia="pt-BR"/>
        </w:rPr>
        <w:t>“</w:t>
      </w:r>
      <w:r w:rsidRPr="00C97C47">
        <w:rPr>
          <w:i/>
          <w:sz w:val="22"/>
          <w:szCs w:val="22"/>
          <w:lang w:eastAsia="pt-BR"/>
        </w:rPr>
        <w:t>adotem procedimentos para a verificação das condições de habilitação do contratado durante a execução contratual, em especial, dos requisitos de regularidade fiscal”</w:t>
      </w:r>
      <w:r w:rsidRPr="003F12AB">
        <w:rPr>
          <w:sz w:val="22"/>
          <w:szCs w:val="22"/>
          <w:lang w:eastAsia="pt-BR"/>
        </w:rPr>
        <w:t>.</w:t>
      </w:r>
      <w:r w:rsidR="003463B5">
        <w:rPr>
          <w:sz w:val="22"/>
          <w:szCs w:val="22"/>
          <w:lang w:eastAsia="pt-BR"/>
        </w:rPr>
        <w:t xml:space="preserve"> </w:t>
      </w:r>
      <w:hyperlink r:id="rId7" w:history="1">
        <w:r w:rsidR="003463B5" w:rsidRPr="003463B5">
          <w:rPr>
            <w:rStyle w:val="Hyperlink"/>
            <w:b/>
            <w:i/>
            <w:sz w:val="22"/>
            <w:szCs w:val="22"/>
            <w:lang w:eastAsia="pt-BR"/>
          </w:rPr>
          <w:t>Acórdão 1770/2013-Plenário</w:t>
        </w:r>
      </w:hyperlink>
      <w:r w:rsidR="003463B5" w:rsidRPr="003463B5">
        <w:rPr>
          <w:b/>
          <w:i/>
          <w:sz w:val="22"/>
          <w:szCs w:val="22"/>
          <w:lang w:eastAsia="pt-BR"/>
        </w:rPr>
        <w:t>,</w:t>
      </w:r>
      <w:r w:rsidRPr="00536B78">
        <w:rPr>
          <w:b/>
          <w:i/>
          <w:sz w:val="22"/>
          <w:szCs w:val="22"/>
          <w:lang w:eastAsia="pt-BR"/>
        </w:rPr>
        <w:t xml:space="preserve"> TC </w:t>
      </w:r>
      <w:r w:rsidRPr="0082668A">
        <w:rPr>
          <w:b/>
          <w:i/>
          <w:sz w:val="22"/>
          <w:szCs w:val="22"/>
          <w:lang w:eastAsia="pt-BR"/>
        </w:rPr>
        <w:t>028.129/2012-1</w:t>
      </w:r>
      <w:r w:rsidRPr="00536B78">
        <w:rPr>
          <w:b/>
          <w:i/>
          <w:sz w:val="22"/>
          <w:szCs w:val="22"/>
          <w:lang w:eastAsia="pt-BR"/>
        </w:rPr>
        <w:t>, relator Ministro</w:t>
      </w:r>
      <w:r>
        <w:rPr>
          <w:b/>
          <w:i/>
          <w:sz w:val="22"/>
          <w:szCs w:val="22"/>
          <w:lang w:eastAsia="pt-BR"/>
        </w:rPr>
        <w:t xml:space="preserve"> Benjamin </w:t>
      </w:r>
      <w:proofErr w:type="spellStart"/>
      <w:r>
        <w:rPr>
          <w:b/>
          <w:i/>
          <w:sz w:val="22"/>
          <w:szCs w:val="22"/>
          <w:lang w:eastAsia="pt-BR"/>
        </w:rPr>
        <w:t>Zymler</w:t>
      </w:r>
      <w:proofErr w:type="spellEnd"/>
      <w:r>
        <w:rPr>
          <w:b/>
          <w:i/>
          <w:sz w:val="22"/>
          <w:szCs w:val="22"/>
          <w:lang w:eastAsia="pt-BR"/>
        </w:rPr>
        <w:t>, 10</w:t>
      </w:r>
      <w:r w:rsidRPr="00536B78">
        <w:rPr>
          <w:b/>
          <w:i/>
          <w:sz w:val="22"/>
          <w:szCs w:val="22"/>
          <w:lang w:eastAsia="pt-BR"/>
        </w:rPr>
        <w:t>.7.2013</w:t>
      </w:r>
      <w:r>
        <w:rPr>
          <w:b/>
          <w:i/>
          <w:sz w:val="22"/>
          <w:szCs w:val="22"/>
          <w:lang w:eastAsia="pt-BR"/>
        </w:rPr>
        <w:t>.</w:t>
      </w:r>
    </w:p>
    <w:p w:rsidR="00831589" w:rsidRPr="00FA4D76" w:rsidRDefault="00831589" w:rsidP="0008246E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08246E" w:rsidRPr="003F12AB" w:rsidRDefault="00AC5C45" w:rsidP="0008246E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</w:rPr>
        <w:t>2</w:t>
      </w:r>
      <w:r w:rsidR="0008246E" w:rsidRPr="00526CEC">
        <w:rPr>
          <w:b/>
          <w:sz w:val="22"/>
          <w:szCs w:val="22"/>
        </w:rPr>
        <w:t xml:space="preserve">. </w:t>
      </w:r>
      <w:r w:rsidR="0008246E" w:rsidRPr="001430DC">
        <w:rPr>
          <w:b/>
          <w:sz w:val="22"/>
          <w:szCs w:val="22"/>
        </w:rPr>
        <w:t>A inclusão de novos serviços</w:t>
      </w:r>
      <w:r w:rsidR="00F563C2">
        <w:rPr>
          <w:b/>
          <w:sz w:val="22"/>
          <w:szCs w:val="22"/>
        </w:rPr>
        <w:t>, mediante termos aditivos,</w:t>
      </w:r>
      <w:r w:rsidR="0008246E" w:rsidRPr="001430DC">
        <w:rPr>
          <w:b/>
          <w:sz w:val="22"/>
          <w:szCs w:val="22"/>
        </w:rPr>
        <w:t xml:space="preserve"> deve observar o valor médio de serviços similares presentes nos demais lotes de uma mesma licitação, em atendimento ao que d</w:t>
      </w:r>
      <w:r w:rsidR="009C712A">
        <w:rPr>
          <w:b/>
          <w:sz w:val="22"/>
          <w:szCs w:val="22"/>
        </w:rPr>
        <w:t xml:space="preserve">etermina o Acórdão 2013/2004 – </w:t>
      </w:r>
      <w:r w:rsidR="0008246E" w:rsidRPr="001430DC">
        <w:rPr>
          <w:b/>
          <w:sz w:val="22"/>
          <w:szCs w:val="22"/>
        </w:rPr>
        <w:t>Plenário,</w:t>
      </w:r>
      <w:r w:rsidR="00371822">
        <w:rPr>
          <w:b/>
          <w:sz w:val="22"/>
          <w:szCs w:val="22"/>
        </w:rPr>
        <w:t xml:space="preserve"> </w:t>
      </w:r>
      <w:r w:rsidR="0008246E" w:rsidRPr="001430DC">
        <w:rPr>
          <w:b/>
          <w:sz w:val="22"/>
          <w:szCs w:val="22"/>
        </w:rPr>
        <w:t xml:space="preserve">bem como </w:t>
      </w:r>
      <w:r w:rsidR="00572B78" w:rsidRPr="00FF5893">
        <w:rPr>
          <w:b/>
          <w:sz w:val="22"/>
          <w:szCs w:val="22"/>
        </w:rPr>
        <w:t>a</w:t>
      </w:r>
      <w:r w:rsidR="0008246E" w:rsidRPr="00FF5893">
        <w:rPr>
          <w:b/>
          <w:sz w:val="22"/>
          <w:szCs w:val="22"/>
        </w:rPr>
        <w:t>o</w:t>
      </w:r>
      <w:r w:rsidR="0008246E" w:rsidRPr="001430DC">
        <w:rPr>
          <w:b/>
          <w:sz w:val="22"/>
          <w:szCs w:val="22"/>
        </w:rPr>
        <w:t xml:space="preserve"> disposto no §</w:t>
      </w:r>
      <w:r w:rsidR="00371822">
        <w:rPr>
          <w:b/>
          <w:sz w:val="22"/>
          <w:szCs w:val="22"/>
        </w:rPr>
        <w:t xml:space="preserve"> 6º do art. 109 da Lei 11.768/</w:t>
      </w:r>
      <w:r w:rsidR="0008246E" w:rsidRPr="001430DC">
        <w:rPr>
          <w:b/>
          <w:sz w:val="22"/>
          <w:szCs w:val="22"/>
        </w:rPr>
        <w:t>08, mantendo-se, no que se refere ao valor total contratado, o percentual de desconto oferecido no certame licitatório</w:t>
      </w:r>
      <w:r w:rsidR="0008246E" w:rsidRPr="003F12AB">
        <w:rPr>
          <w:b/>
          <w:sz w:val="22"/>
          <w:szCs w:val="22"/>
        </w:rPr>
        <w:t>.</w:t>
      </w:r>
    </w:p>
    <w:p w:rsidR="0008246E" w:rsidRPr="00484652" w:rsidRDefault="003F5E59" w:rsidP="0008246E">
      <w:pPr>
        <w:spacing w:after="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Levantamento de </w:t>
      </w:r>
      <w:r w:rsidR="00460F1B" w:rsidRPr="00FF5893">
        <w:rPr>
          <w:sz w:val="22"/>
          <w:szCs w:val="22"/>
          <w:lang w:eastAsia="pt-BR"/>
        </w:rPr>
        <w:t>A</w:t>
      </w:r>
      <w:r w:rsidR="00552B31">
        <w:rPr>
          <w:sz w:val="22"/>
          <w:szCs w:val="22"/>
          <w:lang w:eastAsia="pt-BR"/>
        </w:rPr>
        <w:t>uditoria realizado nas obras de duplicação da BR-101/SC</w:t>
      </w:r>
      <w:r w:rsidR="008B411A">
        <w:rPr>
          <w:sz w:val="22"/>
          <w:szCs w:val="22"/>
          <w:lang w:eastAsia="pt-BR"/>
        </w:rPr>
        <w:t xml:space="preserve"> </w:t>
      </w:r>
      <w:r w:rsidR="0008246E" w:rsidRPr="003F12AB">
        <w:rPr>
          <w:sz w:val="22"/>
          <w:szCs w:val="22"/>
          <w:lang w:eastAsia="pt-BR"/>
        </w:rPr>
        <w:t>apontou</w:t>
      </w:r>
      <w:r w:rsidR="0071151C">
        <w:rPr>
          <w:sz w:val="22"/>
          <w:szCs w:val="22"/>
          <w:lang w:eastAsia="pt-BR"/>
        </w:rPr>
        <w:t>, dentre outros aspectos,</w:t>
      </w:r>
      <w:r w:rsidR="0008246E" w:rsidRPr="003F12AB">
        <w:rPr>
          <w:sz w:val="22"/>
          <w:szCs w:val="22"/>
          <w:lang w:eastAsia="pt-BR"/>
        </w:rPr>
        <w:t xml:space="preserve"> possível </w:t>
      </w:r>
      <w:proofErr w:type="spellStart"/>
      <w:r w:rsidR="00552B31">
        <w:rPr>
          <w:sz w:val="22"/>
          <w:szCs w:val="22"/>
          <w:lang w:eastAsia="pt-BR"/>
        </w:rPr>
        <w:t>sobrepreço</w:t>
      </w:r>
      <w:proofErr w:type="spellEnd"/>
      <w:r w:rsidR="00552B31" w:rsidRPr="00552B31">
        <w:rPr>
          <w:sz w:val="22"/>
          <w:szCs w:val="22"/>
          <w:lang w:eastAsia="pt-BR"/>
        </w:rPr>
        <w:t xml:space="preserve"> </w:t>
      </w:r>
      <w:r w:rsidR="00552B31" w:rsidRPr="00FF5893">
        <w:rPr>
          <w:sz w:val="22"/>
          <w:szCs w:val="22"/>
          <w:lang w:eastAsia="pt-BR"/>
        </w:rPr>
        <w:t>decorrente</w:t>
      </w:r>
      <w:r w:rsidR="00552B31" w:rsidRPr="00552B31">
        <w:rPr>
          <w:sz w:val="22"/>
          <w:szCs w:val="22"/>
          <w:lang w:eastAsia="pt-BR"/>
        </w:rPr>
        <w:t xml:space="preserve"> da inclusão de novos serviços</w:t>
      </w:r>
      <w:r w:rsidR="008B411A">
        <w:rPr>
          <w:sz w:val="22"/>
          <w:szCs w:val="22"/>
          <w:lang w:eastAsia="pt-BR"/>
        </w:rPr>
        <w:t>, mediante termos aditivos,</w:t>
      </w:r>
      <w:r w:rsidR="00552B31" w:rsidRPr="00552B31">
        <w:rPr>
          <w:sz w:val="22"/>
          <w:szCs w:val="22"/>
          <w:lang w:eastAsia="pt-BR"/>
        </w:rPr>
        <w:t xml:space="preserve"> com base em fatores inadequados, com preços</w:t>
      </w:r>
      <w:r w:rsidR="00371822">
        <w:rPr>
          <w:sz w:val="22"/>
          <w:szCs w:val="22"/>
          <w:lang w:eastAsia="pt-BR"/>
        </w:rPr>
        <w:t xml:space="preserve"> </w:t>
      </w:r>
      <w:r w:rsidR="00371822" w:rsidRPr="00FF5893">
        <w:rPr>
          <w:sz w:val="22"/>
          <w:szCs w:val="22"/>
          <w:lang w:eastAsia="pt-BR"/>
        </w:rPr>
        <w:t>ou BDI</w:t>
      </w:r>
      <w:r w:rsidR="00552B31" w:rsidRPr="00552B31">
        <w:rPr>
          <w:sz w:val="22"/>
          <w:szCs w:val="22"/>
          <w:lang w:eastAsia="pt-BR"/>
        </w:rPr>
        <w:t xml:space="preserve"> excessivos em relação ao mercado</w:t>
      </w:r>
      <w:r w:rsidR="0008246E" w:rsidRPr="003F12AB">
        <w:rPr>
          <w:sz w:val="22"/>
          <w:szCs w:val="22"/>
          <w:lang w:eastAsia="pt-BR"/>
        </w:rPr>
        <w:t>.</w:t>
      </w:r>
      <w:r w:rsidR="008B411A">
        <w:rPr>
          <w:sz w:val="22"/>
          <w:szCs w:val="22"/>
          <w:lang w:eastAsia="pt-BR"/>
        </w:rPr>
        <w:t xml:space="preserve"> </w:t>
      </w:r>
      <w:r w:rsidR="00484CB7">
        <w:rPr>
          <w:sz w:val="22"/>
          <w:szCs w:val="22"/>
          <w:lang w:eastAsia="pt-BR"/>
        </w:rPr>
        <w:t xml:space="preserve">Além dos </w:t>
      </w:r>
      <w:r w:rsidR="0022213A" w:rsidRPr="00484CB7">
        <w:rPr>
          <w:sz w:val="22"/>
          <w:szCs w:val="22"/>
          <w:lang w:eastAsia="pt-BR"/>
        </w:rPr>
        <w:t>encaminhamentos sugeridos pelas</w:t>
      </w:r>
      <w:r w:rsidR="008B411A" w:rsidRPr="00484CB7">
        <w:rPr>
          <w:sz w:val="22"/>
          <w:szCs w:val="22"/>
          <w:lang w:eastAsia="pt-BR"/>
        </w:rPr>
        <w:t xml:space="preserve"> unidades</w:t>
      </w:r>
      <w:r w:rsidR="00484CB7">
        <w:rPr>
          <w:sz w:val="22"/>
          <w:szCs w:val="22"/>
          <w:lang w:eastAsia="pt-BR"/>
        </w:rPr>
        <w:t xml:space="preserve"> técnicas</w:t>
      </w:r>
      <w:r w:rsidR="008B411A" w:rsidRPr="00484CB7">
        <w:rPr>
          <w:sz w:val="22"/>
          <w:szCs w:val="22"/>
          <w:lang w:eastAsia="pt-BR"/>
        </w:rPr>
        <w:t xml:space="preserve"> que atuaram no feito</w:t>
      </w:r>
      <w:r w:rsidR="005F24DF" w:rsidRPr="00484CB7">
        <w:rPr>
          <w:sz w:val="22"/>
          <w:szCs w:val="22"/>
          <w:lang w:eastAsia="pt-BR"/>
        </w:rPr>
        <w:t>, destinados à emissão de de</w:t>
      </w:r>
      <w:r w:rsidR="00484CB7">
        <w:rPr>
          <w:sz w:val="22"/>
          <w:szCs w:val="22"/>
          <w:lang w:eastAsia="pt-BR"/>
        </w:rPr>
        <w:t xml:space="preserve">terminações </w:t>
      </w:r>
      <w:r w:rsidR="00484CB7" w:rsidRPr="00FF5893">
        <w:rPr>
          <w:sz w:val="22"/>
          <w:szCs w:val="22"/>
          <w:lang w:eastAsia="pt-BR"/>
        </w:rPr>
        <w:t>para</w:t>
      </w:r>
      <w:r w:rsidR="005F24DF" w:rsidRPr="00FF5893">
        <w:rPr>
          <w:sz w:val="22"/>
          <w:szCs w:val="22"/>
          <w:lang w:eastAsia="pt-BR"/>
        </w:rPr>
        <w:t xml:space="preserve"> ajustes</w:t>
      </w:r>
      <w:r w:rsidR="005F24DF" w:rsidRPr="00484CB7">
        <w:rPr>
          <w:sz w:val="22"/>
          <w:szCs w:val="22"/>
          <w:lang w:eastAsia="pt-BR"/>
        </w:rPr>
        <w:t xml:space="preserve"> nas composições de preços unitários, o relator acatou as ponderações sugeridas pela </w:t>
      </w:r>
      <w:proofErr w:type="spellStart"/>
      <w:r w:rsidR="005F24DF" w:rsidRPr="00484CB7">
        <w:rPr>
          <w:sz w:val="22"/>
          <w:szCs w:val="22"/>
          <w:lang w:eastAsia="pt-BR"/>
        </w:rPr>
        <w:t>SecobRodov</w:t>
      </w:r>
      <w:proofErr w:type="spellEnd"/>
      <w:r w:rsidR="005F24DF" w:rsidRPr="00484CB7">
        <w:rPr>
          <w:sz w:val="22"/>
          <w:szCs w:val="22"/>
          <w:lang w:eastAsia="pt-BR"/>
        </w:rPr>
        <w:t xml:space="preserve"> no tocante à </w:t>
      </w:r>
      <w:r w:rsidR="005F24DF" w:rsidRPr="00FF5893">
        <w:rPr>
          <w:sz w:val="22"/>
          <w:szCs w:val="22"/>
          <w:lang w:eastAsia="pt-BR"/>
        </w:rPr>
        <w:t>desnecessidade da aplicação do</w:t>
      </w:r>
      <w:r w:rsidR="004D6E8C" w:rsidRPr="00FF5893">
        <w:rPr>
          <w:sz w:val="22"/>
          <w:szCs w:val="22"/>
          <w:lang w:eastAsia="pt-BR"/>
        </w:rPr>
        <w:t xml:space="preserve"> percentual de</w:t>
      </w:r>
      <w:r w:rsidR="005F24DF" w:rsidRPr="00FF5893">
        <w:rPr>
          <w:sz w:val="22"/>
          <w:szCs w:val="22"/>
          <w:lang w:eastAsia="pt-BR"/>
        </w:rPr>
        <w:t xml:space="preserve"> desconto</w:t>
      </w:r>
      <w:r w:rsidR="003463B5" w:rsidRPr="00FF5893">
        <w:rPr>
          <w:sz w:val="22"/>
          <w:szCs w:val="22"/>
          <w:lang w:eastAsia="pt-BR"/>
        </w:rPr>
        <w:t xml:space="preserve"> alcançado</w:t>
      </w:r>
      <w:r w:rsidR="004D6E8C" w:rsidRPr="00FF5893">
        <w:rPr>
          <w:sz w:val="22"/>
          <w:szCs w:val="22"/>
          <w:lang w:eastAsia="pt-BR"/>
        </w:rPr>
        <w:t xml:space="preserve"> na licitação sobre os preços unitários de</w:t>
      </w:r>
      <w:r w:rsidR="005F24DF" w:rsidRPr="00FF5893">
        <w:rPr>
          <w:sz w:val="22"/>
          <w:szCs w:val="22"/>
          <w:lang w:eastAsia="pt-BR"/>
        </w:rPr>
        <w:t xml:space="preserve"> novos serviços incluídos</w:t>
      </w:r>
      <w:r w:rsidR="005F24DF" w:rsidRPr="00484CB7">
        <w:rPr>
          <w:sz w:val="22"/>
          <w:szCs w:val="22"/>
          <w:lang w:eastAsia="pt-BR"/>
        </w:rPr>
        <w:t xml:space="preserve">, </w:t>
      </w:r>
      <w:r w:rsidR="00E07772" w:rsidRPr="00484CB7">
        <w:rPr>
          <w:sz w:val="22"/>
          <w:szCs w:val="22"/>
          <w:lang w:eastAsia="pt-BR"/>
        </w:rPr>
        <w:t xml:space="preserve">sendo bastante que, </w:t>
      </w:r>
      <w:r w:rsidR="003857DF" w:rsidRPr="00FF5893">
        <w:rPr>
          <w:sz w:val="22"/>
          <w:szCs w:val="22"/>
          <w:lang w:eastAsia="pt-BR"/>
        </w:rPr>
        <w:t>em consonância com a</w:t>
      </w:r>
      <w:r w:rsidR="005F24DF" w:rsidRPr="00484CB7">
        <w:rPr>
          <w:sz w:val="22"/>
          <w:szCs w:val="22"/>
          <w:lang w:eastAsia="pt-BR"/>
        </w:rPr>
        <w:t xml:space="preserve"> exigência constante do §</w:t>
      </w:r>
      <w:r w:rsidR="00023828" w:rsidRPr="00484CB7">
        <w:rPr>
          <w:sz w:val="22"/>
          <w:szCs w:val="22"/>
          <w:lang w:eastAsia="pt-BR"/>
        </w:rPr>
        <w:t xml:space="preserve"> 6º do art. 109 da Lei 11.768/</w:t>
      </w:r>
      <w:r w:rsidR="005F24DF" w:rsidRPr="00484CB7">
        <w:rPr>
          <w:sz w:val="22"/>
          <w:szCs w:val="22"/>
          <w:lang w:eastAsia="pt-BR"/>
        </w:rPr>
        <w:t>08 (LDO 2009), o desconto global seja mantido, caso sobrevenham aditamentos ao</w:t>
      </w:r>
      <w:r w:rsidR="00E07772" w:rsidRPr="00484CB7">
        <w:rPr>
          <w:sz w:val="22"/>
          <w:szCs w:val="22"/>
          <w:lang w:eastAsia="pt-BR"/>
        </w:rPr>
        <w:t>s</w:t>
      </w:r>
      <w:r w:rsidR="005F24DF" w:rsidRPr="00484CB7">
        <w:rPr>
          <w:sz w:val="22"/>
          <w:szCs w:val="22"/>
          <w:lang w:eastAsia="pt-BR"/>
        </w:rPr>
        <w:t xml:space="preserve"> contrato</w:t>
      </w:r>
      <w:r w:rsidR="00E07772" w:rsidRPr="00484CB7">
        <w:rPr>
          <w:sz w:val="22"/>
          <w:szCs w:val="22"/>
          <w:lang w:eastAsia="pt-BR"/>
        </w:rPr>
        <w:t xml:space="preserve">s. </w:t>
      </w:r>
      <w:r w:rsidR="00E07772">
        <w:rPr>
          <w:sz w:val="22"/>
          <w:szCs w:val="22"/>
          <w:lang w:eastAsia="pt-BR"/>
        </w:rPr>
        <w:t>O Tribunal, ao deliberar, acolheu a proposição do relator,</w:t>
      </w:r>
      <w:r w:rsidR="00484652">
        <w:rPr>
          <w:sz w:val="22"/>
          <w:szCs w:val="22"/>
          <w:lang w:eastAsia="pt-BR"/>
        </w:rPr>
        <w:t xml:space="preserve"> expedindo determinações destinadas à recomposição do erário e aos ajustes necessários nas composições de preços unitários,</w:t>
      </w:r>
      <w:r w:rsidR="00E07772">
        <w:rPr>
          <w:sz w:val="22"/>
          <w:szCs w:val="22"/>
          <w:lang w:eastAsia="pt-BR"/>
        </w:rPr>
        <w:t xml:space="preserve"> consignando no corpo das determinações expedidas</w:t>
      </w:r>
      <w:r w:rsidR="003857DF">
        <w:rPr>
          <w:sz w:val="22"/>
          <w:szCs w:val="22"/>
          <w:lang w:eastAsia="pt-BR"/>
        </w:rPr>
        <w:t xml:space="preserve"> </w:t>
      </w:r>
      <w:r w:rsidR="00E07772">
        <w:rPr>
          <w:sz w:val="22"/>
          <w:szCs w:val="22"/>
          <w:lang w:eastAsia="pt-BR"/>
        </w:rPr>
        <w:t xml:space="preserve">que </w:t>
      </w:r>
      <w:r w:rsidR="00E07772" w:rsidRPr="00A477C6">
        <w:rPr>
          <w:i/>
          <w:sz w:val="22"/>
          <w:szCs w:val="22"/>
          <w:lang w:eastAsia="pt-BR"/>
        </w:rPr>
        <w:t>“</w:t>
      </w:r>
      <w:r w:rsidR="00A477C6" w:rsidRPr="00A477C6">
        <w:rPr>
          <w:i/>
          <w:sz w:val="22"/>
          <w:szCs w:val="22"/>
          <w:lang w:eastAsia="pt-BR"/>
        </w:rPr>
        <w:t>quando da inclusão de novos serviços, observe o valor médio de serviços similares presentes nos demais lotes da mesma licitação, em atendimento ao que determina o Acórdão 2013/2004 – TCU – Plenário, cuidando, ainda, de observar o disposto no § 6º do art. 109 da Lei 11.768/2008, no sentido de que, no que se refere ao valor t</w:t>
      </w:r>
      <w:r w:rsidR="003857DF">
        <w:rPr>
          <w:i/>
          <w:sz w:val="22"/>
          <w:szCs w:val="22"/>
          <w:lang w:eastAsia="pt-BR"/>
        </w:rPr>
        <w:t xml:space="preserve">otal contratado, </w:t>
      </w:r>
      <w:r w:rsidR="00A477C6" w:rsidRPr="00A477C6">
        <w:rPr>
          <w:i/>
          <w:sz w:val="22"/>
          <w:szCs w:val="22"/>
          <w:lang w:eastAsia="pt-BR"/>
        </w:rPr>
        <w:t>seja mantido o percentual de desconto oferecido no certame licitatório”</w:t>
      </w:r>
      <w:r w:rsidR="00A477C6">
        <w:rPr>
          <w:sz w:val="22"/>
          <w:szCs w:val="22"/>
          <w:lang w:eastAsia="pt-BR"/>
        </w:rPr>
        <w:t>.</w:t>
      </w:r>
      <w:r w:rsidR="00F563C2">
        <w:rPr>
          <w:sz w:val="22"/>
          <w:szCs w:val="22"/>
          <w:lang w:eastAsia="pt-BR"/>
        </w:rPr>
        <w:t xml:space="preserve"> </w:t>
      </w:r>
      <w:hyperlink r:id="rId8" w:history="1">
        <w:r w:rsidR="0004737C" w:rsidRPr="0004737C">
          <w:rPr>
            <w:rStyle w:val="Hyperlink"/>
            <w:b/>
            <w:i/>
            <w:sz w:val="22"/>
            <w:szCs w:val="22"/>
            <w:lang w:eastAsia="pt-BR"/>
          </w:rPr>
          <w:t>Acórdão 1754/2013-Plenário</w:t>
        </w:r>
      </w:hyperlink>
      <w:r w:rsidR="0008246E" w:rsidRPr="00536B78">
        <w:rPr>
          <w:b/>
          <w:i/>
          <w:sz w:val="22"/>
          <w:szCs w:val="22"/>
          <w:lang w:eastAsia="pt-BR"/>
        </w:rPr>
        <w:t xml:space="preserve">, TC </w:t>
      </w:r>
      <w:r w:rsidR="0008246E">
        <w:rPr>
          <w:b/>
          <w:i/>
          <w:sz w:val="22"/>
          <w:szCs w:val="22"/>
          <w:lang w:eastAsia="pt-BR"/>
        </w:rPr>
        <w:t>007.407/2009-9</w:t>
      </w:r>
      <w:r w:rsidR="0008246E" w:rsidRPr="00536B78">
        <w:rPr>
          <w:b/>
          <w:i/>
          <w:sz w:val="22"/>
          <w:szCs w:val="22"/>
          <w:lang w:eastAsia="pt-BR"/>
        </w:rPr>
        <w:t>, relator Ministro-Substitu</w:t>
      </w:r>
      <w:r w:rsidR="0008246E">
        <w:rPr>
          <w:b/>
          <w:i/>
          <w:sz w:val="22"/>
          <w:szCs w:val="22"/>
          <w:lang w:eastAsia="pt-BR"/>
        </w:rPr>
        <w:t xml:space="preserve">to Augusto </w:t>
      </w:r>
      <w:proofErr w:type="spellStart"/>
      <w:r w:rsidR="0008246E">
        <w:rPr>
          <w:b/>
          <w:i/>
          <w:sz w:val="22"/>
          <w:szCs w:val="22"/>
          <w:lang w:eastAsia="pt-BR"/>
        </w:rPr>
        <w:t>Sherman</w:t>
      </w:r>
      <w:proofErr w:type="spellEnd"/>
      <w:r w:rsidR="0008246E">
        <w:rPr>
          <w:b/>
          <w:i/>
          <w:sz w:val="22"/>
          <w:szCs w:val="22"/>
          <w:lang w:eastAsia="pt-BR"/>
        </w:rPr>
        <w:t xml:space="preserve"> Cavalcanti, 10</w:t>
      </w:r>
      <w:r w:rsidR="0008246E" w:rsidRPr="00536B78">
        <w:rPr>
          <w:b/>
          <w:i/>
          <w:sz w:val="22"/>
          <w:szCs w:val="22"/>
          <w:lang w:eastAsia="pt-BR"/>
        </w:rPr>
        <w:t>.7.2013</w:t>
      </w:r>
      <w:r w:rsidR="0008246E">
        <w:rPr>
          <w:b/>
          <w:i/>
          <w:sz w:val="22"/>
          <w:szCs w:val="22"/>
          <w:lang w:eastAsia="pt-BR"/>
        </w:rPr>
        <w:t>.</w:t>
      </w:r>
    </w:p>
    <w:p w:rsidR="0008246E" w:rsidRDefault="0008246E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831589" w:rsidRPr="00216157" w:rsidRDefault="00831589" w:rsidP="0083158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</w:rPr>
        <w:t>3</w:t>
      </w:r>
      <w:r w:rsidRPr="004D32EE">
        <w:rPr>
          <w:b/>
          <w:sz w:val="22"/>
          <w:szCs w:val="22"/>
        </w:rPr>
        <w:t xml:space="preserve">. </w:t>
      </w:r>
      <w:r w:rsidRPr="00646486">
        <w:rPr>
          <w:b/>
          <w:sz w:val="22"/>
          <w:szCs w:val="22"/>
        </w:rPr>
        <w:t>As entidades do Sistema S não podem inovar na ordem jurídica, por meio de seus regulamentos próprios, instituindo novas hipóteses de dispensa e de inexigibilidade de licitação, haja vista que a matéria deve ser disciplinada por norma geral, de competência privativa da União</w:t>
      </w:r>
      <w:r w:rsidRPr="00216157">
        <w:rPr>
          <w:b/>
          <w:sz w:val="22"/>
          <w:szCs w:val="22"/>
        </w:rPr>
        <w:t>.</w:t>
      </w:r>
    </w:p>
    <w:p w:rsidR="00831589" w:rsidRPr="004D32EE" w:rsidRDefault="00831589" w:rsidP="00831589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7D1005">
        <w:rPr>
          <w:sz w:val="22"/>
          <w:szCs w:val="22"/>
          <w:lang w:eastAsia="pt-BR"/>
        </w:rPr>
        <w:t xml:space="preserve">Auditoria </w:t>
      </w:r>
      <w:r>
        <w:rPr>
          <w:sz w:val="22"/>
          <w:szCs w:val="22"/>
          <w:lang w:eastAsia="pt-BR"/>
        </w:rPr>
        <w:t xml:space="preserve">com o objetivo de </w:t>
      </w:r>
      <w:r w:rsidRPr="007D1005">
        <w:rPr>
          <w:sz w:val="22"/>
          <w:szCs w:val="22"/>
          <w:lang w:eastAsia="pt-BR"/>
        </w:rPr>
        <w:t>analisar processos licitatórios e c</w:t>
      </w:r>
      <w:r>
        <w:rPr>
          <w:sz w:val="22"/>
          <w:szCs w:val="22"/>
          <w:lang w:eastAsia="pt-BR"/>
        </w:rPr>
        <w:t xml:space="preserve">ontratos de aquisição de bens </w:t>
      </w:r>
      <w:r w:rsidRPr="00FF5893">
        <w:rPr>
          <w:sz w:val="22"/>
          <w:szCs w:val="22"/>
          <w:lang w:eastAsia="pt-BR"/>
        </w:rPr>
        <w:t>e</w:t>
      </w:r>
      <w:r w:rsidRPr="007D1005">
        <w:rPr>
          <w:sz w:val="22"/>
          <w:szCs w:val="22"/>
          <w:lang w:eastAsia="pt-BR"/>
        </w:rPr>
        <w:t xml:space="preserve"> prestação de serviços na Agência Brasileira de Promoção de Exportaçõe</w:t>
      </w:r>
      <w:r>
        <w:rPr>
          <w:sz w:val="22"/>
          <w:szCs w:val="22"/>
          <w:lang w:eastAsia="pt-BR"/>
        </w:rPr>
        <w:t xml:space="preserve">s e Investimentos </w:t>
      </w:r>
      <w:r w:rsidRPr="00FF5893">
        <w:rPr>
          <w:sz w:val="22"/>
          <w:szCs w:val="22"/>
          <w:lang w:eastAsia="pt-BR"/>
        </w:rPr>
        <w:t>(Apex-Brasil)</w:t>
      </w:r>
      <w:r>
        <w:rPr>
          <w:sz w:val="22"/>
          <w:szCs w:val="22"/>
          <w:lang w:eastAsia="pt-BR"/>
        </w:rPr>
        <w:t xml:space="preserve"> – decorrente de </w:t>
      </w:r>
      <w:r w:rsidRPr="00FF5893">
        <w:rPr>
          <w:sz w:val="22"/>
          <w:szCs w:val="22"/>
          <w:lang w:eastAsia="pt-BR"/>
        </w:rPr>
        <w:t>Solicitação</w:t>
      </w:r>
      <w:r>
        <w:rPr>
          <w:sz w:val="22"/>
          <w:szCs w:val="22"/>
          <w:lang w:eastAsia="pt-BR"/>
        </w:rPr>
        <w:t xml:space="preserve"> do Congresso Nacional para que o TCU realizasse</w:t>
      </w:r>
      <w:r w:rsidRPr="007D1005">
        <w:rPr>
          <w:sz w:val="22"/>
          <w:szCs w:val="22"/>
          <w:lang w:eastAsia="pt-BR"/>
        </w:rPr>
        <w:t xml:space="preserve"> auditoria nas despesas das entidades do Sistema S </w:t>
      </w:r>
      <w:r>
        <w:rPr>
          <w:sz w:val="22"/>
          <w:szCs w:val="22"/>
          <w:lang w:eastAsia="pt-BR"/>
        </w:rPr>
        <w:t xml:space="preserve">– </w:t>
      </w:r>
      <w:r w:rsidRPr="004D32EE">
        <w:rPr>
          <w:sz w:val="22"/>
          <w:szCs w:val="22"/>
          <w:lang w:eastAsia="pt-BR"/>
        </w:rPr>
        <w:t>apontou</w:t>
      </w:r>
      <w:r>
        <w:rPr>
          <w:sz w:val="22"/>
          <w:szCs w:val="22"/>
          <w:lang w:eastAsia="pt-BR"/>
        </w:rPr>
        <w:t>, dentre outras falhas,</w:t>
      </w:r>
      <w:r w:rsidRPr="004D32EE">
        <w:rPr>
          <w:sz w:val="22"/>
          <w:szCs w:val="22"/>
          <w:lang w:eastAsia="pt-BR"/>
        </w:rPr>
        <w:t xml:space="preserve"> a </w:t>
      </w:r>
      <w:r>
        <w:rPr>
          <w:sz w:val="22"/>
          <w:szCs w:val="22"/>
          <w:lang w:eastAsia="pt-BR"/>
        </w:rPr>
        <w:t xml:space="preserve">existência, no Regulamento de Licitações e Contratos da entidade, de hipótese de dispensa de licitação </w:t>
      </w:r>
      <w:r w:rsidRPr="007D1005">
        <w:rPr>
          <w:i/>
          <w:sz w:val="22"/>
          <w:szCs w:val="22"/>
          <w:lang w:eastAsia="pt-BR"/>
        </w:rPr>
        <w:t>“para a participação em feiras, exposições, congressos, seminários e eventos em geral, relacionados à atividade-fim”</w:t>
      </w:r>
      <w:r w:rsidRPr="004D32EE">
        <w:rPr>
          <w:sz w:val="22"/>
          <w:szCs w:val="22"/>
          <w:lang w:eastAsia="pt-BR"/>
        </w:rPr>
        <w:t xml:space="preserve">. </w:t>
      </w:r>
      <w:r>
        <w:rPr>
          <w:sz w:val="22"/>
          <w:szCs w:val="22"/>
          <w:lang w:eastAsia="pt-BR"/>
        </w:rPr>
        <w:t>Sobre o assunto, anotou o relator que</w:t>
      </w:r>
      <w:r w:rsidRPr="004D32EE">
        <w:rPr>
          <w:sz w:val="22"/>
          <w:szCs w:val="22"/>
          <w:lang w:eastAsia="pt-BR"/>
        </w:rPr>
        <w:t xml:space="preserve"> </w:t>
      </w:r>
      <w:r w:rsidRPr="004D32EE">
        <w:rPr>
          <w:i/>
          <w:sz w:val="22"/>
          <w:szCs w:val="22"/>
          <w:lang w:eastAsia="pt-BR"/>
        </w:rPr>
        <w:t>“</w:t>
      </w:r>
      <w:r>
        <w:rPr>
          <w:i/>
          <w:sz w:val="22"/>
          <w:szCs w:val="22"/>
          <w:lang w:eastAsia="pt-BR"/>
        </w:rPr>
        <w:t>n</w:t>
      </w:r>
      <w:r w:rsidRPr="006358A3">
        <w:rPr>
          <w:i/>
          <w:sz w:val="22"/>
          <w:szCs w:val="22"/>
          <w:lang w:eastAsia="pt-BR"/>
        </w:rPr>
        <w:t>ão obstante o fato de os serviços sociais autônomos não se sujeitarem aos ditames da Lei n. 8.666/1993, devem seus regulamentos próprios atender aos princípios básicos que regem a Administração Pública, dispostos no art. 37 da Constituição Federal, em especial os da impessoalidade, da moralidade e da igualdade</w:t>
      </w:r>
      <w:r w:rsidRPr="004D32EE">
        <w:rPr>
          <w:i/>
          <w:sz w:val="22"/>
          <w:szCs w:val="22"/>
          <w:lang w:eastAsia="pt-BR"/>
        </w:rPr>
        <w:t>”</w:t>
      </w:r>
      <w:r>
        <w:rPr>
          <w:sz w:val="22"/>
          <w:szCs w:val="22"/>
          <w:lang w:eastAsia="pt-BR"/>
        </w:rPr>
        <w:t>. Relembrou voto revisor vitorioso na prolação do Acórdão 2790</w:t>
      </w:r>
      <w:r w:rsidRPr="00FF5893">
        <w:rPr>
          <w:sz w:val="22"/>
          <w:szCs w:val="22"/>
          <w:lang w:eastAsia="pt-BR"/>
        </w:rPr>
        <w:t>/2013</w:t>
      </w:r>
      <w:r>
        <w:rPr>
          <w:sz w:val="22"/>
          <w:szCs w:val="22"/>
          <w:lang w:eastAsia="pt-BR"/>
        </w:rPr>
        <w:t xml:space="preserve"> – </w:t>
      </w:r>
      <w:r w:rsidRPr="00FF5893">
        <w:rPr>
          <w:sz w:val="22"/>
          <w:szCs w:val="22"/>
          <w:lang w:eastAsia="pt-BR"/>
        </w:rPr>
        <w:t>Segunda</w:t>
      </w:r>
      <w:r>
        <w:rPr>
          <w:sz w:val="22"/>
          <w:szCs w:val="22"/>
          <w:lang w:eastAsia="pt-BR"/>
        </w:rPr>
        <w:t xml:space="preserve"> Câmara, oportunidade em que ficou assente que </w:t>
      </w:r>
      <w:r w:rsidRPr="00837C00">
        <w:rPr>
          <w:i/>
          <w:sz w:val="22"/>
          <w:szCs w:val="22"/>
          <w:lang w:eastAsia="pt-BR"/>
        </w:rPr>
        <w:t xml:space="preserve">“embora não se exija a plena submissão dos entes integrantes do Sistema </w:t>
      </w:r>
      <w:r w:rsidRPr="00DD5CDF">
        <w:rPr>
          <w:i/>
          <w:sz w:val="22"/>
          <w:szCs w:val="22"/>
          <w:lang w:eastAsia="pt-BR"/>
        </w:rPr>
        <w:t>S</w:t>
      </w:r>
      <w:r w:rsidRPr="00837C00">
        <w:rPr>
          <w:i/>
          <w:sz w:val="22"/>
          <w:szCs w:val="22"/>
          <w:lang w:eastAsia="pt-BR"/>
        </w:rPr>
        <w:t xml:space="preserve"> à Lei n. 8.666/1993, eles não detêm competência para legislar sobre este assunto, por se tratar de matéria de lei ordinária (reserva legal segundo a vontade do legislador constituinte), de competência privativa da União, consoante o art. 22, XXVII, da Lei Maior”</w:t>
      </w:r>
      <w:r>
        <w:rPr>
          <w:sz w:val="22"/>
          <w:szCs w:val="22"/>
          <w:lang w:eastAsia="pt-BR"/>
        </w:rPr>
        <w:t xml:space="preserve">. Nesse passo, caracterizada a ilegalidade da inovação normativa, o relator perfilou a proposta da unidade instrutiva no sentido de se determinar à Apex-Brasil alteração em seu regulamento próprio de licitações e contratos. </w:t>
      </w:r>
      <w:r w:rsidRPr="004D32EE">
        <w:rPr>
          <w:sz w:val="22"/>
          <w:szCs w:val="22"/>
          <w:lang w:eastAsia="pt-BR"/>
        </w:rPr>
        <w:t xml:space="preserve">O Tribunal, ao acolher a proposta do relator, </w:t>
      </w:r>
      <w:r>
        <w:rPr>
          <w:sz w:val="22"/>
          <w:szCs w:val="22"/>
          <w:lang w:eastAsia="pt-BR"/>
        </w:rPr>
        <w:t xml:space="preserve">determinou à entidade que </w:t>
      </w:r>
      <w:r w:rsidRPr="00D13E32">
        <w:rPr>
          <w:i/>
          <w:sz w:val="22"/>
          <w:szCs w:val="22"/>
          <w:lang w:eastAsia="pt-BR"/>
        </w:rPr>
        <w:t xml:space="preserve">“promova a devida alteração no Regulamento de Licitações e de Contratos, aprovado pela Resolução/Apex-Brasil n. 07/2011, de 25/10/2011, no que concerne ao permissivo constante do inciso XVIII do art. 9º, para adequá-lo aos princípios constitucionais da impessoalidade, da moralidade e da igualdade, ínsitos no art. 37, </w:t>
      </w:r>
      <w:r w:rsidRPr="00D13E32">
        <w:rPr>
          <w:b/>
          <w:i/>
          <w:sz w:val="22"/>
          <w:szCs w:val="22"/>
          <w:lang w:eastAsia="pt-BR"/>
        </w:rPr>
        <w:t>caput</w:t>
      </w:r>
      <w:r w:rsidRPr="00D13E32">
        <w:rPr>
          <w:i/>
          <w:sz w:val="22"/>
          <w:szCs w:val="22"/>
          <w:lang w:eastAsia="pt-BR"/>
        </w:rPr>
        <w:t>, e inciso XXI, da Constituição Federal/1988”</w:t>
      </w:r>
      <w:r w:rsidRPr="004D32EE">
        <w:rPr>
          <w:sz w:val="22"/>
          <w:szCs w:val="22"/>
          <w:lang w:eastAsia="pt-BR"/>
        </w:rPr>
        <w:t>.</w:t>
      </w:r>
      <w:r w:rsidR="003463B5">
        <w:rPr>
          <w:sz w:val="22"/>
          <w:szCs w:val="22"/>
          <w:lang w:eastAsia="pt-BR"/>
        </w:rPr>
        <w:t xml:space="preserve"> </w:t>
      </w:r>
      <w:hyperlink r:id="rId9" w:history="1">
        <w:r w:rsidR="003463B5" w:rsidRPr="003463B5">
          <w:rPr>
            <w:rStyle w:val="Hyperlink"/>
            <w:b/>
            <w:i/>
            <w:sz w:val="22"/>
            <w:szCs w:val="22"/>
            <w:lang w:eastAsia="pt-BR"/>
          </w:rPr>
          <w:t>Acórdão 1785/2013-Plenário</w:t>
        </w:r>
      </w:hyperlink>
      <w:r w:rsidRPr="00536B78">
        <w:rPr>
          <w:b/>
          <w:i/>
          <w:sz w:val="22"/>
          <w:szCs w:val="22"/>
          <w:lang w:eastAsia="pt-BR"/>
        </w:rPr>
        <w:t xml:space="preserve">, TC </w:t>
      </w:r>
      <w:r w:rsidRPr="0082668A">
        <w:rPr>
          <w:b/>
          <w:i/>
          <w:sz w:val="22"/>
          <w:szCs w:val="22"/>
          <w:lang w:eastAsia="pt-BR"/>
        </w:rPr>
        <w:t>005.708/2013-3</w:t>
      </w:r>
      <w:r w:rsidRPr="00536B78">
        <w:rPr>
          <w:b/>
          <w:i/>
          <w:sz w:val="22"/>
          <w:szCs w:val="22"/>
          <w:lang w:eastAsia="pt-BR"/>
        </w:rPr>
        <w:t xml:space="preserve">, relator Ministro-Substituto </w:t>
      </w:r>
      <w:r>
        <w:rPr>
          <w:b/>
          <w:i/>
          <w:sz w:val="22"/>
          <w:szCs w:val="22"/>
          <w:lang w:eastAsia="pt-BR"/>
        </w:rPr>
        <w:t xml:space="preserve">Marcos </w:t>
      </w:r>
      <w:proofErr w:type="spellStart"/>
      <w:r>
        <w:rPr>
          <w:b/>
          <w:i/>
          <w:sz w:val="22"/>
          <w:szCs w:val="22"/>
          <w:lang w:eastAsia="pt-BR"/>
        </w:rPr>
        <w:t>Bemquerer</w:t>
      </w:r>
      <w:proofErr w:type="spellEnd"/>
      <w:r>
        <w:rPr>
          <w:b/>
          <w:i/>
          <w:sz w:val="22"/>
          <w:szCs w:val="22"/>
          <w:lang w:eastAsia="pt-BR"/>
        </w:rPr>
        <w:t xml:space="preserve"> Costa, 10</w:t>
      </w:r>
      <w:r w:rsidRPr="00536B78">
        <w:rPr>
          <w:b/>
          <w:i/>
          <w:sz w:val="22"/>
          <w:szCs w:val="22"/>
          <w:lang w:eastAsia="pt-BR"/>
        </w:rPr>
        <w:t>.7.2013</w:t>
      </w:r>
      <w:r>
        <w:rPr>
          <w:b/>
          <w:i/>
          <w:sz w:val="22"/>
          <w:szCs w:val="22"/>
          <w:lang w:eastAsia="pt-BR"/>
        </w:rPr>
        <w:t>.</w:t>
      </w:r>
    </w:p>
    <w:p w:rsidR="0008246E" w:rsidRDefault="0008246E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08246E" w:rsidRDefault="0008246E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3F5E59" w:rsidRDefault="003F5E59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3F5E59" w:rsidRDefault="003F5E59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831589" w:rsidRDefault="00831589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08246E" w:rsidRDefault="0008246E" w:rsidP="0008246E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A34E41">
        <w:rPr>
          <w:b/>
          <w:bCs/>
          <w:smallCaps/>
          <w:sz w:val="22"/>
          <w:szCs w:val="22"/>
        </w:rPr>
        <w:t>SEGUNDA CÂMARA</w:t>
      </w:r>
    </w:p>
    <w:p w:rsidR="0008246E" w:rsidRDefault="0008246E" w:rsidP="0008246E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82668A" w:rsidRDefault="00AC5C45" w:rsidP="0008246E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8246E" w:rsidRPr="0054533C">
        <w:rPr>
          <w:b/>
          <w:sz w:val="22"/>
          <w:szCs w:val="22"/>
        </w:rPr>
        <w:t xml:space="preserve">. </w:t>
      </w:r>
      <w:r w:rsidR="0082668A">
        <w:rPr>
          <w:b/>
          <w:sz w:val="22"/>
          <w:szCs w:val="22"/>
        </w:rPr>
        <w:t>A</w:t>
      </w:r>
      <w:r w:rsidR="0082668A" w:rsidRPr="000D0D66">
        <w:rPr>
          <w:b/>
          <w:sz w:val="22"/>
          <w:szCs w:val="22"/>
        </w:rPr>
        <w:t xml:space="preserve"> contratação de serviços por preços superiores à</w:t>
      </w:r>
      <w:r w:rsidR="00773A71">
        <w:rPr>
          <w:b/>
          <w:sz w:val="22"/>
          <w:szCs w:val="22"/>
        </w:rPr>
        <w:t>s</w:t>
      </w:r>
      <w:r w:rsidR="0082668A" w:rsidRPr="000D0D66">
        <w:rPr>
          <w:b/>
          <w:sz w:val="22"/>
          <w:szCs w:val="22"/>
        </w:rPr>
        <w:t xml:space="preserve"> referência</w:t>
      </w:r>
      <w:r w:rsidR="00773A71">
        <w:rPr>
          <w:b/>
          <w:sz w:val="22"/>
          <w:szCs w:val="22"/>
        </w:rPr>
        <w:t>s legais</w:t>
      </w:r>
      <w:r w:rsidR="00C6724A">
        <w:rPr>
          <w:b/>
          <w:sz w:val="22"/>
          <w:szCs w:val="22"/>
        </w:rPr>
        <w:t xml:space="preserve"> (</w:t>
      </w:r>
      <w:proofErr w:type="spellStart"/>
      <w:r w:rsidR="00C6724A">
        <w:rPr>
          <w:b/>
          <w:sz w:val="22"/>
          <w:szCs w:val="22"/>
        </w:rPr>
        <w:t>Sinapi</w:t>
      </w:r>
      <w:proofErr w:type="spellEnd"/>
      <w:r w:rsidR="00C6724A">
        <w:rPr>
          <w:b/>
          <w:sz w:val="22"/>
          <w:szCs w:val="22"/>
        </w:rPr>
        <w:t xml:space="preserve"> e </w:t>
      </w:r>
      <w:proofErr w:type="spellStart"/>
      <w:r w:rsidR="00C6724A">
        <w:rPr>
          <w:b/>
          <w:sz w:val="22"/>
          <w:szCs w:val="22"/>
        </w:rPr>
        <w:t>Sicro</w:t>
      </w:r>
      <w:proofErr w:type="spellEnd"/>
      <w:r w:rsidR="00C6724A">
        <w:rPr>
          <w:b/>
          <w:sz w:val="22"/>
          <w:szCs w:val="22"/>
        </w:rPr>
        <w:t>)</w:t>
      </w:r>
      <w:r w:rsidR="0082668A">
        <w:rPr>
          <w:b/>
          <w:sz w:val="22"/>
          <w:szCs w:val="22"/>
        </w:rPr>
        <w:t xml:space="preserve"> deve ser</w:t>
      </w:r>
      <w:r w:rsidR="00773A71">
        <w:rPr>
          <w:b/>
          <w:sz w:val="22"/>
          <w:szCs w:val="22"/>
        </w:rPr>
        <w:t>, à vista das disposições contidas nas recentes leis de diretrizes orçamentárias,</w:t>
      </w:r>
      <w:r w:rsidR="0082668A">
        <w:rPr>
          <w:b/>
          <w:sz w:val="22"/>
          <w:szCs w:val="22"/>
        </w:rPr>
        <w:t xml:space="preserve"> justificada</w:t>
      </w:r>
      <w:r w:rsidR="0082668A" w:rsidRPr="000D0D66">
        <w:rPr>
          <w:b/>
          <w:sz w:val="22"/>
          <w:szCs w:val="22"/>
        </w:rPr>
        <w:t xml:space="preserve"> </w:t>
      </w:r>
      <w:r w:rsidR="0082668A">
        <w:rPr>
          <w:b/>
          <w:sz w:val="22"/>
          <w:szCs w:val="22"/>
        </w:rPr>
        <w:t>por</w:t>
      </w:r>
      <w:r w:rsidR="0082668A" w:rsidRPr="000D0D66">
        <w:rPr>
          <w:b/>
          <w:sz w:val="22"/>
          <w:szCs w:val="22"/>
        </w:rPr>
        <w:t xml:space="preserve"> relatório técnico circunstanciado aprovado pela autoridade competente</w:t>
      </w:r>
      <w:r w:rsidR="0082668A" w:rsidRPr="0054533C">
        <w:rPr>
          <w:b/>
          <w:sz w:val="22"/>
          <w:szCs w:val="22"/>
        </w:rPr>
        <w:t>.</w:t>
      </w:r>
    </w:p>
    <w:p w:rsidR="0008246E" w:rsidRPr="009D6C99" w:rsidRDefault="0008246E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4D32EE">
        <w:rPr>
          <w:sz w:val="22"/>
          <w:szCs w:val="22"/>
        </w:rPr>
        <w:t xml:space="preserve">Em exame de Prestação de Contas da </w:t>
      </w:r>
      <w:r w:rsidR="00C32A02" w:rsidRPr="00C32A02">
        <w:rPr>
          <w:sz w:val="22"/>
          <w:szCs w:val="22"/>
        </w:rPr>
        <w:t>Companhia H</w:t>
      </w:r>
      <w:r w:rsidR="00FD305C">
        <w:rPr>
          <w:sz w:val="22"/>
          <w:szCs w:val="22"/>
        </w:rPr>
        <w:t>idro Elétrica do São Francisco</w:t>
      </w:r>
      <w:r w:rsidR="00C32A02" w:rsidRPr="00C32A02">
        <w:rPr>
          <w:sz w:val="22"/>
          <w:szCs w:val="22"/>
        </w:rPr>
        <w:t xml:space="preserve"> </w:t>
      </w:r>
      <w:r w:rsidR="00FD305C" w:rsidRPr="00FF5893">
        <w:rPr>
          <w:sz w:val="22"/>
          <w:szCs w:val="22"/>
        </w:rPr>
        <w:t>(</w:t>
      </w:r>
      <w:r w:rsidR="00C32A02" w:rsidRPr="00FF5893">
        <w:rPr>
          <w:sz w:val="22"/>
          <w:szCs w:val="22"/>
        </w:rPr>
        <w:t>Chesf</w:t>
      </w:r>
      <w:r w:rsidR="00FD305C" w:rsidRPr="00FF5893">
        <w:rPr>
          <w:sz w:val="22"/>
          <w:szCs w:val="22"/>
        </w:rPr>
        <w:t>)</w:t>
      </w:r>
      <w:r w:rsidR="00C32A02">
        <w:rPr>
          <w:sz w:val="22"/>
          <w:szCs w:val="22"/>
        </w:rPr>
        <w:t>, relativa ao exercício de 2007</w:t>
      </w:r>
      <w:r w:rsidRPr="004D32EE">
        <w:rPr>
          <w:sz w:val="22"/>
          <w:szCs w:val="22"/>
        </w:rPr>
        <w:t xml:space="preserve">, constatou-se, </w:t>
      </w:r>
      <w:r w:rsidR="00036F23">
        <w:rPr>
          <w:sz w:val="22"/>
          <w:szCs w:val="22"/>
        </w:rPr>
        <w:t>d</w:t>
      </w:r>
      <w:r w:rsidRPr="004D32EE">
        <w:rPr>
          <w:sz w:val="22"/>
          <w:szCs w:val="22"/>
        </w:rPr>
        <w:t>entre outras</w:t>
      </w:r>
      <w:r w:rsidR="00F46234">
        <w:rPr>
          <w:sz w:val="22"/>
          <w:szCs w:val="22"/>
        </w:rPr>
        <w:t xml:space="preserve"> irregularidades</w:t>
      </w:r>
      <w:r w:rsidRPr="004D32EE">
        <w:rPr>
          <w:sz w:val="22"/>
          <w:szCs w:val="22"/>
        </w:rPr>
        <w:t xml:space="preserve">, </w:t>
      </w:r>
      <w:r w:rsidR="00F46234">
        <w:rPr>
          <w:sz w:val="22"/>
          <w:szCs w:val="22"/>
        </w:rPr>
        <w:t xml:space="preserve">superfaturamento em contrato decorrente de dispensa de licitação para </w:t>
      </w:r>
      <w:r w:rsidR="0025280C">
        <w:rPr>
          <w:sz w:val="22"/>
          <w:szCs w:val="22"/>
        </w:rPr>
        <w:t>execução de remanescente de</w:t>
      </w:r>
      <w:r w:rsidR="00F46234" w:rsidRPr="00F46234">
        <w:rPr>
          <w:sz w:val="22"/>
          <w:szCs w:val="22"/>
        </w:rPr>
        <w:t xml:space="preserve"> obra de construção </w:t>
      </w:r>
      <w:r w:rsidR="00F46234">
        <w:rPr>
          <w:sz w:val="22"/>
          <w:szCs w:val="22"/>
        </w:rPr>
        <w:t>de</w:t>
      </w:r>
      <w:r w:rsidR="00F46234" w:rsidRPr="00F46234">
        <w:rPr>
          <w:sz w:val="22"/>
          <w:szCs w:val="22"/>
        </w:rPr>
        <w:t xml:space="preserve"> linha de transmissão</w:t>
      </w:r>
      <w:r w:rsidR="000A504A">
        <w:rPr>
          <w:sz w:val="22"/>
          <w:szCs w:val="22"/>
        </w:rPr>
        <w:t xml:space="preserve">, evidenciado pela discrepância do valor de alguns itens </w:t>
      </w:r>
      <w:r w:rsidR="005D6E70">
        <w:rPr>
          <w:sz w:val="22"/>
          <w:szCs w:val="22"/>
        </w:rPr>
        <w:t>com os</w:t>
      </w:r>
      <w:r w:rsidR="000A504A" w:rsidRPr="000A504A">
        <w:rPr>
          <w:sz w:val="22"/>
          <w:szCs w:val="22"/>
        </w:rPr>
        <w:t xml:space="preserve"> referenciais legais (</w:t>
      </w:r>
      <w:proofErr w:type="spellStart"/>
      <w:r w:rsidR="000A504A" w:rsidRPr="000A504A">
        <w:rPr>
          <w:sz w:val="22"/>
          <w:szCs w:val="22"/>
        </w:rPr>
        <w:t>Sinapi</w:t>
      </w:r>
      <w:proofErr w:type="spellEnd"/>
      <w:r w:rsidR="000A504A" w:rsidRPr="000A504A">
        <w:rPr>
          <w:sz w:val="22"/>
          <w:szCs w:val="22"/>
        </w:rPr>
        <w:t xml:space="preserve"> e </w:t>
      </w:r>
      <w:proofErr w:type="spellStart"/>
      <w:r w:rsidR="000A504A" w:rsidRPr="000A504A">
        <w:rPr>
          <w:sz w:val="22"/>
          <w:szCs w:val="22"/>
        </w:rPr>
        <w:t>Sicro</w:t>
      </w:r>
      <w:proofErr w:type="spellEnd"/>
      <w:r w:rsidR="000A504A" w:rsidRPr="000A504A">
        <w:rPr>
          <w:sz w:val="22"/>
          <w:szCs w:val="22"/>
        </w:rPr>
        <w:t>)</w:t>
      </w:r>
      <w:r w:rsidR="005D6E70">
        <w:rPr>
          <w:sz w:val="22"/>
          <w:szCs w:val="22"/>
        </w:rPr>
        <w:t>.</w:t>
      </w:r>
      <w:r w:rsidR="000A504A">
        <w:rPr>
          <w:sz w:val="22"/>
          <w:szCs w:val="22"/>
        </w:rPr>
        <w:t xml:space="preserve"> </w:t>
      </w:r>
      <w:r w:rsidR="00F46234">
        <w:rPr>
          <w:sz w:val="22"/>
          <w:szCs w:val="22"/>
        </w:rPr>
        <w:t>Em sua defesa, alegaram o</w:t>
      </w:r>
      <w:r w:rsidR="00F46234" w:rsidRPr="00F46234">
        <w:rPr>
          <w:sz w:val="22"/>
          <w:szCs w:val="22"/>
        </w:rPr>
        <w:t xml:space="preserve">s responsáveis </w:t>
      </w:r>
      <w:r w:rsidR="00F46234">
        <w:rPr>
          <w:sz w:val="22"/>
          <w:szCs w:val="22"/>
        </w:rPr>
        <w:t>a complexidade da execução de</w:t>
      </w:r>
      <w:r w:rsidR="00F46234" w:rsidRPr="00F46234">
        <w:rPr>
          <w:sz w:val="22"/>
          <w:szCs w:val="22"/>
        </w:rPr>
        <w:t xml:space="preserve"> remanescente de obra e que </w:t>
      </w:r>
      <w:r w:rsidR="005B42E1">
        <w:rPr>
          <w:sz w:val="22"/>
          <w:szCs w:val="22"/>
        </w:rPr>
        <w:t xml:space="preserve">as recentes </w:t>
      </w:r>
      <w:proofErr w:type="spellStart"/>
      <w:r w:rsidR="005B42E1" w:rsidRPr="00FF5893">
        <w:rPr>
          <w:sz w:val="22"/>
          <w:szCs w:val="22"/>
        </w:rPr>
        <w:t>LDO</w:t>
      </w:r>
      <w:r w:rsidR="00315675" w:rsidRPr="00FF5893">
        <w:rPr>
          <w:sz w:val="22"/>
          <w:szCs w:val="22"/>
        </w:rPr>
        <w:t>s</w:t>
      </w:r>
      <w:proofErr w:type="spellEnd"/>
      <w:r w:rsidR="0021517D" w:rsidRPr="00FF5893">
        <w:rPr>
          <w:sz w:val="22"/>
          <w:szCs w:val="22"/>
        </w:rPr>
        <w:t xml:space="preserve"> prevee</w:t>
      </w:r>
      <w:r w:rsidR="005B42E1" w:rsidRPr="00FF5893">
        <w:rPr>
          <w:sz w:val="22"/>
          <w:szCs w:val="22"/>
        </w:rPr>
        <w:t>m</w:t>
      </w:r>
      <w:r w:rsidR="00AA0D39">
        <w:rPr>
          <w:sz w:val="22"/>
          <w:szCs w:val="22"/>
        </w:rPr>
        <w:t>, em casos especiais, a adoção</w:t>
      </w:r>
      <w:r w:rsidR="00F46234" w:rsidRPr="00FF5893">
        <w:rPr>
          <w:sz w:val="22"/>
          <w:szCs w:val="22"/>
        </w:rPr>
        <w:t xml:space="preserve"> de preços superiores </w:t>
      </w:r>
      <w:r w:rsidR="005B42E1" w:rsidRPr="00FF5893">
        <w:rPr>
          <w:sz w:val="22"/>
          <w:szCs w:val="22"/>
        </w:rPr>
        <w:t>aos referenciais</w:t>
      </w:r>
      <w:r w:rsidR="00F46234" w:rsidRPr="00FF5893">
        <w:rPr>
          <w:sz w:val="22"/>
          <w:szCs w:val="22"/>
        </w:rPr>
        <w:t xml:space="preserve">. </w:t>
      </w:r>
      <w:r w:rsidR="00761801" w:rsidRPr="00FF5893">
        <w:rPr>
          <w:sz w:val="22"/>
          <w:szCs w:val="22"/>
        </w:rPr>
        <w:t>Realizado o</w:t>
      </w:r>
      <w:r w:rsidR="00761801">
        <w:rPr>
          <w:sz w:val="22"/>
          <w:szCs w:val="22"/>
        </w:rPr>
        <w:t xml:space="preserve"> contraditório</w:t>
      </w:r>
      <w:r w:rsidRPr="004D32EE">
        <w:rPr>
          <w:sz w:val="22"/>
          <w:szCs w:val="22"/>
        </w:rPr>
        <w:t xml:space="preserve">, </w:t>
      </w:r>
      <w:r w:rsidR="00831589">
        <w:rPr>
          <w:sz w:val="22"/>
          <w:szCs w:val="22"/>
        </w:rPr>
        <w:t>a</w:t>
      </w:r>
      <w:r w:rsidRPr="004D32EE">
        <w:rPr>
          <w:sz w:val="22"/>
          <w:szCs w:val="22"/>
        </w:rPr>
        <w:t xml:space="preserve"> relator</w:t>
      </w:r>
      <w:r w:rsidR="00831589">
        <w:rPr>
          <w:sz w:val="22"/>
          <w:szCs w:val="22"/>
        </w:rPr>
        <w:t>a</w:t>
      </w:r>
      <w:r w:rsidRPr="004D32EE">
        <w:rPr>
          <w:sz w:val="22"/>
          <w:szCs w:val="22"/>
        </w:rPr>
        <w:t xml:space="preserve"> registrou que "</w:t>
      </w:r>
      <w:r w:rsidR="00A671A4" w:rsidRPr="00A671A4">
        <w:rPr>
          <w:i/>
          <w:sz w:val="22"/>
          <w:szCs w:val="22"/>
        </w:rPr>
        <w:t>os responsáveis não trouxeram aos autos elementos que demonstrassem o impacto de suas alegações nas composições de custos unitários, e nem explicaram o porquê de a maioria dos itens estar em consonância com a referência legal, já que existiriam as alegadas dificuldades</w:t>
      </w:r>
      <w:r w:rsidRPr="004D32EE">
        <w:rPr>
          <w:sz w:val="22"/>
          <w:szCs w:val="22"/>
        </w:rPr>
        <w:t>". Nesse sentido, rejeitou a</w:t>
      </w:r>
      <w:r w:rsidR="003871D1">
        <w:rPr>
          <w:sz w:val="22"/>
          <w:szCs w:val="22"/>
        </w:rPr>
        <w:t>s alegações</w:t>
      </w:r>
      <w:r w:rsidRPr="004D32EE">
        <w:rPr>
          <w:sz w:val="22"/>
          <w:szCs w:val="22"/>
        </w:rPr>
        <w:t xml:space="preserve"> dos responsáveis</w:t>
      </w:r>
      <w:r w:rsidR="0020621C">
        <w:rPr>
          <w:sz w:val="22"/>
          <w:szCs w:val="22"/>
        </w:rPr>
        <w:t>,</w:t>
      </w:r>
      <w:r w:rsidRPr="004D32EE">
        <w:rPr>
          <w:sz w:val="22"/>
          <w:szCs w:val="22"/>
        </w:rPr>
        <w:t xml:space="preserve"> </w:t>
      </w:r>
      <w:r w:rsidR="005B42E1">
        <w:rPr>
          <w:sz w:val="22"/>
          <w:szCs w:val="22"/>
        </w:rPr>
        <w:t>assentando que, embora seja excepcionalmente autorizada a contratação de serviços por preços superiores à referência legal,</w:t>
      </w:r>
      <w:r w:rsidRPr="004D32EE">
        <w:rPr>
          <w:sz w:val="22"/>
          <w:szCs w:val="22"/>
        </w:rPr>
        <w:t xml:space="preserve"> "</w:t>
      </w:r>
      <w:r w:rsidR="005B42E1" w:rsidRPr="005B42E1">
        <w:rPr>
          <w:i/>
          <w:sz w:val="22"/>
          <w:szCs w:val="22"/>
        </w:rPr>
        <w:t>a lei</w:t>
      </w:r>
      <w:r w:rsidR="005B42E1">
        <w:rPr>
          <w:sz w:val="22"/>
          <w:szCs w:val="22"/>
        </w:rPr>
        <w:t xml:space="preserve"> [Lei 11.439/2006 - </w:t>
      </w:r>
      <w:r w:rsidR="005B42E1" w:rsidRPr="005B42E1">
        <w:rPr>
          <w:sz w:val="22"/>
          <w:szCs w:val="22"/>
        </w:rPr>
        <w:t>LDO 2007</w:t>
      </w:r>
      <w:r w:rsidR="005B42E1">
        <w:rPr>
          <w:sz w:val="22"/>
          <w:szCs w:val="22"/>
        </w:rPr>
        <w:t>]</w:t>
      </w:r>
      <w:r w:rsidR="005B42E1" w:rsidRPr="005B42E1">
        <w:rPr>
          <w:i/>
          <w:sz w:val="22"/>
          <w:szCs w:val="22"/>
        </w:rPr>
        <w:t xml:space="preserve"> é clara ao condicionar essa situação excepcional à existência de relatório técnico circunstanciado aprovado pela autoridade competente</w:t>
      </w:r>
      <w:r w:rsidRPr="004D32EE">
        <w:rPr>
          <w:sz w:val="22"/>
          <w:szCs w:val="22"/>
        </w:rPr>
        <w:t>".</w:t>
      </w:r>
      <w:r w:rsidR="00891ADA">
        <w:rPr>
          <w:sz w:val="22"/>
          <w:szCs w:val="22"/>
        </w:rPr>
        <w:t xml:space="preserve"> Assim, diante da inexistência nos autos de qualquer relatório que justificasse a excepcionalidade alegada, com a demonstração cabal de que os preços adotados estavam compatíve</w:t>
      </w:r>
      <w:r w:rsidR="00831589">
        <w:rPr>
          <w:sz w:val="22"/>
          <w:szCs w:val="22"/>
        </w:rPr>
        <w:t>is com os de mercado, entendeu a</w:t>
      </w:r>
      <w:r w:rsidR="00891ADA">
        <w:rPr>
          <w:sz w:val="22"/>
          <w:szCs w:val="22"/>
        </w:rPr>
        <w:t xml:space="preserve"> relator</w:t>
      </w:r>
      <w:r w:rsidR="00831589">
        <w:rPr>
          <w:sz w:val="22"/>
          <w:szCs w:val="22"/>
        </w:rPr>
        <w:t>a</w:t>
      </w:r>
      <w:r w:rsidR="00891ADA">
        <w:rPr>
          <w:sz w:val="22"/>
          <w:szCs w:val="22"/>
        </w:rPr>
        <w:t xml:space="preserve"> que os responsáveis não lograram justifi</w:t>
      </w:r>
      <w:r w:rsidR="000B1B9E">
        <w:rPr>
          <w:sz w:val="22"/>
          <w:szCs w:val="22"/>
        </w:rPr>
        <w:t xml:space="preserve">car o superfaturamento apontado. </w:t>
      </w:r>
      <w:r w:rsidRPr="004D32EE">
        <w:rPr>
          <w:sz w:val="22"/>
          <w:szCs w:val="22"/>
        </w:rPr>
        <w:t>O Tr</w:t>
      </w:r>
      <w:r w:rsidR="00831589">
        <w:rPr>
          <w:sz w:val="22"/>
          <w:szCs w:val="22"/>
        </w:rPr>
        <w:t>ibunal, ao acolher a proposta da</w:t>
      </w:r>
      <w:r w:rsidRPr="004D32EE">
        <w:rPr>
          <w:sz w:val="22"/>
          <w:szCs w:val="22"/>
        </w:rPr>
        <w:t xml:space="preserve"> relator</w:t>
      </w:r>
      <w:r w:rsidR="00831589">
        <w:rPr>
          <w:sz w:val="22"/>
          <w:szCs w:val="22"/>
        </w:rPr>
        <w:t>a</w:t>
      </w:r>
      <w:r w:rsidRPr="004D32EE">
        <w:rPr>
          <w:sz w:val="22"/>
          <w:szCs w:val="22"/>
        </w:rPr>
        <w:t xml:space="preserve">, julgou as contas </w:t>
      </w:r>
      <w:r w:rsidR="000B1B9E">
        <w:rPr>
          <w:sz w:val="22"/>
          <w:szCs w:val="22"/>
        </w:rPr>
        <w:t xml:space="preserve">dos responsáveis irregulares, </w:t>
      </w:r>
      <w:r w:rsidR="00093937">
        <w:rPr>
          <w:sz w:val="22"/>
          <w:szCs w:val="22"/>
        </w:rPr>
        <w:t>imputando-lhes o</w:t>
      </w:r>
      <w:r w:rsidR="000B1B9E">
        <w:rPr>
          <w:sz w:val="22"/>
          <w:szCs w:val="22"/>
        </w:rPr>
        <w:t xml:space="preserve"> débito apurado</w:t>
      </w:r>
      <w:r w:rsidR="00093937">
        <w:rPr>
          <w:sz w:val="22"/>
          <w:szCs w:val="22"/>
        </w:rPr>
        <w:t>,</w:t>
      </w:r>
      <w:r w:rsidR="000B1B9E">
        <w:rPr>
          <w:sz w:val="22"/>
          <w:szCs w:val="22"/>
        </w:rPr>
        <w:t xml:space="preserve"> solidariamente com a empresa executora do contrato,</w:t>
      </w:r>
      <w:r w:rsidRPr="004D32EE">
        <w:rPr>
          <w:sz w:val="22"/>
          <w:szCs w:val="22"/>
        </w:rPr>
        <w:t xml:space="preserve"> e </w:t>
      </w:r>
      <w:r w:rsidR="000B1B9E">
        <w:rPr>
          <w:sz w:val="22"/>
          <w:szCs w:val="22"/>
        </w:rPr>
        <w:t>aplicando-lhes multas individuais</w:t>
      </w:r>
      <w:r w:rsidRPr="004D32EE">
        <w:rPr>
          <w:sz w:val="22"/>
          <w:szCs w:val="22"/>
        </w:rPr>
        <w:t>.</w:t>
      </w:r>
      <w:r w:rsidR="003463B5">
        <w:rPr>
          <w:sz w:val="22"/>
          <w:szCs w:val="22"/>
        </w:rPr>
        <w:t xml:space="preserve"> </w:t>
      </w:r>
      <w:hyperlink r:id="rId10" w:history="1">
        <w:r w:rsidR="00FF5893" w:rsidRPr="00FF5893">
          <w:rPr>
            <w:rStyle w:val="Hyperlink"/>
            <w:b/>
            <w:i/>
            <w:sz w:val="22"/>
            <w:szCs w:val="22"/>
          </w:rPr>
          <w:t>Acórdão 3936/2013-Segunda Câmara</w:t>
        </w:r>
      </w:hyperlink>
      <w:r>
        <w:rPr>
          <w:b/>
          <w:i/>
          <w:sz w:val="22"/>
          <w:szCs w:val="22"/>
          <w:lang w:eastAsia="pt-BR"/>
        </w:rPr>
        <w:t xml:space="preserve">, </w:t>
      </w:r>
      <w:r w:rsidRPr="009D6C99">
        <w:rPr>
          <w:b/>
          <w:i/>
          <w:sz w:val="22"/>
          <w:szCs w:val="22"/>
          <w:lang w:eastAsia="pt-BR"/>
        </w:rPr>
        <w:t xml:space="preserve">TC </w:t>
      </w:r>
      <w:r w:rsidRPr="00097614">
        <w:rPr>
          <w:b/>
          <w:i/>
          <w:sz w:val="22"/>
          <w:szCs w:val="22"/>
          <w:lang w:eastAsia="pt-BR"/>
        </w:rPr>
        <w:t>017.952/2008-7</w:t>
      </w:r>
      <w:r>
        <w:rPr>
          <w:b/>
          <w:i/>
          <w:sz w:val="22"/>
          <w:szCs w:val="22"/>
          <w:lang w:eastAsia="pt-BR"/>
        </w:rPr>
        <w:t>, relator</w:t>
      </w:r>
      <w:r w:rsidR="00831589">
        <w:rPr>
          <w:b/>
          <w:i/>
          <w:sz w:val="22"/>
          <w:szCs w:val="22"/>
          <w:lang w:eastAsia="pt-BR"/>
        </w:rPr>
        <w:t>a</w:t>
      </w:r>
      <w:r>
        <w:rPr>
          <w:b/>
          <w:i/>
          <w:sz w:val="22"/>
          <w:szCs w:val="22"/>
          <w:lang w:eastAsia="pt-BR"/>
        </w:rPr>
        <w:t xml:space="preserve"> Ministra</w:t>
      </w:r>
      <w:r w:rsidRPr="009D6C99">
        <w:rPr>
          <w:b/>
          <w:i/>
          <w:sz w:val="22"/>
          <w:szCs w:val="22"/>
          <w:lang w:eastAsia="pt-BR"/>
        </w:rPr>
        <w:t xml:space="preserve"> </w:t>
      </w:r>
      <w:r>
        <w:rPr>
          <w:b/>
          <w:i/>
          <w:sz w:val="22"/>
          <w:szCs w:val="22"/>
          <w:lang w:eastAsia="pt-BR"/>
        </w:rPr>
        <w:t>Ana Arraes, 9</w:t>
      </w:r>
      <w:r w:rsidRPr="009D6C99">
        <w:rPr>
          <w:b/>
          <w:i/>
          <w:sz w:val="22"/>
          <w:szCs w:val="22"/>
          <w:lang w:eastAsia="pt-BR"/>
        </w:rPr>
        <w:t>.7.2013</w:t>
      </w:r>
      <w:r>
        <w:rPr>
          <w:b/>
          <w:i/>
          <w:sz w:val="22"/>
          <w:szCs w:val="22"/>
          <w:lang w:eastAsia="pt-BR"/>
        </w:rPr>
        <w:t>.</w:t>
      </w:r>
    </w:p>
    <w:p w:rsidR="0008246E" w:rsidRPr="009D6C99" w:rsidRDefault="0008246E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08246E" w:rsidRDefault="0008246E" w:rsidP="0008246E">
      <w:pPr>
        <w:spacing w:after="0"/>
        <w:ind w:left="0"/>
        <w:rPr>
          <w:sz w:val="22"/>
          <w:szCs w:val="22"/>
        </w:rPr>
      </w:pPr>
    </w:p>
    <w:p w:rsidR="0008246E" w:rsidRPr="004D32EE" w:rsidRDefault="0008246E" w:rsidP="0008246E">
      <w:pPr>
        <w:autoSpaceDE w:val="0"/>
        <w:autoSpaceDN w:val="0"/>
        <w:adjustRightInd w:val="0"/>
        <w:spacing w:after="0"/>
        <w:ind w:left="0"/>
        <w:rPr>
          <w:bCs/>
          <w:sz w:val="22"/>
          <w:szCs w:val="22"/>
        </w:rPr>
      </w:pPr>
    </w:p>
    <w:p w:rsidR="0008246E" w:rsidRPr="004D32EE" w:rsidRDefault="0008246E" w:rsidP="0008246E">
      <w:pPr>
        <w:autoSpaceDE w:val="0"/>
        <w:autoSpaceDN w:val="0"/>
        <w:adjustRightInd w:val="0"/>
        <w:spacing w:after="0"/>
        <w:ind w:left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1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08246E" w:rsidRPr="00993B9D" w:rsidRDefault="0008246E" w:rsidP="0008246E">
      <w:pPr>
        <w:pStyle w:val="ListaColorida-nfase11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p w:rsidR="00F3058F" w:rsidRPr="00993B9D" w:rsidRDefault="00F3058F" w:rsidP="0008246E">
      <w:pPr>
        <w:pStyle w:val="Ttulo8"/>
        <w:tabs>
          <w:tab w:val="right" w:pos="4423"/>
        </w:tabs>
        <w:spacing w:before="0" w:after="0"/>
        <w:ind w:left="0"/>
        <w:jc w:val="center"/>
        <w:rPr>
          <w:b/>
          <w:sz w:val="22"/>
        </w:rPr>
      </w:pPr>
    </w:p>
    <w:sectPr w:rsidR="00F3058F" w:rsidRPr="00993B9D" w:rsidSect="009D05A4">
      <w:headerReference w:type="default" r:id="rId12"/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B5" w:rsidRDefault="000632B5" w:rsidP="008B0547">
      <w:pPr>
        <w:spacing w:after="0"/>
      </w:pPr>
      <w:r>
        <w:separator/>
      </w:r>
    </w:p>
  </w:endnote>
  <w:endnote w:type="continuationSeparator" w:id="0">
    <w:p w:rsidR="000632B5" w:rsidRDefault="000632B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EA413E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714C39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B5" w:rsidRDefault="000632B5" w:rsidP="008B0547">
      <w:pPr>
        <w:spacing w:after="0"/>
      </w:pPr>
      <w:r>
        <w:separator/>
      </w:r>
    </w:p>
  </w:footnote>
  <w:footnote w:type="continuationSeparator" w:id="0">
    <w:p w:rsidR="000632B5" w:rsidRDefault="000632B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8342EE" w:rsidP="009D05A4">
    <w:pPr>
      <w:pStyle w:val="Cabealho"/>
      <w:ind w:left="0"/>
    </w:pPr>
    <w:r w:rsidRPr="004D0F17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3D44"/>
    <w:rsid w:val="00004614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71FA"/>
    <w:rsid w:val="0002751C"/>
    <w:rsid w:val="00027B2E"/>
    <w:rsid w:val="00027C86"/>
    <w:rsid w:val="000300A2"/>
    <w:rsid w:val="00030EC2"/>
    <w:rsid w:val="0003113F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37C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28"/>
    <w:rsid w:val="00060856"/>
    <w:rsid w:val="00060CE3"/>
    <w:rsid w:val="00061A56"/>
    <w:rsid w:val="00061C2E"/>
    <w:rsid w:val="00061EF5"/>
    <w:rsid w:val="000622E0"/>
    <w:rsid w:val="000624FA"/>
    <w:rsid w:val="00062B46"/>
    <w:rsid w:val="000632B5"/>
    <w:rsid w:val="00063C6E"/>
    <w:rsid w:val="000647B1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61C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EF"/>
    <w:rsid w:val="00086210"/>
    <w:rsid w:val="00086489"/>
    <w:rsid w:val="000867E7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088"/>
    <w:rsid w:val="000937B7"/>
    <w:rsid w:val="00093937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614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04A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A59"/>
    <w:rsid w:val="000B1B9E"/>
    <w:rsid w:val="000B2AFA"/>
    <w:rsid w:val="000B3015"/>
    <w:rsid w:val="000B3444"/>
    <w:rsid w:val="000B395E"/>
    <w:rsid w:val="000B3C52"/>
    <w:rsid w:val="000B4439"/>
    <w:rsid w:val="000B4B33"/>
    <w:rsid w:val="000B4C5B"/>
    <w:rsid w:val="000B4EBB"/>
    <w:rsid w:val="000B5A1A"/>
    <w:rsid w:val="000B5DB2"/>
    <w:rsid w:val="000B5DD4"/>
    <w:rsid w:val="000B639F"/>
    <w:rsid w:val="000B6475"/>
    <w:rsid w:val="000B6BC1"/>
    <w:rsid w:val="000B706C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73F"/>
    <w:rsid w:val="000D0D66"/>
    <w:rsid w:val="000D0D9A"/>
    <w:rsid w:val="000D10FB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479"/>
    <w:rsid w:val="000D6839"/>
    <w:rsid w:val="000D6906"/>
    <w:rsid w:val="000D6C9E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72B"/>
    <w:rsid w:val="000E3A55"/>
    <w:rsid w:val="000E3B31"/>
    <w:rsid w:val="000E3C6D"/>
    <w:rsid w:val="000E45B0"/>
    <w:rsid w:val="000E4D15"/>
    <w:rsid w:val="000E504D"/>
    <w:rsid w:val="000E5EAB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71C7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BE3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C1D"/>
    <w:rsid w:val="00130032"/>
    <w:rsid w:val="00130752"/>
    <w:rsid w:val="00130A0C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A34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99D"/>
    <w:rsid w:val="00142C16"/>
    <w:rsid w:val="001430DC"/>
    <w:rsid w:val="001441C9"/>
    <w:rsid w:val="001444A2"/>
    <w:rsid w:val="00144987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E4"/>
    <w:rsid w:val="001534C8"/>
    <w:rsid w:val="00154349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510E"/>
    <w:rsid w:val="001658D6"/>
    <w:rsid w:val="001665B9"/>
    <w:rsid w:val="001667C0"/>
    <w:rsid w:val="00166C60"/>
    <w:rsid w:val="00167274"/>
    <w:rsid w:val="00167F39"/>
    <w:rsid w:val="00170A9D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29A6"/>
    <w:rsid w:val="00183A7D"/>
    <w:rsid w:val="001841C2"/>
    <w:rsid w:val="00184259"/>
    <w:rsid w:val="001843DB"/>
    <w:rsid w:val="001847D6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BE9"/>
    <w:rsid w:val="00194CA4"/>
    <w:rsid w:val="00194EDA"/>
    <w:rsid w:val="00195023"/>
    <w:rsid w:val="001956E2"/>
    <w:rsid w:val="00195F77"/>
    <w:rsid w:val="00196098"/>
    <w:rsid w:val="00196898"/>
    <w:rsid w:val="00196E11"/>
    <w:rsid w:val="001977ED"/>
    <w:rsid w:val="00197C2F"/>
    <w:rsid w:val="001A052D"/>
    <w:rsid w:val="001A0725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23E"/>
    <w:rsid w:val="001C437E"/>
    <w:rsid w:val="001C4F39"/>
    <w:rsid w:val="001C51E4"/>
    <w:rsid w:val="001C536B"/>
    <w:rsid w:val="001C5777"/>
    <w:rsid w:val="001C5C51"/>
    <w:rsid w:val="001C5CDF"/>
    <w:rsid w:val="001C6395"/>
    <w:rsid w:val="001C641C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1ECA"/>
    <w:rsid w:val="001D2BC5"/>
    <w:rsid w:val="001D35B4"/>
    <w:rsid w:val="001D4515"/>
    <w:rsid w:val="001D4A98"/>
    <w:rsid w:val="001D5190"/>
    <w:rsid w:val="001D5339"/>
    <w:rsid w:val="001D559E"/>
    <w:rsid w:val="001D56C3"/>
    <w:rsid w:val="001D6198"/>
    <w:rsid w:val="001D670F"/>
    <w:rsid w:val="001D6B86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9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734D"/>
    <w:rsid w:val="00207BF8"/>
    <w:rsid w:val="0021001C"/>
    <w:rsid w:val="00211194"/>
    <w:rsid w:val="0021149E"/>
    <w:rsid w:val="00211816"/>
    <w:rsid w:val="00211C55"/>
    <w:rsid w:val="00212A4A"/>
    <w:rsid w:val="00212BA4"/>
    <w:rsid w:val="00212BDC"/>
    <w:rsid w:val="00212E42"/>
    <w:rsid w:val="0021340B"/>
    <w:rsid w:val="002139A2"/>
    <w:rsid w:val="00213B3D"/>
    <w:rsid w:val="00215156"/>
    <w:rsid w:val="0021517D"/>
    <w:rsid w:val="002157BF"/>
    <w:rsid w:val="00216157"/>
    <w:rsid w:val="00217566"/>
    <w:rsid w:val="00217B1B"/>
    <w:rsid w:val="002204A9"/>
    <w:rsid w:val="00220D43"/>
    <w:rsid w:val="002210F5"/>
    <w:rsid w:val="0022160D"/>
    <w:rsid w:val="00221C99"/>
    <w:rsid w:val="00221D51"/>
    <w:rsid w:val="00222123"/>
    <w:rsid w:val="0022213A"/>
    <w:rsid w:val="002222A1"/>
    <w:rsid w:val="00222CF1"/>
    <w:rsid w:val="00223BB9"/>
    <w:rsid w:val="00223C6C"/>
    <w:rsid w:val="00224EA9"/>
    <w:rsid w:val="00224F04"/>
    <w:rsid w:val="00225155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E6D"/>
    <w:rsid w:val="00243011"/>
    <w:rsid w:val="002435FC"/>
    <w:rsid w:val="00243797"/>
    <w:rsid w:val="002442D9"/>
    <w:rsid w:val="00244A11"/>
    <w:rsid w:val="00244BA7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6044"/>
    <w:rsid w:val="0025663C"/>
    <w:rsid w:val="00256A50"/>
    <w:rsid w:val="00256D8B"/>
    <w:rsid w:val="00256FE1"/>
    <w:rsid w:val="00257178"/>
    <w:rsid w:val="00257D8A"/>
    <w:rsid w:val="00257F42"/>
    <w:rsid w:val="00257F96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E72"/>
    <w:rsid w:val="0027402A"/>
    <w:rsid w:val="00274068"/>
    <w:rsid w:val="0027498E"/>
    <w:rsid w:val="00274EFE"/>
    <w:rsid w:val="00275B02"/>
    <w:rsid w:val="0027638B"/>
    <w:rsid w:val="0027686D"/>
    <w:rsid w:val="00276B43"/>
    <w:rsid w:val="00276DC0"/>
    <w:rsid w:val="00276FBF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6C59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A00"/>
    <w:rsid w:val="00297BFE"/>
    <w:rsid w:val="00297F8C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BF5"/>
    <w:rsid w:val="002D3043"/>
    <w:rsid w:val="002D35F5"/>
    <w:rsid w:val="002D3B6D"/>
    <w:rsid w:val="002D3D5A"/>
    <w:rsid w:val="002D3E5B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333"/>
    <w:rsid w:val="002E2433"/>
    <w:rsid w:val="002E28BA"/>
    <w:rsid w:val="002E361C"/>
    <w:rsid w:val="002E3943"/>
    <w:rsid w:val="002E3F7C"/>
    <w:rsid w:val="002E4254"/>
    <w:rsid w:val="002E44C3"/>
    <w:rsid w:val="002E4691"/>
    <w:rsid w:val="002E4F13"/>
    <w:rsid w:val="002E4FB7"/>
    <w:rsid w:val="002E543D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97C"/>
    <w:rsid w:val="003059A3"/>
    <w:rsid w:val="003063A5"/>
    <w:rsid w:val="00306864"/>
    <w:rsid w:val="003069F9"/>
    <w:rsid w:val="00306C90"/>
    <w:rsid w:val="00307669"/>
    <w:rsid w:val="00307951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1663"/>
    <w:rsid w:val="00311668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75"/>
    <w:rsid w:val="00315EC0"/>
    <w:rsid w:val="003161E0"/>
    <w:rsid w:val="003170A7"/>
    <w:rsid w:val="00317B6B"/>
    <w:rsid w:val="00317E59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5E4"/>
    <w:rsid w:val="00327F0D"/>
    <w:rsid w:val="00330069"/>
    <w:rsid w:val="00330144"/>
    <w:rsid w:val="003302D8"/>
    <w:rsid w:val="0033032C"/>
    <w:rsid w:val="003304A1"/>
    <w:rsid w:val="00330999"/>
    <w:rsid w:val="00331316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0E6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27"/>
    <w:rsid w:val="00361487"/>
    <w:rsid w:val="00361661"/>
    <w:rsid w:val="00362905"/>
    <w:rsid w:val="003629D8"/>
    <w:rsid w:val="00363230"/>
    <w:rsid w:val="003644B2"/>
    <w:rsid w:val="00364B80"/>
    <w:rsid w:val="00364D53"/>
    <w:rsid w:val="00364FD8"/>
    <w:rsid w:val="003654A7"/>
    <w:rsid w:val="0036610E"/>
    <w:rsid w:val="00366735"/>
    <w:rsid w:val="0036674E"/>
    <w:rsid w:val="0036675B"/>
    <w:rsid w:val="00366EBB"/>
    <w:rsid w:val="0036772F"/>
    <w:rsid w:val="00370AD3"/>
    <w:rsid w:val="00370BC7"/>
    <w:rsid w:val="00371059"/>
    <w:rsid w:val="003715D6"/>
    <w:rsid w:val="003717C6"/>
    <w:rsid w:val="00371822"/>
    <w:rsid w:val="003719DE"/>
    <w:rsid w:val="00371A33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DAB"/>
    <w:rsid w:val="00385DE6"/>
    <w:rsid w:val="00385E54"/>
    <w:rsid w:val="00386246"/>
    <w:rsid w:val="0038696B"/>
    <w:rsid w:val="003871D1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C7F"/>
    <w:rsid w:val="003A7FDB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2C98"/>
    <w:rsid w:val="003C31E0"/>
    <w:rsid w:val="003C331C"/>
    <w:rsid w:val="003C3336"/>
    <w:rsid w:val="003C39E6"/>
    <w:rsid w:val="003C3A11"/>
    <w:rsid w:val="003C40A3"/>
    <w:rsid w:val="003C46AE"/>
    <w:rsid w:val="003C4AFE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660C"/>
    <w:rsid w:val="003D73BD"/>
    <w:rsid w:val="003D7CCE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FC5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3C7"/>
    <w:rsid w:val="003F3B0D"/>
    <w:rsid w:val="003F413A"/>
    <w:rsid w:val="003F47B8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930"/>
    <w:rsid w:val="00401B73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BF5"/>
    <w:rsid w:val="0042327F"/>
    <w:rsid w:val="00423F07"/>
    <w:rsid w:val="00424303"/>
    <w:rsid w:val="004243AB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FAF"/>
    <w:rsid w:val="00434EDF"/>
    <w:rsid w:val="00435149"/>
    <w:rsid w:val="00435269"/>
    <w:rsid w:val="00435805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294"/>
    <w:rsid w:val="0045343E"/>
    <w:rsid w:val="00453626"/>
    <w:rsid w:val="00453704"/>
    <w:rsid w:val="00453FC2"/>
    <w:rsid w:val="0045404D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547"/>
    <w:rsid w:val="00460682"/>
    <w:rsid w:val="00460B6C"/>
    <w:rsid w:val="00460E6C"/>
    <w:rsid w:val="00460F1B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DFD"/>
    <w:rsid w:val="004663C3"/>
    <w:rsid w:val="004666C7"/>
    <w:rsid w:val="00466E73"/>
    <w:rsid w:val="00466F69"/>
    <w:rsid w:val="0046706B"/>
    <w:rsid w:val="00467815"/>
    <w:rsid w:val="00467D9B"/>
    <w:rsid w:val="004703CF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77F47"/>
    <w:rsid w:val="00480439"/>
    <w:rsid w:val="0048086E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67A5"/>
    <w:rsid w:val="004A69D0"/>
    <w:rsid w:val="004A75D0"/>
    <w:rsid w:val="004A7912"/>
    <w:rsid w:val="004A7BA8"/>
    <w:rsid w:val="004B0194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663"/>
    <w:rsid w:val="004B67A4"/>
    <w:rsid w:val="004B74AD"/>
    <w:rsid w:val="004C07BD"/>
    <w:rsid w:val="004C0EF4"/>
    <w:rsid w:val="004C109F"/>
    <w:rsid w:val="004C14B1"/>
    <w:rsid w:val="004C289A"/>
    <w:rsid w:val="004C2ADF"/>
    <w:rsid w:val="004C3427"/>
    <w:rsid w:val="004C4453"/>
    <w:rsid w:val="004C4A77"/>
    <w:rsid w:val="004C4D53"/>
    <w:rsid w:val="004C5692"/>
    <w:rsid w:val="004C60F8"/>
    <w:rsid w:val="004C61A3"/>
    <w:rsid w:val="004C6E03"/>
    <w:rsid w:val="004C6F47"/>
    <w:rsid w:val="004C780C"/>
    <w:rsid w:val="004C7AA2"/>
    <w:rsid w:val="004D03BA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6F2"/>
    <w:rsid w:val="00537A19"/>
    <w:rsid w:val="00540D81"/>
    <w:rsid w:val="00541BF0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33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77D2C"/>
    <w:rsid w:val="005800F7"/>
    <w:rsid w:val="005808CA"/>
    <w:rsid w:val="00580B3D"/>
    <w:rsid w:val="00580F26"/>
    <w:rsid w:val="005810A9"/>
    <w:rsid w:val="00581A7C"/>
    <w:rsid w:val="00581BEF"/>
    <w:rsid w:val="005822F5"/>
    <w:rsid w:val="00582376"/>
    <w:rsid w:val="005839B5"/>
    <w:rsid w:val="00583C0E"/>
    <w:rsid w:val="00583FDB"/>
    <w:rsid w:val="00584056"/>
    <w:rsid w:val="0058427E"/>
    <w:rsid w:val="005845E7"/>
    <w:rsid w:val="00584A97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AEC"/>
    <w:rsid w:val="005A3F9E"/>
    <w:rsid w:val="005A40C0"/>
    <w:rsid w:val="005A4634"/>
    <w:rsid w:val="005A47FE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2194"/>
    <w:rsid w:val="005B2BC3"/>
    <w:rsid w:val="005B3447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F15"/>
    <w:rsid w:val="005E5FF1"/>
    <w:rsid w:val="005E6001"/>
    <w:rsid w:val="005E6155"/>
    <w:rsid w:val="005E62A9"/>
    <w:rsid w:val="005E6566"/>
    <w:rsid w:val="005E6889"/>
    <w:rsid w:val="005E72FB"/>
    <w:rsid w:val="005E7FC5"/>
    <w:rsid w:val="005F01CE"/>
    <w:rsid w:val="005F0296"/>
    <w:rsid w:val="005F0E46"/>
    <w:rsid w:val="005F135B"/>
    <w:rsid w:val="005F1942"/>
    <w:rsid w:val="005F1BB0"/>
    <w:rsid w:val="005F2426"/>
    <w:rsid w:val="005F24DF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286"/>
    <w:rsid w:val="0062155F"/>
    <w:rsid w:val="006219DD"/>
    <w:rsid w:val="00621D63"/>
    <w:rsid w:val="00622172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75F3"/>
    <w:rsid w:val="00627733"/>
    <w:rsid w:val="00627921"/>
    <w:rsid w:val="00630A86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E34"/>
    <w:rsid w:val="0063608A"/>
    <w:rsid w:val="00637056"/>
    <w:rsid w:val="0063793A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A2E"/>
    <w:rsid w:val="00661BD2"/>
    <w:rsid w:val="00661CDB"/>
    <w:rsid w:val="006625C0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480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4124"/>
    <w:rsid w:val="006941DC"/>
    <w:rsid w:val="006952A8"/>
    <w:rsid w:val="00695597"/>
    <w:rsid w:val="00696A89"/>
    <w:rsid w:val="00696F75"/>
    <w:rsid w:val="00696FEC"/>
    <w:rsid w:val="00697165"/>
    <w:rsid w:val="00697477"/>
    <w:rsid w:val="00697D9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5833"/>
    <w:rsid w:val="006A614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183C"/>
    <w:rsid w:val="006C2FED"/>
    <w:rsid w:val="006C32CF"/>
    <w:rsid w:val="006C335E"/>
    <w:rsid w:val="006C37B4"/>
    <w:rsid w:val="006C3A1F"/>
    <w:rsid w:val="006C53F8"/>
    <w:rsid w:val="006C54B1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10C"/>
    <w:rsid w:val="006E0A87"/>
    <w:rsid w:val="006E0A93"/>
    <w:rsid w:val="006E1B15"/>
    <w:rsid w:val="006E346A"/>
    <w:rsid w:val="006E3C8A"/>
    <w:rsid w:val="006E4064"/>
    <w:rsid w:val="006E4806"/>
    <w:rsid w:val="006E4C0D"/>
    <w:rsid w:val="006E58EA"/>
    <w:rsid w:val="006E5BF8"/>
    <w:rsid w:val="006E643B"/>
    <w:rsid w:val="006E67A4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4C3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0B3"/>
    <w:rsid w:val="007213A5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DDD"/>
    <w:rsid w:val="00732F41"/>
    <w:rsid w:val="007332C1"/>
    <w:rsid w:val="007334B1"/>
    <w:rsid w:val="00733510"/>
    <w:rsid w:val="007339F3"/>
    <w:rsid w:val="00733EB2"/>
    <w:rsid w:val="00733EF8"/>
    <w:rsid w:val="007340CF"/>
    <w:rsid w:val="00734400"/>
    <w:rsid w:val="00734898"/>
    <w:rsid w:val="007348EE"/>
    <w:rsid w:val="00734E65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801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A59"/>
    <w:rsid w:val="00791B62"/>
    <w:rsid w:val="00792A24"/>
    <w:rsid w:val="0079304F"/>
    <w:rsid w:val="00793277"/>
    <w:rsid w:val="007934FB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A30"/>
    <w:rsid w:val="007B0BF2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59E"/>
    <w:rsid w:val="007B471E"/>
    <w:rsid w:val="007B4ACA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9C0"/>
    <w:rsid w:val="007C5B8D"/>
    <w:rsid w:val="007C5ECA"/>
    <w:rsid w:val="007C670D"/>
    <w:rsid w:val="007C68D2"/>
    <w:rsid w:val="007C6A87"/>
    <w:rsid w:val="007C6ACF"/>
    <w:rsid w:val="007C6B7A"/>
    <w:rsid w:val="007C7170"/>
    <w:rsid w:val="007C7359"/>
    <w:rsid w:val="007D0C56"/>
    <w:rsid w:val="007D0CD1"/>
    <w:rsid w:val="007D0ED0"/>
    <w:rsid w:val="007D1005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0E11"/>
    <w:rsid w:val="007E133A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F00D0"/>
    <w:rsid w:val="007F0546"/>
    <w:rsid w:val="007F0754"/>
    <w:rsid w:val="007F1691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5B1"/>
    <w:rsid w:val="0080065F"/>
    <w:rsid w:val="008006D9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307"/>
    <w:rsid w:val="0081440E"/>
    <w:rsid w:val="00814D09"/>
    <w:rsid w:val="00814F4D"/>
    <w:rsid w:val="0081566B"/>
    <w:rsid w:val="0081586E"/>
    <w:rsid w:val="00816193"/>
    <w:rsid w:val="008165E4"/>
    <w:rsid w:val="00816696"/>
    <w:rsid w:val="0081726A"/>
    <w:rsid w:val="00817276"/>
    <w:rsid w:val="0081761A"/>
    <w:rsid w:val="00817682"/>
    <w:rsid w:val="008176E6"/>
    <w:rsid w:val="00817AD6"/>
    <w:rsid w:val="008201ED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589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2EE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124E"/>
    <w:rsid w:val="00861AF9"/>
    <w:rsid w:val="00861B74"/>
    <w:rsid w:val="00862DB7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20A6"/>
    <w:rsid w:val="00872942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5"/>
    <w:rsid w:val="008760C3"/>
    <w:rsid w:val="00876F26"/>
    <w:rsid w:val="008770A8"/>
    <w:rsid w:val="008771B6"/>
    <w:rsid w:val="008774D0"/>
    <w:rsid w:val="00877865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6050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DA"/>
    <w:rsid w:val="00891FCC"/>
    <w:rsid w:val="00892702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565"/>
    <w:rsid w:val="008A1C9E"/>
    <w:rsid w:val="008A2417"/>
    <w:rsid w:val="008A273A"/>
    <w:rsid w:val="008A344D"/>
    <w:rsid w:val="008A3976"/>
    <w:rsid w:val="008A4647"/>
    <w:rsid w:val="008A47EC"/>
    <w:rsid w:val="008A4D6C"/>
    <w:rsid w:val="008A5034"/>
    <w:rsid w:val="008A5D49"/>
    <w:rsid w:val="008A5D4A"/>
    <w:rsid w:val="008A63CF"/>
    <w:rsid w:val="008A6414"/>
    <w:rsid w:val="008A6952"/>
    <w:rsid w:val="008A69D6"/>
    <w:rsid w:val="008A6BDC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823"/>
    <w:rsid w:val="008C5B71"/>
    <w:rsid w:val="008C5FFD"/>
    <w:rsid w:val="008C6B27"/>
    <w:rsid w:val="008C6BCE"/>
    <w:rsid w:val="008C6D01"/>
    <w:rsid w:val="008C7039"/>
    <w:rsid w:val="008C7559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4027"/>
    <w:rsid w:val="008E4A1F"/>
    <w:rsid w:val="008E4C62"/>
    <w:rsid w:val="008E4E55"/>
    <w:rsid w:val="008E537D"/>
    <w:rsid w:val="008E6003"/>
    <w:rsid w:val="008E6BEC"/>
    <w:rsid w:val="008E727E"/>
    <w:rsid w:val="008E72E1"/>
    <w:rsid w:val="008E7D97"/>
    <w:rsid w:val="008F03C0"/>
    <w:rsid w:val="008F03CB"/>
    <w:rsid w:val="008F05FB"/>
    <w:rsid w:val="008F0B17"/>
    <w:rsid w:val="008F0C2D"/>
    <w:rsid w:val="008F0F1C"/>
    <w:rsid w:val="008F136C"/>
    <w:rsid w:val="008F1E31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60B"/>
    <w:rsid w:val="008F695F"/>
    <w:rsid w:val="008F6E12"/>
    <w:rsid w:val="00900057"/>
    <w:rsid w:val="0090019D"/>
    <w:rsid w:val="00900516"/>
    <w:rsid w:val="009005CE"/>
    <w:rsid w:val="00900822"/>
    <w:rsid w:val="00900C17"/>
    <w:rsid w:val="00900CF2"/>
    <w:rsid w:val="00901376"/>
    <w:rsid w:val="0090188B"/>
    <w:rsid w:val="00901AF4"/>
    <w:rsid w:val="00901EE5"/>
    <w:rsid w:val="00901F83"/>
    <w:rsid w:val="009021A4"/>
    <w:rsid w:val="009027FA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2022"/>
    <w:rsid w:val="009425D0"/>
    <w:rsid w:val="00943395"/>
    <w:rsid w:val="00943453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E4B"/>
    <w:rsid w:val="0096021A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701B"/>
    <w:rsid w:val="00987088"/>
    <w:rsid w:val="009870A0"/>
    <w:rsid w:val="00987994"/>
    <w:rsid w:val="00987C66"/>
    <w:rsid w:val="00987EE5"/>
    <w:rsid w:val="009900F0"/>
    <w:rsid w:val="00990180"/>
    <w:rsid w:val="00990C67"/>
    <w:rsid w:val="00991CD8"/>
    <w:rsid w:val="00991EBE"/>
    <w:rsid w:val="00992830"/>
    <w:rsid w:val="009928B3"/>
    <w:rsid w:val="00992A4A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42F6"/>
    <w:rsid w:val="009A45C8"/>
    <w:rsid w:val="009A4EAD"/>
    <w:rsid w:val="009A50CD"/>
    <w:rsid w:val="009A532D"/>
    <w:rsid w:val="009A59FF"/>
    <w:rsid w:val="009B03E8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AB9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2E7E"/>
    <w:rsid w:val="009F37BF"/>
    <w:rsid w:val="009F3DA5"/>
    <w:rsid w:val="009F4326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28"/>
    <w:rsid w:val="00A001C8"/>
    <w:rsid w:val="00A0082F"/>
    <w:rsid w:val="00A00AE7"/>
    <w:rsid w:val="00A01593"/>
    <w:rsid w:val="00A016AA"/>
    <w:rsid w:val="00A01B3E"/>
    <w:rsid w:val="00A0244C"/>
    <w:rsid w:val="00A02A53"/>
    <w:rsid w:val="00A033FF"/>
    <w:rsid w:val="00A038D7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41DC"/>
    <w:rsid w:val="00A14503"/>
    <w:rsid w:val="00A14928"/>
    <w:rsid w:val="00A14E25"/>
    <w:rsid w:val="00A14E81"/>
    <w:rsid w:val="00A15901"/>
    <w:rsid w:val="00A160DD"/>
    <w:rsid w:val="00A16331"/>
    <w:rsid w:val="00A163B8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D7A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101A"/>
    <w:rsid w:val="00A3115F"/>
    <w:rsid w:val="00A3194F"/>
    <w:rsid w:val="00A31BFC"/>
    <w:rsid w:val="00A31E6C"/>
    <w:rsid w:val="00A32209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10EC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1B8"/>
    <w:rsid w:val="00A44703"/>
    <w:rsid w:val="00A44A48"/>
    <w:rsid w:val="00A44D9B"/>
    <w:rsid w:val="00A44ECE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50BCE"/>
    <w:rsid w:val="00A51CBF"/>
    <w:rsid w:val="00A51DF8"/>
    <w:rsid w:val="00A5205B"/>
    <w:rsid w:val="00A5219C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1A4"/>
    <w:rsid w:val="00A673A7"/>
    <w:rsid w:val="00A67670"/>
    <w:rsid w:val="00A6786C"/>
    <w:rsid w:val="00A678AB"/>
    <w:rsid w:val="00A67917"/>
    <w:rsid w:val="00A679B0"/>
    <w:rsid w:val="00A67F19"/>
    <w:rsid w:val="00A70225"/>
    <w:rsid w:val="00A70517"/>
    <w:rsid w:val="00A708DF"/>
    <w:rsid w:val="00A70904"/>
    <w:rsid w:val="00A709BB"/>
    <w:rsid w:val="00A717CF"/>
    <w:rsid w:val="00A72239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4B2"/>
    <w:rsid w:val="00A77C30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51F2"/>
    <w:rsid w:val="00A96195"/>
    <w:rsid w:val="00A962D6"/>
    <w:rsid w:val="00A963C1"/>
    <w:rsid w:val="00A9668E"/>
    <w:rsid w:val="00A9704A"/>
    <w:rsid w:val="00A97395"/>
    <w:rsid w:val="00A9741A"/>
    <w:rsid w:val="00A97511"/>
    <w:rsid w:val="00A97698"/>
    <w:rsid w:val="00A97AD0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B3"/>
    <w:rsid w:val="00AA6E1B"/>
    <w:rsid w:val="00AA7078"/>
    <w:rsid w:val="00AA7211"/>
    <w:rsid w:val="00AA7540"/>
    <w:rsid w:val="00AA7779"/>
    <w:rsid w:val="00AA780F"/>
    <w:rsid w:val="00AB0B9C"/>
    <w:rsid w:val="00AB0EAC"/>
    <w:rsid w:val="00AB10A3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70D4"/>
    <w:rsid w:val="00AC737D"/>
    <w:rsid w:val="00AC7655"/>
    <w:rsid w:val="00AC7F43"/>
    <w:rsid w:val="00AC7F52"/>
    <w:rsid w:val="00AD0007"/>
    <w:rsid w:val="00AD05A6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FA3"/>
    <w:rsid w:val="00AE0162"/>
    <w:rsid w:val="00AE05EA"/>
    <w:rsid w:val="00AE0781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888"/>
    <w:rsid w:val="00AF3A05"/>
    <w:rsid w:val="00AF44C8"/>
    <w:rsid w:val="00AF4BF4"/>
    <w:rsid w:val="00AF4BF9"/>
    <w:rsid w:val="00AF551F"/>
    <w:rsid w:val="00AF55FA"/>
    <w:rsid w:val="00AF5706"/>
    <w:rsid w:val="00AF5AE8"/>
    <w:rsid w:val="00AF5F84"/>
    <w:rsid w:val="00AF6EEF"/>
    <w:rsid w:val="00AF735A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2F4"/>
    <w:rsid w:val="00B154B3"/>
    <w:rsid w:val="00B154B5"/>
    <w:rsid w:val="00B1664E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833"/>
    <w:rsid w:val="00B21343"/>
    <w:rsid w:val="00B21776"/>
    <w:rsid w:val="00B219AA"/>
    <w:rsid w:val="00B21A5B"/>
    <w:rsid w:val="00B21D99"/>
    <w:rsid w:val="00B221C7"/>
    <w:rsid w:val="00B22260"/>
    <w:rsid w:val="00B22549"/>
    <w:rsid w:val="00B2279B"/>
    <w:rsid w:val="00B22D6E"/>
    <w:rsid w:val="00B23135"/>
    <w:rsid w:val="00B232FE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B2D"/>
    <w:rsid w:val="00B44029"/>
    <w:rsid w:val="00B44FFA"/>
    <w:rsid w:val="00B451D8"/>
    <w:rsid w:val="00B45428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FF"/>
    <w:rsid w:val="00B609C5"/>
    <w:rsid w:val="00B60B63"/>
    <w:rsid w:val="00B60C3E"/>
    <w:rsid w:val="00B610BA"/>
    <w:rsid w:val="00B615CB"/>
    <w:rsid w:val="00B616D8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7E6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288"/>
    <w:rsid w:val="00B7350D"/>
    <w:rsid w:val="00B73B2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325B"/>
    <w:rsid w:val="00B84245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21D"/>
    <w:rsid w:val="00B915C5"/>
    <w:rsid w:val="00B91C52"/>
    <w:rsid w:val="00B91F21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67F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78B"/>
    <w:rsid w:val="00BA6C22"/>
    <w:rsid w:val="00BA6DBD"/>
    <w:rsid w:val="00BB0267"/>
    <w:rsid w:val="00BB078B"/>
    <w:rsid w:val="00BB0DE7"/>
    <w:rsid w:val="00BB0E0C"/>
    <w:rsid w:val="00BB112C"/>
    <w:rsid w:val="00BB135F"/>
    <w:rsid w:val="00BB209C"/>
    <w:rsid w:val="00BB2B25"/>
    <w:rsid w:val="00BB30EA"/>
    <w:rsid w:val="00BB35B6"/>
    <w:rsid w:val="00BB37AF"/>
    <w:rsid w:val="00BB3BBC"/>
    <w:rsid w:val="00BB4011"/>
    <w:rsid w:val="00BB4769"/>
    <w:rsid w:val="00BB49D4"/>
    <w:rsid w:val="00BB4AF9"/>
    <w:rsid w:val="00BB4C08"/>
    <w:rsid w:val="00BB4FDA"/>
    <w:rsid w:val="00BB61BE"/>
    <w:rsid w:val="00BB66B2"/>
    <w:rsid w:val="00BB6891"/>
    <w:rsid w:val="00BB6AC3"/>
    <w:rsid w:val="00BB6C49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493"/>
    <w:rsid w:val="00BD5052"/>
    <w:rsid w:val="00BD5160"/>
    <w:rsid w:val="00BD5413"/>
    <w:rsid w:val="00BD58A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1B73"/>
    <w:rsid w:val="00BF2033"/>
    <w:rsid w:val="00BF2C93"/>
    <w:rsid w:val="00BF3158"/>
    <w:rsid w:val="00BF3169"/>
    <w:rsid w:val="00BF34E0"/>
    <w:rsid w:val="00BF3911"/>
    <w:rsid w:val="00BF3BD1"/>
    <w:rsid w:val="00BF412D"/>
    <w:rsid w:val="00BF5023"/>
    <w:rsid w:val="00BF51B7"/>
    <w:rsid w:val="00BF5491"/>
    <w:rsid w:val="00BF56BE"/>
    <w:rsid w:val="00BF6676"/>
    <w:rsid w:val="00BF670D"/>
    <w:rsid w:val="00BF6B8D"/>
    <w:rsid w:val="00BF725A"/>
    <w:rsid w:val="00BF7B60"/>
    <w:rsid w:val="00BF7BD9"/>
    <w:rsid w:val="00BF7F14"/>
    <w:rsid w:val="00C004DD"/>
    <w:rsid w:val="00C00953"/>
    <w:rsid w:val="00C00C95"/>
    <w:rsid w:val="00C00F38"/>
    <w:rsid w:val="00C021B2"/>
    <w:rsid w:val="00C02493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BEC"/>
    <w:rsid w:val="00C26C06"/>
    <w:rsid w:val="00C27175"/>
    <w:rsid w:val="00C2796E"/>
    <w:rsid w:val="00C27A2E"/>
    <w:rsid w:val="00C30008"/>
    <w:rsid w:val="00C302BD"/>
    <w:rsid w:val="00C30BF7"/>
    <w:rsid w:val="00C3140F"/>
    <w:rsid w:val="00C31921"/>
    <w:rsid w:val="00C31A5B"/>
    <w:rsid w:val="00C32176"/>
    <w:rsid w:val="00C32A02"/>
    <w:rsid w:val="00C32A16"/>
    <w:rsid w:val="00C32EA6"/>
    <w:rsid w:val="00C33356"/>
    <w:rsid w:val="00C344DC"/>
    <w:rsid w:val="00C34ABD"/>
    <w:rsid w:val="00C353CF"/>
    <w:rsid w:val="00C35F0A"/>
    <w:rsid w:val="00C35F43"/>
    <w:rsid w:val="00C360CA"/>
    <w:rsid w:val="00C363A9"/>
    <w:rsid w:val="00C36603"/>
    <w:rsid w:val="00C369A4"/>
    <w:rsid w:val="00C36C55"/>
    <w:rsid w:val="00C37088"/>
    <w:rsid w:val="00C3715E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6C58"/>
    <w:rsid w:val="00C56CCC"/>
    <w:rsid w:val="00C56F6D"/>
    <w:rsid w:val="00C57B3F"/>
    <w:rsid w:val="00C60320"/>
    <w:rsid w:val="00C60A94"/>
    <w:rsid w:val="00C60ED3"/>
    <w:rsid w:val="00C624FC"/>
    <w:rsid w:val="00C62BAA"/>
    <w:rsid w:val="00C6352A"/>
    <w:rsid w:val="00C635CC"/>
    <w:rsid w:val="00C63B29"/>
    <w:rsid w:val="00C63D29"/>
    <w:rsid w:val="00C64538"/>
    <w:rsid w:val="00C64E85"/>
    <w:rsid w:val="00C64FE6"/>
    <w:rsid w:val="00C65B2D"/>
    <w:rsid w:val="00C65C5D"/>
    <w:rsid w:val="00C65DA0"/>
    <w:rsid w:val="00C66083"/>
    <w:rsid w:val="00C6656A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593A"/>
    <w:rsid w:val="00C76D32"/>
    <w:rsid w:val="00C778A2"/>
    <w:rsid w:val="00C77E68"/>
    <w:rsid w:val="00C80D90"/>
    <w:rsid w:val="00C81245"/>
    <w:rsid w:val="00C815D0"/>
    <w:rsid w:val="00C81B05"/>
    <w:rsid w:val="00C82179"/>
    <w:rsid w:val="00C8228A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4CF0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97C4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18C0"/>
    <w:rsid w:val="00CC1939"/>
    <w:rsid w:val="00CC1F80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07F"/>
    <w:rsid w:val="00CD3369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10769"/>
    <w:rsid w:val="00D11348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3E32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9FB"/>
    <w:rsid w:val="00D21ADC"/>
    <w:rsid w:val="00D21EFF"/>
    <w:rsid w:val="00D22DD2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4D7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30E7"/>
    <w:rsid w:val="00D640BA"/>
    <w:rsid w:val="00D6444B"/>
    <w:rsid w:val="00D64C56"/>
    <w:rsid w:val="00D654B4"/>
    <w:rsid w:val="00D65A49"/>
    <w:rsid w:val="00D66008"/>
    <w:rsid w:val="00D662FC"/>
    <w:rsid w:val="00D66410"/>
    <w:rsid w:val="00D66472"/>
    <w:rsid w:val="00D6679A"/>
    <w:rsid w:val="00D66D20"/>
    <w:rsid w:val="00D66F17"/>
    <w:rsid w:val="00D66F26"/>
    <w:rsid w:val="00D672A3"/>
    <w:rsid w:val="00D6744F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77800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4E4D"/>
    <w:rsid w:val="00D8603D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675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CE2"/>
    <w:rsid w:val="00DD371B"/>
    <w:rsid w:val="00DD4238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DCE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4A8"/>
    <w:rsid w:val="00DE7566"/>
    <w:rsid w:val="00DE7D4D"/>
    <w:rsid w:val="00DE7E46"/>
    <w:rsid w:val="00DF066D"/>
    <w:rsid w:val="00DF0C37"/>
    <w:rsid w:val="00DF0C88"/>
    <w:rsid w:val="00DF10A6"/>
    <w:rsid w:val="00DF135C"/>
    <w:rsid w:val="00DF18FC"/>
    <w:rsid w:val="00DF2234"/>
    <w:rsid w:val="00DF22B4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3207"/>
    <w:rsid w:val="00E134FE"/>
    <w:rsid w:val="00E13958"/>
    <w:rsid w:val="00E1434A"/>
    <w:rsid w:val="00E14600"/>
    <w:rsid w:val="00E146CF"/>
    <w:rsid w:val="00E14BED"/>
    <w:rsid w:val="00E15048"/>
    <w:rsid w:val="00E15606"/>
    <w:rsid w:val="00E15ACE"/>
    <w:rsid w:val="00E15BA6"/>
    <w:rsid w:val="00E15C2B"/>
    <w:rsid w:val="00E15F9F"/>
    <w:rsid w:val="00E15FFB"/>
    <w:rsid w:val="00E16406"/>
    <w:rsid w:val="00E16BAF"/>
    <w:rsid w:val="00E1734B"/>
    <w:rsid w:val="00E17711"/>
    <w:rsid w:val="00E17D0F"/>
    <w:rsid w:val="00E20112"/>
    <w:rsid w:val="00E20504"/>
    <w:rsid w:val="00E20D6C"/>
    <w:rsid w:val="00E210C4"/>
    <w:rsid w:val="00E211F7"/>
    <w:rsid w:val="00E21488"/>
    <w:rsid w:val="00E217A2"/>
    <w:rsid w:val="00E21B26"/>
    <w:rsid w:val="00E2207F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22F"/>
    <w:rsid w:val="00E342B3"/>
    <w:rsid w:val="00E3451F"/>
    <w:rsid w:val="00E3469B"/>
    <w:rsid w:val="00E34969"/>
    <w:rsid w:val="00E34B80"/>
    <w:rsid w:val="00E34DDA"/>
    <w:rsid w:val="00E34EE9"/>
    <w:rsid w:val="00E3590B"/>
    <w:rsid w:val="00E36ADF"/>
    <w:rsid w:val="00E36B53"/>
    <w:rsid w:val="00E3705A"/>
    <w:rsid w:val="00E37585"/>
    <w:rsid w:val="00E40652"/>
    <w:rsid w:val="00E40A18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B3B"/>
    <w:rsid w:val="00E60BDC"/>
    <w:rsid w:val="00E61029"/>
    <w:rsid w:val="00E61462"/>
    <w:rsid w:val="00E61498"/>
    <w:rsid w:val="00E6177F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C7F"/>
    <w:rsid w:val="00E70EA0"/>
    <w:rsid w:val="00E7186E"/>
    <w:rsid w:val="00E71AE2"/>
    <w:rsid w:val="00E7270A"/>
    <w:rsid w:val="00E72EB3"/>
    <w:rsid w:val="00E73271"/>
    <w:rsid w:val="00E734C7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0D"/>
    <w:rsid w:val="00E8475C"/>
    <w:rsid w:val="00E847C9"/>
    <w:rsid w:val="00E85288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C3"/>
    <w:rsid w:val="00E91BF5"/>
    <w:rsid w:val="00E92527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AE7"/>
    <w:rsid w:val="00EA0CE1"/>
    <w:rsid w:val="00EA1086"/>
    <w:rsid w:val="00EA10B1"/>
    <w:rsid w:val="00EA20D4"/>
    <w:rsid w:val="00EA270C"/>
    <w:rsid w:val="00EA2ECB"/>
    <w:rsid w:val="00EA2ED7"/>
    <w:rsid w:val="00EA3185"/>
    <w:rsid w:val="00EA36EA"/>
    <w:rsid w:val="00EA413E"/>
    <w:rsid w:val="00EA443F"/>
    <w:rsid w:val="00EA4645"/>
    <w:rsid w:val="00EA466B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C52"/>
    <w:rsid w:val="00EB41F5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715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4347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1407"/>
    <w:rsid w:val="00ED1A74"/>
    <w:rsid w:val="00ED21EF"/>
    <w:rsid w:val="00ED34D4"/>
    <w:rsid w:val="00ED3ADF"/>
    <w:rsid w:val="00ED3D84"/>
    <w:rsid w:val="00ED3D87"/>
    <w:rsid w:val="00ED3E53"/>
    <w:rsid w:val="00ED42FF"/>
    <w:rsid w:val="00ED58B3"/>
    <w:rsid w:val="00ED5E6C"/>
    <w:rsid w:val="00ED74FB"/>
    <w:rsid w:val="00ED766C"/>
    <w:rsid w:val="00ED76FB"/>
    <w:rsid w:val="00ED78A3"/>
    <w:rsid w:val="00EE05C2"/>
    <w:rsid w:val="00EE06A6"/>
    <w:rsid w:val="00EE0D01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121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34E"/>
    <w:rsid w:val="00EF359E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30016"/>
    <w:rsid w:val="00F3013E"/>
    <w:rsid w:val="00F3058F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6D5"/>
    <w:rsid w:val="00F409C2"/>
    <w:rsid w:val="00F40CAB"/>
    <w:rsid w:val="00F40D09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A8A"/>
    <w:rsid w:val="00F50BFA"/>
    <w:rsid w:val="00F510A6"/>
    <w:rsid w:val="00F51D20"/>
    <w:rsid w:val="00F52BF1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F58"/>
    <w:rsid w:val="00F963E1"/>
    <w:rsid w:val="00F9721B"/>
    <w:rsid w:val="00F977CB"/>
    <w:rsid w:val="00F97854"/>
    <w:rsid w:val="00F97C49"/>
    <w:rsid w:val="00FA0942"/>
    <w:rsid w:val="00FA0AC9"/>
    <w:rsid w:val="00FA188C"/>
    <w:rsid w:val="00FA1FF2"/>
    <w:rsid w:val="00FA2910"/>
    <w:rsid w:val="00FA29F4"/>
    <w:rsid w:val="00FA362D"/>
    <w:rsid w:val="00FA3D8C"/>
    <w:rsid w:val="00FA3E51"/>
    <w:rsid w:val="00FA403D"/>
    <w:rsid w:val="00FA40A3"/>
    <w:rsid w:val="00FA427F"/>
    <w:rsid w:val="00FA45CD"/>
    <w:rsid w:val="00FA4D76"/>
    <w:rsid w:val="00FA52BF"/>
    <w:rsid w:val="00FA5989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411"/>
    <w:rsid w:val="00FC163A"/>
    <w:rsid w:val="00FC16FB"/>
    <w:rsid w:val="00FC183A"/>
    <w:rsid w:val="00FC19F5"/>
    <w:rsid w:val="00FC28D1"/>
    <w:rsid w:val="00FC2C28"/>
    <w:rsid w:val="00FC2EA2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BC9"/>
    <w:rsid w:val="00FF4EB5"/>
    <w:rsid w:val="00FF5893"/>
    <w:rsid w:val="00FF6062"/>
    <w:rsid w:val="00FF636B"/>
    <w:rsid w:val="00FF66BB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47E26CF-2DD5-4F76-9CC0-B3C38F1A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5384&amp;texto=2b434f4c45474941444f253341253232504c454e4152494f2532322b414e442b2b2532384e554d41434f5244414f253341313735342b4f522b4e554d52454c4143414f25334131373534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ntas.tcu.gov.br/juris/SvlHighLight?key=ACORDAO-LEGADO-115319&amp;texto=2b434f4c45474941444f253341253232504c454e4152494f2532322b414e442b2b2532384e554d41434f5244414f253341313737302b4f522b4e554d52454c4143414f25334131373730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juris@tcu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HighLight?key=ACORDAO-LEGADO-115365&amp;texto=2b434f4c45474941444f253341253232534547554e44412b43414d4152412532322b414e442b2b2532384e554d41434f5244414f253341333933362b4f522b4e554d52454c4143414f25334133393336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s.tcu.gov.br/juris/SvlHighLight?key=ACORDAO-LEGADO-115288&amp;texto=2b434f4c45474941444f253341253232504c454e4152494f2532322b414e442b2b2532384e554d41434f5244414f253341313738352b4f522b4e554d52454c4143414f25334131373835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2097</Words>
  <Characters>11330</Characters>
  <Application>Microsoft Office Word</Application>
  <DocSecurity>4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13401</CharactersWithSpaces>
  <SharedDoc>false</SharedDoc>
  <HLinks>
    <vt:vector size="30" baseType="variant">
      <vt:variant>
        <vt:i4>7602203</vt:i4>
      </vt:variant>
      <vt:variant>
        <vt:i4>12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-115365&amp;texto=2b434f4c45474941444f253341253232534547554e44412b43414d4152412532322b414e442b2b2532384e554d41434f5244414f253341333933362b4f522b4e554d52454c4143414f253341333933362532392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-115288&amp;texto=2b434f4c45474941444f253341253232504c454e4152494f2532322b414e442b2b2532384e554d41434f5244414f253341313738352b4f522b4e554d52454c4143414f253341313738352532392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-115384&amp;texto=2b434f4c45474941444f253341253232504c454e4152494f2532322b414e442b2b2532384e554d41434f5244414f253341313735342b4f522b4e554d52454c4143414f253341313735342532392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-115319&amp;texto=2b434f4c45474941444f253341253232504c454e4152494f2532322b414e442b2b2532384e554d41434f5244414f253341313737302b4f522b4e554d52454c4143414f253341313737302532392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2013-07-02T20:45:00Z</cp:lastPrinted>
  <dcterms:created xsi:type="dcterms:W3CDTF">2015-05-07T13:07:00Z</dcterms:created>
  <dcterms:modified xsi:type="dcterms:W3CDTF">2015-05-07T13:07:00Z</dcterms:modified>
</cp:coreProperties>
</file>