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B3D9A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BB3D9A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BB3D9A">
        <w:rPr>
          <w:rFonts w:ascii="Times New Roman" w:hAnsi="Times New Roman"/>
          <w:b/>
          <w:i w:val="0"/>
          <w:sz w:val="22"/>
          <w:szCs w:val="22"/>
        </w:rPr>
        <w:t>ões</w:t>
      </w:r>
      <w:r w:rsidRPr="00BB3D9A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A11430" w:rsidRPr="00BB3D9A">
        <w:rPr>
          <w:rFonts w:ascii="Times New Roman" w:hAnsi="Times New Roman"/>
          <w:b/>
          <w:i w:val="0"/>
          <w:sz w:val="22"/>
          <w:szCs w:val="22"/>
        </w:rPr>
        <w:t>22</w:t>
      </w:r>
      <w:r w:rsidR="00536601" w:rsidRPr="00BB3D9A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DB24A2" w:rsidRPr="00BB3D9A">
        <w:rPr>
          <w:rFonts w:ascii="Times New Roman" w:hAnsi="Times New Roman"/>
          <w:b/>
          <w:i w:val="0"/>
          <w:sz w:val="22"/>
          <w:szCs w:val="22"/>
        </w:rPr>
        <w:t>2</w:t>
      </w:r>
      <w:r w:rsidR="00A11430" w:rsidRPr="00BB3D9A">
        <w:rPr>
          <w:rFonts w:ascii="Times New Roman" w:hAnsi="Times New Roman"/>
          <w:b/>
          <w:i w:val="0"/>
          <w:sz w:val="22"/>
          <w:szCs w:val="22"/>
        </w:rPr>
        <w:t>3</w:t>
      </w:r>
      <w:r w:rsidR="00F26E64" w:rsidRPr="00BB3D9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E6019" w:rsidRPr="00BB3D9A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BB3D9A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A11430" w:rsidRPr="00BB3D9A">
        <w:rPr>
          <w:rFonts w:ascii="Times New Roman" w:hAnsi="Times New Roman"/>
          <w:b/>
          <w:i w:val="0"/>
          <w:sz w:val="22"/>
          <w:szCs w:val="22"/>
        </w:rPr>
        <w:t>janeiro</w:t>
      </w:r>
      <w:r w:rsidR="00E64D8F" w:rsidRPr="00BB3D9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BB3D9A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BB3D9A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BB3D9A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BB3D9A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BB3D9A">
        <w:rPr>
          <w:sz w:val="22"/>
          <w:szCs w:val="22"/>
        </w:rPr>
        <w:t>s</w:t>
      </w:r>
      <w:r w:rsidRPr="00BB3D9A">
        <w:rPr>
          <w:sz w:val="22"/>
          <w:szCs w:val="22"/>
        </w:rPr>
        <w:t xml:space="preserve"> data</w:t>
      </w:r>
      <w:r w:rsidR="003D0153" w:rsidRPr="00BB3D9A">
        <w:rPr>
          <w:sz w:val="22"/>
          <w:szCs w:val="22"/>
        </w:rPr>
        <w:t>s</w:t>
      </w:r>
      <w:r w:rsidRPr="00BB3D9A">
        <w:rPr>
          <w:sz w:val="22"/>
          <w:szCs w:val="22"/>
        </w:rPr>
        <w:t xml:space="preserve"> acima indicada</w:t>
      </w:r>
      <w:r w:rsidR="003D0153" w:rsidRPr="00BB3D9A">
        <w:rPr>
          <w:sz w:val="22"/>
          <w:szCs w:val="22"/>
        </w:rPr>
        <w:t>s</w:t>
      </w:r>
      <w:r w:rsidRPr="00BB3D9A">
        <w:rPr>
          <w:sz w:val="22"/>
          <w:szCs w:val="22"/>
        </w:rPr>
        <w:t>, relativas a licitações e contratos, e tem por finalidade facilitar o acompanhamento, pelo leitor, d</w:t>
      </w:r>
      <w:r w:rsidR="000E5EAB" w:rsidRPr="00BB3D9A">
        <w:rPr>
          <w:sz w:val="22"/>
          <w:szCs w:val="22"/>
        </w:rPr>
        <w:t>o</w:t>
      </w:r>
      <w:r w:rsidRPr="00BB3D9A">
        <w:rPr>
          <w:sz w:val="22"/>
          <w:szCs w:val="22"/>
        </w:rPr>
        <w:t xml:space="preserve">s aspectos relevantes que envolvem o tema. </w:t>
      </w:r>
      <w:r w:rsidR="000E5EAB" w:rsidRPr="00BB3D9A">
        <w:rPr>
          <w:sz w:val="22"/>
          <w:szCs w:val="22"/>
        </w:rPr>
        <w:t>A</w:t>
      </w:r>
      <w:r w:rsidRPr="00BB3D9A">
        <w:rPr>
          <w:sz w:val="22"/>
          <w:szCs w:val="22"/>
        </w:rPr>
        <w:t xml:space="preserve"> seleção das decisões que constam do Informativo é feita pela Secretaria das Sessões, levando em consideração ao menos um </w:t>
      </w:r>
      <w:r w:rsidRPr="00B11261">
        <w:rPr>
          <w:sz w:val="22"/>
          <w:szCs w:val="22"/>
        </w:rPr>
        <w:t>dos seguintes fatores: ineditismo da deliberação, discussão no colegiado ou reiteração de entendimento importante. Os resumos</w:t>
      </w:r>
      <w:r w:rsidRPr="00BB3D9A">
        <w:rPr>
          <w:sz w:val="22"/>
          <w:szCs w:val="22"/>
        </w:rPr>
        <w:t xml:space="preserve"> apresentados no Informativo não são repositórios oficiais de jurisprudência.</w:t>
      </w:r>
    </w:p>
    <w:p w:rsidR="009C5EDE" w:rsidRPr="00BB3D9A" w:rsidRDefault="00A11430" w:rsidP="00A1143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BB3D9A">
        <w:rPr>
          <w:b/>
          <w:bCs/>
          <w:smallCaps/>
          <w:sz w:val="22"/>
          <w:szCs w:val="22"/>
        </w:rPr>
        <w:t>SUMÁRIO</w:t>
      </w:r>
    </w:p>
    <w:p w:rsidR="00400533" w:rsidRPr="00BB3D9A" w:rsidRDefault="0084005B" w:rsidP="00703C5B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BB3D9A">
        <w:rPr>
          <w:b/>
          <w:sz w:val="22"/>
          <w:szCs w:val="22"/>
          <w:lang w:eastAsia="pt-BR"/>
        </w:rPr>
        <w:t>Plenário</w:t>
      </w:r>
    </w:p>
    <w:p w:rsidR="00F26E64" w:rsidRPr="00BB3D9A" w:rsidRDefault="00F26E64" w:rsidP="00F26E64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BB3D9A">
        <w:rPr>
          <w:color w:val="auto"/>
          <w:sz w:val="22"/>
          <w:szCs w:val="22"/>
        </w:rPr>
        <w:t>1. A</w:t>
      </w:r>
      <w:r w:rsidRPr="00BB3D9A">
        <w:rPr>
          <w:sz w:val="22"/>
          <w:szCs w:val="22"/>
        </w:rPr>
        <w:t xml:space="preserve"> demonstração da capacidade técnico-operacional </w:t>
      </w:r>
      <w:r w:rsidR="00E23F84" w:rsidRPr="00BB3D9A">
        <w:rPr>
          <w:sz w:val="22"/>
          <w:szCs w:val="22"/>
        </w:rPr>
        <w:t xml:space="preserve">para </w:t>
      </w:r>
      <w:r w:rsidRPr="00BB3D9A">
        <w:rPr>
          <w:sz w:val="22"/>
          <w:szCs w:val="22"/>
        </w:rPr>
        <w:t>execução de serviços deve-se restringir às parcelas de maior relevância e valor significativo do objeto a ser contratado.</w:t>
      </w:r>
    </w:p>
    <w:p w:rsidR="00E23F84" w:rsidRPr="00BB3D9A" w:rsidRDefault="00E23F84" w:rsidP="00E23F84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BB3D9A">
        <w:rPr>
          <w:sz w:val="22"/>
          <w:szCs w:val="22"/>
        </w:rPr>
        <w:t>2. A inclusão de itens produzidos por empresas de ramo de negócio distintos, em um mesmo lote de pregão, compromete, em avaliação inicial, o caráter competitivo do certame.</w:t>
      </w:r>
    </w:p>
    <w:p w:rsidR="00F26E64" w:rsidRPr="00BB3D9A" w:rsidRDefault="00E23F84" w:rsidP="00F26E64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BB3D9A">
        <w:rPr>
          <w:color w:val="auto"/>
          <w:sz w:val="22"/>
          <w:szCs w:val="22"/>
        </w:rPr>
        <w:t>3</w:t>
      </w:r>
      <w:r w:rsidR="00F26E64" w:rsidRPr="00BB3D9A">
        <w:rPr>
          <w:color w:val="auto"/>
          <w:sz w:val="22"/>
          <w:szCs w:val="22"/>
        </w:rPr>
        <w:t xml:space="preserve">. A prática de ato irregular por representante comercial que não integre o quadro societário da empresa com a qual se relaciona, nem detenha autorização para se pronunciar em nome dela, </w:t>
      </w:r>
      <w:r w:rsidR="00BB3D9A" w:rsidRPr="00BB3D9A">
        <w:rPr>
          <w:color w:val="auto"/>
          <w:sz w:val="22"/>
          <w:szCs w:val="22"/>
        </w:rPr>
        <w:t>é insuficiente para justificar</w:t>
      </w:r>
      <w:r w:rsidR="00F26E64" w:rsidRPr="00BB3D9A">
        <w:rPr>
          <w:color w:val="auto"/>
          <w:sz w:val="22"/>
          <w:szCs w:val="22"/>
        </w:rPr>
        <w:t xml:space="preserve"> a declaração de inidoneidade de tal empresa.</w:t>
      </w:r>
    </w:p>
    <w:p w:rsidR="00A11430" w:rsidRPr="00BB3D9A" w:rsidRDefault="00F26E64" w:rsidP="00F26E64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BB3D9A">
        <w:rPr>
          <w:sz w:val="22"/>
          <w:szCs w:val="22"/>
        </w:rPr>
        <w:t>4.</w:t>
      </w:r>
      <w:r w:rsidR="00BB3D9A" w:rsidRPr="00BB3D9A">
        <w:rPr>
          <w:sz w:val="22"/>
          <w:szCs w:val="22"/>
        </w:rPr>
        <w:t xml:space="preserve"> </w:t>
      </w:r>
      <w:r w:rsidRPr="00BB3D9A">
        <w:rPr>
          <w:sz w:val="22"/>
          <w:szCs w:val="22"/>
        </w:rPr>
        <w:t>É lícito o estabelecimento de remuneração por horas de trabalho para serviços de tecnologia da informação, quando não for possível vinculá-la a resultados.</w:t>
      </w:r>
    </w:p>
    <w:p w:rsidR="00F26E64" w:rsidRPr="00BB3D9A" w:rsidRDefault="00F26E64" w:rsidP="00F26E64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  <w:r w:rsidRPr="00BB3D9A">
        <w:rPr>
          <w:sz w:val="22"/>
          <w:szCs w:val="22"/>
        </w:rPr>
        <w:t>5. A fixação de limites salariais mínimos a serem pagos por empresa contratada para prestação de serviço de tecnologia da informação a seus empregados, quando ao menos parte de tais tarefas for remunerada por horas trabalhadas, não afronta a legislação vigente.</w:t>
      </w:r>
    </w:p>
    <w:p w:rsidR="006733E9" w:rsidRPr="00BB3D9A" w:rsidRDefault="00A42F3E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BB3D9A">
        <w:rPr>
          <w:b/>
          <w:bCs/>
          <w:smallCaps/>
          <w:sz w:val="22"/>
          <w:szCs w:val="22"/>
        </w:rPr>
        <w:t>PLENÁRIO</w:t>
      </w:r>
    </w:p>
    <w:p w:rsidR="004E55D4" w:rsidRPr="00BB3D9A" w:rsidRDefault="004E55D4" w:rsidP="004E55D4">
      <w:pPr>
        <w:pStyle w:val="Default"/>
        <w:jc w:val="both"/>
        <w:rPr>
          <w:b/>
          <w:color w:val="auto"/>
          <w:sz w:val="22"/>
          <w:szCs w:val="22"/>
        </w:rPr>
      </w:pPr>
    </w:p>
    <w:p w:rsidR="00F256A5" w:rsidRPr="00BB3D9A" w:rsidRDefault="004E55D4" w:rsidP="004E55D4">
      <w:pPr>
        <w:pStyle w:val="Default"/>
        <w:jc w:val="both"/>
        <w:rPr>
          <w:b/>
          <w:color w:val="auto"/>
          <w:sz w:val="22"/>
          <w:szCs w:val="22"/>
        </w:rPr>
      </w:pPr>
      <w:r w:rsidRPr="00BB3D9A">
        <w:rPr>
          <w:b/>
          <w:color w:val="auto"/>
          <w:sz w:val="22"/>
          <w:szCs w:val="22"/>
        </w:rPr>
        <w:t xml:space="preserve">1. </w:t>
      </w:r>
      <w:r w:rsidR="009F3DA5" w:rsidRPr="00BB3D9A">
        <w:rPr>
          <w:b/>
          <w:color w:val="auto"/>
          <w:sz w:val="22"/>
          <w:szCs w:val="22"/>
        </w:rPr>
        <w:t>A</w:t>
      </w:r>
      <w:r w:rsidR="009F3DA5" w:rsidRPr="00BB3D9A">
        <w:rPr>
          <w:b/>
          <w:sz w:val="22"/>
          <w:szCs w:val="22"/>
        </w:rPr>
        <w:t xml:space="preserve"> demonstração da capacidade técnico-operacional de execução de serviços deve-se restringir às parcelas de maior relevância e valor significativo do objeto a ser contratado</w:t>
      </w:r>
    </w:p>
    <w:p w:rsidR="004E55D4" w:rsidRPr="00BB3D9A" w:rsidRDefault="006E4C0D" w:rsidP="004E55D4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B3D9A">
        <w:rPr>
          <w:sz w:val="22"/>
          <w:szCs w:val="22"/>
        </w:rPr>
        <w:t xml:space="preserve">Representação apontou possíveis irregularidades nas </w:t>
      </w:r>
      <w:r w:rsidR="00930F0E" w:rsidRPr="00BB3D9A">
        <w:rPr>
          <w:sz w:val="22"/>
          <w:szCs w:val="22"/>
        </w:rPr>
        <w:t>C</w:t>
      </w:r>
      <w:r w:rsidRPr="00BB3D9A">
        <w:rPr>
          <w:sz w:val="22"/>
          <w:szCs w:val="22"/>
        </w:rPr>
        <w:t xml:space="preserve">oncorrências 0609/2010, 0003/2011 e 0004/2011, conduzidas pela Superintendência Regional do </w:t>
      </w:r>
      <w:r w:rsidR="00181596" w:rsidRPr="00BB3D9A">
        <w:rPr>
          <w:sz w:val="22"/>
          <w:szCs w:val="22"/>
        </w:rPr>
        <w:t>Dnit no</w:t>
      </w:r>
      <w:r w:rsidR="00372DC0">
        <w:rPr>
          <w:sz w:val="22"/>
          <w:szCs w:val="22"/>
        </w:rPr>
        <w:t xml:space="preserve"> E</w:t>
      </w:r>
      <w:r w:rsidR="00181596" w:rsidRPr="00BB3D9A">
        <w:rPr>
          <w:sz w:val="22"/>
          <w:szCs w:val="22"/>
        </w:rPr>
        <w:t>stado do Espírito Santo</w:t>
      </w:r>
      <w:r w:rsidRPr="00BB3D9A">
        <w:rPr>
          <w:sz w:val="22"/>
          <w:szCs w:val="22"/>
        </w:rPr>
        <w:t>, destinadas à construção de passarelas metálicas nas rodovias BR-262/ES e BR-101/ES</w:t>
      </w:r>
      <w:r w:rsidR="00E11428" w:rsidRPr="00BB3D9A">
        <w:rPr>
          <w:sz w:val="22"/>
          <w:szCs w:val="22"/>
        </w:rPr>
        <w:t>. Destaque</w:t>
      </w:r>
      <w:r w:rsidR="00181596" w:rsidRPr="00BB3D9A">
        <w:rPr>
          <w:sz w:val="22"/>
          <w:szCs w:val="22"/>
        </w:rPr>
        <w:t>m</w:t>
      </w:r>
      <w:r w:rsidR="00E11428" w:rsidRPr="00BB3D9A">
        <w:rPr>
          <w:sz w:val="22"/>
          <w:szCs w:val="22"/>
        </w:rPr>
        <w:t xml:space="preserve">-se, entre </w:t>
      </w:r>
      <w:r w:rsidR="00181596" w:rsidRPr="00BB3D9A">
        <w:rPr>
          <w:sz w:val="22"/>
          <w:szCs w:val="22"/>
        </w:rPr>
        <w:t>as aventadas irregularidades</w:t>
      </w:r>
      <w:r w:rsidR="00E11428" w:rsidRPr="00BB3D9A">
        <w:rPr>
          <w:sz w:val="22"/>
          <w:szCs w:val="22"/>
        </w:rPr>
        <w:t>, a</w:t>
      </w:r>
      <w:r w:rsidR="00292A8E" w:rsidRPr="00BB3D9A">
        <w:rPr>
          <w:sz w:val="22"/>
          <w:szCs w:val="22"/>
        </w:rPr>
        <w:t>s</w:t>
      </w:r>
      <w:r w:rsidR="00E11428" w:rsidRPr="00BB3D9A">
        <w:rPr>
          <w:sz w:val="22"/>
          <w:szCs w:val="22"/>
        </w:rPr>
        <w:t xml:space="preserve"> </w:t>
      </w:r>
      <w:r w:rsidR="00181596" w:rsidRPr="00BB3D9A">
        <w:rPr>
          <w:sz w:val="22"/>
          <w:szCs w:val="22"/>
        </w:rPr>
        <w:t>exigência</w:t>
      </w:r>
      <w:r w:rsidR="00292A8E" w:rsidRPr="00BB3D9A">
        <w:rPr>
          <w:sz w:val="22"/>
          <w:szCs w:val="22"/>
        </w:rPr>
        <w:t>s</w:t>
      </w:r>
      <w:r w:rsidR="00181596" w:rsidRPr="00BB3D9A">
        <w:rPr>
          <w:sz w:val="22"/>
          <w:szCs w:val="22"/>
        </w:rPr>
        <w:t xml:space="preserve"> de demonstração de capacidade de execução </w:t>
      </w:r>
      <w:r w:rsidR="00E11428" w:rsidRPr="00BB3D9A">
        <w:rPr>
          <w:sz w:val="22"/>
          <w:szCs w:val="22"/>
        </w:rPr>
        <w:t>d</w:t>
      </w:r>
      <w:r w:rsidR="00181596" w:rsidRPr="00BB3D9A">
        <w:rPr>
          <w:sz w:val="22"/>
          <w:szCs w:val="22"/>
        </w:rPr>
        <w:t>os</w:t>
      </w:r>
      <w:r w:rsidR="00E11428" w:rsidRPr="00BB3D9A">
        <w:rPr>
          <w:sz w:val="22"/>
          <w:szCs w:val="22"/>
        </w:rPr>
        <w:t xml:space="preserve"> serviços “</w:t>
      </w:r>
      <w:r w:rsidR="00E11428" w:rsidRPr="00BB3D9A">
        <w:rPr>
          <w:i/>
          <w:sz w:val="22"/>
          <w:szCs w:val="22"/>
        </w:rPr>
        <w:t>Steel Deck MF-50</w:t>
      </w:r>
      <w:r w:rsidR="00E11428" w:rsidRPr="00BB3D9A">
        <w:rPr>
          <w:sz w:val="22"/>
          <w:szCs w:val="22"/>
        </w:rPr>
        <w:t>” e “</w:t>
      </w:r>
      <w:r w:rsidR="00E11428" w:rsidRPr="00BB3D9A">
        <w:rPr>
          <w:i/>
          <w:sz w:val="22"/>
          <w:szCs w:val="22"/>
        </w:rPr>
        <w:t>Gradil – fornecimento e assentamento de gradil</w:t>
      </w:r>
      <w:r w:rsidR="00E11428" w:rsidRPr="00BB3D9A">
        <w:rPr>
          <w:sz w:val="22"/>
          <w:szCs w:val="22"/>
        </w:rPr>
        <w:t xml:space="preserve">” como requisitos de qualificação técnico-operacional das licitantes, </w:t>
      </w:r>
      <w:r w:rsidR="00181596" w:rsidRPr="00BB3D9A">
        <w:rPr>
          <w:sz w:val="22"/>
          <w:szCs w:val="22"/>
        </w:rPr>
        <w:t>o que teria</w:t>
      </w:r>
      <w:r w:rsidR="00E11428" w:rsidRPr="00BB3D9A">
        <w:rPr>
          <w:sz w:val="22"/>
          <w:szCs w:val="22"/>
        </w:rPr>
        <w:t xml:space="preserve"> </w:t>
      </w:r>
      <w:r w:rsidR="00181596" w:rsidRPr="00BB3D9A">
        <w:rPr>
          <w:sz w:val="22"/>
          <w:szCs w:val="22"/>
        </w:rPr>
        <w:t xml:space="preserve">afrontado </w:t>
      </w:r>
      <w:r w:rsidR="00E11428" w:rsidRPr="00BB3D9A">
        <w:rPr>
          <w:sz w:val="22"/>
          <w:szCs w:val="22"/>
        </w:rPr>
        <w:t>o disposto no art. 37, inciso XXI, da Constituição de 1988,</w:t>
      </w:r>
      <w:r w:rsidR="00181596" w:rsidRPr="00BB3D9A">
        <w:rPr>
          <w:sz w:val="22"/>
          <w:szCs w:val="22"/>
        </w:rPr>
        <w:t xml:space="preserve"> </w:t>
      </w:r>
      <w:r w:rsidR="00E11428" w:rsidRPr="00BB3D9A">
        <w:rPr>
          <w:sz w:val="22"/>
          <w:szCs w:val="22"/>
        </w:rPr>
        <w:t>no art. 30, § 1º, inciso I, da Lei 8.666</w:t>
      </w:r>
      <w:r w:rsidR="00181596" w:rsidRPr="00BB3D9A">
        <w:rPr>
          <w:sz w:val="22"/>
          <w:szCs w:val="22"/>
        </w:rPr>
        <w:t>/</w:t>
      </w:r>
      <w:r w:rsidR="00E11428" w:rsidRPr="00BB3D9A">
        <w:rPr>
          <w:sz w:val="22"/>
          <w:szCs w:val="22"/>
        </w:rPr>
        <w:t xml:space="preserve">1993, </w:t>
      </w:r>
      <w:r w:rsidR="004257A8" w:rsidRPr="00BB3D9A">
        <w:rPr>
          <w:sz w:val="22"/>
          <w:szCs w:val="22"/>
        </w:rPr>
        <w:t>n</w:t>
      </w:r>
      <w:r w:rsidR="00E11428" w:rsidRPr="00BB3D9A">
        <w:rPr>
          <w:sz w:val="22"/>
          <w:szCs w:val="22"/>
        </w:rPr>
        <w:t xml:space="preserve">o art. 2º da Portaria DG 108/2008 e no parágrafo único do item </w:t>
      </w:r>
      <w:r w:rsidR="00292A8E" w:rsidRPr="00BB3D9A">
        <w:rPr>
          <w:sz w:val="22"/>
          <w:szCs w:val="22"/>
        </w:rPr>
        <w:t>“</w:t>
      </w:r>
      <w:r w:rsidR="00E11428" w:rsidRPr="00BB3D9A">
        <w:rPr>
          <w:b/>
          <w:bCs/>
          <w:sz w:val="22"/>
          <w:szCs w:val="22"/>
        </w:rPr>
        <w:t>c</w:t>
      </w:r>
      <w:r w:rsidR="00292A8E" w:rsidRPr="00BB3D9A">
        <w:rPr>
          <w:b/>
          <w:bCs/>
          <w:sz w:val="22"/>
          <w:szCs w:val="22"/>
        </w:rPr>
        <w:t>”</w:t>
      </w:r>
      <w:r w:rsidR="00E11428" w:rsidRPr="00BB3D9A">
        <w:rPr>
          <w:b/>
          <w:bCs/>
          <w:sz w:val="22"/>
          <w:szCs w:val="22"/>
        </w:rPr>
        <w:t xml:space="preserve"> </w:t>
      </w:r>
      <w:r w:rsidR="00E11428" w:rsidRPr="00BB3D9A">
        <w:rPr>
          <w:sz w:val="22"/>
          <w:szCs w:val="22"/>
        </w:rPr>
        <w:t xml:space="preserve">da Instrução de Serviço 004/2009, ambas do Dnit, bem como </w:t>
      </w:r>
      <w:r w:rsidR="00292A8E" w:rsidRPr="00BB3D9A">
        <w:rPr>
          <w:sz w:val="22"/>
          <w:szCs w:val="22"/>
        </w:rPr>
        <w:t>a</w:t>
      </w:r>
      <w:r w:rsidR="00E11428" w:rsidRPr="00BB3D9A">
        <w:rPr>
          <w:sz w:val="22"/>
          <w:szCs w:val="22"/>
        </w:rPr>
        <w:t xml:space="preserve"> orientação contida na Súmula</w:t>
      </w:r>
      <w:r w:rsidR="00320D16" w:rsidRPr="00BB3D9A">
        <w:rPr>
          <w:sz w:val="22"/>
          <w:szCs w:val="22"/>
        </w:rPr>
        <w:t xml:space="preserve"> - </w:t>
      </w:r>
      <w:r w:rsidR="00181596" w:rsidRPr="00BB3D9A">
        <w:rPr>
          <w:sz w:val="22"/>
          <w:szCs w:val="22"/>
        </w:rPr>
        <w:t>TCU</w:t>
      </w:r>
      <w:r w:rsidR="00320D16" w:rsidRPr="00BB3D9A">
        <w:rPr>
          <w:sz w:val="22"/>
          <w:szCs w:val="22"/>
        </w:rPr>
        <w:t xml:space="preserve"> -</w:t>
      </w:r>
      <w:r w:rsidR="00292A8E" w:rsidRPr="00BB3D9A">
        <w:rPr>
          <w:sz w:val="22"/>
          <w:szCs w:val="22"/>
        </w:rPr>
        <w:t xml:space="preserve"> 263</w:t>
      </w:r>
      <w:r w:rsidR="00E11428" w:rsidRPr="00BB3D9A">
        <w:rPr>
          <w:sz w:val="22"/>
          <w:szCs w:val="22"/>
        </w:rPr>
        <w:t xml:space="preserve">. </w:t>
      </w:r>
      <w:r w:rsidR="009453E9" w:rsidRPr="00BB3D9A">
        <w:rPr>
          <w:sz w:val="22"/>
          <w:szCs w:val="22"/>
        </w:rPr>
        <w:t>Após examinar as razões de justificativas dos responsáveis ouvidos em audiência, o Relator ressaltou que “</w:t>
      </w:r>
      <w:r w:rsidR="009453E9" w:rsidRPr="00BB3D9A">
        <w:rPr>
          <w:i/>
          <w:sz w:val="22"/>
          <w:szCs w:val="22"/>
        </w:rPr>
        <w:t xml:space="preserve">a </w:t>
      </w:r>
      <w:r w:rsidRPr="00BB3D9A">
        <w:rPr>
          <w:i/>
          <w:sz w:val="22"/>
          <w:szCs w:val="22"/>
        </w:rPr>
        <w:t>jurisprudência do TCU é pacífica e inequívoca no sentido de que a comprovação da capacidade técnico-operacional das licitantes deve se restringir às parcelas de maior relevância e valor significativo do objeto a ser contratado</w:t>
      </w:r>
      <w:r w:rsidR="009453E9" w:rsidRPr="00BB3D9A">
        <w:rPr>
          <w:sz w:val="22"/>
          <w:szCs w:val="22"/>
        </w:rPr>
        <w:t xml:space="preserve">”, </w:t>
      </w:r>
      <w:r w:rsidRPr="00BB3D9A">
        <w:rPr>
          <w:sz w:val="22"/>
          <w:szCs w:val="22"/>
        </w:rPr>
        <w:t xml:space="preserve">o que não </w:t>
      </w:r>
      <w:r w:rsidR="009453E9" w:rsidRPr="00BB3D9A">
        <w:rPr>
          <w:sz w:val="22"/>
          <w:szCs w:val="22"/>
        </w:rPr>
        <w:t>ocorreu nas referidas concorrência</w:t>
      </w:r>
      <w:r w:rsidR="00292A8E" w:rsidRPr="00BB3D9A">
        <w:rPr>
          <w:sz w:val="22"/>
          <w:szCs w:val="22"/>
        </w:rPr>
        <w:t>s</w:t>
      </w:r>
      <w:r w:rsidR="009453E9" w:rsidRPr="00BB3D9A">
        <w:rPr>
          <w:sz w:val="22"/>
          <w:szCs w:val="22"/>
        </w:rPr>
        <w:t>. Observou que os mencionados serviços “</w:t>
      </w:r>
      <w:r w:rsidR="009453E9" w:rsidRPr="00BB3D9A">
        <w:rPr>
          <w:i/>
          <w:sz w:val="22"/>
          <w:szCs w:val="22"/>
        </w:rPr>
        <w:t xml:space="preserve">contemplavam </w:t>
      </w:r>
      <w:r w:rsidRPr="00BB3D9A">
        <w:rPr>
          <w:i/>
          <w:sz w:val="22"/>
          <w:szCs w:val="22"/>
        </w:rPr>
        <w:t>valores inexpressivos perante o custo total das obras</w:t>
      </w:r>
      <w:r w:rsidR="009453E9" w:rsidRPr="00BB3D9A">
        <w:rPr>
          <w:sz w:val="22"/>
          <w:szCs w:val="22"/>
        </w:rPr>
        <w:t>”</w:t>
      </w:r>
      <w:r w:rsidRPr="00BB3D9A">
        <w:rPr>
          <w:sz w:val="22"/>
          <w:szCs w:val="22"/>
        </w:rPr>
        <w:t>.</w:t>
      </w:r>
      <w:r w:rsidR="009453E9" w:rsidRPr="00BB3D9A">
        <w:rPr>
          <w:sz w:val="22"/>
          <w:szCs w:val="22"/>
        </w:rPr>
        <w:t xml:space="preserve"> Lembrou </w:t>
      </w:r>
      <w:r w:rsidR="00E660D8" w:rsidRPr="00BB3D9A">
        <w:rPr>
          <w:sz w:val="22"/>
          <w:szCs w:val="22"/>
        </w:rPr>
        <w:t xml:space="preserve">que </w:t>
      </w:r>
      <w:r w:rsidRPr="00BB3D9A">
        <w:rPr>
          <w:sz w:val="22"/>
          <w:szCs w:val="22"/>
        </w:rPr>
        <w:t xml:space="preserve">apenas uma </w:t>
      </w:r>
      <w:r w:rsidR="00E660D8" w:rsidRPr="00BB3D9A">
        <w:rPr>
          <w:sz w:val="22"/>
          <w:szCs w:val="22"/>
        </w:rPr>
        <w:t xml:space="preserve">única </w:t>
      </w:r>
      <w:r w:rsidRPr="00BB3D9A">
        <w:rPr>
          <w:sz w:val="22"/>
          <w:szCs w:val="22"/>
        </w:rPr>
        <w:t xml:space="preserve">empresa </w:t>
      </w:r>
      <w:r w:rsidR="00E660D8" w:rsidRPr="00BB3D9A">
        <w:rPr>
          <w:sz w:val="22"/>
          <w:szCs w:val="22"/>
        </w:rPr>
        <w:t xml:space="preserve">fora habilitada </w:t>
      </w:r>
      <w:r w:rsidRPr="00BB3D9A">
        <w:rPr>
          <w:sz w:val="22"/>
          <w:szCs w:val="22"/>
        </w:rPr>
        <w:t>n</w:t>
      </w:r>
      <w:r w:rsidR="00E660D8" w:rsidRPr="00BB3D9A">
        <w:rPr>
          <w:sz w:val="22"/>
          <w:szCs w:val="22"/>
        </w:rPr>
        <w:t>aqueles t</w:t>
      </w:r>
      <w:r w:rsidRPr="00BB3D9A">
        <w:rPr>
          <w:sz w:val="22"/>
          <w:szCs w:val="22"/>
        </w:rPr>
        <w:t>rês certames</w:t>
      </w:r>
      <w:r w:rsidR="00E660D8" w:rsidRPr="00BB3D9A">
        <w:rPr>
          <w:sz w:val="22"/>
          <w:szCs w:val="22"/>
        </w:rPr>
        <w:t xml:space="preserve"> e que as outras empresas foram inabilitadas por não cumprirem tais requisitos. </w:t>
      </w:r>
      <w:r w:rsidR="00055A5C" w:rsidRPr="00BB3D9A">
        <w:rPr>
          <w:sz w:val="22"/>
          <w:szCs w:val="22"/>
        </w:rPr>
        <w:t xml:space="preserve">Ressaltou </w:t>
      </w:r>
      <w:r w:rsidR="00E660D8" w:rsidRPr="00BB3D9A">
        <w:rPr>
          <w:sz w:val="22"/>
          <w:szCs w:val="22"/>
        </w:rPr>
        <w:t xml:space="preserve">que os objetos licitados merecem ser considerados comuns. </w:t>
      </w:r>
      <w:r w:rsidR="00F03F08" w:rsidRPr="00BB3D9A">
        <w:rPr>
          <w:sz w:val="22"/>
          <w:szCs w:val="22"/>
        </w:rPr>
        <w:t xml:space="preserve">Acrescentou que as citadas exigências afrontaram as disposições contidas nos normativos do próprio Dnit (Portaria DG 108/2008 e Instrução de Serviço 004/2009), que estabeleciam mínimo de representatividade financeira da ordem de 4% para permitir sua caracterização como serviço relevante para efeito de qualificação técnico-operacional. </w:t>
      </w:r>
      <w:r w:rsidR="004257A8" w:rsidRPr="00BB3D9A">
        <w:rPr>
          <w:sz w:val="22"/>
          <w:szCs w:val="22"/>
        </w:rPr>
        <w:t xml:space="preserve">E </w:t>
      </w:r>
      <w:r w:rsidR="00071457" w:rsidRPr="00BB3D9A">
        <w:rPr>
          <w:sz w:val="22"/>
          <w:szCs w:val="22"/>
        </w:rPr>
        <w:t xml:space="preserve">que </w:t>
      </w:r>
      <w:r w:rsidR="00C30008" w:rsidRPr="00BB3D9A">
        <w:rPr>
          <w:sz w:val="22"/>
          <w:szCs w:val="22"/>
        </w:rPr>
        <w:t>outras unidades do Dnit</w:t>
      </w:r>
      <w:r w:rsidR="00055A5C" w:rsidRPr="00BB3D9A">
        <w:rPr>
          <w:sz w:val="22"/>
          <w:szCs w:val="22"/>
        </w:rPr>
        <w:t>,</w:t>
      </w:r>
      <w:r w:rsidR="00C30008" w:rsidRPr="00BB3D9A">
        <w:rPr>
          <w:sz w:val="22"/>
          <w:szCs w:val="22"/>
        </w:rPr>
        <w:t xml:space="preserve"> </w:t>
      </w:r>
      <w:r w:rsidR="004257A8" w:rsidRPr="00BB3D9A">
        <w:rPr>
          <w:sz w:val="22"/>
          <w:szCs w:val="22"/>
        </w:rPr>
        <w:t>a</w:t>
      </w:r>
      <w:r w:rsidR="00C30008" w:rsidRPr="00BB3D9A">
        <w:rPr>
          <w:sz w:val="22"/>
          <w:szCs w:val="22"/>
        </w:rPr>
        <w:t>o lançar</w:t>
      </w:r>
      <w:r w:rsidR="00055A5C" w:rsidRPr="00BB3D9A">
        <w:rPr>
          <w:sz w:val="22"/>
          <w:szCs w:val="22"/>
        </w:rPr>
        <w:t>em</w:t>
      </w:r>
      <w:r w:rsidR="00C30008" w:rsidRPr="00BB3D9A">
        <w:rPr>
          <w:sz w:val="22"/>
          <w:szCs w:val="22"/>
        </w:rPr>
        <w:t xml:space="preserve"> edital para construção de </w:t>
      </w:r>
      <w:r w:rsidRPr="00BB3D9A">
        <w:rPr>
          <w:sz w:val="22"/>
          <w:szCs w:val="22"/>
        </w:rPr>
        <w:t>passarelas</w:t>
      </w:r>
      <w:r w:rsidR="00071457" w:rsidRPr="00BB3D9A">
        <w:rPr>
          <w:sz w:val="22"/>
          <w:szCs w:val="22"/>
        </w:rPr>
        <w:t xml:space="preserve">, que </w:t>
      </w:r>
      <w:r w:rsidRPr="00BB3D9A">
        <w:rPr>
          <w:sz w:val="22"/>
          <w:szCs w:val="22"/>
        </w:rPr>
        <w:t xml:space="preserve">também </w:t>
      </w:r>
      <w:r w:rsidR="00071457" w:rsidRPr="00BB3D9A">
        <w:rPr>
          <w:sz w:val="22"/>
          <w:szCs w:val="22"/>
        </w:rPr>
        <w:t>demandava</w:t>
      </w:r>
      <w:r w:rsidR="00055A5C" w:rsidRPr="00BB3D9A">
        <w:rPr>
          <w:sz w:val="22"/>
          <w:szCs w:val="22"/>
        </w:rPr>
        <w:t>m</w:t>
      </w:r>
      <w:r w:rsidR="00071457" w:rsidRPr="00BB3D9A">
        <w:rPr>
          <w:sz w:val="22"/>
          <w:szCs w:val="22"/>
        </w:rPr>
        <w:t xml:space="preserve"> </w:t>
      </w:r>
      <w:r w:rsidRPr="00BB3D9A">
        <w:rPr>
          <w:sz w:val="22"/>
          <w:szCs w:val="22"/>
        </w:rPr>
        <w:t xml:space="preserve">o uso da tecnologia </w:t>
      </w:r>
      <w:r w:rsidR="003F2793" w:rsidRPr="003F2793">
        <w:rPr>
          <w:i/>
          <w:sz w:val="22"/>
          <w:szCs w:val="22"/>
        </w:rPr>
        <w:t>Steel</w:t>
      </w:r>
      <w:r w:rsidRPr="00BB3D9A">
        <w:rPr>
          <w:i/>
          <w:sz w:val="22"/>
          <w:szCs w:val="22"/>
        </w:rPr>
        <w:t xml:space="preserve"> Deck</w:t>
      </w:r>
      <w:r w:rsidRPr="00BB3D9A">
        <w:rPr>
          <w:sz w:val="22"/>
          <w:szCs w:val="22"/>
        </w:rPr>
        <w:t xml:space="preserve"> não inclu</w:t>
      </w:r>
      <w:r w:rsidR="00055A5C" w:rsidRPr="00BB3D9A">
        <w:rPr>
          <w:sz w:val="22"/>
          <w:szCs w:val="22"/>
        </w:rPr>
        <w:t xml:space="preserve">íram </w:t>
      </w:r>
      <w:r w:rsidRPr="00BB3D9A">
        <w:rPr>
          <w:sz w:val="22"/>
          <w:szCs w:val="22"/>
        </w:rPr>
        <w:t xml:space="preserve">esse serviço como item </w:t>
      </w:r>
      <w:r w:rsidR="00055A5C" w:rsidRPr="00BB3D9A">
        <w:rPr>
          <w:sz w:val="22"/>
          <w:szCs w:val="22"/>
        </w:rPr>
        <w:t xml:space="preserve">que demandava </w:t>
      </w:r>
      <w:r w:rsidRPr="00BB3D9A">
        <w:rPr>
          <w:sz w:val="22"/>
          <w:szCs w:val="22"/>
        </w:rPr>
        <w:t>demonstração de capacidade técnica</w:t>
      </w:r>
      <w:r w:rsidR="00055A5C" w:rsidRPr="00BB3D9A">
        <w:rPr>
          <w:sz w:val="22"/>
          <w:szCs w:val="22"/>
        </w:rPr>
        <w:t xml:space="preserve"> para executá-lo</w:t>
      </w:r>
      <w:r w:rsidR="00071457" w:rsidRPr="00BB3D9A">
        <w:rPr>
          <w:sz w:val="22"/>
          <w:szCs w:val="22"/>
        </w:rPr>
        <w:t>. Concluiu</w:t>
      </w:r>
      <w:r w:rsidR="0090019D" w:rsidRPr="00BB3D9A">
        <w:rPr>
          <w:sz w:val="22"/>
          <w:szCs w:val="22"/>
        </w:rPr>
        <w:t>, por esses motivo</w:t>
      </w:r>
      <w:r w:rsidR="00055A5C" w:rsidRPr="00BB3D9A">
        <w:rPr>
          <w:sz w:val="22"/>
          <w:szCs w:val="22"/>
        </w:rPr>
        <w:t>s</w:t>
      </w:r>
      <w:r w:rsidR="0090019D" w:rsidRPr="00BB3D9A">
        <w:rPr>
          <w:sz w:val="22"/>
          <w:szCs w:val="22"/>
        </w:rPr>
        <w:t xml:space="preserve">, que restou configurada efetiva restrição ao caráter competitivo daqueles certames. O Tribunal, então, em razão dessa e de outras irregularidades, decidiu apenar os responsáveis com multa do art. 58 da Lei 8.443/1992. </w:t>
      </w:r>
      <w:r w:rsidR="004E55D4" w:rsidRPr="00BB3D9A">
        <w:rPr>
          <w:b/>
          <w:i/>
          <w:color w:val="auto"/>
          <w:sz w:val="22"/>
          <w:szCs w:val="22"/>
        </w:rPr>
        <w:t>Acórdão</w:t>
      </w:r>
      <w:r w:rsidR="00320D16" w:rsidRPr="00BB3D9A">
        <w:rPr>
          <w:b/>
          <w:i/>
          <w:color w:val="auto"/>
          <w:sz w:val="22"/>
          <w:szCs w:val="22"/>
        </w:rPr>
        <w:t xml:space="preserve"> </w:t>
      </w:r>
      <w:r w:rsidR="004E55D4" w:rsidRPr="00BB3D9A">
        <w:rPr>
          <w:b/>
          <w:i/>
          <w:color w:val="auto"/>
          <w:sz w:val="22"/>
          <w:szCs w:val="22"/>
        </w:rPr>
        <w:t>3</w:t>
      </w:r>
      <w:r w:rsidR="0090019D" w:rsidRPr="00BB3D9A">
        <w:rPr>
          <w:b/>
          <w:i/>
          <w:color w:val="auto"/>
          <w:sz w:val="22"/>
          <w:szCs w:val="22"/>
        </w:rPr>
        <w:t>1</w:t>
      </w:r>
      <w:r w:rsidR="004E55D4" w:rsidRPr="00BB3D9A">
        <w:rPr>
          <w:b/>
          <w:i/>
          <w:color w:val="auto"/>
          <w:sz w:val="22"/>
          <w:szCs w:val="22"/>
        </w:rPr>
        <w:t>/201</w:t>
      </w:r>
      <w:r w:rsidR="0090019D" w:rsidRPr="00BB3D9A">
        <w:rPr>
          <w:b/>
          <w:i/>
          <w:color w:val="auto"/>
          <w:sz w:val="22"/>
          <w:szCs w:val="22"/>
        </w:rPr>
        <w:t>3</w:t>
      </w:r>
      <w:r w:rsidR="004E55D4" w:rsidRPr="00BB3D9A">
        <w:rPr>
          <w:b/>
          <w:i/>
          <w:color w:val="auto"/>
          <w:sz w:val="22"/>
          <w:szCs w:val="22"/>
        </w:rPr>
        <w:t>-Plenário, TC</w:t>
      </w:r>
      <w:r w:rsidR="00320D16" w:rsidRPr="00BB3D9A">
        <w:rPr>
          <w:b/>
          <w:i/>
          <w:color w:val="auto"/>
          <w:sz w:val="22"/>
          <w:szCs w:val="22"/>
        </w:rPr>
        <w:t xml:space="preserve"> </w:t>
      </w:r>
      <w:r w:rsidR="0090019D" w:rsidRPr="00BB3D9A">
        <w:rPr>
          <w:b/>
          <w:i/>
          <w:color w:val="auto"/>
          <w:sz w:val="22"/>
          <w:szCs w:val="22"/>
        </w:rPr>
        <w:t>005</w:t>
      </w:r>
      <w:r w:rsidR="004E55D4" w:rsidRPr="00BB3D9A">
        <w:rPr>
          <w:b/>
          <w:i/>
          <w:color w:val="auto"/>
          <w:sz w:val="22"/>
          <w:szCs w:val="22"/>
        </w:rPr>
        <w:t>.</w:t>
      </w:r>
      <w:r w:rsidR="0090019D" w:rsidRPr="00BB3D9A">
        <w:rPr>
          <w:b/>
          <w:i/>
          <w:color w:val="auto"/>
          <w:sz w:val="22"/>
          <w:szCs w:val="22"/>
        </w:rPr>
        <w:t>410</w:t>
      </w:r>
      <w:r w:rsidR="004E55D4" w:rsidRPr="00BB3D9A">
        <w:rPr>
          <w:b/>
          <w:i/>
          <w:color w:val="auto"/>
          <w:sz w:val="22"/>
          <w:szCs w:val="22"/>
        </w:rPr>
        <w:t>/2011-</w:t>
      </w:r>
      <w:r w:rsidR="00B20223" w:rsidRPr="00BB3D9A">
        <w:rPr>
          <w:b/>
          <w:i/>
          <w:color w:val="auto"/>
          <w:sz w:val="22"/>
          <w:szCs w:val="22"/>
        </w:rPr>
        <w:t>8</w:t>
      </w:r>
      <w:r w:rsidR="004E55D4" w:rsidRPr="00BB3D9A">
        <w:rPr>
          <w:b/>
          <w:i/>
          <w:color w:val="auto"/>
          <w:sz w:val="22"/>
          <w:szCs w:val="22"/>
        </w:rPr>
        <w:t>, re</w:t>
      </w:r>
      <w:r w:rsidR="00B20223" w:rsidRPr="00BB3D9A">
        <w:rPr>
          <w:b/>
          <w:i/>
          <w:color w:val="auto"/>
          <w:sz w:val="22"/>
          <w:szCs w:val="22"/>
        </w:rPr>
        <w:t>l</w:t>
      </w:r>
      <w:r w:rsidR="004E55D4" w:rsidRPr="00BB3D9A">
        <w:rPr>
          <w:b/>
          <w:i/>
          <w:color w:val="auto"/>
          <w:sz w:val="22"/>
          <w:szCs w:val="22"/>
        </w:rPr>
        <w:t xml:space="preserve">ator Ministro </w:t>
      </w:r>
      <w:r w:rsidR="00B20223" w:rsidRPr="00BB3D9A">
        <w:rPr>
          <w:b/>
          <w:i/>
          <w:color w:val="auto"/>
          <w:sz w:val="22"/>
          <w:szCs w:val="22"/>
        </w:rPr>
        <w:t>Aroldo Cedraz</w:t>
      </w:r>
      <w:r w:rsidR="004E55D4" w:rsidRPr="00BB3D9A">
        <w:rPr>
          <w:b/>
          <w:i/>
          <w:color w:val="auto"/>
          <w:sz w:val="22"/>
          <w:szCs w:val="22"/>
        </w:rPr>
        <w:t>, 2</w:t>
      </w:r>
      <w:r w:rsidR="00B20223" w:rsidRPr="00BB3D9A">
        <w:rPr>
          <w:b/>
          <w:i/>
          <w:color w:val="auto"/>
          <w:sz w:val="22"/>
          <w:szCs w:val="22"/>
        </w:rPr>
        <w:t>3</w:t>
      </w:r>
      <w:r w:rsidR="005D7B58">
        <w:rPr>
          <w:b/>
          <w:i/>
          <w:color w:val="auto"/>
          <w:sz w:val="22"/>
          <w:szCs w:val="22"/>
        </w:rPr>
        <w:t>.</w:t>
      </w:r>
      <w:r w:rsidR="004E55D4" w:rsidRPr="00BB3D9A">
        <w:rPr>
          <w:b/>
          <w:i/>
          <w:color w:val="auto"/>
          <w:sz w:val="22"/>
          <w:szCs w:val="22"/>
        </w:rPr>
        <w:t>1</w:t>
      </w:r>
      <w:r w:rsidR="005D7B58">
        <w:rPr>
          <w:b/>
          <w:i/>
          <w:color w:val="auto"/>
          <w:sz w:val="22"/>
          <w:szCs w:val="22"/>
        </w:rPr>
        <w:t>.</w:t>
      </w:r>
      <w:r w:rsidR="004E55D4" w:rsidRPr="00BB3D9A">
        <w:rPr>
          <w:b/>
          <w:i/>
          <w:color w:val="auto"/>
          <w:sz w:val="22"/>
          <w:szCs w:val="22"/>
        </w:rPr>
        <w:t>201</w:t>
      </w:r>
      <w:r w:rsidR="00B20223" w:rsidRPr="00BB3D9A">
        <w:rPr>
          <w:b/>
          <w:i/>
          <w:color w:val="auto"/>
          <w:sz w:val="22"/>
          <w:szCs w:val="22"/>
        </w:rPr>
        <w:t>3</w:t>
      </w:r>
      <w:r w:rsidR="004E55D4" w:rsidRPr="00BB3D9A">
        <w:rPr>
          <w:b/>
          <w:i/>
          <w:color w:val="auto"/>
          <w:sz w:val="22"/>
          <w:szCs w:val="22"/>
        </w:rPr>
        <w:t>.</w:t>
      </w:r>
    </w:p>
    <w:p w:rsidR="00885831" w:rsidRPr="00BB3D9A" w:rsidRDefault="00885831" w:rsidP="00993431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885831" w:rsidRPr="00BB3D9A" w:rsidRDefault="00885831" w:rsidP="00885831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885831" w:rsidRPr="00BB3D9A" w:rsidRDefault="00E23F84" w:rsidP="00885831">
      <w:pPr>
        <w:pStyle w:val="Default"/>
        <w:jc w:val="both"/>
        <w:rPr>
          <w:b/>
          <w:sz w:val="22"/>
          <w:szCs w:val="22"/>
        </w:rPr>
      </w:pPr>
      <w:r w:rsidRPr="00BB3D9A">
        <w:rPr>
          <w:b/>
          <w:sz w:val="22"/>
          <w:szCs w:val="22"/>
        </w:rPr>
        <w:t>2</w:t>
      </w:r>
      <w:r w:rsidR="00885831" w:rsidRPr="00BB3D9A">
        <w:rPr>
          <w:b/>
          <w:sz w:val="22"/>
          <w:szCs w:val="22"/>
        </w:rPr>
        <w:t>. A inclusão de itens produzidos por empresas de ramo de negócio distintos, em um mesmo lote de pregão, compromete, em avaliação inicial, o caráter competitivo do certame</w:t>
      </w:r>
    </w:p>
    <w:p w:rsidR="00885831" w:rsidRPr="00BB3D9A" w:rsidRDefault="00885831" w:rsidP="00885831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B3D9A">
        <w:rPr>
          <w:sz w:val="22"/>
          <w:szCs w:val="22"/>
        </w:rPr>
        <w:t xml:space="preserve">Representação apontou irregularidades na condução do Pregão Eletrônico 38/REPO/2012, cujo objeto é a contratação, por meio de Sistema de Registro de Preços (SRP), pelo prazo de doze meses, de empresa especializada para o fornecimento de sistema organizacional para atender às necessidades de guarda e armazenamento de acervos diversos da biblioteca da Companhia de Pesquisa de Recursos Minerais (CPRM), em Porto Velho. O lote </w:t>
      </w:r>
      <w:r w:rsidRPr="00BB3D9A">
        <w:rPr>
          <w:iCs/>
          <w:sz w:val="22"/>
          <w:szCs w:val="22"/>
        </w:rPr>
        <w:t>1 da licitação abrangia:</w:t>
      </w:r>
      <w:r w:rsidRPr="00BB3D9A">
        <w:rPr>
          <w:i/>
          <w:iCs/>
          <w:sz w:val="22"/>
          <w:szCs w:val="22"/>
        </w:rPr>
        <w:t xml:space="preserve"> </w:t>
      </w:r>
      <w:r w:rsidRPr="00BB3D9A">
        <w:rPr>
          <w:iCs/>
          <w:sz w:val="22"/>
          <w:szCs w:val="22"/>
        </w:rPr>
        <w:t>“</w:t>
      </w:r>
      <w:r w:rsidRPr="00BB3D9A">
        <w:rPr>
          <w:i/>
          <w:iCs/>
          <w:sz w:val="22"/>
          <w:szCs w:val="22"/>
        </w:rPr>
        <w:t>a) 5.000 metros lineares de Prateleiras, Divisores reguláveis, Conjunto de Escaninhos, Suportes para armazenar processos ...; b) 1.000 unidades de mesa corrediça de consulta, gaveta para materiais diversos, mapotecas verticais e horizontais ...; c) 20 unidades de porta corrediça;</w:t>
      </w:r>
      <w:r w:rsidR="00CB7B27">
        <w:rPr>
          <w:i/>
          <w:iCs/>
          <w:sz w:val="22"/>
          <w:szCs w:val="22"/>
        </w:rPr>
        <w:t xml:space="preserve"> </w:t>
      </w:r>
      <w:r w:rsidRPr="00BB3D9A">
        <w:rPr>
          <w:i/>
          <w:iCs/>
          <w:color w:val="auto"/>
          <w:sz w:val="22"/>
          <w:szCs w:val="22"/>
        </w:rPr>
        <w:t>d) 20 unidades de Software para gestão do arquivo; e) 50 unidades de trava geral eletromecânica ...; f) 5 unidades de módulo fixo com escaninhos para acondicionamento de tubos ...”</w:t>
      </w:r>
      <w:r w:rsidRPr="00BB3D9A">
        <w:rPr>
          <w:iCs/>
          <w:color w:val="auto"/>
          <w:sz w:val="22"/>
          <w:szCs w:val="22"/>
        </w:rPr>
        <w:t>. A autora da representação, entre outros questionamentos, impugnou a “</w:t>
      </w:r>
      <w:r w:rsidRPr="00BB3D9A">
        <w:rPr>
          <w:i/>
          <w:iCs/>
          <w:sz w:val="22"/>
          <w:szCs w:val="22"/>
        </w:rPr>
        <w:t>Contratação sob a forma de ‘venda casada’ de software + equipamento</w:t>
      </w:r>
      <w:r w:rsidRPr="00BB3D9A">
        <w:rPr>
          <w:iCs/>
          <w:sz w:val="22"/>
          <w:szCs w:val="22"/>
        </w:rPr>
        <w:t>”</w:t>
      </w:r>
      <w:r w:rsidRPr="00BB3D9A">
        <w:rPr>
          <w:i/>
          <w:iCs/>
          <w:sz w:val="22"/>
          <w:szCs w:val="22"/>
        </w:rPr>
        <w:t xml:space="preserve">. </w:t>
      </w:r>
      <w:r w:rsidRPr="00BB3D9A">
        <w:rPr>
          <w:iCs/>
          <w:sz w:val="22"/>
          <w:szCs w:val="22"/>
        </w:rPr>
        <w:t>Em relação a tal impugnação, ressaltou a unidade técnica: “</w:t>
      </w:r>
      <w:r w:rsidRPr="00BB3D9A">
        <w:rPr>
          <w:i/>
          <w:iCs/>
          <w:color w:val="auto"/>
          <w:sz w:val="22"/>
          <w:szCs w:val="22"/>
        </w:rPr>
        <w:t>Ao contrário do entendimento externado pelo pregoeiro, o software para gestão de arquivos e os equipamentos (arquivos deslizantes e demais acessórios) não fazem parte do mesmo conjunto</w:t>
      </w:r>
      <w:r w:rsidRPr="00BB3D9A">
        <w:rPr>
          <w:iCs/>
          <w:color w:val="auto"/>
          <w:sz w:val="22"/>
          <w:szCs w:val="22"/>
        </w:rPr>
        <w:t>”.</w:t>
      </w:r>
      <w:r w:rsidR="00CB7B27">
        <w:rPr>
          <w:iCs/>
          <w:color w:val="auto"/>
          <w:sz w:val="22"/>
          <w:szCs w:val="22"/>
        </w:rPr>
        <w:t xml:space="preserve"> </w:t>
      </w:r>
      <w:r w:rsidRPr="00BB3D9A">
        <w:rPr>
          <w:iCs/>
          <w:color w:val="auto"/>
          <w:sz w:val="22"/>
          <w:szCs w:val="22"/>
        </w:rPr>
        <w:t xml:space="preserve">E mais: </w:t>
      </w:r>
      <w:r w:rsidRPr="00BB3D9A">
        <w:rPr>
          <w:i/>
          <w:iCs/>
          <w:color w:val="auto"/>
          <w:sz w:val="22"/>
          <w:szCs w:val="22"/>
        </w:rPr>
        <w:t>Diferentemente dos demais acessórios constantes no lote 1 (prateleiras, gavetas, quadros corrediços para pastas suspensas, quadro de lanças para projetos) em que as características/tamanhos do produto adquirido de outros fornecedores podem ser incompatíveis com o arquivo deslizante adquirido, fazendo, portanto, parte do mesmo conjunto, os softwares para gestão de arquivos podem ser utilizados nos mais diversos casos e com arquivos físicos de qualquer fornecedor</w:t>
      </w:r>
      <w:r w:rsidRPr="00BB3D9A">
        <w:rPr>
          <w:iCs/>
          <w:color w:val="auto"/>
          <w:sz w:val="22"/>
          <w:szCs w:val="22"/>
        </w:rPr>
        <w:t>”</w:t>
      </w:r>
      <w:r w:rsidRPr="00BB3D9A">
        <w:rPr>
          <w:i/>
          <w:iCs/>
          <w:color w:val="auto"/>
          <w:sz w:val="22"/>
          <w:szCs w:val="22"/>
        </w:rPr>
        <w:t xml:space="preserve">. </w:t>
      </w:r>
      <w:r w:rsidRPr="00BB3D9A">
        <w:rPr>
          <w:iCs/>
          <w:color w:val="auto"/>
          <w:sz w:val="22"/>
          <w:szCs w:val="22"/>
        </w:rPr>
        <w:t>Anotou, também, que os arquivos deslizantes servem para armazenamento dos mais diversos tipos de acervos e o software, para facilitar a pesquisa, controlar e registrar a localização dos documentos. E que, em arquivos de pequeno porte, o controle dos acervos e documentos pode ser efetuado por meios manuais, mas nos arquivos maiores, os arquivos físicos e o software de gestão de documentos são complementares. A despeito disso,</w:t>
      </w:r>
      <w:r w:rsidRPr="00BB3D9A">
        <w:rPr>
          <w:i/>
          <w:iCs/>
          <w:color w:val="auto"/>
          <w:sz w:val="22"/>
          <w:szCs w:val="22"/>
        </w:rPr>
        <w:t xml:space="preserve"> </w:t>
      </w:r>
      <w:r w:rsidRPr="00BB3D9A">
        <w:rPr>
          <w:iCs/>
          <w:color w:val="auto"/>
          <w:sz w:val="22"/>
          <w:szCs w:val="22"/>
        </w:rPr>
        <w:t>“</w:t>
      </w:r>
      <w:r w:rsidRPr="00BB3D9A">
        <w:rPr>
          <w:i/>
          <w:iCs/>
          <w:color w:val="auto"/>
          <w:sz w:val="22"/>
          <w:szCs w:val="22"/>
        </w:rPr>
        <w:t>não fazem parte do mesmo conjunto e, em geral, são produtos produzidos/desenvolvidos por empresas que exploram atividades diferentes</w:t>
      </w:r>
      <w:r w:rsidRPr="00BB3D9A">
        <w:rPr>
          <w:iCs/>
          <w:color w:val="auto"/>
          <w:sz w:val="22"/>
          <w:szCs w:val="22"/>
        </w:rPr>
        <w:t>”</w:t>
      </w:r>
      <w:r w:rsidRPr="00BB3D9A">
        <w:rPr>
          <w:i/>
          <w:iCs/>
          <w:color w:val="auto"/>
          <w:sz w:val="22"/>
          <w:szCs w:val="22"/>
        </w:rPr>
        <w:t>.</w:t>
      </w:r>
      <w:r w:rsidRPr="00BB3D9A">
        <w:rPr>
          <w:iCs/>
          <w:color w:val="auto"/>
          <w:sz w:val="22"/>
          <w:szCs w:val="22"/>
        </w:rPr>
        <w:t xml:space="preserve"> E prosseguiu: “</w:t>
      </w:r>
      <w:r w:rsidRPr="00BB3D9A">
        <w:rPr>
          <w:i/>
          <w:iCs/>
          <w:color w:val="auto"/>
          <w:sz w:val="22"/>
          <w:szCs w:val="22"/>
        </w:rPr>
        <w:t>Considerando que a natureza das empresas que fabricam os arquivos deslizantes é totalmente diferente da natureza das empresas que desenvolvem software e que tanto a fabricação quanto o uso dos produtos são independentes, a exigência no mesmo lote de ambos os produtos (mesmo fornecedor) restringe demasiadamente a competição</w:t>
      </w:r>
      <w:r w:rsidRPr="00BB3D9A">
        <w:rPr>
          <w:iCs/>
          <w:color w:val="auto"/>
          <w:sz w:val="22"/>
          <w:szCs w:val="22"/>
        </w:rPr>
        <w:t>”</w:t>
      </w:r>
      <w:r w:rsidRPr="00BB3D9A">
        <w:rPr>
          <w:i/>
          <w:iCs/>
          <w:color w:val="auto"/>
          <w:sz w:val="22"/>
          <w:szCs w:val="22"/>
        </w:rPr>
        <w:t>.</w:t>
      </w:r>
      <w:r w:rsidRPr="00BB3D9A">
        <w:rPr>
          <w:iCs/>
          <w:color w:val="auto"/>
          <w:sz w:val="22"/>
          <w:szCs w:val="22"/>
        </w:rPr>
        <w:t xml:space="preserve"> O relator, também, por esse motivo determinou a suspensão cautelar do referido certame. O Tribunal, em seguida, endossou tal providência. </w:t>
      </w:r>
      <w:r w:rsidRPr="00BB3D9A">
        <w:rPr>
          <w:b/>
          <w:i/>
          <w:iCs/>
          <w:color w:val="auto"/>
          <w:sz w:val="22"/>
          <w:szCs w:val="22"/>
        </w:rPr>
        <w:t>Comunicação de Cautelar</w:t>
      </w:r>
      <w:r w:rsidRPr="00BB3D9A">
        <w:rPr>
          <w:b/>
          <w:i/>
          <w:color w:val="auto"/>
          <w:sz w:val="22"/>
          <w:szCs w:val="22"/>
        </w:rPr>
        <w:t xml:space="preserve">, </w:t>
      </w:r>
      <w:r w:rsidRPr="00BB3D9A">
        <w:rPr>
          <w:b/>
          <w:bCs/>
          <w:i/>
          <w:sz w:val="22"/>
          <w:szCs w:val="22"/>
        </w:rPr>
        <w:t>TC 046.443/2012-6</w:t>
      </w:r>
      <w:r w:rsidRPr="00BB3D9A">
        <w:rPr>
          <w:b/>
          <w:i/>
          <w:color w:val="auto"/>
          <w:sz w:val="22"/>
          <w:szCs w:val="22"/>
        </w:rPr>
        <w:t>, relator Ministro</w:t>
      </w:r>
      <w:r w:rsidRPr="00BB3D9A">
        <w:rPr>
          <w:b/>
          <w:i/>
          <w:sz w:val="22"/>
          <w:szCs w:val="22"/>
        </w:rPr>
        <w:t xml:space="preserve"> Raimundo Carreiro</w:t>
      </w:r>
      <w:r w:rsidRPr="00BB3D9A">
        <w:rPr>
          <w:b/>
          <w:i/>
          <w:color w:val="auto"/>
          <w:sz w:val="22"/>
          <w:szCs w:val="22"/>
        </w:rPr>
        <w:t>, 23</w:t>
      </w:r>
      <w:r w:rsidR="005D7B58">
        <w:rPr>
          <w:b/>
          <w:i/>
          <w:color w:val="auto"/>
          <w:sz w:val="22"/>
          <w:szCs w:val="22"/>
        </w:rPr>
        <w:t>.</w:t>
      </w:r>
      <w:r w:rsidRPr="00BB3D9A">
        <w:rPr>
          <w:b/>
          <w:i/>
          <w:color w:val="auto"/>
          <w:sz w:val="22"/>
          <w:szCs w:val="22"/>
        </w:rPr>
        <w:t>1</w:t>
      </w:r>
      <w:r w:rsidR="005D7B58">
        <w:rPr>
          <w:b/>
          <w:i/>
          <w:color w:val="auto"/>
          <w:sz w:val="22"/>
          <w:szCs w:val="22"/>
        </w:rPr>
        <w:t>.</w:t>
      </w:r>
      <w:r w:rsidRPr="00BB3D9A">
        <w:rPr>
          <w:b/>
          <w:i/>
          <w:color w:val="auto"/>
          <w:sz w:val="22"/>
          <w:szCs w:val="22"/>
        </w:rPr>
        <w:t>2013.</w:t>
      </w:r>
    </w:p>
    <w:p w:rsidR="00E23F84" w:rsidRPr="00BB3D9A" w:rsidRDefault="00E23F84" w:rsidP="00885831">
      <w:pPr>
        <w:pStyle w:val="Default"/>
        <w:jc w:val="both"/>
        <w:rPr>
          <w:b/>
          <w:color w:val="auto"/>
          <w:sz w:val="22"/>
          <w:szCs w:val="22"/>
        </w:rPr>
      </w:pPr>
    </w:p>
    <w:p w:rsidR="00E23F84" w:rsidRPr="00BB3D9A" w:rsidRDefault="00E23F84" w:rsidP="00E23F84">
      <w:pPr>
        <w:pStyle w:val="Default"/>
        <w:jc w:val="both"/>
        <w:rPr>
          <w:b/>
          <w:color w:val="auto"/>
          <w:sz w:val="22"/>
          <w:szCs w:val="22"/>
        </w:rPr>
      </w:pPr>
      <w:r w:rsidRPr="00BB3D9A">
        <w:rPr>
          <w:b/>
          <w:color w:val="auto"/>
          <w:sz w:val="22"/>
          <w:szCs w:val="22"/>
        </w:rPr>
        <w:t xml:space="preserve">3. </w:t>
      </w:r>
      <w:r w:rsidR="00BB3D9A" w:rsidRPr="00BB3D9A">
        <w:rPr>
          <w:b/>
          <w:color w:val="auto"/>
          <w:sz w:val="22"/>
          <w:szCs w:val="22"/>
        </w:rPr>
        <w:t>A prática de ato irregular por representante comercial que não integre o quadro societário da empresa com a qual se relaciona, nem detenha autorização para se pronunciar em nome dela, é insuficiente para justificar a declaração de inidoneidade de tal empresa</w:t>
      </w:r>
    </w:p>
    <w:p w:rsidR="00E23F84" w:rsidRPr="00BB3D9A" w:rsidRDefault="00E23F84" w:rsidP="00E23F84">
      <w:pPr>
        <w:pStyle w:val="Default"/>
        <w:jc w:val="both"/>
        <w:rPr>
          <w:b/>
          <w:bCs/>
          <w:smallCaps/>
          <w:sz w:val="22"/>
          <w:szCs w:val="22"/>
        </w:rPr>
      </w:pPr>
      <w:r w:rsidRPr="00BB3D9A">
        <w:rPr>
          <w:sz w:val="22"/>
          <w:szCs w:val="22"/>
        </w:rPr>
        <w:t>Pedido de Reexame interposto pela empresa Samsung Medison Brasil contra a deliberação proferida por meio do Acórdão</w:t>
      </w:r>
      <w:r w:rsidR="00CB7B27">
        <w:rPr>
          <w:sz w:val="22"/>
          <w:szCs w:val="22"/>
        </w:rPr>
        <w:t xml:space="preserve"> </w:t>
      </w:r>
      <w:r w:rsidRPr="00BB3D9A">
        <w:rPr>
          <w:sz w:val="22"/>
          <w:szCs w:val="22"/>
        </w:rPr>
        <w:t xml:space="preserve">662/2012 - TCU- Plenário requereu a reforma da declaração de inidoneidade para participar de licitação e contratar com a Administração Pública por três anos, imposta à empresa por ela adquirida, </w:t>
      </w:r>
      <w:r w:rsidRPr="00BB3D9A">
        <w:rPr>
          <w:iCs/>
          <w:sz w:val="22"/>
          <w:szCs w:val="22"/>
        </w:rPr>
        <w:t>Medison do Brasil Comércio, Importação e Exportação de Equipamentos. Tal sanção havia sido aplicada a essa última empresa por suposto conluio entre fornecedores de equipamentos de ultrassom, adquiridos com recursos federais pela Sociedade Beneficente São Camilo</w:t>
      </w:r>
      <w:r w:rsidR="00A62AAC">
        <w:rPr>
          <w:iCs/>
          <w:sz w:val="22"/>
          <w:szCs w:val="22"/>
        </w:rPr>
        <w:t>, fato que também justificou apenação de gestor dessa entidade</w:t>
      </w:r>
      <w:r w:rsidRPr="00BB3D9A">
        <w:rPr>
          <w:iCs/>
          <w:sz w:val="22"/>
          <w:szCs w:val="22"/>
        </w:rPr>
        <w:t>.</w:t>
      </w:r>
      <w:r w:rsidRPr="00BB3D9A">
        <w:rPr>
          <w:sz w:val="22"/>
          <w:szCs w:val="22"/>
        </w:rPr>
        <w:t xml:space="preserve"> Foram identificadas, </w:t>
      </w:r>
      <w:r w:rsidRPr="00BB3D9A">
        <w:rPr>
          <w:iCs/>
          <w:sz w:val="22"/>
          <w:szCs w:val="22"/>
        </w:rPr>
        <w:t>ainda na fase de cotação de preços que antecedeu a realização de pregão presencial,</w:t>
      </w:r>
      <w:r w:rsidRPr="00BB3D9A">
        <w:rPr>
          <w:sz w:val="22"/>
          <w:szCs w:val="22"/>
        </w:rPr>
        <w:t xml:space="preserve"> propostas comerciais das empresas Medison e Rad Filme com o mesmo endereço, entregues </w:t>
      </w:r>
      <w:r w:rsidRPr="00BB3D9A">
        <w:rPr>
          <w:iCs/>
          <w:sz w:val="22"/>
          <w:szCs w:val="22"/>
        </w:rPr>
        <w:t>à Sociedade Beneficente São Camilo. Após considerar os argumentos da recorrente, a unidade assim se manifestou:</w:t>
      </w:r>
      <w:r w:rsidRPr="00BB3D9A">
        <w:rPr>
          <w:i/>
          <w:iCs/>
          <w:sz w:val="22"/>
          <w:szCs w:val="22"/>
        </w:rPr>
        <w:t xml:space="preserve"> </w:t>
      </w:r>
      <w:r w:rsidRPr="00BB3D9A">
        <w:rPr>
          <w:iCs/>
          <w:sz w:val="22"/>
          <w:szCs w:val="22"/>
        </w:rPr>
        <w:t>“</w:t>
      </w:r>
      <w:r w:rsidRPr="00BB3D9A">
        <w:rPr>
          <w:i/>
          <w:iCs/>
          <w:sz w:val="22"/>
          <w:szCs w:val="22"/>
        </w:rPr>
        <w:t>A nosso ver, o fato de a proposta ter sido veiculada por meio de folha timbrada da empresa Medison do Brasil não autoriza concluir tenha referida empresa efetivamente apresentado no certame uma proposta de preço, mormente porque a Sra. Beatriz Kormann, embora representante comercial, não era sócia da Medison do Brasil e não se pode presumir autorizada a praticar atos e contrair obrigações em nome da empresa da qual é representante comercial por força de contrato</w:t>
      </w:r>
      <w:r w:rsidRPr="00BB3D9A">
        <w:rPr>
          <w:iCs/>
          <w:sz w:val="22"/>
          <w:szCs w:val="22"/>
        </w:rPr>
        <w:t>”</w:t>
      </w:r>
      <w:r w:rsidRPr="00BB3D9A">
        <w:rPr>
          <w:i/>
          <w:iCs/>
          <w:sz w:val="22"/>
          <w:szCs w:val="22"/>
        </w:rPr>
        <w:t xml:space="preserve">. </w:t>
      </w:r>
      <w:r w:rsidRPr="00BB3D9A">
        <w:rPr>
          <w:iCs/>
          <w:sz w:val="22"/>
          <w:szCs w:val="22"/>
        </w:rPr>
        <w:t>Anotou, ainda, que “</w:t>
      </w:r>
      <w:r w:rsidRPr="00BB3D9A">
        <w:rPr>
          <w:i/>
          <w:iCs/>
          <w:sz w:val="22"/>
          <w:szCs w:val="22"/>
        </w:rPr>
        <w:t>a própria condição de representante comercial – que pressupõe expandir os negócios da representada, porém, normalmente em nome próprio – pode explicar o fato de aquela representante comercial possuir folhas timbradas da empresa Medison</w:t>
      </w:r>
      <w:r w:rsidRPr="00BB3D9A">
        <w:rPr>
          <w:iCs/>
          <w:sz w:val="22"/>
          <w:szCs w:val="22"/>
        </w:rPr>
        <w:t>”. O relator, ao endossar a análise da unidade técnica, ressaltou que a referida representante “</w:t>
      </w:r>
      <w:r w:rsidRPr="00BB3D9A">
        <w:rPr>
          <w:i/>
          <w:sz w:val="22"/>
          <w:szCs w:val="22"/>
        </w:rPr>
        <w:t>jamais integrou o quadro societário daquela empresa</w:t>
      </w:r>
      <w:r w:rsidRPr="00BB3D9A">
        <w:rPr>
          <w:sz w:val="22"/>
          <w:szCs w:val="22"/>
        </w:rPr>
        <w:t>”. E que não há elementos que autorizem a conclusão de que estivesse legitimada a participar de licitação em nome da empresa Medison do Brasil. Concluiu, então, que todo o ocorrido “</w:t>
      </w:r>
      <w:r w:rsidRPr="00BB3D9A">
        <w:rPr>
          <w:i/>
          <w:sz w:val="22"/>
          <w:szCs w:val="22"/>
        </w:rPr>
        <w:t>transcorreu à revelia da empresa ora recorrente</w:t>
      </w:r>
      <w:r w:rsidRPr="00BB3D9A">
        <w:rPr>
          <w:sz w:val="22"/>
          <w:szCs w:val="22"/>
        </w:rPr>
        <w:t>”. O Tribunal, então, ao acolher a proposta relator, decidiu conhecer o referido recurso e, no mérito, tornar insubsistente a declaração de inidoneidade que havia sido imposta à empresa Samsung Medison do Brasil Comércio, Importação e Exportação de Equipamentos Médicos Ltda.</w:t>
      </w:r>
      <w:r w:rsidR="00A62AAC">
        <w:rPr>
          <w:sz w:val="22"/>
          <w:szCs w:val="22"/>
        </w:rPr>
        <w:t xml:space="preserve">, mantendo-se a sanção ao gestor por esse fato. </w:t>
      </w:r>
      <w:r w:rsidRPr="00BB3D9A">
        <w:rPr>
          <w:b/>
          <w:i/>
          <w:sz w:val="22"/>
          <w:szCs w:val="22"/>
        </w:rPr>
        <w:t>Acórdão 24/2013-Plenário, TC 023.299/2006-4, relator Ministro Raimundo Carreiro, 23.1.2013.</w:t>
      </w:r>
    </w:p>
    <w:p w:rsidR="00885831" w:rsidRPr="00BB3D9A" w:rsidRDefault="00885831" w:rsidP="00993431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CB7B27" w:rsidRDefault="00885831" w:rsidP="00D33A40">
      <w:pPr>
        <w:pStyle w:val="Default"/>
        <w:jc w:val="both"/>
        <w:rPr>
          <w:b/>
          <w:sz w:val="22"/>
          <w:szCs w:val="22"/>
        </w:rPr>
      </w:pPr>
      <w:r w:rsidRPr="00BB3D9A">
        <w:rPr>
          <w:b/>
          <w:sz w:val="22"/>
          <w:szCs w:val="22"/>
        </w:rPr>
        <w:t>4</w:t>
      </w:r>
      <w:r w:rsidR="00287ACF" w:rsidRPr="00BB3D9A">
        <w:rPr>
          <w:b/>
          <w:sz w:val="22"/>
          <w:szCs w:val="22"/>
        </w:rPr>
        <w:t xml:space="preserve">. </w:t>
      </w:r>
      <w:r w:rsidR="005010F0" w:rsidRPr="00BB3D9A">
        <w:rPr>
          <w:b/>
          <w:sz w:val="22"/>
          <w:szCs w:val="22"/>
        </w:rPr>
        <w:t>É l</w:t>
      </w:r>
      <w:r w:rsidR="00055A5C" w:rsidRPr="00BB3D9A">
        <w:rPr>
          <w:b/>
          <w:sz w:val="22"/>
          <w:szCs w:val="22"/>
        </w:rPr>
        <w:t>í</w:t>
      </w:r>
      <w:r w:rsidR="005010F0" w:rsidRPr="00BB3D9A">
        <w:rPr>
          <w:b/>
          <w:sz w:val="22"/>
          <w:szCs w:val="22"/>
        </w:rPr>
        <w:t xml:space="preserve">cito o estabelecimento de remuneração por horas de trabalho para serviços de tecnologia da informação, quando não for possível </w:t>
      </w:r>
      <w:r w:rsidR="00F6607F" w:rsidRPr="00BB3D9A">
        <w:rPr>
          <w:b/>
          <w:sz w:val="22"/>
          <w:szCs w:val="22"/>
        </w:rPr>
        <w:t>vinculá-la</w:t>
      </w:r>
      <w:r w:rsidR="005010F0" w:rsidRPr="00BB3D9A">
        <w:rPr>
          <w:b/>
          <w:sz w:val="22"/>
          <w:szCs w:val="22"/>
        </w:rPr>
        <w:t xml:space="preserve"> a resultados</w:t>
      </w:r>
    </w:p>
    <w:p w:rsidR="00D33A40" w:rsidRPr="00BB3D9A" w:rsidRDefault="001F5268" w:rsidP="00D33A40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B3D9A">
        <w:rPr>
          <w:sz w:val="22"/>
          <w:szCs w:val="22"/>
        </w:rPr>
        <w:t>Representação formulada por empresa apontou supostas irregularidades na condução do Pregão Eletrônico</w:t>
      </w:r>
      <w:r w:rsidR="00CB7B27">
        <w:rPr>
          <w:sz w:val="22"/>
          <w:szCs w:val="22"/>
        </w:rPr>
        <w:t xml:space="preserve"> </w:t>
      </w:r>
      <w:r w:rsidRPr="00BB3D9A">
        <w:rPr>
          <w:sz w:val="22"/>
          <w:szCs w:val="22"/>
        </w:rPr>
        <w:t>100/2012 pelo Tribunal Superior do Trabalho – TST, destinado à contratação de serviços de operação de central de atendimento a usuários de tecnologia da informação d</w:t>
      </w:r>
      <w:r w:rsidR="004257A8" w:rsidRPr="00BB3D9A">
        <w:rPr>
          <w:sz w:val="22"/>
          <w:szCs w:val="22"/>
        </w:rPr>
        <w:t>esse</w:t>
      </w:r>
      <w:r w:rsidRPr="00BB3D9A">
        <w:rPr>
          <w:sz w:val="22"/>
          <w:szCs w:val="22"/>
        </w:rPr>
        <w:t xml:space="preserve"> Tribunal (</w:t>
      </w:r>
      <w:r w:rsidRPr="00BB3D9A">
        <w:rPr>
          <w:i/>
          <w:iCs/>
          <w:sz w:val="22"/>
          <w:szCs w:val="22"/>
        </w:rPr>
        <w:t>service desk</w:t>
      </w:r>
      <w:r w:rsidRPr="00BB3D9A">
        <w:rPr>
          <w:sz w:val="22"/>
          <w:szCs w:val="22"/>
        </w:rPr>
        <w:t xml:space="preserve">) e de suporte técnico presencial. Entre as impugnações </w:t>
      </w:r>
      <w:r w:rsidR="007B0BF2" w:rsidRPr="00BB3D9A">
        <w:rPr>
          <w:sz w:val="22"/>
          <w:szCs w:val="22"/>
        </w:rPr>
        <w:t xml:space="preserve">da </w:t>
      </w:r>
      <w:r w:rsidRPr="00BB3D9A">
        <w:rPr>
          <w:sz w:val="22"/>
          <w:szCs w:val="22"/>
        </w:rPr>
        <w:t>autora da representação, destaque-se a suposta “</w:t>
      </w:r>
      <w:r w:rsidRPr="00BB3D9A">
        <w:rPr>
          <w:i/>
          <w:iCs/>
          <w:sz w:val="22"/>
          <w:szCs w:val="22"/>
        </w:rPr>
        <w:t>dissonância entre o modelo de remuneração dos serviços previstos no edital, baseados em homem-hora de trabalho, e o determinado pelo TCU, baseado em resultados</w:t>
      </w:r>
      <w:r w:rsidR="007B0BF2" w:rsidRPr="00BB3D9A">
        <w:rPr>
          <w:iCs/>
          <w:sz w:val="22"/>
          <w:szCs w:val="22"/>
        </w:rPr>
        <w:t>”</w:t>
      </w:r>
      <w:r w:rsidRPr="00BB3D9A">
        <w:rPr>
          <w:iCs/>
          <w:sz w:val="22"/>
          <w:szCs w:val="22"/>
        </w:rPr>
        <w:t>.</w:t>
      </w:r>
      <w:r w:rsidRPr="00BB3D9A">
        <w:rPr>
          <w:i/>
          <w:iCs/>
          <w:sz w:val="22"/>
          <w:szCs w:val="22"/>
        </w:rPr>
        <w:t xml:space="preserve"> </w:t>
      </w:r>
      <w:r w:rsidRPr="00BB3D9A">
        <w:rPr>
          <w:sz w:val="22"/>
          <w:szCs w:val="22"/>
        </w:rPr>
        <w:t>A unidade técnica, ao examinar esse questionamento, anotou que “</w:t>
      </w:r>
      <w:r w:rsidRPr="00BB3D9A">
        <w:rPr>
          <w:i/>
          <w:iCs/>
          <w:sz w:val="22"/>
          <w:szCs w:val="22"/>
        </w:rPr>
        <w:t>a jurisprudência do Tribunal é pacífica quanto à importância de se vincular a prestação a resultados ou ao atendimento de níveis de serviço (Acórdãos 2619/2008 – P, 2.296/2012 – P)</w:t>
      </w:r>
      <w:r w:rsidRPr="00BB3D9A">
        <w:rPr>
          <w:iCs/>
          <w:sz w:val="22"/>
          <w:szCs w:val="22"/>
        </w:rPr>
        <w:t xml:space="preserve">”. </w:t>
      </w:r>
      <w:r w:rsidR="009F3DA5" w:rsidRPr="00BB3D9A">
        <w:rPr>
          <w:iCs/>
          <w:sz w:val="22"/>
          <w:szCs w:val="22"/>
        </w:rPr>
        <w:t>Observou</w:t>
      </w:r>
      <w:r w:rsidRPr="00BB3D9A">
        <w:rPr>
          <w:iCs/>
          <w:sz w:val="22"/>
          <w:szCs w:val="22"/>
        </w:rPr>
        <w:t xml:space="preserve">, no entanto, que o Tribunal admite exceção a essa regra, conforme </w:t>
      </w:r>
      <w:r w:rsidR="00364B80" w:rsidRPr="00BB3D9A">
        <w:rPr>
          <w:iCs/>
          <w:sz w:val="22"/>
          <w:szCs w:val="22"/>
        </w:rPr>
        <w:t xml:space="preserve">revela o enunciado da </w:t>
      </w:r>
      <w:r w:rsidRPr="00BB3D9A">
        <w:rPr>
          <w:iCs/>
          <w:sz w:val="22"/>
          <w:szCs w:val="22"/>
        </w:rPr>
        <w:t>Súmula</w:t>
      </w:r>
      <w:r w:rsidR="00055A5C" w:rsidRPr="00BB3D9A">
        <w:rPr>
          <w:iCs/>
          <w:sz w:val="22"/>
          <w:szCs w:val="22"/>
        </w:rPr>
        <w:t xml:space="preserve">-TCU </w:t>
      </w:r>
      <w:r w:rsidRPr="00BB3D9A">
        <w:rPr>
          <w:iCs/>
          <w:sz w:val="22"/>
          <w:szCs w:val="22"/>
        </w:rPr>
        <w:t>269</w:t>
      </w:r>
      <w:r w:rsidR="00364B80" w:rsidRPr="00BB3D9A">
        <w:rPr>
          <w:iCs/>
          <w:sz w:val="22"/>
          <w:szCs w:val="22"/>
        </w:rPr>
        <w:t>, lavrado nos seguintes termos: “</w:t>
      </w:r>
      <w:r w:rsidRPr="00BB3D9A">
        <w:rPr>
          <w:i/>
          <w:iCs/>
          <w:sz w:val="22"/>
          <w:szCs w:val="22"/>
        </w:rPr>
        <w:t xml:space="preserve">Nas contratações para a prestação de serviços de tecnologia da informação, a remuneração deve estar vinculada a resultados ou ao atendimento de níveis de serviço, admitindo-se o pagamento por hora trabalhada ou por posto de serviço somente quando as características do objeto não o permitirem, hipótese em </w:t>
      </w:r>
      <w:r w:rsidRPr="00BB3D9A">
        <w:rPr>
          <w:i/>
          <w:iCs/>
          <w:sz w:val="22"/>
          <w:szCs w:val="22"/>
          <w:u w:val="single"/>
        </w:rPr>
        <w:t>que a excepcionalidade deve estar prévia e adequadamente justificada nos respectivos processos administrativos</w:t>
      </w:r>
      <w:r w:rsidR="00364B80" w:rsidRPr="00BB3D9A">
        <w:rPr>
          <w:iCs/>
          <w:sz w:val="22"/>
          <w:szCs w:val="22"/>
        </w:rPr>
        <w:t>”</w:t>
      </w:r>
      <w:r w:rsidRPr="00BB3D9A">
        <w:rPr>
          <w:iCs/>
          <w:sz w:val="22"/>
          <w:szCs w:val="22"/>
        </w:rPr>
        <w:t>(grif</w:t>
      </w:r>
      <w:r w:rsidR="00364B80" w:rsidRPr="00BB3D9A">
        <w:rPr>
          <w:iCs/>
          <w:sz w:val="22"/>
          <w:szCs w:val="22"/>
        </w:rPr>
        <w:t>os da unidade técnica</w:t>
      </w:r>
      <w:r w:rsidRPr="00BB3D9A">
        <w:rPr>
          <w:iCs/>
          <w:sz w:val="22"/>
          <w:szCs w:val="22"/>
        </w:rPr>
        <w:t>)</w:t>
      </w:r>
      <w:r w:rsidR="00364B80" w:rsidRPr="00BB3D9A">
        <w:rPr>
          <w:iCs/>
          <w:sz w:val="22"/>
          <w:szCs w:val="22"/>
        </w:rPr>
        <w:t xml:space="preserve">. </w:t>
      </w:r>
      <w:r w:rsidR="00C32EA6" w:rsidRPr="00BB3D9A">
        <w:rPr>
          <w:iCs/>
          <w:sz w:val="22"/>
          <w:szCs w:val="22"/>
        </w:rPr>
        <w:t>Acrescentou que as justificativas que impediam a submissão ao regramento de remuneração por resultado</w:t>
      </w:r>
      <w:r w:rsidR="00055A5C" w:rsidRPr="00BB3D9A">
        <w:rPr>
          <w:iCs/>
          <w:sz w:val="22"/>
          <w:szCs w:val="22"/>
        </w:rPr>
        <w:t>s</w:t>
      </w:r>
      <w:r w:rsidR="00C32EA6" w:rsidRPr="00BB3D9A">
        <w:rPr>
          <w:iCs/>
          <w:sz w:val="22"/>
          <w:szCs w:val="22"/>
        </w:rPr>
        <w:t xml:space="preserve"> constaram do respectivo processo de licitação. Por isso, não </w:t>
      </w:r>
      <w:r w:rsidR="00055A5C" w:rsidRPr="00BB3D9A">
        <w:rPr>
          <w:iCs/>
          <w:sz w:val="22"/>
          <w:szCs w:val="22"/>
        </w:rPr>
        <w:t xml:space="preserve">se </w:t>
      </w:r>
      <w:r w:rsidR="004213F9" w:rsidRPr="00BB3D9A">
        <w:rPr>
          <w:iCs/>
          <w:sz w:val="22"/>
          <w:szCs w:val="22"/>
        </w:rPr>
        <w:t xml:space="preserve">teria configurado a ilegalidade aventada pela autora da representação. O </w:t>
      </w:r>
      <w:r w:rsidR="00A82662" w:rsidRPr="00BB3D9A">
        <w:rPr>
          <w:iCs/>
          <w:sz w:val="22"/>
          <w:szCs w:val="22"/>
        </w:rPr>
        <w:t>r</w:t>
      </w:r>
      <w:r w:rsidR="004213F9" w:rsidRPr="00BB3D9A">
        <w:rPr>
          <w:iCs/>
          <w:sz w:val="22"/>
          <w:szCs w:val="22"/>
        </w:rPr>
        <w:t xml:space="preserve">elator, </w:t>
      </w:r>
      <w:r w:rsidR="00146F56" w:rsidRPr="00BB3D9A">
        <w:rPr>
          <w:iCs/>
          <w:sz w:val="22"/>
          <w:szCs w:val="22"/>
        </w:rPr>
        <w:t>ao endossar o pronunciamento da unidade técnica, anotou que “</w:t>
      </w:r>
      <w:r w:rsidR="00146F56" w:rsidRPr="00BB3D9A">
        <w:rPr>
          <w:i/>
          <w:sz w:val="22"/>
          <w:szCs w:val="22"/>
        </w:rPr>
        <w:t>a contratação envolve o dimensionamento dos serviços por homens-hora/postos de serviço</w:t>
      </w:r>
      <w:r w:rsidR="00146F56" w:rsidRPr="00BB3D9A">
        <w:rPr>
          <w:sz w:val="22"/>
          <w:szCs w:val="22"/>
        </w:rPr>
        <w:t>”</w:t>
      </w:r>
      <w:r w:rsidR="00993431" w:rsidRPr="00BB3D9A">
        <w:rPr>
          <w:sz w:val="22"/>
          <w:szCs w:val="22"/>
        </w:rPr>
        <w:t xml:space="preserve"> para parte das tarefas a serem executadas</w:t>
      </w:r>
      <w:r w:rsidR="00146F56" w:rsidRPr="00BB3D9A">
        <w:rPr>
          <w:sz w:val="22"/>
          <w:szCs w:val="22"/>
        </w:rPr>
        <w:t xml:space="preserve">, mas que </w:t>
      </w:r>
      <w:r w:rsidR="00146F56" w:rsidRPr="00BB3D9A">
        <w:rPr>
          <w:iCs/>
          <w:sz w:val="22"/>
          <w:szCs w:val="22"/>
        </w:rPr>
        <w:t xml:space="preserve">o edital estabelece, também, a necessidade de </w:t>
      </w:r>
      <w:r w:rsidR="00D33A40" w:rsidRPr="00BB3D9A">
        <w:rPr>
          <w:iCs/>
          <w:sz w:val="22"/>
          <w:szCs w:val="22"/>
        </w:rPr>
        <w:t>“</w:t>
      </w:r>
      <w:r w:rsidR="00146F56" w:rsidRPr="00BB3D9A">
        <w:rPr>
          <w:i/>
          <w:sz w:val="22"/>
          <w:szCs w:val="22"/>
        </w:rPr>
        <w:t>vinculação dos pagamentos mensais ao atendimento de indicadores de níveis de serviço detalhados no termo de referência</w:t>
      </w:r>
      <w:r w:rsidR="00D33A40" w:rsidRPr="00BB3D9A">
        <w:rPr>
          <w:sz w:val="22"/>
          <w:szCs w:val="22"/>
        </w:rPr>
        <w:t>”. F</w:t>
      </w:r>
      <w:r w:rsidR="004213F9" w:rsidRPr="00BB3D9A">
        <w:rPr>
          <w:iCs/>
          <w:sz w:val="22"/>
          <w:szCs w:val="22"/>
        </w:rPr>
        <w:t xml:space="preserve">ez </w:t>
      </w:r>
      <w:r w:rsidR="00A82662" w:rsidRPr="00BB3D9A">
        <w:rPr>
          <w:iCs/>
          <w:sz w:val="22"/>
          <w:szCs w:val="22"/>
        </w:rPr>
        <w:t xml:space="preserve">menção </w:t>
      </w:r>
      <w:r w:rsidR="004213F9" w:rsidRPr="00BB3D9A">
        <w:rPr>
          <w:iCs/>
          <w:sz w:val="22"/>
          <w:szCs w:val="22"/>
        </w:rPr>
        <w:t xml:space="preserve">à </w:t>
      </w:r>
      <w:r w:rsidR="00C32EA6" w:rsidRPr="00BB3D9A">
        <w:rPr>
          <w:sz w:val="22"/>
          <w:szCs w:val="22"/>
        </w:rPr>
        <w:t>IN</w:t>
      </w:r>
      <w:r w:rsidR="00A82662" w:rsidRPr="00BB3D9A">
        <w:rPr>
          <w:sz w:val="22"/>
          <w:szCs w:val="22"/>
        </w:rPr>
        <w:t>-</w:t>
      </w:r>
      <w:r w:rsidR="00C32EA6" w:rsidRPr="00BB3D9A">
        <w:rPr>
          <w:sz w:val="22"/>
          <w:szCs w:val="22"/>
        </w:rPr>
        <w:t>SLTI/MP 04, de 2010, que dispõe sobre o processo de contratação de Soluções de Tecnologia da Informação pelos órgãos integrantes do Sistema de Administração dos Recursos de Informação e Informática (SISP) do Poder Executivo Federal, observada de forma subsidiária pelo TST</w:t>
      </w:r>
      <w:r w:rsidR="00A45A7F" w:rsidRPr="00BB3D9A">
        <w:rPr>
          <w:sz w:val="22"/>
          <w:szCs w:val="22"/>
        </w:rPr>
        <w:t xml:space="preserve">. Consoante estipulado nos </w:t>
      </w:r>
      <w:r w:rsidR="00C32EA6" w:rsidRPr="00BB3D9A">
        <w:rPr>
          <w:sz w:val="22"/>
          <w:szCs w:val="22"/>
        </w:rPr>
        <w:t>§§ 2º e 3º</w:t>
      </w:r>
      <w:r w:rsidR="00992830" w:rsidRPr="00BB3D9A">
        <w:rPr>
          <w:sz w:val="22"/>
          <w:szCs w:val="22"/>
        </w:rPr>
        <w:t xml:space="preserve"> d</w:t>
      </w:r>
      <w:r w:rsidR="00A45A7F" w:rsidRPr="00BB3D9A">
        <w:rPr>
          <w:sz w:val="22"/>
          <w:szCs w:val="22"/>
        </w:rPr>
        <w:t xml:space="preserve">e seu </w:t>
      </w:r>
      <w:r w:rsidR="00992830" w:rsidRPr="00BB3D9A">
        <w:rPr>
          <w:sz w:val="22"/>
          <w:szCs w:val="22"/>
        </w:rPr>
        <w:t>art. 15</w:t>
      </w:r>
      <w:r w:rsidR="00C32EA6" w:rsidRPr="00BB3D9A">
        <w:rPr>
          <w:sz w:val="22"/>
          <w:szCs w:val="22"/>
        </w:rPr>
        <w:t>:</w:t>
      </w:r>
      <w:r w:rsidR="004213F9" w:rsidRPr="00BB3D9A">
        <w:rPr>
          <w:sz w:val="22"/>
          <w:szCs w:val="22"/>
        </w:rPr>
        <w:t xml:space="preserve"> </w:t>
      </w:r>
      <w:r w:rsidR="00C32EA6" w:rsidRPr="00BB3D9A">
        <w:rPr>
          <w:sz w:val="22"/>
          <w:szCs w:val="22"/>
        </w:rPr>
        <w:t>“</w:t>
      </w:r>
      <w:r w:rsidR="00993431" w:rsidRPr="00BB3D9A">
        <w:rPr>
          <w:i/>
          <w:iCs/>
          <w:sz w:val="22"/>
          <w:szCs w:val="22"/>
        </w:rPr>
        <w:t xml:space="preserve">§ 2º - </w:t>
      </w:r>
      <w:r w:rsidR="00C32EA6" w:rsidRPr="00BB3D9A">
        <w:rPr>
          <w:i/>
          <w:iCs/>
          <w:sz w:val="22"/>
          <w:szCs w:val="22"/>
        </w:rPr>
        <w:t>A aferição de esforço por meio da métrica homens-hora apenas poderá ser utilizada mediante justificativa e sempre vinculada à entrega de produtos de acordo com prazos e qualidade previamente definidos.</w:t>
      </w:r>
      <w:r w:rsidR="004213F9" w:rsidRPr="00BB3D9A">
        <w:rPr>
          <w:i/>
          <w:iCs/>
          <w:sz w:val="22"/>
          <w:szCs w:val="22"/>
        </w:rPr>
        <w:t xml:space="preserve"> </w:t>
      </w:r>
      <w:r w:rsidR="00C32EA6" w:rsidRPr="00BB3D9A">
        <w:rPr>
          <w:i/>
          <w:iCs/>
          <w:sz w:val="22"/>
          <w:szCs w:val="22"/>
        </w:rPr>
        <w:t>§ 3º - É vedado contratar por postos de trabalho alocados, salvo os casos justificados mediante a comprovação obrigatória de resultados compatíveis com o posto previamente definido”</w:t>
      </w:r>
      <w:r w:rsidR="004213F9" w:rsidRPr="00BB3D9A">
        <w:rPr>
          <w:i/>
          <w:iCs/>
          <w:sz w:val="22"/>
          <w:szCs w:val="22"/>
        </w:rPr>
        <w:t>.</w:t>
      </w:r>
      <w:r w:rsidR="00992830" w:rsidRPr="00BB3D9A">
        <w:rPr>
          <w:iCs/>
          <w:sz w:val="22"/>
          <w:szCs w:val="22"/>
        </w:rPr>
        <w:t xml:space="preserve"> Citou, também, deliberação proferida por meio do Acórdão nº </w:t>
      </w:r>
      <w:r w:rsidR="00992830" w:rsidRPr="00BB3D9A">
        <w:rPr>
          <w:sz w:val="22"/>
          <w:szCs w:val="22"/>
        </w:rPr>
        <w:t>1.125/2009-Plenário, em que o Tribunal considerou lícita</w:t>
      </w:r>
      <w:r w:rsidR="00146F56" w:rsidRPr="00BB3D9A">
        <w:rPr>
          <w:sz w:val="22"/>
          <w:szCs w:val="22"/>
        </w:rPr>
        <w:t xml:space="preserve">, em determinada licitação, </w:t>
      </w:r>
      <w:r w:rsidR="00992830" w:rsidRPr="00BB3D9A">
        <w:rPr>
          <w:sz w:val="22"/>
          <w:szCs w:val="22"/>
        </w:rPr>
        <w:t xml:space="preserve">a remuneração </w:t>
      </w:r>
      <w:r w:rsidR="00146F56" w:rsidRPr="00BB3D9A">
        <w:rPr>
          <w:sz w:val="22"/>
          <w:szCs w:val="22"/>
        </w:rPr>
        <w:t>de</w:t>
      </w:r>
      <w:r w:rsidR="00992830" w:rsidRPr="00BB3D9A">
        <w:rPr>
          <w:sz w:val="22"/>
          <w:szCs w:val="22"/>
        </w:rPr>
        <w:t xml:space="preserve"> </w:t>
      </w:r>
      <w:r w:rsidR="00993431" w:rsidRPr="00BB3D9A">
        <w:rPr>
          <w:sz w:val="22"/>
          <w:szCs w:val="22"/>
        </w:rPr>
        <w:t xml:space="preserve">parte dos </w:t>
      </w:r>
      <w:r w:rsidR="00992830" w:rsidRPr="00BB3D9A">
        <w:rPr>
          <w:sz w:val="22"/>
          <w:szCs w:val="22"/>
        </w:rPr>
        <w:t xml:space="preserve">serviços </w:t>
      </w:r>
      <w:r w:rsidR="00146F56" w:rsidRPr="00BB3D9A">
        <w:rPr>
          <w:sz w:val="22"/>
          <w:szCs w:val="22"/>
        </w:rPr>
        <w:t xml:space="preserve">dessa natureza </w:t>
      </w:r>
      <w:r w:rsidR="00992830" w:rsidRPr="00BB3D9A">
        <w:rPr>
          <w:iCs/>
          <w:sz w:val="22"/>
          <w:szCs w:val="22"/>
        </w:rPr>
        <w:t>com base em horas trabalhadas</w:t>
      </w:r>
      <w:r w:rsidR="009F3DA5" w:rsidRPr="00BB3D9A">
        <w:rPr>
          <w:iCs/>
          <w:sz w:val="22"/>
          <w:szCs w:val="22"/>
        </w:rPr>
        <w:t xml:space="preserve">, dada a impossibilidade de </w:t>
      </w:r>
      <w:r w:rsidR="0020734D" w:rsidRPr="00BB3D9A">
        <w:rPr>
          <w:iCs/>
          <w:sz w:val="22"/>
          <w:szCs w:val="22"/>
        </w:rPr>
        <w:t>estipulação da remuneração com base em resultados</w:t>
      </w:r>
      <w:r w:rsidR="00993431" w:rsidRPr="00BB3D9A">
        <w:rPr>
          <w:iCs/>
          <w:sz w:val="22"/>
          <w:szCs w:val="22"/>
        </w:rPr>
        <w:t>.</w:t>
      </w:r>
      <w:r w:rsidR="0020734D" w:rsidRPr="00BB3D9A">
        <w:rPr>
          <w:iCs/>
          <w:sz w:val="22"/>
          <w:szCs w:val="22"/>
        </w:rPr>
        <w:t xml:space="preserve"> </w:t>
      </w:r>
      <w:r w:rsidR="00146F56" w:rsidRPr="00BB3D9A">
        <w:rPr>
          <w:iCs/>
          <w:sz w:val="22"/>
          <w:szCs w:val="22"/>
        </w:rPr>
        <w:t xml:space="preserve">Concluiu, </w:t>
      </w:r>
      <w:r w:rsidR="00CA0704" w:rsidRPr="00BB3D9A">
        <w:rPr>
          <w:iCs/>
          <w:sz w:val="22"/>
          <w:szCs w:val="22"/>
        </w:rPr>
        <w:t xml:space="preserve">em face desse panorama, </w:t>
      </w:r>
      <w:r w:rsidR="00146F56" w:rsidRPr="00BB3D9A">
        <w:rPr>
          <w:iCs/>
          <w:sz w:val="22"/>
          <w:szCs w:val="22"/>
        </w:rPr>
        <w:t xml:space="preserve">que o modelo </w:t>
      </w:r>
      <w:r w:rsidR="00C32EA6" w:rsidRPr="00BB3D9A">
        <w:rPr>
          <w:sz w:val="22"/>
          <w:szCs w:val="22"/>
        </w:rPr>
        <w:t xml:space="preserve">híbrido adotado pelo TST não </w:t>
      </w:r>
      <w:r w:rsidR="00146F56" w:rsidRPr="00BB3D9A">
        <w:rPr>
          <w:sz w:val="22"/>
          <w:szCs w:val="22"/>
        </w:rPr>
        <w:t>afront</w:t>
      </w:r>
      <w:r w:rsidR="00A45A7F" w:rsidRPr="00BB3D9A">
        <w:rPr>
          <w:sz w:val="22"/>
          <w:szCs w:val="22"/>
        </w:rPr>
        <w:t>ou</w:t>
      </w:r>
      <w:r w:rsidR="00146F56" w:rsidRPr="00BB3D9A">
        <w:rPr>
          <w:sz w:val="22"/>
          <w:szCs w:val="22"/>
        </w:rPr>
        <w:t xml:space="preserve"> a legislação vigente. </w:t>
      </w:r>
      <w:r w:rsidR="00D33A40" w:rsidRPr="00BB3D9A">
        <w:rPr>
          <w:iCs/>
          <w:sz w:val="22"/>
          <w:szCs w:val="22"/>
        </w:rPr>
        <w:t xml:space="preserve">O Tribunal, então, por considerar insubsistente esse e os outros questionamentos </w:t>
      </w:r>
      <w:r w:rsidR="00A45A7F" w:rsidRPr="00BB3D9A">
        <w:rPr>
          <w:iCs/>
          <w:sz w:val="22"/>
          <w:szCs w:val="22"/>
        </w:rPr>
        <w:t>da autora da representação</w:t>
      </w:r>
      <w:r w:rsidR="00D33A40" w:rsidRPr="00BB3D9A">
        <w:rPr>
          <w:iCs/>
          <w:sz w:val="22"/>
          <w:szCs w:val="22"/>
        </w:rPr>
        <w:t>, julgou</w:t>
      </w:r>
      <w:r w:rsidR="00A45A7F" w:rsidRPr="00BB3D9A">
        <w:rPr>
          <w:iCs/>
          <w:sz w:val="22"/>
          <w:szCs w:val="22"/>
        </w:rPr>
        <w:t xml:space="preserve">-a </w:t>
      </w:r>
      <w:r w:rsidR="00D33A40" w:rsidRPr="00BB3D9A">
        <w:rPr>
          <w:iCs/>
          <w:sz w:val="22"/>
          <w:szCs w:val="22"/>
        </w:rPr>
        <w:t>improcedente</w:t>
      </w:r>
      <w:r w:rsidR="00103C24" w:rsidRPr="00BB3D9A">
        <w:rPr>
          <w:iCs/>
          <w:sz w:val="22"/>
          <w:szCs w:val="22"/>
        </w:rPr>
        <w:t>.</w:t>
      </w:r>
      <w:r w:rsidR="00D33A40" w:rsidRPr="00BB3D9A">
        <w:rPr>
          <w:iCs/>
          <w:sz w:val="22"/>
          <w:szCs w:val="22"/>
        </w:rPr>
        <w:t xml:space="preserve"> </w:t>
      </w:r>
      <w:r w:rsidR="00D33A40" w:rsidRPr="00BB3D9A">
        <w:rPr>
          <w:b/>
          <w:i/>
          <w:color w:val="auto"/>
          <w:sz w:val="22"/>
          <w:szCs w:val="22"/>
        </w:rPr>
        <w:t>Acórdão</w:t>
      </w:r>
      <w:r w:rsidR="00CB7B27">
        <w:rPr>
          <w:b/>
          <w:i/>
          <w:color w:val="auto"/>
          <w:sz w:val="22"/>
          <w:szCs w:val="22"/>
        </w:rPr>
        <w:t xml:space="preserve"> </w:t>
      </w:r>
      <w:r w:rsidR="00D33A40" w:rsidRPr="00BB3D9A">
        <w:rPr>
          <w:b/>
          <w:i/>
          <w:color w:val="auto"/>
          <w:sz w:val="22"/>
          <w:szCs w:val="22"/>
        </w:rPr>
        <w:t>47/2013-Plenário, TC</w:t>
      </w:r>
      <w:r w:rsidR="00910252" w:rsidRPr="00BB3D9A">
        <w:rPr>
          <w:b/>
          <w:i/>
          <w:color w:val="auto"/>
          <w:sz w:val="22"/>
          <w:szCs w:val="22"/>
        </w:rPr>
        <w:t xml:space="preserve"> </w:t>
      </w:r>
      <w:r w:rsidR="00D33A40" w:rsidRPr="00BB3D9A">
        <w:rPr>
          <w:b/>
          <w:i/>
          <w:sz w:val="22"/>
          <w:szCs w:val="22"/>
        </w:rPr>
        <w:t>046.269/2012-6</w:t>
      </w:r>
      <w:r w:rsidR="00D33A40" w:rsidRPr="00BB3D9A">
        <w:rPr>
          <w:b/>
          <w:i/>
          <w:color w:val="auto"/>
          <w:sz w:val="22"/>
          <w:szCs w:val="22"/>
        </w:rPr>
        <w:t>, relator Ministro-Substituto</w:t>
      </w:r>
      <w:r w:rsidR="00D33A40" w:rsidRPr="00BB3D9A">
        <w:rPr>
          <w:b/>
          <w:i/>
          <w:sz w:val="22"/>
          <w:szCs w:val="22"/>
        </w:rPr>
        <w:t xml:space="preserve"> André Luís de Carvalho</w:t>
      </w:r>
      <w:r w:rsidR="00D33A40" w:rsidRPr="00BB3D9A">
        <w:rPr>
          <w:b/>
          <w:i/>
          <w:color w:val="auto"/>
          <w:sz w:val="22"/>
          <w:szCs w:val="22"/>
        </w:rPr>
        <w:t>, 23</w:t>
      </w:r>
      <w:r w:rsidR="005D7B58">
        <w:rPr>
          <w:b/>
          <w:i/>
          <w:color w:val="auto"/>
          <w:sz w:val="22"/>
          <w:szCs w:val="22"/>
        </w:rPr>
        <w:t>.</w:t>
      </w:r>
      <w:r w:rsidR="00D33A40" w:rsidRPr="00BB3D9A">
        <w:rPr>
          <w:b/>
          <w:i/>
          <w:color w:val="auto"/>
          <w:sz w:val="22"/>
          <w:szCs w:val="22"/>
        </w:rPr>
        <w:t>1</w:t>
      </w:r>
      <w:r w:rsidR="005D7B58">
        <w:rPr>
          <w:b/>
          <w:i/>
          <w:color w:val="auto"/>
          <w:sz w:val="22"/>
          <w:szCs w:val="22"/>
        </w:rPr>
        <w:t>.</w:t>
      </w:r>
      <w:r w:rsidR="00D33A40" w:rsidRPr="00BB3D9A">
        <w:rPr>
          <w:b/>
          <w:i/>
          <w:color w:val="auto"/>
          <w:sz w:val="22"/>
          <w:szCs w:val="22"/>
        </w:rPr>
        <w:t>2013.</w:t>
      </w:r>
    </w:p>
    <w:p w:rsidR="004E55D4" w:rsidRPr="00BB3D9A" w:rsidRDefault="004E55D4" w:rsidP="00C32EA6">
      <w:pPr>
        <w:pStyle w:val="Default"/>
        <w:jc w:val="both"/>
        <w:rPr>
          <w:b/>
          <w:color w:val="auto"/>
          <w:sz w:val="22"/>
          <w:szCs w:val="22"/>
        </w:rPr>
      </w:pPr>
    </w:p>
    <w:p w:rsidR="000624FA" w:rsidRPr="00BB3D9A" w:rsidRDefault="00885831" w:rsidP="00C32EA6">
      <w:pPr>
        <w:pStyle w:val="Default"/>
        <w:jc w:val="both"/>
        <w:rPr>
          <w:b/>
          <w:color w:val="auto"/>
          <w:sz w:val="22"/>
          <w:szCs w:val="22"/>
        </w:rPr>
      </w:pPr>
      <w:r w:rsidRPr="00BB3D9A">
        <w:rPr>
          <w:b/>
          <w:sz w:val="22"/>
          <w:szCs w:val="22"/>
        </w:rPr>
        <w:t>5</w:t>
      </w:r>
      <w:r w:rsidR="00287ACF" w:rsidRPr="00BB3D9A">
        <w:rPr>
          <w:b/>
          <w:sz w:val="22"/>
          <w:szCs w:val="22"/>
        </w:rPr>
        <w:t xml:space="preserve">. </w:t>
      </w:r>
      <w:r w:rsidR="00477413" w:rsidRPr="00BB3D9A">
        <w:rPr>
          <w:b/>
          <w:sz w:val="22"/>
          <w:szCs w:val="22"/>
        </w:rPr>
        <w:t>A</w:t>
      </w:r>
      <w:r w:rsidR="00E6594B" w:rsidRPr="00BB3D9A">
        <w:rPr>
          <w:b/>
          <w:sz w:val="22"/>
          <w:szCs w:val="22"/>
        </w:rPr>
        <w:t xml:space="preserve"> fixação d</w:t>
      </w:r>
      <w:r w:rsidR="00F6607F" w:rsidRPr="00BB3D9A">
        <w:rPr>
          <w:b/>
          <w:sz w:val="22"/>
          <w:szCs w:val="22"/>
        </w:rPr>
        <w:t>e</w:t>
      </w:r>
      <w:r w:rsidR="00E6594B" w:rsidRPr="00BB3D9A">
        <w:rPr>
          <w:b/>
          <w:sz w:val="22"/>
          <w:szCs w:val="22"/>
        </w:rPr>
        <w:t xml:space="preserve"> limites salariais mínimos </w:t>
      </w:r>
      <w:r w:rsidR="000624FA" w:rsidRPr="00BB3D9A">
        <w:rPr>
          <w:b/>
          <w:sz w:val="22"/>
          <w:szCs w:val="22"/>
        </w:rPr>
        <w:t xml:space="preserve">a serem </w:t>
      </w:r>
      <w:r w:rsidR="00F6607F" w:rsidRPr="00BB3D9A">
        <w:rPr>
          <w:b/>
          <w:sz w:val="22"/>
          <w:szCs w:val="22"/>
        </w:rPr>
        <w:t xml:space="preserve">pagos </w:t>
      </w:r>
      <w:r w:rsidR="000624FA" w:rsidRPr="00BB3D9A">
        <w:rPr>
          <w:b/>
          <w:sz w:val="22"/>
          <w:szCs w:val="22"/>
        </w:rPr>
        <w:t xml:space="preserve">por empresa contratada </w:t>
      </w:r>
      <w:r w:rsidR="00E6594B" w:rsidRPr="00BB3D9A">
        <w:rPr>
          <w:b/>
          <w:sz w:val="22"/>
          <w:szCs w:val="22"/>
        </w:rPr>
        <w:t xml:space="preserve">para </w:t>
      </w:r>
      <w:r w:rsidR="000624FA" w:rsidRPr="00BB3D9A">
        <w:rPr>
          <w:b/>
          <w:sz w:val="22"/>
          <w:szCs w:val="22"/>
        </w:rPr>
        <w:t>prestação d</w:t>
      </w:r>
      <w:r w:rsidR="00E6594B" w:rsidRPr="00BB3D9A">
        <w:rPr>
          <w:b/>
          <w:sz w:val="22"/>
          <w:szCs w:val="22"/>
        </w:rPr>
        <w:t>e serviço de tecnologia</w:t>
      </w:r>
      <w:r w:rsidR="000624FA" w:rsidRPr="00BB3D9A">
        <w:rPr>
          <w:b/>
          <w:sz w:val="22"/>
          <w:szCs w:val="22"/>
        </w:rPr>
        <w:t xml:space="preserve"> da informação</w:t>
      </w:r>
      <w:r w:rsidR="00F6607F" w:rsidRPr="00BB3D9A">
        <w:rPr>
          <w:b/>
          <w:sz w:val="22"/>
          <w:szCs w:val="22"/>
        </w:rPr>
        <w:t xml:space="preserve"> a seus empregados</w:t>
      </w:r>
      <w:r w:rsidR="000624FA" w:rsidRPr="00BB3D9A">
        <w:rPr>
          <w:b/>
          <w:sz w:val="22"/>
          <w:szCs w:val="22"/>
        </w:rPr>
        <w:t xml:space="preserve">, quando </w:t>
      </w:r>
      <w:r w:rsidR="00F6607F" w:rsidRPr="00BB3D9A">
        <w:rPr>
          <w:b/>
          <w:sz w:val="22"/>
          <w:szCs w:val="22"/>
        </w:rPr>
        <w:t xml:space="preserve">ao menos </w:t>
      </w:r>
      <w:r w:rsidR="000624FA" w:rsidRPr="00BB3D9A">
        <w:rPr>
          <w:b/>
          <w:sz w:val="22"/>
          <w:szCs w:val="22"/>
        </w:rPr>
        <w:t>parte de tais tarefas for remunerada por horas trabalhadas, não afronta a legislação vigente</w:t>
      </w:r>
    </w:p>
    <w:p w:rsidR="00885831" w:rsidRPr="00BB3D9A" w:rsidRDefault="00B0073B" w:rsidP="00B0073B">
      <w:pPr>
        <w:pStyle w:val="Default"/>
        <w:jc w:val="both"/>
        <w:rPr>
          <w:b/>
          <w:color w:val="auto"/>
          <w:sz w:val="22"/>
          <w:szCs w:val="22"/>
        </w:rPr>
      </w:pPr>
      <w:r w:rsidRPr="00BB3D9A">
        <w:rPr>
          <w:color w:val="auto"/>
          <w:sz w:val="22"/>
          <w:szCs w:val="22"/>
        </w:rPr>
        <w:t xml:space="preserve">Ainda no âmbito da </w:t>
      </w:r>
      <w:r w:rsidRPr="00BB3D9A">
        <w:rPr>
          <w:sz w:val="22"/>
          <w:szCs w:val="22"/>
        </w:rPr>
        <w:t xml:space="preserve">Representação </w:t>
      </w:r>
      <w:r w:rsidR="00103C24" w:rsidRPr="00BB3D9A">
        <w:rPr>
          <w:sz w:val="22"/>
          <w:szCs w:val="22"/>
        </w:rPr>
        <w:t xml:space="preserve">que </w:t>
      </w:r>
      <w:r w:rsidRPr="00BB3D9A">
        <w:rPr>
          <w:sz w:val="22"/>
          <w:szCs w:val="22"/>
        </w:rPr>
        <w:t>apontou supostas irregularidades na condução do Pregão Eletrônico</w:t>
      </w:r>
      <w:r w:rsidR="002D3B15" w:rsidRPr="00BB3D9A">
        <w:rPr>
          <w:sz w:val="22"/>
          <w:szCs w:val="22"/>
        </w:rPr>
        <w:t xml:space="preserve"> </w:t>
      </w:r>
      <w:r w:rsidRPr="00BB3D9A">
        <w:rPr>
          <w:sz w:val="22"/>
          <w:szCs w:val="22"/>
        </w:rPr>
        <w:t xml:space="preserve">100/2012 pelo Tribunal Superior do Trabalho – TST, destinado à contratação de serviços de operação de central de atendimento a usuários de tecnologia da informação, </w:t>
      </w:r>
      <w:r w:rsidR="00103C24" w:rsidRPr="00BB3D9A">
        <w:rPr>
          <w:sz w:val="22"/>
          <w:szCs w:val="22"/>
        </w:rPr>
        <w:t xml:space="preserve">foi </w:t>
      </w:r>
      <w:r w:rsidRPr="00BB3D9A">
        <w:rPr>
          <w:sz w:val="22"/>
          <w:szCs w:val="22"/>
        </w:rPr>
        <w:t>suscit</w:t>
      </w:r>
      <w:r w:rsidR="00103C24" w:rsidRPr="00BB3D9A">
        <w:rPr>
          <w:sz w:val="22"/>
          <w:szCs w:val="22"/>
        </w:rPr>
        <w:t>ada</w:t>
      </w:r>
      <w:r w:rsidRPr="00BB3D9A">
        <w:rPr>
          <w:sz w:val="22"/>
          <w:szCs w:val="22"/>
        </w:rPr>
        <w:t xml:space="preserve"> possível ilegalidade decorrente do estabelecimento de valores salariais mínimos pagos aos profissionais a serem disponibilizados pela contratada. O relator, em linha de consonância com a manifestação da unidade técnica, lembrou que o TCU já se pronunciou sobre tal questão, por meio do Acórdão 614/2008-Plenário</w:t>
      </w:r>
      <w:r w:rsidR="001747AF" w:rsidRPr="00BB3D9A">
        <w:rPr>
          <w:sz w:val="22"/>
          <w:szCs w:val="22"/>
        </w:rPr>
        <w:t xml:space="preserve">. </w:t>
      </w:r>
      <w:r w:rsidR="00CB2391" w:rsidRPr="00BB3D9A">
        <w:rPr>
          <w:sz w:val="22"/>
          <w:szCs w:val="22"/>
        </w:rPr>
        <w:t>Constou do Voto condutor de tal decisão menção ao comando contido no § 3º do art. 44 da Lei nº 8.666/1993: (</w:t>
      </w:r>
      <w:r w:rsidR="00E6594B" w:rsidRPr="00BB3D9A">
        <w:rPr>
          <w:sz w:val="22"/>
          <w:szCs w:val="22"/>
          <w:shd w:val="clear" w:color="auto" w:fill="FFFFFF"/>
        </w:rPr>
        <w:t>“</w:t>
      </w:r>
      <w:r w:rsidR="00CB2391" w:rsidRPr="00BB3D9A">
        <w:rPr>
          <w:i/>
          <w:sz w:val="22"/>
          <w:szCs w:val="22"/>
          <w:shd w:val="clear" w:color="auto" w:fill="FFFFFF"/>
        </w:rPr>
        <w:t>§ 3</w:t>
      </w:r>
      <w:r w:rsidR="00CB2391" w:rsidRPr="00BB3D9A">
        <w:rPr>
          <w:i/>
          <w:sz w:val="22"/>
          <w:szCs w:val="22"/>
          <w:u w:val="single"/>
          <w:shd w:val="clear" w:color="auto" w:fill="FFFFFF"/>
          <w:vertAlign w:val="superscript"/>
        </w:rPr>
        <w:t>o</w:t>
      </w:r>
      <w:r w:rsidR="00CB7B27">
        <w:rPr>
          <w:i/>
          <w:sz w:val="22"/>
          <w:szCs w:val="22"/>
          <w:shd w:val="clear" w:color="auto" w:fill="FFFFFF"/>
        </w:rPr>
        <w:t xml:space="preserve"> </w:t>
      </w:r>
      <w:r w:rsidR="00CB2391" w:rsidRPr="00BB3D9A">
        <w:rPr>
          <w:i/>
          <w:sz w:val="22"/>
          <w:szCs w:val="22"/>
          <w:shd w:val="clear" w:color="auto" w:fill="FFFFFF"/>
        </w:rPr>
        <w:t>Não se admitirá proposta que apresente preços global ou unitários simbólicos, irrisórios ou de valor zero, incompatíveis com os preços dos insumos e salários de mercado, acrescidos dos respectivos encargos, ainda que o ato convocatório da licitação não tenha estabelecido limites mínimos, exceto quando se referirem a materiais e instalações de propriedade do próprio licitante, para os quais ele renuncie a parcela ou à totalidade da remuneração</w:t>
      </w:r>
      <w:r w:rsidR="00E6594B" w:rsidRPr="00BB3D9A">
        <w:rPr>
          <w:sz w:val="22"/>
          <w:szCs w:val="22"/>
          <w:shd w:val="clear" w:color="auto" w:fill="FFFFFF"/>
        </w:rPr>
        <w:t>”</w:t>
      </w:r>
      <w:r w:rsidR="00CB2391" w:rsidRPr="00BB3D9A">
        <w:rPr>
          <w:sz w:val="22"/>
          <w:szCs w:val="22"/>
          <w:shd w:val="clear" w:color="auto" w:fill="FFFFFF"/>
        </w:rPr>
        <w:t>.</w:t>
      </w:r>
      <w:r w:rsidR="00CB2391" w:rsidRPr="00BB3D9A">
        <w:rPr>
          <w:sz w:val="22"/>
          <w:szCs w:val="22"/>
        </w:rPr>
        <w:t xml:space="preserve"> Ficou </w:t>
      </w:r>
      <w:r w:rsidR="004A16BB" w:rsidRPr="00BB3D9A">
        <w:rPr>
          <w:sz w:val="22"/>
          <w:szCs w:val="22"/>
        </w:rPr>
        <w:t xml:space="preserve">registrado </w:t>
      </w:r>
      <w:r w:rsidR="00CB2391" w:rsidRPr="00BB3D9A">
        <w:rPr>
          <w:sz w:val="22"/>
          <w:szCs w:val="22"/>
        </w:rPr>
        <w:t xml:space="preserve">também </w:t>
      </w:r>
      <w:r w:rsidR="004A16BB" w:rsidRPr="00BB3D9A">
        <w:rPr>
          <w:sz w:val="22"/>
          <w:szCs w:val="22"/>
        </w:rPr>
        <w:t>que: “</w:t>
      </w:r>
      <w:r w:rsidR="004A16BB" w:rsidRPr="00BB3D9A">
        <w:rPr>
          <w:i/>
          <w:iCs/>
          <w:sz w:val="22"/>
          <w:szCs w:val="22"/>
        </w:rPr>
        <w:t>a compreensão da contratação de mão-de-obra terceirizada abrange dois caminhos a percorrer: um, que aponta a obrigatoriedade de adoção dos pisos salariais definidos em pactos laborais; e outro que indica a possibilidade de a Administração Pública estipular valores mínimos de remuneração com base em pesquisas de mercado efetuadas previamente e calcadas tanto em dados obtidos junto a associações e sindicatos de cada categoria profissional quanto em informações divulgadas por outros órgãos públicos que tenham recentemente contratado o mesmo tipo de serviço”</w:t>
      </w:r>
      <w:r w:rsidR="00CB2391" w:rsidRPr="00BB3D9A">
        <w:rPr>
          <w:i/>
          <w:iCs/>
          <w:sz w:val="22"/>
          <w:szCs w:val="22"/>
        </w:rPr>
        <w:t xml:space="preserve">. </w:t>
      </w:r>
      <w:r w:rsidR="000C3BD5" w:rsidRPr="00BB3D9A">
        <w:rPr>
          <w:iCs/>
          <w:sz w:val="22"/>
          <w:szCs w:val="22"/>
        </w:rPr>
        <w:t>Ressaltou, entretanto, que “</w:t>
      </w:r>
      <w:r w:rsidR="000C3BD5" w:rsidRPr="00BB3D9A">
        <w:rPr>
          <w:i/>
          <w:sz w:val="22"/>
          <w:szCs w:val="22"/>
        </w:rPr>
        <w:t>esse Acórdão também considerou indevida a fixação de piso salarial para serviços que devem ser medidos e pagos por resultados</w:t>
      </w:r>
      <w:r w:rsidR="00E60BDC" w:rsidRPr="00BB3D9A">
        <w:rPr>
          <w:sz w:val="22"/>
          <w:szCs w:val="22"/>
        </w:rPr>
        <w:t>”. Observou ainda que “</w:t>
      </w:r>
      <w:r w:rsidR="00E60BDC" w:rsidRPr="00BB3D9A">
        <w:rPr>
          <w:i/>
          <w:sz w:val="22"/>
          <w:szCs w:val="22"/>
        </w:rPr>
        <w:t>o TST justificou nos documentos licitatórios a adoção de medição também por homens-hora/postos de trabalho, o que justifica a fixação dos limites salariais mínimos para tais itens de serviço apenas”.</w:t>
      </w:r>
      <w:r w:rsidR="000C3BD5" w:rsidRPr="00BB3D9A">
        <w:rPr>
          <w:iCs/>
          <w:sz w:val="22"/>
          <w:szCs w:val="22"/>
        </w:rPr>
        <w:t xml:space="preserve"> </w:t>
      </w:r>
      <w:r w:rsidR="00E60BDC" w:rsidRPr="00BB3D9A">
        <w:rPr>
          <w:iCs/>
          <w:sz w:val="22"/>
          <w:szCs w:val="22"/>
        </w:rPr>
        <w:t>E mais:</w:t>
      </w:r>
      <w:r w:rsidRPr="00BB3D9A">
        <w:rPr>
          <w:sz w:val="22"/>
          <w:szCs w:val="22"/>
        </w:rPr>
        <w:t xml:space="preserve"> o TST informa</w:t>
      </w:r>
      <w:r w:rsidR="006645AF" w:rsidRPr="00BB3D9A">
        <w:rPr>
          <w:sz w:val="22"/>
          <w:szCs w:val="22"/>
        </w:rPr>
        <w:t>ra,</w:t>
      </w:r>
      <w:r w:rsidRPr="00BB3D9A">
        <w:rPr>
          <w:sz w:val="22"/>
          <w:szCs w:val="22"/>
        </w:rPr>
        <w:t xml:space="preserve"> no termo de referência </w:t>
      </w:r>
      <w:r w:rsidR="006645AF" w:rsidRPr="00BB3D9A">
        <w:rPr>
          <w:sz w:val="22"/>
          <w:szCs w:val="22"/>
        </w:rPr>
        <w:t>da licitação, “</w:t>
      </w:r>
      <w:r w:rsidRPr="00BB3D9A">
        <w:rPr>
          <w:i/>
          <w:sz w:val="22"/>
          <w:szCs w:val="22"/>
        </w:rPr>
        <w:t>que os valores de remuneração também tiveram como parâmetro os valores pagos por outros órgãos da administração pública</w:t>
      </w:r>
      <w:r w:rsidR="006645AF" w:rsidRPr="00BB3D9A">
        <w:rPr>
          <w:sz w:val="22"/>
          <w:szCs w:val="22"/>
        </w:rPr>
        <w:t>”</w:t>
      </w:r>
      <w:r w:rsidRPr="00BB3D9A">
        <w:rPr>
          <w:i/>
          <w:sz w:val="22"/>
          <w:szCs w:val="22"/>
        </w:rPr>
        <w:t xml:space="preserve">. </w:t>
      </w:r>
      <w:r w:rsidR="00E60BDC" w:rsidRPr="00BB3D9A">
        <w:rPr>
          <w:sz w:val="22"/>
          <w:szCs w:val="22"/>
        </w:rPr>
        <w:t xml:space="preserve">Concluiu, a partir desses elementos de convicção, que </w:t>
      </w:r>
      <w:r w:rsidR="00AA0204" w:rsidRPr="00BB3D9A">
        <w:rPr>
          <w:sz w:val="22"/>
          <w:szCs w:val="22"/>
        </w:rPr>
        <w:t xml:space="preserve">a </w:t>
      </w:r>
      <w:r w:rsidR="00E60BDC" w:rsidRPr="00BB3D9A">
        <w:rPr>
          <w:sz w:val="22"/>
          <w:szCs w:val="22"/>
        </w:rPr>
        <w:t>“</w:t>
      </w:r>
      <w:r w:rsidR="00E60BDC" w:rsidRPr="00BB3D9A">
        <w:rPr>
          <w:i/>
          <w:sz w:val="22"/>
          <w:szCs w:val="22"/>
        </w:rPr>
        <w:t>i</w:t>
      </w:r>
      <w:r w:rsidRPr="00BB3D9A">
        <w:rPr>
          <w:i/>
          <w:sz w:val="22"/>
          <w:szCs w:val="22"/>
        </w:rPr>
        <w:t xml:space="preserve">nclusão de faixa salarial mínima na licitação ora analisada não </w:t>
      </w:r>
      <w:r w:rsidR="00E60BDC" w:rsidRPr="00BB3D9A">
        <w:rPr>
          <w:i/>
          <w:sz w:val="22"/>
          <w:szCs w:val="22"/>
        </w:rPr>
        <w:t>configurou irregularidade</w:t>
      </w:r>
      <w:r w:rsidR="00E60BDC" w:rsidRPr="00BB3D9A">
        <w:rPr>
          <w:sz w:val="22"/>
          <w:szCs w:val="22"/>
        </w:rPr>
        <w:t>”</w:t>
      </w:r>
      <w:r w:rsidRPr="00BB3D9A">
        <w:rPr>
          <w:sz w:val="22"/>
          <w:szCs w:val="22"/>
        </w:rPr>
        <w:t xml:space="preserve">. </w:t>
      </w:r>
      <w:r w:rsidRPr="00BB3D9A">
        <w:rPr>
          <w:iCs/>
          <w:sz w:val="22"/>
          <w:szCs w:val="22"/>
        </w:rPr>
        <w:t>O Tribunal, então, por considerar insubsistente esse e os outros questionamentos apresentados, julgou improcedente a representação.</w:t>
      </w:r>
      <w:r w:rsidR="00AA0204" w:rsidRPr="00BB3D9A">
        <w:rPr>
          <w:iCs/>
          <w:sz w:val="22"/>
          <w:szCs w:val="22"/>
        </w:rPr>
        <w:t xml:space="preserve"> </w:t>
      </w:r>
      <w:r w:rsidRPr="00BB3D9A">
        <w:rPr>
          <w:b/>
          <w:i/>
          <w:color w:val="auto"/>
          <w:sz w:val="22"/>
          <w:szCs w:val="22"/>
        </w:rPr>
        <w:t>Acórdão 47/2013-Plenário, TC</w:t>
      </w:r>
      <w:r w:rsidR="00910252" w:rsidRPr="00BB3D9A">
        <w:rPr>
          <w:b/>
          <w:i/>
          <w:color w:val="auto"/>
          <w:sz w:val="22"/>
          <w:szCs w:val="22"/>
        </w:rPr>
        <w:t xml:space="preserve"> </w:t>
      </w:r>
      <w:r w:rsidRPr="00BB3D9A">
        <w:rPr>
          <w:b/>
          <w:i/>
          <w:sz w:val="22"/>
          <w:szCs w:val="22"/>
        </w:rPr>
        <w:t>046.269/2012-6</w:t>
      </w:r>
      <w:r w:rsidRPr="00BB3D9A">
        <w:rPr>
          <w:b/>
          <w:i/>
          <w:color w:val="auto"/>
          <w:sz w:val="22"/>
          <w:szCs w:val="22"/>
        </w:rPr>
        <w:t>, relator Ministro-Substituto</w:t>
      </w:r>
      <w:r w:rsidRPr="00BB3D9A">
        <w:rPr>
          <w:b/>
          <w:i/>
          <w:sz w:val="22"/>
          <w:szCs w:val="22"/>
        </w:rPr>
        <w:t xml:space="preserve"> André Luís de Carvalho</w:t>
      </w:r>
      <w:r w:rsidRPr="00BB3D9A">
        <w:rPr>
          <w:b/>
          <w:i/>
          <w:color w:val="auto"/>
          <w:sz w:val="22"/>
          <w:szCs w:val="22"/>
        </w:rPr>
        <w:t>, 23.1.2013.</w:t>
      </w:r>
    </w:p>
    <w:p w:rsidR="00F81886" w:rsidRPr="00BB3D9A" w:rsidRDefault="00F81886" w:rsidP="00F81886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BB3D9A">
        <w:rPr>
          <w:b/>
          <w:bCs/>
          <w:smallCaps/>
          <w:sz w:val="22"/>
          <w:szCs w:val="22"/>
        </w:rPr>
        <w:t>INOVAÇÃO LEGISLATIVA</w:t>
      </w:r>
    </w:p>
    <w:p w:rsidR="006B6584" w:rsidRPr="00BB3D9A" w:rsidRDefault="005D6D68" w:rsidP="00885831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BB3D9A">
        <w:rPr>
          <w:b/>
          <w:color w:val="auto"/>
          <w:sz w:val="22"/>
          <w:szCs w:val="22"/>
        </w:rPr>
        <w:t>Lei nº 12.766</w:t>
      </w:r>
      <w:r w:rsidR="00615D37" w:rsidRPr="00BB3D9A">
        <w:rPr>
          <w:b/>
          <w:color w:val="auto"/>
          <w:sz w:val="22"/>
          <w:szCs w:val="22"/>
        </w:rPr>
        <w:t>, de 27/12/2012</w:t>
      </w:r>
      <w:r w:rsidR="00615D37" w:rsidRPr="00BB3D9A">
        <w:rPr>
          <w:color w:val="auto"/>
          <w:sz w:val="22"/>
          <w:szCs w:val="22"/>
        </w:rPr>
        <w:t xml:space="preserve">: </w:t>
      </w:r>
      <w:r w:rsidR="005D7B58">
        <w:rPr>
          <w:color w:val="auto"/>
          <w:sz w:val="22"/>
          <w:szCs w:val="22"/>
        </w:rPr>
        <w:t>a</w:t>
      </w:r>
      <w:r w:rsidRPr="00BB3D9A">
        <w:rPr>
          <w:color w:val="auto"/>
          <w:sz w:val="22"/>
          <w:szCs w:val="22"/>
        </w:rPr>
        <w:t>ltera a Lei n</w:t>
      </w:r>
      <w:r w:rsidRPr="00BB3D9A">
        <w:rPr>
          <w:color w:val="auto"/>
          <w:sz w:val="22"/>
          <w:szCs w:val="22"/>
          <w:u w:val="single"/>
          <w:vertAlign w:val="superscript"/>
          <w:lang w:val="pt-PT"/>
        </w:rPr>
        <w:t>o</w:t>
      </w:r>
      <w:r w:rsidRPr="00BB3D9A">
        <w:rPr>
          <w:color w:val="auto"/>
          <w:sz w:val="22"/>
          <w:szCs w:val="22"/>
        </w:rPr>
        <w:t xml:space="preserve"> 11.079, de 30</w:t>
      </w:r>
      <w:r w:rsidR="00885831" w:rsidRPr="00BB3D9A">
        <w:rPr>
          <w:color w:val="auto"/>
          <w:sz w:val="22"/>
          <w:szCs w:val="22"/>
        </w:rPr>
        <w:t>/12/</w:t>
      </w:r>
      <w:r w:rsidRPr="00BB3D9A">
        <w:rPr>
          <w:color w:val="auto"/>
          <w:sz w:val="22"/>
          <w:szCs w:val="22"/>
        </w:rPr>
        <w:t>2004, que institui normas gerais para licitação e contratação de parceria público-privada no âmbito da administração pública</w:t>
      </w:r>
      <w:r w:rsidR="00371CE5">
        <w:rPr>
          <w:color w:val="auto"/>
          <w:sz w:val="22"/>
          <w:szCs w:val="22"/>
        </w:rPr>
        <w:t>,</w:t>
      </w:r>
      <w:r w:rsidR="00615D37" w:rsidRPr="00BB3D9A">
        <w:rPr>
          <w:color w:val="auto"/>
          <w:sz w:val="22"/>
          <w:szCs w:val="22"/>
        </w:rPr>
        <w:t xml:space="preserve"> </w:t>
      </w:r>
      <w:r w:rsidRPr="00BB3D9A">
        <w:rPr>
          <w:color w:val="auto"/>
          <w:sz w:val="22"/>
          <w:szCs w:val="22"/>
        </w:rPr>
        <w:t>e dá outras providências</w:t>
      </w:r>
      <w:r w:rsidR="00615D37" w:rsidRPr="00BB3D9A">
        <w:rPr>
          <w:color w:val="auto"/>
          <w:sz w:val="22"/>
          <w:szCs w:val="22"/>
        </w:rPr>
        <w:t>.</w:t>
      </w:r>
    </w:p>
    <w:p w:rsidR="005B0F5F" w:rsidRPr="00BB3D9A" w:rsidRDefault="00CD2079" w:rsidP="00885831">
      <w:pPr>
        <w:pStyle w:val="Default"/>
        <w:spacing w:before="120"/>
        <w:jc w:val="both"/>
        <w:rPr>
          <w:color w:val="800000"/>
          <w:sz w:val="22"/>
          <w:szCs w:val="22"/>
        </w:rPr>
      </w:pPr>
      <w:r w:rsidRPr="00BB3D9A">
        <w:rPr>
          <w:b/>
          <w:color w:val="auto"/>
          <w:sz w:val="22"/>
          <w:szCs w:val="22"/>
        </w:rPr>
        <w:t>Medida Provisória n° 600, de 28/12/2012</w:t>
      </w:r>
      <w:r w:rsidRPr="00BB3D9A">
        <w:rPr>
          <w:color w:val="auto"/>
          <w:sz w:val="22"/>
          <w:szCs w:val="22"/>
        </w:rPr>
        <w:t>: insere o art. 63-A na Lei nº 12.462/2011, que instituiu o Regime Diferenciado de Contratações Públicas – RDC</w:t>
      </w:r>
      <w:r w:rsidR="00885831" w:rsidRPr="00BB3D9A">
        <w:rPr>
          <w:color w:val="auto"/>
          <w:sz w:val="22"/>
          <w:szCs w:val="22"/>
        </w:rPr>
        <w:t xml:space="preserve"> e dá</w:t>
      </w:r>
      <w:r w:rsidRPr="00BB3D9A">
        <w:rPr>
          <w:color w:val="auto"/>
          <w:sz w:val="22"/>
          <w:szCs w:val="22"/>
        </w:rPr>
        <w:t xml:space="preserve"> outras providências.</w:t>
      </w:r>
    </w:p>
    <w:p w:rsidR="00372DC0" w:rsidRPr="00BB3D9A" w:rsidRDefault="00372DC0" w:rsidP="00372DC0">
      <w:pPr>
        <w:pStyle w:val="Default"/>
        <w:spacing w:before="120"/>
        <w:jc w:val="both"/>
        <w:rPr>
          <w:sz w:val="22"/>
          <w:szCs w:val="22"/>
        </w:rPr>
      </w:pPr>
      <w:r w:rsidRPr="00BB3D9A">
        <w:rPr>
          <w:b/>
          <w:color w:val="auto"/>
          <w:sz w:val="22"/>
          <w:szCs w:val="22"/>
        </w:rPr>
        <w:t>Decreto nº 7.892, de 23/1/2013:</w:t>
      </w:r>
      <w:r w:rsidRPr="00BB3D9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</w:t>
      </w:r>
      <w:r w:rsidRPr="00BB3D9A">
        <w:rPr>
          <w:sz w:val="22"/>
          <w:szCs w:val="22"/>
        </w:rPr>
        <w:t>egulamenta o Sistema de Registro de Preços previsto no art. 15 da Lei 8.666, de 21/6/1993.</w:t>
      </w:r>
    </w:p>
    <w:p w:rsidR="00CD2079" w:rsidRPr="00BB3D9A" w:rsidRDefault="00CD2079" w:rsidP="0000514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BB3D9A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BB3D9A" w:rsidRDefault="00C10DD5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B3D9A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BB3D9A" w:rsidRDefault="007334B1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B3D9A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BB3D9A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BB3D9A" w:rsidRDefault="00F3058F" w:rsidP="00F0055F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BB3D9A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21" w:rsidRDefault="00406C21" w:rsidP="008B0547">
      <w:pPr>
        <w:spacing w:after="0"/>
      </w:pPr>
      <w:r>
        <w:separator/>
      </w:r>
    </w:p>
  </w:endnote>
  <w:endnote w:type="continuationSeparator" w:id="0">
    <w:p w:rsidR="00406C21" w:rsidRDefault="00406C21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52249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22524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21" w:rsidRDefault="00406C21" w:rsidP="008B0547">
      <w:pPr>
        <w:spacing w:after="0"/>
      </w:pPr>
      <w:r>
        <w:separator/>
      </w:r>
    </w:p>
  </w:footnote>
  <w:footnote w:type="continuationSeparator" w:id="0">
    <w:p w:rsidR="00406C21" w:rsidRDefault="00406C21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280767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280767" w:rsidP="00080148">
    <w:pPr>
      <w:spacing w:after="0"/>
      <w:rPr>
        <w:rFonts w:ascii="Arial" w:hAnsi="Arial" w:cs="Arial"/>
        <w:b/>
      </w:rPr>
    </w:pPr>
    <w:r w:rsidRPr="00522490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8A41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F17174">
      <w:rPr>
        <w:rFonts w:ascii="Arial" w:hAnsi="Arial" w:cs="Arial"/>
        <w:noProof/>
        <w:lang w:eastAsia="pt-BR"/>
      </w:rPr>
      <w:t>3</w:t>
    </w:r>
    <w:r w:rsidR="00910252">
      <w:rPr>
        <w:rFonts w:ascii="Arial" w:hAnsi="Arial" w:cs="Arial"/>
        <w:noProof/>
        <w:lang w:eastAsia="pt-BR"/>
      </w:rPr>
      <w:t>7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2A1"/>
    <w:rsid w:val="00013851"/>
    <w:rsid w:val="00013A1F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A5C"/>
    <w:rsid w:val="00055D4F"/>
    <w:rsid w:val="000562CD"/>
    <w:rsid w:val="0005656B"/>
    <w:rsid w:val="00056A5A"/>
    <w:rsid w:val="00056A5F"/>
    <w:rsid w:val="00056D51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DB"/>
    <w:rsid w:val="00072916"/>
    <w:rsid w:val="00072F56"/>
    <w:rsid w:val="00073231"/>
    <w:rsid w:val="00074384"/>
    <w:rsid w:val="00074AC5"/>
    <w:rsid w:val="000756E7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24AF"/>
    <w:rsid w:val="00083289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37B7"/>
    <w:rsid w:val="000940A9"/>
    <w:rsid w:val="00094A7D"/>
    <w:rsid w:val="00094C5B"/>
    <w:rsid w:val="00094EEC"/>
    <w:rsid w:val="00095069"/>
    <w:rsid w:val="00095D98"/>
    <w:rsid w:val="0009649A"/>
    <w:rsid w:val="0009655D"/>
    <w:rsid w:val="00096BDB"/>
    <w:rsid w:val="000971B8"/>
    <w:rsid w:val="0009748C"/>
    <w:rsid w:val="0009780B"/>
    <w:rsid w:val="00097863"/>
    <w:rsid w:val="00097ABD"/>
    <w:rsid w:val="00097BF6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47C1"/>
    <w:rsid w:val="000F48B1"/>
    <w:rsid w:val="000F495D"/>
    <w:rsid w:val="000F4B18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7486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272"/>
    <w:rsid w:val="0013735A"/>
    <w:rsid w:val="001374E3"/>
    <w:rsid w:val="001378A3"/>
    <w:rsid w:val="00137B22"/>
    <w:rsid w:val="00137FE3"/>
    <w:rsid w:val="00140C58"/>
    <w:rsid w:val="00140FED"/>
    <w:rsid w:val="00141D7A"/>
    <w:rsid w:val="001420D1"/>
    <w:rsid w:val="001420FE"/>
    <w:rsid w:val="00142621"/>
    <w:rsid w:val="00142C16"/>
    <w:rsid w:val="001444A2"/>
    <w:rsid w:val="00144987"/>
    <w:rsid w:val="00145B71"/>
    <w:rsid w:val="00146C4A"/>
    <w:rsid w:val="00146F56"/>
    <w:rsid w:val="0015086F"/>
    <w:rsid w:val="00151660"/>
    <w:rsid w:val="00151F92"/>
    <w:rsid w:val="0015258E"/>
    <w:rsid w:val="00152ECC"/>
    <w:rsid w:val="001532E4"/>
    <w:rsid w:val="00155D65"/>
    <w:rsid w:val="0015648A"/>
    <w:rsid w:val="00156851"/>
    <w:rsid w:val="00156908"/>
    <w:rsid w:val="0015699C"/>
    <w:rsid w:val="00156A48"/>
    <w:rsid w:val="00156C90"/>
    <w:rsid w:val="00156DDB"/>
    <w:rsid w:val="00157614"/>
    <w:rsid w:val="001576E2"/>
    <w:rsid w:val="00157AFE"/>
    <w:rsid w:val="00157C0F"/>
    <w:rsid w:val="00157CCE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E89"/>
    <w:rsid w:val="00173174"/>
    <w:rsid w:val="001737F7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1339"/>
    <w:rsid w:val="00181596"/>
    <w:rsid w:val="00181680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CF7"/>
    <w:rsid w:val="00191FCE"/>
    <w:rsid w:val="00192052"/>
    <w:rsid w:val="00192483"/>
    <w:rsid w:val="0019284D"/>
    <w:rsid w:val="00192929"/>
    <w:rsid w:val="00194053"/>
    <w:rsid w:val="00194EDA"/>
    <w:rsid w:val="00195023"/>
    <w:rsid w:val="001956E2"/>
    <w:rsid w:val="00195F77"/>
    <w:rsid w:val="00196098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F47"/>
    <w:rsid w:val="00280026"/>
    <w:rsid w:val="00280767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4FC"/>
    <w:rsid w:val="00287326"/>
    <w:rsid w:val="00287723"/>
    <w:rsid w:val="002878FB"/>
    <w:rsid w:val="00287ACF"/>
    <w:rsid w:val="00290124"/>
    <w:rsid w:val="0029043B"/>
    <w:rsid w:val="00290658"/>
    <w:rsid w:val="00290A06"/>
    <w:rsid w:val="00290CF7"/>
    <w:rsid w:val="00291703"/>
    <w:rsid w:val="00291766"/>
    <w:rsid w:val="00291B06"/>
    <w:rsid w:val="002920C1"/>
    <w:rsid w:val="0029211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F74"/>
    <w:rsid w:val="002A5A02"/>
    <w:rsid w:val="002A5F01"/>
    <w:rsid w:val="002A5FBE"/>
    <w:rsid w:val="002A6CE6"/>
    <w:rsid w:val="002A7DBA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609"/>
    <w:rsid w:val="002C3A60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1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5A0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61E0"/>
    <w:rsid w:val="003170A7"/>
    <w:rsid w:val="00317E59"/>
    <w:rsid w:val="00320465"/>
    <w:rsid w:val="00320B02"/>
    <w:rsid w:val="00320D16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5707"/>
    <w:rsid w:val="0033634D"/>
    <w:rsid w:val="00337743"/>
    <w:rsid w:val="00337E16"/>
    <w:rsid w:val="00340E66"/>
    <w:rsid w:val="00340F10"/>
    <w:rsid w:val="00341C89"/>
    <w:rsid w:val="00341D56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54A7"/>
    <w:rsid w:val="0036610E"/>
    <w:rsid w:val="00366735"/>
    <w:rsid w:val="0036675B"/>
    <w:rsid w:val="0036772F"/>
    <w:rsid w:val="00370BC7"/>
    <w:rsid w:val="003717C6"/>
    <w:rsid w:val="003719DE"/>
    <w:rsid w:val="00371A33"/>
    <w:rsid w:val="00371CE5"/>
    <w:rsid w:val="00372DC0"/>
    <w:rsid w:val="00372E83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950"/>
    <w:rsid w:val="0039797F"/>
    <w:rsid w:val="00397D8E"/>
    <w:rsid w:val="003A105C"/>
    <w:rsid w:val="003A1E70"/>
    <w:rsid w:val="003A21C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F8A"/>
    <w:rsid w:val="003B551C"/>
    <w:rsid w:val="003B56D7"/>
    <w:rsid w:val="003B5882"/>
    <w:rsid w:val="003B6508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793"/>
    <w:rsid w:val="003F2923"/>
    <w:rsid w:val="003F2D7E"/>
    <w:rsid w:val="003F3B0D"/>
    <w:rsid w:val="003F413A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06C21"/>
    <w:rsid w:val="00410ED3"/>
    <w:rsid w:val="0041153E"/>
    <w:rsid w:val="00411E35"/>
    <w:rsid w:val="00412488"/>
    <w:rsid w:val="004127C7"/>
    <w:rsid w:val="00412B7F"/>
    <w:rsid w:val="00412CEF"/>
    <w:rsid w:val="00413D07"/>
    <w:rsid w:val="004141A8"/>
    <w:rsid w:val="004145D9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E70"/>
    <w:rsid w:val="00422BF5"/>
    <w:rsid w:val="0042327F"/>
    <w:rsid w:val="004257A8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2B"/>
    <w:rsid w:val="00464CF4"/>
    <w:rsid w:val="00465562"/>
    <w:rsid w:val="004663C3"/>
    <w:rsid w:val="004666C7"/>
    <w:rsid w:val="00466E73"/>
    <w:rsid w:val="0046706B"/>
    <w:rsid w:val="00467815"/>
    <w:rsid w:val="00467D9B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DE9"/>
    <w:rsid w:val="00480439"/>
    <w:rsid w:val="0048086E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599"/>
    <w:rsid w:val="004E55D4"/>
    <w:rsid w:val="004E586B"/>
    <w:rsid w:val="004E5CB8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2352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15A2"/>
    <w:rsid w:val="005217F8"/>
    <w:rsid w:val="005219E0"/>
    <w:rsid w:val="00521B41"/>
    <w:rsid w:val="00522490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31E8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C14"/>
    <w:rsid w:val="00553290"/>
    <w:rsid w:val="00553C45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41D"/>
    <w:rsid w:val="00592491"/>
    <w:rsid w:val="0059346F"/>
    <w:rsid w:val="00593875"/>
    <w:rsid w:val="00593E2F"/>
    <w:rsid w:val="005943C5"/>
    <w:rsid w:val="00594A7B"/>
    <w:rsid w:val="005952ED"/>
    <w:rsid w:val="005963CE"/>
    <w:rsid w:val="00596C07"/>
    <w:rsid w:val="005976DB"/>
    <w:rsid w:val="00597AA7"/>
    <w:rsid w:val="00597CA1"/>
    <w:rsid w:val="005A0956"/>
    <w:rsid w:val="005A0A13"/>
    <w:rsid w:val="005A115D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A4B"/>
    <w:rsid w:val="005B0F5F"/>
    <w:rsid w:val="005B2194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4961"/>
    <w:rsid w:val="005D50D9"/>
    <w:rsid w:val="005D6A61"/>
    <w:rsid w:val="005D6D68"/>
    <w:rsid w:val="005D7724"/>
    <w:rsid w:val="005D7B58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786"/>
    <w:rsid w:val="00614EDE"/>
    <w:rsid w:val="00615808"/>
    <w:rsid w:val="00615D37"/>
    <w:rsid w:val="00615E47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969"/>
    <w:rsid w:val="00634AB3"/>
    <w:rsid w:val="00634F76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4F2"/>
    <w:rsid w:val="00656D2E"/>
    <w:rsid w:val="0065716D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60F5"/>
    <w:rsid w:val="00666285"/>
    <w:rsid w:val="00666443"/>
    <w:rsid w:val="00666D34"/>
    <w:rsid w:val="0066731A"/>
    <w:rsid w:val="00667E3E"/>
    <w:rsid w:val="00670BE7"/>
    <w:rsid w:val="00670FEA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76E6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46E"/>
    <w:rsid w:val="00692D30"/>
    <w:rsid w:val="00692E71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B6584"/>
    <w:rsid w:val="006C0449"/>
    <w:rsid w:val="006C0D0F"/>
    <w:rsid w:val="006C0E39"/>
    <w:rsid w:val="006C1394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BB8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840"/>
    <w:rsid w:val="00726000"/>
    <w:rsid w:val="0072603B"/>
    <w:rsid w:val="007262B2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4D4E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BBC"/>
    <w:rsid w:val="00790BE6"/>
    <w:rsid w:val="00791B62"/>
    <w:rsid w:val="00792A24"/>
    <w:rsid w:val="00793277"/>
    <w:rsid w:val="0079435F"/>
    <w:rsid w:val="00796068"/>
    <w:rsid w:val="00796163"/>
    <w:rsid w:val="00796CC0"/>
    <w:rsid w:val="00796CF1"/>
    <w:rsid w:val="00797305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E6017"/>
    <w:rsid w:val="007E79CB"/>
    <w:rsid w:val="007E7C33"/>
    <w:rsid w:val="007F00D0"/>
    <w:rsid w:val="007F0546"/>
    <w:rsid w:val="007F0754"/>
    <w:rsid w:val="007F1DEB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80038A"/>
    <w:rsid w:val="0080065F"/>
    <w:rsid w:val="008006D9"/>
    <w:rsid w:val="00800BDB"/>
    <w:rsid w:val="008011F2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DA"/>
    <w:rsid w:val="008359F3"/>
    <w:rsid w:val="00835C7F"/>
    <w:rsid w:val="00835DB6"/>
    <w:rsid w:val="00836AC2"/>
    <w:rsid w:val="00837D13"/>
    <w:rsid w:val="0084005B"/>
    <w:rsid w:val="0084051D"/>
    <w:rsid w:val="008406D5"/>
    <w:rsid w:val="008417E1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168A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865"/>
    <w:rsid w:val="00877FDD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31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61D5"/>
    <w:rsid w:val="008965FF"/>
    <w:rsid w:val="00896755"/>
    <w:rsid w:val="00896F38"/>
    <w:rsid w:val="00897A55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CF"/>
    <w:rsid w:val="008A6952"/>
    <w:rsid w:val="008A69D6"/>
    <w:rsid w:val="008A6BDC"/>
    <w:rsid w:val="008A7429"/>
    <w:rsid w:val="008A751E"/>
    <w:rsid w:val="008A756C"/>
    <w:rsid w:val="008B0547"/>
    <w:rsid w:val="008B0D83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9A7"/>
    <w:rsid w:val="008B7B55"/>
    <w:rsid w:val="008C12EF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1890"/>
    <w:rsid w:val="008D2382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5AE6"/>
    <w:rsid w:val="008F660B"/>
    <w:rsid w:val="008F695F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252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3097F"/>
    <w:rsid w:val="00930F0E"/>
    <w:rsid w:val="00932208"/>
    <w:rsid w:val="00932814"/>
    <w:rsid w:val="00932ED6"/>
    <w:rsid w:val="009332F5"/>
    <w:rsid w:val="009339EB"/>
    <w:rsid w:val="00933A1D"/>
    <w:rsid w:val="00934BAF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7AEE"/>
    <w:rsid w:val="00950775"/>
    <w:rsid w:val="009509C0"/>
    <w:rsid w:val="00952A65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F2B"/>
    <w:rsid w:val="009652B6"/>
    <w:rsid w:val="00965D55"/>
    <w:rsid w:val="0096655D"/>
    <w:rsid w:val="009671A7"/>
    <w:rsid w:val="009675D1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234"/>
    <w:rsid w:val="00981F17"/>
    <w:rsid w:val="00981FA0"/>
    <w:rsid w:val="00982496"/>
    <w:rsid w:val="009825AE"/>
    <w:rsid w:val="0098263A"/>
    <w:rsid w:val="00983541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202B"/>
    <w:rsid w:val="009F20C6"/>
    <w:rsid w:val="009F37BF"/>
    <w:rsid w:val="009F3DA5"/>
    <w:rsid w:val="009F4326"/>
    <w:rsid w:val="009F4D5E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5901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524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83"/>
    <w:rsid w:val="00A3101F"/>
    <w:rsid w:val="00A3115F"/>
    <w:rsid w:val="00A3194F"/>
    <w:rsid w:val="00A31BF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2F3E"/>
    <w:rsid w:val="00A43517"/>
    <w:rsid w:val="00A43D01"/>
    <w:rsid w:val="00A43FBD"/>
    <w:rsid w:val="00A43FD4"/>
    <w:rsid w:val="00A44703"/>
    <w:rsid w:val="00A4568D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60D5"/>
    <w:rsid w:val="00A57301"/>
    <w:rsid w:val="00A574DE"/>
    <w:rsid w:val="00A5757E"/>
    <w:rsid w:val="00A60A6E"/>
    <w:rsid w:val="00A60F52"/>
    <w:rsid w:val="00A61DFE"/>
    <w:rsid w:val="00A62AA8"/>
    <w:rsid w:val="00A62AAC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377A"/>
    <w:rsid w:val="00A740EA"/>
    <w:rsid w:val="00A74597"/>
    <w:rsid w:val="00A74A7D"/>
    <w:rsid w:val="00A756FE"/>
    <w:rsid w:val="00A759BE"/>
    <w:rsid w:val="00A75C52"/>
    <w:rsid w:val="00A764E0"/>
    <w:rsid w:val="00A767B2"/>
    <w:rsid w:val="00A7717C"/>
    <w:rsid w:val="00A77CCE"/>
    <w:rsid w:val="00A80549"/>
    <w:rsid w:val="00A80B0C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57B4"/>
    <w:rsid w:val="00A85B14"/>
    <w:rsid w:val="00A85B90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6195"/>
    <w:rsid w:val="00A962D6"/>
    <w:rsid w:val="00A9668E"/>
    <w:rsid w:val="00A9704A"/>
    <w:rsid w:val="00A97395"/>
    <w:rsid w:val="00A9741A"/>
    <w:rsid w:val="00A97698"/>
    <w:rsid w:val="00A97AD0"/>
    <w:rsid w:val="00AA0204"/>
    <w:rsid w:val="00AA0276"/>
    <w:rsid w:val="00AA0776"/>
    <w:rsid w:val="00AA0874"/>
    <w:rsid w:val="00AA0C5B"/>
    <w:rsid w:val="00AA0CE7"/>
    <w:rsid w:val="00AA1110"/>
    <w:rsid w:val="00AA1377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920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7F7"/>
    <w:rsid w:val="00AF3A05"/>
    <w:rsid w:val="00AF44C8"/>
    <w:rsid w:val="00AF4BF4"/>
    <w:rsid w:val="00AF4BF9"/>
    <w:rsid w:val="00AF551F"/>
    <w:rsid w:val="00AF5706"/>
    <w:rsid w:val="00AF6EEF"/>
    <w:rsid w:val="00B0025D"/>
    <w:rsid w:val="00B006D8"/>
    <w:rsid w:val="00B0073B"/>
    <w:rsid w:val="00B02174"/>
    <w:rsid w:val="00B02238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07937"/>
    <w:rsid w:val="00B103C5"/>
    <w:rsid w:val="00B1041F"/>
    <w:rsid w:val="00B10AD8"/>
    <w:rsid w:val="00B11261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223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B47"/>
    <w:rsid w:val="00B33D16"/>
    <w:rsid w:val="00B33F57"/>
    <w:rsid w:val="00B33FC2"/>
    <w:rsid w:val="00B3423E"/>
    <w:rsid w:val="00B347F1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2AE0"/>
    <w:rsid w:val="00B63964"/>
    <w:rsid w:val="00B63E30"/>
    <w:rsid w:val="00B645FA"/>
    <w:rsid w:val="00B64775"/>
    <w:rsid w:val="00B64F04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C52"/>
    <w:rsid w:val="00B92BC7"/>
    <w:rsid w:val="00B9307F"/>
    <w:rsid w:val="00B9389E"/>
    <w:rsid w:val="00B946A8"/>
    <w:rsid w:val="00B94EB5"/>
    <w:rsid w:val="00B95110"/>
    <w:rsid w:val="00B95F6F"/>
    <w:rsid w:val="00B95FC8"/>
    <w:rsid w:val="00B9614D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3BBC"/>
    <w:rsid w:val="00BB3D9A"/>
    <w:rsid w:val="00BB4011"/>
    <w:rsid w:val="00BB4769"/>
    <w:rsid w:val="00BB49D4"/>
    <w:rsid w:val="00BB4C08"/>
    <w:rsid w:val="00BB4FDA"/>
    <w:rsid w:val="00BB61BE"/>
    <w:rsid w:val="00BB6891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20C"/>
    <w:rsid w:val="00BC2414"/>
    <w:rsid w:val="00BC27BA"/>
    <w:rsid w:val="00BC322A"/>
    <w:rsid w:val="00BC3FC1"/>
    <w:rsid w:val="00BC45D9"/>
    <w:rsid w:val="00BC4A4E"/>
    <w:rsid w:val="00BC4D16"/>
    <w:rsid w:val="00BC5092"/>
    <w:rsid w:val="00BC526B"/>
    <w:rsid w:val="00BC5737"/>
    <w:rsid w:val="00BC5EB0"/>
    <w:rsid w:val="00BC6274"/>
    <w:rsid w:val="00BC64D9"/>
    <w:rsid w:val="00BC65A7"/>
    <w:rsid w:val="00BC6D81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B8D"/>
    <w:rsid w:val="00BF7BD9"/>
    <w:rsid w:val="00C004DD"/>
    <w:rsid w:val="00C00953"/>
    <w:rsid w:val="00C00C95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1E1"/>
    <w:rsid w:val="00C079DE"/>
    <w:rsid w:val="00C07A9D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008"/>
    <w:rsid w:val="00C302BD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30EE"/>
    <w:rsid w:val="00C432EC"/>
    <w:rsid w:val="00C43801"/>
    <w:rsid w:val="00C44372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72B"/>
    <w:rsid w:val="00CB0D34"/>
    <w:rsid w:val="00CB10CB"/>
    <w:rsid w:val="00CB1678"/>
    <w:rsid w:val="00CB1C4E"/>
    <w:rsid w:val="00CB1C53"/>
    <w:rsid w:val="00CB1FD2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B2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079"/>
    <w:rsid w:val="00CD2536"/>
    <w:rsid w:val="00CD3DB8"/>
    <w:rsid w:val="00CD3F00"/>
    <w:rsid w:val="00CD407F"/>
    <w:rsid w:val="00CD46D5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783"/>
    <w:rsid w:val="00CE3B18"/>
    <w:rsid w:val="00CE3FC3"/>
    <w:rsid w:val="00CE45BD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454F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0FEA"/>
    <w:rsid w:val="00D2153B"/>
    <w:rsid w:val="00D23801"/>
    <w:rsid w:val="00D24035"/>
    <w:rsid w:val="00D242A2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DA3"/>
    <w:rsid w:val="00D52E5A"/>
    <w:rsid w:val="00D53537"/>
    <w:rsid w:val="00D5360E"/>
    <w:rsid w:val="00D53B2D"/>
    <w:rsid w:val="00D54E49"/>
    <w:rsid w:val="00D54E9E"/>
    <w:rsid w:val="00D551C8"/>
    <w:rsid w:val="00D552EB"/>
    <w:rsid w:val="00D55972"/>
    <w:rsid w:val="00D564BB"/>
    <w:rsid w:val="00D565FA"/>
    <w:rsid w:val="00D5674B"/>
    <w:rsid w:val="00D568ED"/>
    <w:rsid w:val="00D56BF9"/>
    <w:rsid w:val="00D56E3F"/>
    <w:rsid w:val="00D571B4"/>
    <w:rsid w:val="00D57AED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4C3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66E1"/>
    <w:rsid w:val="00D96917"/>
    <w:rsid w:val="00D96AB2"/>
    <w:rsid w:val="00D96BC9"/>
    <w:rsid w:val="00D973C9"/>
    <w:rsid w:val="00D9781A"/>
    <w:rsid w:val="00D97883"/>
    <w:rsid w:val="00DA041C"/>
    <w:rsid w:val="00DA1613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4AC6"/>
    <w:rsid w:val="00DC56F0"/>
    <w:rsid w:val="00DC570A"/>
    <w:rsid w:val="00DC5C68"/>
    <w:rsid w:val="00DC5D8F"/>
    <w:rsid w:val="00DC6AB5"/>
    <w:rsid w:val="00DC6F31"/>
    <w:rsid w:val="00DC7004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6406"/>
    <w:rsid w:val="00E17711"/>
    <w:rsid w:val="00E20504"/>
    <w:rsid w:val="00E211F7"/>
    <w:rsid w:val="00E21B26"/>
    <w:rsid w:val="00E23501"/>
    <w:rsid w:val="00E23C05"/>
    <w:rsid w:val="00E23F84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6325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5B9C"/>
    <w:rsid w:val="00E5619A"/>
    <w:rsid w:val="00E5629F"/>
    <w:rsid w:val="00E563AE"/>
    <w:rsid w:val="00E56582"/>
    <w:rsid w:val="00E565F4"/>
    <w:rsid w:val="00E568D9"/>
    <w:rsid w:val="00E56E35"/>
    <w:rsid w:val="00E57005"/>
    <w:rsid w:val="00E57B6E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95F"/>
    <w:rsid w:val="00EC1C35"/>
    <w:rsid w:val="00EC1F63"/>
    <w:rsid w:val="00EC358F"/>
    <w:rsid w:val="00EC3F0C"/>
    <w:rsid w:val="00EC52C3"/>
    <w:rsid w:val="00EC5955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E6C"/>
    <w:rsid w:val="00ED766C"/>
    <w:rsid w:val="00ED76FB"/>
    <w:rsid w:val="00EE05C2"/>
    <w:rsid w:val="00EE06A6"/>
    <w:rsid w:val="00EE0D01"/>
    <w:rsid w:val="00EE1C02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26C"/>
    <w:rsid w:val="00F256A5"/>
    <w:rsid w:val="00F2586C"/>
    <w:rsid w:val="00F2604B"/>
    <w:rsid w:val="00F261F0"/>
    <w:rsid w:val="00F26E64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9C7"/>
    <w:rsid w:val="00F45D8C"/>
    <w:rsid w:val="00F4631A"/>
    <w:rsid w:val="00F468CA"/>
    <w:rsid w:val="00F47658"/>
    <w:rsid w:val="00F47C5C"/>
    <w:rsid w:val="00F50173"/>
    <w:rsid w:val="00F50A8A"/>
    <w:rsid w:val="00F510A6"/>
    <w:rsid w:val="00F51D20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06FE"/>
    <w:rsid w:val="00F71419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A71"/>
    <w:rsid w:val="00F80F3C"/>
    <w:rsid w:val="00F81886"/>
    <w:rsid w:val="00F8200C"/>
    <w:rsid w:val="00F82F09"/>
    <w:rsid w:val="00F83841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7125"/>
    <w:rsid w:val="00FA7131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0EA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73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458F93-4EE3-4649-A074-4098420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83D4-F7EF-49A3-853B-B8F3FB1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2712</Words>
  <Characters>14651</Characters>
  <Application>Microsoft Office Word</Application>
  <DocSecurity>4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17329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2013-01-29T18:47:00Z</cp:lastPrinted>
  <dcterms:created xsi:type="dcterms:W3CDTF">2015-05-07T13:04:00Z</dcterms:created>
  <dcterms:modified xsi:type="dcterms:W3CDTF">2015-05-07T13:04:00Z</dcterms:modified>
</cp:coreProperties>
</file>