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B1" w:rsidRPr="00093A6E" w:rsidRDefault="009C34B1" w:rsidP="006564F2">
      <w:pPr>
        <w:pStyle w:val="Ttulo8"/>
        <w:tabs>
          <w:tab w:val="right" w:pos="4423"/>
        </w:tabs>
        <w:spacing w:before="0" w:after="0"/>
        <w:ind w:left="0"/>
        <w:rPr>
          <w:rFonts w:ascii="Times New Roman" w:hAnsi="Times New Roman"/>
          <w:b/>
          <w:i w:val="0"/>
          <w:sz w:val="22"/>
          <w:szCs w:val="22"/>
        </w:rPr>
      </w:pPr>
      <w:bookmarkStart w:id="0" w:name="_GoBack"/>
      <w:bookmarkEnd w:id="0"/>
      <w:r w:rsidRPr="00093A6E">
        <w:rPr>
          <w:rFonts w:ascii="Times New Roman" w:hAnsi="Times New Roman"/>
          <w:b/>
          <w:i w:val="0"/>
          <w:sz w:val="22"/>
          <w:szCs w:val="22"/>
        </w:rPr>
        <w:t>Sessões: 10 de dezembro de 2012</w:t>
      </w:r>
    </w:p>
    <w:p w:rsidR="009C34B1" w:rsidRPr="00093A6E" w:rsidRDefault="009C34B1" w:rsidP="00EE4F89">
      <w:pPr>
        <w:pStyle w:val="Corpodetexto2"/>
        <w:spacing w:before="60" w:after="0" w:line="240" w:lineRule="auto"/>
        <w:ind w:left="0"/>
        <w:rPr>
          <w:sz w:val="22"/>
          <w:szCs w:val="22"/>
        </w:rPr>
      </w:pPr>
      <w:r w:rsidRPr="00093A6E">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9C34B1" w:rsidRPr="00093A6E" w:rsidRDefault="009C34B1" w:rsidP="00612E91">
      <w:pPr>
        <w:pBdr>
          <w:top w:val="threeDEmboss" w:sz="24" w:space="5" w:color="auto"/>
        </w:pBdr>
        <w:tabs>
          <w:tab w:val="left" w:pos="284"/>
          <w:tab w:val="left" w:pos="4172"/>
          <w:tab w:val="center" w:pos="4818"/>
        </w:tabs>
        <w:spacing w:before="60" w:after="0"/>
        <w:ind w:left="0"/>
        <w:jc w:val="center"/>
        <w:rPr>
          <w:b/>
          <w:bCs/>
          <w:smallCaps/>
          <w:sz w:val="22"/>
          <w:szCs w:val="22"/>
        </w:rPr>
      </w:pPr>
      <w:r w:rsidRPr="00093A6E">
        <w:rPr>
          <w:b/>
          <w:bCs/>
          <w:smallCaps/>
          <w:sz w:val="22"/>
          <w:szCs w:val="22"/>
        </w:rPr>
        <w:t>NOVIDADE</w:t>
      </w:r>
    </w:p>
    <w:p w:rsidR="009C34B1" w:rsidRPr="00093A6E" w:rsidRDefault="009C34B1" w:rsidP="00EE4F89">
      <w:pPr>
        <w:pStyle w:val="Corpodetexto2"/>
        <w:spacing w:before="60" w:after="0" w:line="240" w:lineRule="auto"/>
        <w:ind w:left="0"/>
        <w:rPr>
          <w:sz w:val="22"/>
          <w:szCs w:val="22"/>
        </w:rPr>
      </w:pPr>
    </w:p>
    <w:p w:rsidR="009C34B1" w:rsidRPr="00093A6E" w:rsidRDefault="009C34B1" w:rsidP="00EE4F89">
      <w:pPr>
        <w:pStyle w:val="Corpodetexto2"/>
        <w:spacing w:before="60" w:after="0" w:line="240" w:lineRule="auto"/>
        <w:ind w:left="0"/>
        <w:rPr>
          <w:sz w:val="22"/>
          <w:szCs w:val="22"/>
        </w:rPr>
      </w:pPr>
      <w:r w:rsidRPr="00093A6E">
        <w:rPr>
          <w:sz w:val="22"/>
          <w:szCs w:val="22"/>
        </w:rPr>
        <w:t xml:space="preserve">Desde o dia 27/9/2012, está disponível, no portal do Tribunal, opção de </w:t>
      </w:r>
      <w:r w:rsidRPr="00093A6E">
        <w:rPr>
          <w:b/>
          <w:sz w:val="22"/>
          <w:szCs w:val="22"/>
        </w:rPr>
        <w:t>consulta textual</w:t>
      </w:r>
      <w:r w:rsidRPr="00093A6E">
        <w:rPr>
          <w:sz w:val="22"/>
          <w:szCs w:val="22"/>
        </w:rPr>
        <w:t xml:space="preserve"> a todas as edições do Informativo de Licitações e Contratos.</w:t>
      </w:r>
    </w:p>
    <w:p w:rsidR="009C34B1" w:rsidRPr="00093A6E" w:rsidRDefault="009C34B1" w:rsidP="00EE4F89">
      <w:pPr>
        <w:pStyle w:val="Corpodetexto2"/>
        <w:spacing w:before="60" w:after="0" w:line="240" w:lineRule="auto"/>
        <w:ind w:left="0"/>
        <w:rPr>
          <w:sz w:val="22"/>
          <w:szCs w:val="22"/>
        </w:rPr>
      </w:pPr>
    </w:p>
    <w:p w:rsidR="009C34B1" w:rsidRPr="00093A6E" w:rsidRDefault="009C34B1" w:rsidP="0030597C">
      <w:pPr>
        <w:pBdr>
          <w:top w:val="threeDEmboss" w:sz="24" w:space="2" w:color="auto"/>
        </w:pBdr>
        <w:tabs>
          <w:tab w:val="left" w:pos="284"/>
          <w:tab w:val="left" w:pos="4172"/>
          <w:tab w:val="center" w:pos="4818"/>
        </w:tabs>
        <w:spacing w:before="60" w:after="0"/>
        <w:ind w:left="0"/>
        <w:jc w:val="center"/>
        <w:rPr>
          <w:b/>
          <w:bCs/>
          <w:smallCaps/>
          <w:sz w:val="22"/>
          <w:szCs w:val="22"/>
        </w:rPr>
      </w:pPr>
      <w:r w:rsidRPr="00093A6E">
        <w:rPr>
          <w:b/>
          <w:bCs/>
          <w:smallCaps/>
          <w:sz w:val="22"/>
          <w:szCs w:val="22"/>
        </w:rPr>
        <w:t>SUMÁRIO</w:t>
      </w:r>
    </w:p>
    <w:p w:rsidR="009C34B1" w:rsidRPr="00093A6E" w:rsidRDefault="009C34B1" w:rsidP="00703C5B">
      <w:pPr>
        <w:autoSpaceDE w:val="0"/>
        <w:autoSpaceDN w:val="0"/>
        <w:adjustRightInd w:val="0"/>
        <w:spacing w:before="60" w:after="0"/>
        <w:ind w:left="0"/>
        <w:rPr>
          <w:b/>
          <w:sz w:val="22"/>
          <w:szCs w:val="22"/>
          <w:lang w:eastAsia="pt-BR"/>
        </w:rPr>
      </w:pPr>
      <w:r w:rsidRPr="00093A6E">
        <w:rPr>
          <w:b/>
          <w:sz w:val="22"/>
          <w:szCs w:val="22"/>
          <w:lang w:eastAsia="pt-BR"/>
        </w:rPr>
        <w:t>Plenário</w:t>
      </w:r>
    </w:p>
    <w:p w:rsidR="009C34B1" w:rsidRPr="00093A6E" w:rsidRDefault="009C34B1" w:rsidP="00F455F4">
      <w:pPr>
        <w:pStyle w:val="Default"/>
        <w:ind w:left="-120"/>
        <w:jc w:val="both"/>
        <w:rPr>
          <w:color w:val="auto"/>
          <w:sz w:val="22"/>
          <w:szCs w:val="22"/>
        </w:rPr>
      </w:pPr>
      <w:r w:rsidRPr="00093A6E">
        <w:rPr>
          <w:color w:val="auto"/>
          <w:sz w:val="22"/>
          <w:szCs w:val="22"/>
        </w:rPr>
        <w:t xml:space="preserve"> </w:t>
      </w:r>
    </w:p>
    <w:p w:rsidR="009C34B1" w:rsidRPr="00F455F4" w:rsidRDefault="009C34B1" w:rsidP="00F455F4">
      <w:pPr>
        <w:pStyle w:val="Default"/>
        <w:spacing w:before="60"/>
        <w:jc w:val="both"/>
        <w:rPr>
          <w:color w:val="auto"/>
          <w:sz w:val="22"/>
          <w:szCs w:val="22"/>
        </w:rPr>
      </w:pPr>
      <w:r>
        <w:rPr>
          <w:color w:val="auto"/>
          <w:sz w:val="22"/>
          <w:szCs w:val="22"/>
        </w:rPr>
        <w:t xml:space="preserve">1. </w:t>
      </w:r>
      <w:r w:rsidRPr="00F455F4">
        <w:rPr>
          <w:color w:val="auto"/>
          <w:sz w:val="22"/>
          <w:szCs w:val="22"/>
        </w:rPr>
        <w:t>As sanções de suspensão temporária de participação em licitação e impedimento de contratar com a Administração, previstas no art. 87, inciso III, da Lei 8.666/1993, alcançam apenas o órgão ou a entidade que as aplicaram</w:t>
      </w:r>
      <w:r>
        <w:rPr>
          <w:color w:val="auto"/>
          <w:sz w:val="22"/>
          <w:szCs w:val="22"/>
        </w:rPr>
        <w:t>.</w:t>
      </w:r>
    </w:p>
    <w:p w:rsidR="009C34B1" w:rsidRPr="00F455F4" w:rsidRDefault="009C34B1" w:rsidP="00F455F4">
      <w:pPr>
        <w:pStyle w:val="Default"/>
        <w:spacing w:before="60"/>
        <w:jc w:val="both"/>
        <w:rPr>
          <w:color w:val="auto"/>
          <w:sz w:val="22"/>
          <w:szCs w:val="22"/>
        </w:rPr>
      </w:pPr>
      <w:r>
        <w:rPr>
          <w:color w:val="auto"/>
          <w:sz w:val="22"/>
          <w:szCs w:val="22"/>
        </w:rPr>
        <w:t xml:space="preserve">2. </w:t>
      </w:r>
      <w:r w:rsidRPr="00F455F4">
        <w:rPr>
          <w:color w:val="auto"/>
          <w:sz w:val="22"/>
          <w:szCs w:val="22"/>
        </w:rPr>
        <w:t>O cálculo dos limites de aditamento de que trata o § 1º do art. 65 da Lei nº 8.</w:t>
      </w:r>
      <w:r w:rsidR="00333502">
        <w:rPr>
          <w:color w:val="auto"/>
          <w:sz w:val="22"/>
          <w:szCs w:val="22"/>
        </w:rPr>
        <w:t>666</w:t>
      </w:r>
      <w:r w:rsidRPr="00F455F4">
        <w:rPr>
          <w:color w:val="auto"/>
          <w:sz w:val="22"/>
          <w:szCs w:val="22"/>
        </w:rPr>
        <w:t>/199</w:t>
      </w:r>
      <w:r w:rsidR="00333502">
        <w:rPr>
          <w:color w:val="auto"/>
          <w:sz w:val="22"/>
          <w:szCs w:val="22"/>
        </w:rPr>
        <w:t>3</w:t>
      </w:r>
      <w:r w:rsidRPr="00F455F4">
        <w:rPr>
          <w:color w:val="auto"/>
          <w:sz w:val="22"/>
          <w:szCs w:val="22"/>
        </w:rPr>
        <w:t xml:space="preserve"> demanda a atualização do valor do contrato e de seus aditivos até o momento do novo aditamento, ou o deflacionamento de cada um dos aditivos até a data-base do ajuste original</w:t>
      </w:r>
      <w:r>
        <w:rPr>
          <w:color w:val="auto"/>
          <w:sz w:val="22"/>
          <w:szCs w:val="22"/>
        </w:rPr>
        <w:t>.</w:t>
      </w:r>
    </w:p>
    <w:p w:rsidR="009C34B1" w:rsidRPr="00F455F4" w:rsidRDefault="009C34B1" w:rsidP="00F455F4">
      <w:pPr>
        <w:autoSpaceDE w:val="0"/>
        <w:autoSpaceDN w:val="0"/>
        <w:adjustRightInd w:val="0"/>
        <w:spacing w:before="60" w:after="0"/>
        <w:ind w:left="0"/>
        <w:rPr>
          <w:sz w:val="22"/>
          <w:szCs w:val="22"/>
        </w:rPr>
      </w:pPr>
      <w:r>
        <w:rPr>
          <w:sz w:val="22"/>
          <w:szCs w:val="22"/>
        </w:rPr>
        <w:t>3.</w:t>
      </w:r>
      <w:r w:rsidR="00834FDE">
        <w:rPr>
          <w:sz w:val="22"/>
          <w:szCs w:val="22"/>
        </w:rPr>
        <w:t xml:space="preserve"> </w:t>
      </w:r>
      <w:r w:rsidRPr="00F455F4">
        <w:rPr>
          <w:sz w:val="22"/>
          <w:szCs w:val="22"/>
        </w:rPr>
        <w:t xml:space="preserve">A limitação de visita técnica a somente um dia, sendo este </w:t>
      </w:r>
      <w:r w:rsidR="00834FDE">
        <w:rPr>
          <w:sz w:val="22"/>
          <w:szCs w:val="22"/>
        </w:rPr>
        <w:t>às vésperas da</w:t>
      </w:r>
      <w:r w:rsidRPr="00F455F4">
        <w:rPr>
          <w:sz w:val="22"/>
          <w:szCs w:val="22"/>
        </w:rPr>
        <w:t xml:space="preserve"> data de abertura da licitação, não confere aos licitantes tempo suficiente para a finalização de suas propostas e, ao permitir o prévio conhecimento do universo de concorrentes,  facilita o conluio entre eles</w:t>
      </w:r>
      <w:r>
        <w:rPr>
          <w:sz w:val="22"/>
          <w:szCs w:val="22"/>
        </w:rPr>
        <w:t>.</w:t>
      </w:r>
    </w:p>
    <w:p w:rsidR="009C34B1" w:rsidRPr="00F455F4" w:rsidRDefault="009C34B1" w:rsidP="00F455F4">
      <w:pPr>
        <w:autoSpaceDE w:val="0"/>
        <w:autoSpaceDN w:val="0"/>
        <w:adjustRightInd w:val="0"/>
        <w:spacing w:before="60" w:after="0"/>
        <w:ind w:left="0"/>
        <w:rPr>
          <w:sz w:val="22"/>
          <w:szCs w:val="22"/>
        </w:rPr>
      </w:pPr>
      <w:r>
        <w:rPr>
          <w:sz w:val="22"/>
          <w:szCs w:val="22"/>
        </w:rPr>
        <w:t xml:space="preserve">4. </w:t>
      </w:r>
      <w:r w:rsidRPr="00F455F4">
        <w:rPr>
          <w:sz w:val="22"/>
          <w:szCs w:val="22"/>
        </w:rPr>
        <w:t>Na hipótese de visita técnica facultativa, a Administração deve inserir no edital da licitação cláusula que explicite ser da responsabilidade do contratado a ocorrência de eventuais prejuízos em virtude de sua opção por não realizar a vistoria</w:t>
      </w:r>
      <w:r>
        <w:rPr>
          <w:sz w:val="22"/>
          <w:szCs w:val="22"/>
        </w:rPr>
        <w:t>.</w:t>
      </w:r>
    </w:p>
    <w:p w:rsidR="009C34B1" w:rsidRDefault="009C34B1" w:rsidP="00F455F4">
      <w:pPr>
        <w:autoSpaceDE w:val="0"/>
        <w:autoSpaceDN w:val="0"/>
        <w:adjustRightInd w:val="0"/>
        <w:spacing w:before="60" w:after="0"/>
        <w:ind w:left="0"/>
        <w:rPr>
          <w:sz w:val="22"/>
          <w:szCs w:val="22"/>
        </w:rPr>
      </w:pPr>
      <w:r>
        <w:rPr>
          <w:sz w:val="22"/>
          <w:szCs w:val="22"/>
        </w:rPr>
        <w:t>5.</w:t>
      </w:r>
      <w:r w:rsidR="00834FDE">
        <w:rPr>
          <w:sz w:val="22"/>
          <w:szCs w:val="22"/>
        </w:rPr>
        <w:t xml:space="preserve"> </w:t>
      </w:r>
      <w:r w:rsidRPr="00F455F4">
        <w:rPr>
          <w:sz w:val="22"/>
          <w:szCs w:val="22"/>
        </w:rPr>
        <w:t>A exigência de demonstração de vínculo empregatício entre profissionais e a licitante, para fins de qualificação técnico-operacional, restringe o caráter competitivo do certame. A qualificação requerida pode ser demonstrada não somente por meio da apresentação de contrato de trabalho, mas também de contrato de prestação de serviços ou mesmo de vínculo societário entre a empresa e o profissional especializado</w:t>
      </w:r>
      <w:r>
        <w:rPr>
          <w:sz w:val="22"/>
          <w:szCs w:val="22"/>
        </w:rPr>
        <w:t>.</w:t>
      </w:r>
    </w:p>
    <w:p w:rsidR="009C34B1" w:rsidRPr="00F455F4" w:rsidRDefault="009C34B1" w:rsidP="00F455F4">
      <w:pPr>
        <w:autoSpaceDE w:val="0"/>
        <w:autoSpaceDN w:val="0"/>
        <w:adjustRightInd w:val="0"/>
        <w:spacing w:before="60" w:after="0"/>
        <w:ind w:left="0"/>
        <w:rPr>
          <w:bCs/>
          <w:iCs/>
          <w:sz w:val="22"/>
          <w:szCs w:val="22"/>
          <w:lang w:eastAsia="pt-BR"/>
        </w:rPr>
      </w:pPr>
    </w:p>
    <w:p w:rsidR="009C34B1" w:rsidRPr="00093A6E" w:rsidRDefault="009C34B1" w:rsidP="00A93190">
      <w:pPr>
        <w:pBdr>
          <w:top w:val="threeDEmboss" w:sz="24" w:space="7" w:color="auto"/>
        </w:pBdr>
        <w:tabs>
          <w:tab w:val="left" w:pos="284"/>
          <w:tab w:val="left" w:pos="4172"/>
          <w:tab w:val="center" w:pos="4818"/>
        </w:tabs>
        <w:spacing w:before="60" w:after="0"/>
        <w:ind w:left="0"/>
        <w:jc w:val="center"/>
        <w:rPr>
          <w:b/>
          <w:bCs/>
          <w:smallCaps/>
          <w:sz w:val="22"/>
          <w:szCs w:val="22"/>
        </w:rPr>
      </w:pPr>
      <w:r w:rsidRPr="00093A6E">
        <w:rPr>
          <w:b/>
          <w:bCs/>
          <w:smallCaps/>
          <w:sz w:val="22"/>
          <w:szCs w:val="22"/>
        </w:rPr>
        <w:t>PLENÁRIO</w:t>
      </w:r>
    </w:p>
    <w:p w:rsidR="009C34B1" w:rsidRPr="00093A6E" w:rsidRDefault="009C34B1" w:rsidP="004E55D4">
      <w:pPr>
        <w:pStyle w:val="Default"/>
        <w:jc w:val="both"/>
        <w:rPr>
          <w:b/>
          <w:color w:val="auto"/>
          <w:sz w:val="22"/>
          <w:szCs w:val="22"/>
        </w:rPr>
      </w:pPr>
    </w:p>
    <w:p w:rsidR="009C34B1" w:rsidRPr="00093A6E" w:rsidRDefault="009C34B1" w:rsidP="0056754D">
      <w:pPr>
        <w:pStyle w:val="Default"/>
        <w:jc w:val="both"/>
        <w:rPr>
          <w:b/>
          <w:color w:val="auto"/>
          <w:sz w:val="22"/>
          <w:szCs w:val="22"/>
        </w:rPr>
      </w:pPr>
      <w:r>
        <w:rPr>
          <w:b/>
          <w:color w:val="auto"/>
          <w:sz w:val="22"/>
          <w:szCs w:val="22"/>
        </w:rPr>
        <w:t xml:space="preserve">1.  </w:t>
      </w:r>
      <w:r w:rsidRPr="00093A6E">
        <w:rPr>
          <w:b/>
          <w:color w:val="auto"/>
          <w:sz w:val="22"/>
          <w:szCs w:val="22"/>
        </w:rPr>
        <w:t>As sanções de suspensão temporária de participação em licitação e impedimento de contratar com a Administração, previstas no art. 87, inciso III, da Lei 8.666/1993, alcançam apenas o órgão ou a entidade que as aplicaram</w:t>
      </w:r>
    </w:p>
    <w:p w:rsidR="009C34B1" w:rsidRPr="00093A6E" w:rsidRDefault="009C34B1" w:rsidP="00090DE0">
      <w:pPr>
        <w:pStyle w:val="Default"/>
        <w:jc w:val="both"/>
        <w:rPr>
          <w:b/>
          <w:i/>
          <w:color w:val="auto"/>
          <w:sz w:val="22"/>
          <w:szCs w:val="22"/>
        </w:rPr>
      </w:pPr>
      <w:r w:rsidRPr="00093A6E">
        <w:rPr>
          <w:color w:val="auto"/>
          <w:sz w:val="22"/>
          <w:szCs w:val="22"/>
        </w:rPr>
        <w:t xml:space="preserve">Representação formulada por sindicato apontou possíveis irregularidades praticadas pela Caixa Econômica Federal – CAIXA ao prorrogar o Contrato nº 3.027/2009, celebrado com a empresa DF Extintores, Cursos, Sistema Contra Incêndio, Informática e Serviços Ltda., que tem por objeto a prestação de serviços especializados de prevenção e combate a incêndio e treinamento de brigada. Segundo o autor da representação, tal prorrogação não poderia ter ocorrido, visto que tal empresa estaria impedida temporariamente de contratar com a Administração, em razão de haver sido apenada com as sanções de suspensão temporária do direito de licitar e contratar com a Administração, por outros entes integrantes da Administração Pública Federal. O relator, ao se debruçar sobre a matéria, mencionou a falta de uniformidade na jurisprudência do STJ, acerca do alcance da sanção </w:t>
      </w:r>
      <w:r w:rsidRPr="00093A6E">
        <w:rPr>
          <w:bCs/>
          <w:color w:val="auto"/>
          <w:sz w:val="22"/>
          <w:szCs w:val="22"/>
        </w:rPr>
        <w:t xml:space="preserve">prevista no inciso III do art. 87 da Lei 8.666/1993. Acrescentou que, no âmbito do TCU, tem predominado o entendimento no sentido de que tal </w:t>
      </w:r>
      <w:r w:rsidRPr="00093A6E">
        <w:rPr>
          <w:color w:val="auto"/>
          <w:sz w:val="22"/>
          <w:szCs w:val="22"/>
        </w:rPr>
        <w:t>penalidade alcança apenas o órgão, entidade ou a unidade administrativa que a cominou. Observou que tal conclusão foi construída com base nas seguintes premissas: “</w:t>
      </w:r>
      <w:r w:rsidRPr="00093A6E">
        <w:rPr>
          <w:bCs/>
          <w:i/>
          <w:color w:val="auto"/>
          <w:sz w:val="22"/>
          <w:szCs w:val="22"/>
        </w:rPr>
        <w:t xml:space="preserve">a) </w:t>
      </w:r>
      <w:r w:rsidRPr="00093A6E">
        <w:rPr>
          <w:i/>
          <w:color w:val="auto"/>
          <w:sz w:val="22"/>
          <w:szCs w:val="22"/>
        </w:rPr>
        <w:t xml:space="preserve">as sanções do art. 87 da Lei 8.666/93 estão organizadas em ordem crescente de gravidade e, ao diferenciar aspectos como duração, </w:t>
      </w:r>
      <w:r w:rsidRPr="00093A6E">
        <w:rPr>
          <w:bCs/>
          <w:i/>
          <w:color w:val="auto"/>
          <w:sz w:val="22"/>
          <w:szCs w:val="22"/>
        </w:rPr>
        <w:t xml:space="preserve">abrangência </w:t>
      </w:r>
      <w:r w:rsidRPr="00093A6E">
        <w:rPr>
          <w:i/>
          <w:color w:val="auto"/>
          <w:sz w:val="22"/>
          <w:szCs w:val="22"/>
        </w:rPr>
        <w:t xml:space="preserve">e autoridade competente para aplicá-las, o legislador pretendia distinguir as penalidades dos incisos III e IV; </w:t>
      </w:r>
      <w:r w:rsidRPr="00093A6E">
        <w:rPr>
          <w:bCs/>
          <w:i/>
          <w:color w:val="auto"/>
          <w:sz w:val="22"/>
          <w:szCs w:val="22"/>
        </w:rPr>
        <w:t xml:space="preserve">b) </w:t>
      </w:r>
      <w:r w:rsidRPr="00093A6E">
        <w:rPr>
          <w:i/>
          <w:color w:val="auto"/>
          <w:sz w:val="22"/>
          <w:szCs w:val="22"/>
        </w:rPr>
        <w:t xml:space="preserve">em se tratando de norma que reduz o direito de eventuais licitantes, cabível uma interpretação restritiva; </w:t>
      </w:r>
      <w:r w:rsidRPr="00093A6E">
        <w:rPr>
          <w:bCs/>
          <w:i/>
          <w:color w:val="auto"/>
          <w:sz w:val="22"/>
          <w:szCs w:val="22"/>
        </w:rPr>
        <w:t xml:space="preserve">c) </w:t>
      </w:r>
      <w:r w:rsidRPr="00093A6E">
        <w:rPr>
          <w:i/>
          <w:color w:val="auto"/>
          <w:sz w:val="22"/>
          <w:szCs w:val="22"/>
        </w:rPr>
        <w:t>o art. 97 da Lei de Licitações, ao definir que é crime admitir licitação ou contratar empresa declarada inidônea, reforça a diferenciação entre as penalidades de inidoneidade e suspensão temporária/impedimento de contratar, atribuindo àquela maior gravidade</w:t>
      </w:r>
      <w:r w:rsidRPr="00093A6E">
        <w:rPr>
          <w:color w:val="auto"/>
          <w:sz w:val="22"/>
          <w:szCs w:val="22"/>
        </w:rPr>
        <w:t xml:space="preserve">”. Mencionou, então, diversos processos em que tal entendimento prevaleceu, mas reconheceu a existência de decisões destoantes, em que </w:t>
      </w:r>
      <w:r w:rsidR="00834FDE">
        <w:rPr>
          <w:color w:val="auto"/>
          <w:sz w:val="22"/>
          <w:szCs w:val="22"/>
        </w:rPr>
        <w:t>venceu</w:t>
      </w:r>
      <w:r w:rsidRPr="00093A6E">
        <w:rPr>
          <w:color w:val="auto"/>
          <w:sz w:val="22"/>
          <w:szCs w:val="22"/>
        </w:rPr>
        <w:t xml:space="preserve"> o entendimento de que tal penalidade deve alcançar toda </w:t>
      </w:r>
      <w:r w:rsidRPr="00093A6E">
        <w:rPr>
          <w:bCs/>
          <w:color w:val="auto"/>
          <w:sz w:val="22"/>
          <w:szCs w:val="22"/>
        </w:rPr>
        <w:t xml:space="preserve">Administração. </w:t>
      </w:r>
      <w:r w:rsidRPr="00093A6E">
        <w:rPr>
          <w:color w:val="auto"/>
          <w:sz w:val="22"/>
          <w:szCs w:val="22"/>
        </w:rPr>
        <w:t>Observou que, para o deslinde dessa questão, faz-se necessário investigar o significado das expressões “</w:t>
      </w:r>
      <w:r w:rsidRPr="00093A6E">
        <w:rPr>
          <w:i/>
          <w:color w:val="auto"/>
          <w:sz w:val="22"/>
          <w:szCs w:val="22"/>
        </w:rPr>
        <w:t>Administração</w:t>
      </w:r>
      <w:r w:rsidRPr="00093A6E">
        <w:rPr>
          <w:color w:val="auto"/>
          <w:sz w:val="22"/>
          <w:szCs w:val="22"/>
        </w:rPr>
        <w:t>” e “</w:t>
      </w:r>
      <w:r w:rsidRPr="00093A6E">
        <w:rPr>
          <w:i/>
          <w:color w:val="auto"/>
          <w:sz w:val="22"/>
          <w:szCs w:val="22"/>
        </w:rPr>
        <w:t>Administração Pública</w:t>
      </w:r>
      <w:r w:rsidRPr="00093A6E">
        <w:rPr>
          <w:color w:val="auto"/>
          <w:sz w:val="22"/>
          <w:szCs w:val="22"/>
        </w:rPr>
        <w:t>” contidos nos incisos III e IV do art. 87 da Lei nº 8.666/1993, respectivamente. Com esse intuito, destacou o disposto nos incisos XI e XII do art. 6º dessa mesma lei, de onde se depreende que os conceitos “</w:t>
      </w:r>
      <w:r w:rsidRPr="00093A6E">
        <w:rPr>
          <w:i/>
          <w:color w:val="auto"/>
          <w:sz w:val="22"/>
          <w:szCs w:val="22"/>
        </w:rPr>
        <w:t>Administração Pública”</w:t>
      </w:r>
      <w:r w:rsidRPr="00093A6E">
        <w:rPr>
          <w:color w:val="auto"/>
          <w:sz w:val="22"/>
          <w:szCs w:val="22"/>
        </w:rPr>
        <w:t xml:space="preserve"> e “</w:t>
      </w:r>
      <w:r w:rsidRPr="00093A6E">
        <w:rPr>
          <w:i/>
          <w:color w:val="auto"/>
          <w:sz w:val="22"/>
          <w:szCs w:val="22"/>
        </w:rPr>
        <w:t>Administração</w:t>
      </w:r>
      <w:r w:rsidRPr="00093A6E">
        <w:rPr>
          <w:color w:val="auto"/>
          <w:sz w:val="22"/>
          <w:szCs w:val="22"/>
        </w:rPr>
        <w:t>” são distintos, sendo o primeiro mais amplo do que o segundo. Destacou, então, que “</w:t>
      </w:r>
      <w:r w:rsidRPr="00093A6E">
        <w:rPr>
          <w:bCs/>
          <w:i/>
          <w:color w:val="auto"/>
          <w:sz w:val="22"/>
          <w:szCs w:val="22"/>
        </w:rPr>
        <w:t xml:space="preserve">o art. 6º faz interpretação autêntica contextual </w:t>
      </w:r>
      <w:r w:rsidRPr="00093A6E">
        <w:rPr>
          <w:i/>
          <w:color w:val="auto"/>
          <w:sz w:val="22"/>
          <w:szCs w:val="22"/>
        </w:rPr>
        <w:t>de Administração e de Administração Púbica, ou seja, o próprio texto da lei atribui sentido próprio aos referidos termos, não sendo cabível ao intérprete conferir significado diverso”. E mais: “Com respeito ao alcance da penalidade de suspensão temporária/impedimento de contratar, o inciso III do art. 87 da Lei 8.666/93 prescreve expressamente que a referida penalidade incide sobre a Administração, isto é, somente em relação ao órgão ou à entidade contratante. Já o inciso IV do aludido artigo estabelece que a declaração de inidoneidade recai sobre a Administração Pública, ou seja, abrange todo o aparato administrativo do Estado</w:t>
      </w:r>
      <w:r w:rsidRPr="00093A6E">
        <w:rPr>
          <w:color w:val="auto"/>
          <w:sz w:val="22"/>
          <w:szCs w:val="22"/>
        </w:rPr>
        <w:t>”. Ao final, fez menção à recente deliberação do Tribunal, proferida por meio do Acórdão nº 3243/2012–Plenário, que respalda suas conclusões. O Tribunal, então, ao acolher proposta do relator, decidiu: a) julgar improcedente a representação; b) esclarecer à CAIXA que “</w:t>
      </w:r>
      <w:r w:rsidRPr="00093A6E">
        <w:rPr>
          <w:i/>
          <w:color w:val="auto"/>
          <w:sz w:val="22"/>
          <w:szCs w:val="22"/>
        </w:rPr>
        <w:t>a penalidade de suspensão temporária/impedimento de contratar, prevista no art. 87, inciso III, da Lei 8.666/1993, incide sobre a Administração, isto é, somente em relação ao órgão ou à entidade contratante, nos termos em que decidiu o Tribunal no Acórdão 3243/2012-Plenário</w:t>
      </w:r>
      <w:r w:rsidRPr="00093A6E">
        <w:rPr>
          <w:color w:val="auto"/>
          <w:sz w:val="22"/>
          <w:szCs w:val="22"/>
        </w:rPr>
        <w:t xml:space="preserve">”. </w:t>
      </w:r>
      <w:r w:rsidRPr="00093A6E">
        <w:rPr>
          <w:b/>
          <w:i/>
          <w:color w:val="auto"/>
          <w:sz w:val="22"/>
          <w:szCs w:val="22"/>
        </w:rPr>
        <w:t xml:space="preserve">Acórdão nº 3439/2012-Plenário, TC-033.867/2011-9, rel. Min. Valmir Campelo, 10.12.2012. </w:t>
      </w:r>
    </w:p>
    <w:p w:rsidR="009C34B1" w:rsidRPr="00093A6E" w:rsidRDefault="009C34B1" w:rsidP="009902E1">
      <w:pPr>
        <w:pStyle w:val="Default"/>
        <w:jc w:val="both"/>
        <w:rPr>
          <w:b/>
          <w:i/>
          <w:color w:val="auto"/>
          <w:sz w:val="22"/>
          <w:szCs w:val="22"/>
        </w:rPr>
      </w:pPr>
    </w:p>
    <w:p w:rsidR="009C34B1" w:rsidRPr="00093A6E" w:rsidRDefault="009C34B1" w:rsidP="00443F43">
      <w:pPr>
        <w:pStyle w:val="Default"/>
        <w:jc w:val="both"/>
        <w:rPr>
          <w:b/>
          <w:color w:val="auto"/>
          <w:sz w:val="22"/>
          <w:szCs w:val="22"/>
        </w:rPr>
      </w:pPr>
      <w:r>
        <w:rPr>
          <w:b/>
          <w:color w:val="auto"/>
          <w:sz w:val="22"/>
          <w:szCs w:val="22"/>
        </w:rPr>
        <w:t xml:space="preserve">2. </w:t>
      </w:r>
      <w:r w:rsidRPr="00093A6E">
        <w:rPr>
          <w:b/>
          <w:color w:val="auto"/>
          <w:sz w:val="22"/>
          <w:szCs w:val="22"/>
        </w:rPr>
        <w:t xml:space="preserve">O cálculo dos limites de aditamento de que trata o § 1º do art. 65 da Lei nº </w:t>
      </w:r>
      <w:r w:rsidR="002224F9">
        <w:rPr>
          <w:b/>
          <w:color w:val="auto"/>
          <w:sz w:val="22"/>
          <w:szCs w:val="22"/>
        </w:rPr>
        <w:t>8.666</w:t>
      </w:r>
      <w:r w:rsidRPr="00093A6E">
        <w:rPr>
          <w:b/>
          <w:color w:val="auto"/>
          <w:sz w:val="22"/>
          <w:szCs w:val="22"/>
        </w:rPr>
        <w:t>/199</w:t>
      </w:r>
      <w:r w:rsidR="002224F9">
        <w:rPr>
          <w:b/>
          <w:color w:val="auto"/>
          <w:sz w:val="22"/>
          <w:szCs w:val="22"/>
        </w:rPr>
        <w:t>3</w:t>
      </w:r>
      <w:r w:rsidRPr="00093A6E">
        <w:rPr>
          <w:b/>
          <w:color w:val="auto"/>
          <w:sz w:val="22"/>
          <w:szCs w:val="22"/>
        </w:rPr>
        <w:t xml:space="preserve"> demanda a atualização do valor do contrato e de seus aditivos até o momento do novo aditamento, ou o deflacionamento de cada um dos aditivos até a data-base do ajuste original</w:t>
      </w:r>
    </w:p>
    <w:p w:rsidR="009C34B1" w:rsidRPr="00093A6E" w:rsidRDefault="009C34B1" w:rsidP="008C67EB">
      <w:pPr>
        <w:pStyle w:val="Default"/>
        <w:jc w:val="both"/>
        <w:rPr>
          <w:b/>
          <w:i/>
          <w:color w:val="auto"/>
          <w:sz w:val="22"/>
          <w:szCs w:val="22"/>
        </w:rPr>
      </w:pPr>
      <w:r w:rsidRPr="00093A6E">
        <w:rPr>
          <w:color w:val="auto"/>
          <w:sz w:val="22"/>
          <w:szCs w:val="22"/>
        </w:rPr>
        <w:t>Ex-Diretores da Agência Estadual de Gestão e Empreendimentos de Mato Grosso do Sul – Agesul interpuseram Pedidos de Reexame contra o Acórdão 111/2008-Plenário. Por meio dessa decisão, o Tribunal aplicara a esses gestores multas em razão de irregularidades na gestão do contrato 77/1997, firmado com a empresa Financial Construtora Industrial Ltda. para realização das obras de Irrigação da Gleba Santa Terezinha, no município de Itaporã/MS. Entre os motivos que justificaram a apenação de um de seus ex-Diretores, destaque-se a extrapolação do limite de 25% imposto pela Lei 8.666/1993 para acréscimo ao contrato.</w:t>
      </w:r>
      <w:r w:rsidRPr="00093A6E">
        <w:rPr>
          <w:i/>
          <w:color w:val="auto"/>
          <w:sz w:val="22"/>
          <w:szCs w:val="22"/>
        </w:rPr>
        <w:t xml:space="preserve"> </w:t>
      </w:r>
      <w:r w:rsidRPr="00093A6E">
        <w:rPr>
          <w:color w:val="auto"/>
          <w:sz w:val="22"/>
          <w:szCs w:val="22"/>
        </w:rPr>
        <w:t>O responsável alegou, a esse respeito, que o cálculo do percentual permitido para aditamento “</w:t>
      </w:r>
      <w:r w:rsidRPr="00093A6E">
        <w:rPr>
          <w:i/>
          <w:color w:val="auto"/>
          <w:sz w:val="22"/>
          <w:szCs w:val="22"/>
        </w:rPr>
        <w:t>deveria ter levado em conta a necessidade de atualização do valor original pactuado considerando-se a época dos aditamentos ou, alternativamente, deveria ter deflacionado cada um dos aditivos para a data-base referencial do mencionado ajuste</w:t>
      </w:r>
      <w:r w:rsidRPr="00093A6E">
        <w:rPr>
          <w:color w:val="auto"/>
          <w:sz w:val="22"/>
          <w:szCs w:val="22"/>
        </w:rPr>
        <w:t>”. O relator, ao corroborar essa argumentação, invocou o comando contido no texto expresso do art. 65, § 1º, da Lei da citada lei e fez referência à deliberação proferida pelo Tribunal por meio do Acórdão 1.733/2009-Plenário. Segundo tal precedente, os termos aditivos que modifiquem o valor originalmente contratado devem observar o seguinte balizamento: “</w:t>
      </w:r>
      <w:r w:rsidRPr="00093A6E">
        <w:rPr>
          <w:i/>
          <w:color w:val="auto"/>
          <w:sz w:val="22"/>
          <w:szCs w:val="22"/>
        </w:rPr>
        <w:t>I – tais limites não se referem ao saldo dos acréscimos menos os decréscimos, mas ao total tanto dos acréscimos quanto dos decréscimos; II – para se efetuar o cálculo do valor possível a ser aditado, deve-se, além de atualizar o valor inicial do contrato, atualizar também os valores dos aditivos já efetuados; III – o valor encontrado considerando a atualização do contrato se refere ao valor possível de ser aditado na data em questão, mas, para se efetuar o aditivo a preços iniciais, deve-se deflacionar o valor encontrado até a data-base</w:t>
      </w:r>
      <w:r w:rsidRPr="00093A6E">
        <w:rPr>
          <w:color w:val="auto"/>
          <w:sz w:val="22"/>
          <w:szCs w:val="22"/>
        </w:rPr>
        <w:t>”. Observou ainda que o percentual de 27,86% de acréscimo inicialmente calculado resultou da “</w:t>
      </w:r>
      <w:r w:rsidRPr="00093A6E">
        <w:rPr>
          <w:i/>
          <w:color w:val="auto"/>
          <w:sz w:val="22"/>
          <w:szCs w:val="22"/>
        </w:rPr>
        <w:t>soma de preços originais do contrato 77/1997 com novos serviços orçados até quatro anos depois da data base daquela avença, sem que fosse providenciada a devida e necessária retroação de valores</w:t>
      </w:r>
      <w:r w:rsidRPr="00093A6E">
        <w:rPr>
          <w:color w:val="auto"/>
          <w:sz w:val="22"/>
          <w:szCs w:val="22"/>
        </w:rPr>
        <w:t>”. Ao efetuar tal retroação, verificou que, na verdade, os aditamentos efetuados majoraram o citado contrato em apenas 19,96%. O Tribunal, então, ao acolher proposta do relator, decidiu conceder provimento parcial ao recurso de um dos gestores e reduzir o valor da multa que lhe havia sida aplicada, “</w:t>
      </w:r>
      <w:r w:rsidRPr="00093A6E">
        <w:rPr>
          <w:i/>
          <w:color w:val="auto"/>
          <w:sz w:val="22"/>
          <w:szCs w:val="22"/>
        </w:rPr>
        <w:t>haja vista o acolhimento dos argumentos referentes à suposta inobservância ao art. 65, § 1º, da Lei 8.666/1993</w:t>
      </w:r>
      <w:r w:rsidRPr="00093A6E">
        <w:rPr>
          <w:color w:val="auto"/>
          <w:sz w:val="22"/>
          <w:szCs w:val="22"/>
        </w:rPr>
        <w:t xml:space="preserve">”. </w:t>
      </w:r>
      <w:r w:rsidRPr="00093A6E">
        <w:rPr>
          <w:b/>
          <w:i/>
          <w:color w:val="auto"/>
          <w:sz w:val="22"/>
          <w:szCs w:val="22"/>
        </w:rPr>
        <w:t>Acórdão nº 3483/2012-Plenário, TC-011.571/2008-3, rel. Min. Aroldo Cedraz, 10.12.2012.</w:t>
      </w:r>
    </w:p>
    <w:p w:rsidR="009C34B1" w:rsidRPr="00093A6E" w:rsidRDefault="009C34B1" w:rsidP="008C67EB">
      <w:pPr>
        <w:pStyle w:val="Default"/>
        <w:jc w:val="both"/>
        <w:rPr>
          <w:rFonts w:ascii="Arial" w:hAnsi="Arial" w:cs="Arial"/>
          <w:color w:val="auto"/>
          <w:sz w:val="22"/>
          <w:szCs w:val="22"/>
        </w:rPr>
      </w:pPr>
    </w:p>
    <w:p w:rsidR="009C34B1" w:rsidRPr="00093A6E" w:rsidRDefault="009C34B1" w:rsidP="00FF116E">
      <w:pPr>
        <w:pStyle w:val="Default"/>
        <w:jc w:val="both"/>
        <w:rPr>
          <w:b/>
          <w:color w:val="auto"/>
          <w:sz w:val="22"/>
          <w:szCs w:val="22"/>
        </w:rPr>
      </w:pPr>
      <w:r>
        <w:rPr>
          <w:b/>
          <w:color w:val="auto"/>
          <w:sz w:val="22"/>
          <w:szCs w:val="22"/>
        </w:rPr>
        <w:t xml:space="preserve">3. </w:t>
      </w:r>
      <w:r w:rsidRPr="00093A6E">
        <w:rPr>
          <w:b/>
          <w:color w:val="auto"/>
          <w:sz w:val="22"/>
          <w:szCs w:val="22"/>
        </w:rPr>
        <w:t>A limitação de visita técni</w:t>
      </w:r>
      <w:r w:rsidR="00834FDE">
        <w:rPr>
          <w:b/>
          <w:color w:val="auto"/>
          <w:sz w:val="22"/>
          <w:szCs w:val="22"/>
        </w:rPr>
        <w:t xml:space="preserve">ca a somente um dia, sendo este às vésperas da </w:t>
      </w:r>
      <w:r w:rsidRPr="00093A6E">
        <w:rPr>
          <w:b/>
          <w:color w:val="auto"/>
          <w:sz w:val="22"/>
          <w:szCs w:val="22"/>
        </w:rPr>
        <w:t xml:space="preserve">data de abertura da licitação, não </w:t>
      </w:r>
      <w:r>
        <w:rPr>
          <w:b/>
          <w:color w:val="auto"/>
          <w:sz w:val="22"/>
          <w:szCs w:val="22"/>
        </w:rPr>
        <w:t>confere</w:t>
      </w:r>
      <w:r w:rsidRPr="00093A6E">
        <w:rPr>
          <w:b/>
          <w:color w:val="auto"/>
          <w:sz w:val="22"/>
          <w:szCs w:val="22"/>
        </w:rPr>
        <w:t xml:space="preserve"> aos licitantes tempo suficiente para a finalização de suas propostas</w:t>
      </w:r>
      <w:r>
        <w:rPr>
          <w:b/>
          <w:color w:val="auto"/>
          <w:sz w:val="22"/>
          <w:szCs w:val="22"/>
        </w:rPr>
        <w:t xml:space="preserve"> e, ao permitir o prévio conhecimento do universo de concorrentes,  facilita o conluio entre eles</w:t>
      </w:r>
    </w:p>
    <w:p w:rsidR="009C34B1" w:rsidRPr="00093A6E" w:rsidRDefault="009C34B1" w:rsidP="00E97758">
      <w:pPr>
        <w:pStyle w:val="Default"/>
        <w:jc w:val="both"/>
        <w:rPr>
          <w:b/>
          <w:i/>
          <w:color w:val="auto"/>
          <w:sz w:val="22"/>
          <w:szCs w:val="22"/>
        </w:rPr>
      </w:pPr>
      <w:r w:rsidRPr="00093A6E">
        <w:rPr>
          <w:color w:val="auto"/>
          <w:sz w:val="22"/>
          <w:szCs w:val="22"/>
        </w:rPr>
        <w:t xml:space="preserve">Representação formulada por empresa apontou supostas irregularidades na Concorrência n.º 14/2012, conduzida pelo Instituto Federal de Educação, Ciência e Tecnologia de São Paulo (IFSP), que tem por objeto a execução de obra de construção do </w:t>
      </w:r>
      <w:r w:rsidRPr="00093A6E">
        <w:rPr>
          <w:i/>
          <w:iCs/>
          <w:color w:val="auto"/>
          <w:sz w:val="22"/>
          <w:szCs w:val="22"/>
        </w:rPr>
        <w:t xml:space="preserve">campus </w:t>
      </w:r>
      <w:r w:rsidRPr="00093A6E">
        <w:rPr>
          <w:color w:val="auto"/>
          <w:sz w:val="22"/>
          <w:szCs w:val="22"/>
        </w:rPr>
        <w:t>Hortolândia – Fase 2. Destaque-se, entre elas, a seguinte: “</w:t>
      </w:r>
      <w:r w:rsidRPr="00093A6E">
        <w:rPr>
          <w:i/>
          <w:color w:val="auto"/>
          <w:sz w:val="22"/>
          <w:szCs w:val="22"/>
        </w:rPr>
        <w:t>a) limitação da visita técnica ao local das obras somente a um único dia e às vésperas da abertura da licitação</w:t>
      </w:r>
      <w:r w:rsidRPr="00093A6E">
        <w:rPr>
          <w:color w:val="auto"/>
          <w:sz w:val="22"/>
          <w:szCs w:val="22"/>
        </w:rPr>
        <w:t>”. O relator, ao examinar a resposta à oitiva do Instituto, anotou que “</w:t>
      </w:r>
      <w:r w:rsidRPr="00093A6E">
        <w:rPr>
          <w:i/>
          <w:color w:val="auto"/>
          <w:sz w:val="22"/>
          <w:szCs w:val="22"/>
        </w:rPr>
        <w:t>o Tribunal tem entendido ser irregular a exigência de realização de visita técnica em dias e horários pré-fixados, objetivando com isso evitar a restrição indevida de competitividade e a possibilidade de conhecimento prévio do universo de concorrentes pelas licitantes, o que poderia ensejar o conluio entre elas</w:t>
      </w:r>
      <w:r w:rsidRPr="00093A6E">
        <w:rPr>
          <w:color w:val="auto"/>
          <w:sz w:val="22"/>
          <w:szCs w:val="22"/>
        </w:rPr>
        <w:t xml:space="preserve">”.  A despeito de a referida visita ter-se tornado facultativa, em decorrência de alteração no edital, ponderou: “... </w:t>
      </w:r>
      <w:r w:rsidRPr="00093A6E">
        <w:rPr>
          <w:i/>
          <w:color w:val="auto"/>
          <w:sz w:val="22"/>
          <w:szCs w:val="22"/>
        </w:rPr>
        <w:t xml:space="preserve">não andou bem a Administração ao manter a limitação da visita a um único dia (17/10/2012) e às vésperas da licitação (23/10/2012), quando, ao contrário, deveria ter concedido um prazo maior e com a devida antecedência para que os licitantes pudessem efetivá-la, para melhor tomarem conhecimento das condições de execução da obra”. </w:t>
      </w:r>
      <w:r w:rsidRPr="00093A6E">
        <w:rPr>
          <w:color w:val="auto"/>
          <w:sz w:val="22"/>
          <w:szCs w:val="22"/>
        </w:rPr>
        <w:t xml:space="preserve">Acrescentou que o IFSP </w:t>
      </w:r>
      <w:r>
        <w:rPr>
          <w:color w:val="auto"/>
          <w:sz w:val="22"/>
          <w:szCs w:val="22"/>
        </w:rPr>
        <w:t>não</w:t>
      </w:r>
      <w:r w:rsidRPr="00093A6E">
        <w:rPr>
          <w:color w:val="auto"/>
          <w:sz w:val="22"/>
          <w:szCs w:val="22"/>
        </w:rPr>
        <w:t xml:space="preserve"> informou quais as empresas realizaram a visita. O Tribunal, então, ao acolher proposta do relator, em razão de</w:t>
      </w:r>
      <w:r>
        <w:rPr>
          <w:color w:val="auto"/>
          <w:sz w:val="22"/>
          <w:szCs w:val="22"/>
        </w:rPr>
        <w:t xml:space="preserve">ssa e de outras irregularidades, </w:t>
      </w:r>
      <w:r w:rsidRPr="00093A6E">
        <w:rPr>
          <w:color w:val="auto"/>
          <w:sz w:val="22"/>
          <w:szCs w:val="22"/>
        </w:rPr>
        <w:t>decidiu: a) fixar prazo para que o IFSP adote providências com o intuito de promover à anulação da Concorrência n.º 14/2012; b) determinar ao IFSP que, na hipótese de instaurar nova licitação em substituição a essa concorrência, estabeleça prazo adequado para a realização da visita técnica, “</w:t>
      </w:r>
      <w:r w:rsidRPr="00093A6E">
        <w:rPr>
          <w:i/>
          <w:color w:val="auto"/>
          <w:sz w:val="22"/>
          <w:szCs w:val="22"/>
        </w:rPr>
        <w:t>não a restringindo a dia e horário fixos, com vistas a inibir que potenciais licitantes tomem conhecimento prévio do universo de concorrentes, bem assim permitir aos possíveis interessados, após a realização da visita, tempo hábil para a finalização de suas propostas</w:t>
      </w:r>
      <w:r w:rsidRPr="00093A6E">
        <w:rPr>
          <w:color w:val="auto"/>
          <w:sz w:val="22"/>
          <w:szCs w:val="22"/>
        </w:rPr>
        <w:t xml:space="preserve">”. </w:t>
      </w:r>
      <w:r w:rsidRPr="00093A6E">
        <w:rPr>
          <w:b/>
          <w:i/>
          <w:color w:val="auto"/>
          <w:sz w:val="22"/>
          <w:szCs w:val="22"/>
        </w:rPr>
        <w:t>Acórdão nº 3459/2012-Plenário, TC-041.260/2012-0, rel. Min. José Jorge, 10.12.2012.</w:t>
      </w:r>
    </w:p>
    <w:p w:rsidR="009C34B1" w:rsidRPr="00093A6E" w:rsidRDefault="009C34B1" w:rsidP="008D62ED">
      <w:pPr>
        <w:pStyle w:val="Default"/>
        <w:rPr>
          <w:color w:val="auto"/>
          <w:sz w:val="22"/>
          <w:szCs w:val="22"/>
        </w:rPr>
      </w:pPr>
    </w:p>
    <w:p w:rsidR="009C34B1" w:rsidRPr="00093A6E" w:rsidRDefault="009C34B1" w:rsidP="00EE6C87">
      <w:pPr>
        <w:pStyle w:val="Default"/>
        <w:jc w:val="both"/>
        <w:rPr>
          <w:b/>
          <w:color w:val="auto"/>
          <w:sz w:val="22"/>
          <w:szCs w:val="22"/>
        </w:rPr>
      </w:pPr>
      <w:r>
        <w:rPr>
          <w:b/>
          <w:color w:val="auto"/>
          <w:sz w:val="22"/>
          <w:szCs w:val="22"/>
        </w:rPr>
        <w:t xml:space="preserve">4. </w:t>
      </w:r>
      <w:r w:rsidRPr="00093A6E">
        <w:rPr>
          <w:b/>
          <w:color w:val="auto"/>
          <w:sz w:val="22"/>
          <w:szCs w:val="22"/>
        </w:rPr>
        <w:t>Na hipótese de visita técnica facultativa, a Administração deve inserir no edital da licitação cláusula que explicite ser da responsabilidade do contratado a ocorrência de eventuais prejuízos em virtude de sua opção por não realizar a vistoria</w:t>
      </w:r>
    </w:p>
    <w:p w:rsidR="009C34B1" w:rsidRPr="00093A6E" w:rsidRDefault="009C34B1" w:rsidP="00EE6C87">
      <w:pPr>
        <w:pStyle w:val="Default"/>
        <w:jc w:val="both"/>
        <w:rPr>
          <w:b/>
          <w:i/>
          <w:color w:val="auto"/>
          <w:sz w:val="22"/>
          <w:szCs w:val="22"/>
        </w:rPr>
      </w:pPr>
      <w:r w:rsidRPr="00093A6E">
        <w:rPr>
          <w:color w:val="auto"/>
          <w:sz w:val="22"/>
          <w:szCs w:val="22"/>
        </w:rPr>
        <w:t xml:space="preserve">Ainda no âmbito da Concorrência n.º 14/2012, conduzida pelo Instituto Federal de Educação, Ciência e Tecnologia de São Paulo (IFSP), que tem por objeto a execução de obra de construção do </w:t>
      </w:r>
      <w:r w:rsidRPr="00093A6E">
        <w:rPr>
          <w:i/>
          <w:iCs/>
          <w:color w:val="auto"/>
          <w:sz w:val="22"/>
          <w:szCs w:val="22"/>
        </w:rPr>
        <w:t xml:space="preserve">campus </w:t>
      </w:r>
      <w:r w:rsidRPr="00093A6E">
        <w:rPr>
          <w:color w:val="auto"/>
          <w:sz w:val="22"/>
          <w:szCs w:val="22"/>
        </w:rPr>
        <w:t>Hortolândia – Fase 2, o relator tratou da vedação de fornecimento de atestado aos licitantes que efetuassem a visita técnica prevista no edital. Em linha de consonância com a unidade técnica, ponderou que o registro de haver determinado licitante efetuado a visita técnica se prestaria a resguardar a Administração de “</w:t>
      </w:r>
      <w:r w:rsidRPr="00093A6E">
        <w:rPr>
          <w:i/>
          <w:color w:val="auto"/>
          <w:sz w:val="22"/>
          <w:szCs w:val="22"/>
        </w:rPr>
        <w:t>eventual alegação de prejuízos em virtude do não conhecimento das condições de execução da obra</w:t>
      </w:r>
      <w:r w:rsidRPr="00093A6E">
        <w:rPr>
          <w:color w:val="auto"/>
          <w:sz w:val="22"/>
          <w:szCs w:val="22"/>
        </w:rPr>
        <w:t>”.  Acrescentou que seria razoável “</w:t>
      </w:r>
      <w:r w:rsidRPr="00093A6E">
        <w:rPr>
          <w:i/>
          <w:color w:val="auto"/>
          <w:sz w:val="22"/>
          <w:szCs w:val="22"/>
        </w:rPr>
        <w:t>exigir do licitante como condição para participar do certame a declaração de pleno conhecimento das condições de execução da obra</w:t>
      </w:r>
      <w:r w:rsidRPr="00093A6E">
        <w:rPr>
          <w:color w:val="auto"/>
          <w:sz w:val="22"/>
          <w:szCs w:val="22"/>
        </w:rPr>
        <w:t>”. Mencionou, então, deliberação proferida por meio do Acórdão 295/2008 – Plenário, segundo o qual o Tribunal considerou temerário “</w:t>
      </w:r>
      <w:r w:rsidRPr="00093A6E">
        <w:rPr>
          <w:i/>
          <w:color w:val="auto"/>
          <w:sz w:val="22"/>
          <w:szCs w:val="22"/>
        </w:rPr>
        <w:t>o estabelecimento de visita técnica facultativa, sem a inserção de cláusula que estabeleça ser responsabilidade do contratato a ocorrência de eventuais prejuízos em virtude de sua omissão na verificação dos locais de instalação</w:t>
      </w:r>
      <w:r w:rsidRPr="00093A6E">
        <w:rPr>
          <w:color w:val="auto"/>
          <w:sz w:val="22"/>
          <w:szCs w:val="22"/>
        </w:rPr>
        <w:t xml:space="preserve"> ...”. Anotou também que: “</w:t>
      </w:r>
      <w:r w:rsidRPr="00093A6E">
        <w:rPr>
          <w:i/>
          <w:color w:val="auto"/>
          <w:sz w:val="22"/>
          <w:szCs w:val="22"/>
        </w:rPr>
        <w:t>Exigência dessa natureza ... visa resguardar a Administração quanto a futuros questionamentos da empresa eventualmente contratada acerca das condições de prestação do serviço, de modo que se não poderá alegar desconhecimento de circunstâncias que influenciem na execução do contrato, com reflexo nos respectivos custos e preços</w:t>
      </w:r>
      <w:r w:rsidRPr="00093A6E">
        <w:rPr>
          <w:color w:val="auto"/>
          <w:sz w:val="22"/>
          <w:szCs w:val="22"/>
        </w:rPr>
        <w:t>”. O Tribunal, então, ao acolher proposta do relator, além de fixar prazo para que o IFSP promova a anulação da Concorrência n.º 14/2012, determinou a esse Instituto que, na hipótese de instaurar nova licitação para execução do mencionado objeto, inclua, “</w:t>
      </w:r>
      <w:r w:rsidRPr="00093A6E">
        <w:rPr>
          <w:i/>
          <w:color w:val="auto"/>
          <w:sz w:val="22"/>
          <w:szCs w:val="22"/>
        </w:rPr>
        <w:t>no caso de visita técnica facultativa, cláusula editalícia que estabeleça ser da responsabilidade do contratado a ocorrência de eventuais prejuízos em virtude de sua omissão na verificação dos locais de instalação, com vistas a proteger o interesse da Administração na fase de execução do contrato</w:t>
      </w:r>
      <w:r w:rsidRPr="00093A6E">
        <w:rPr>
          <w:color w:val="auto"/>
          <w:sz w:val="22"/>
          <w:szCs w:val="22"/>
        </w:rPr>
        <w:t>. Precedente mencionado: Acórdão 295/2008 – Plenário.</w:t>
      </w:r>
      <w:r w:rsidRPr="00093A6E">
        <w:rPr>
          <w:b/>
          <w:color w:val="auto"/>
          <w:sz w:val="22"/>
          <w:szCs w:val="22"/>
        </w:rPr>
        <w:t xml:space="preserve"> </w:t>
      </w:r>
      <w:r w:rsidRPr="00093A6E">
        <w:rPr>
          <w:b/>
          <w:i/>
          <w:color w:val="auto"/>
          <w:sz w:val="22"/>
          <w:szCs w:val="22"/>
        </w:rPr>
        <w:t>Acórdão nº 3459/2012-Plenário, TC-041.260/2012-0, rel. Min. José Jorge, 10.12.2012.</w:t>
      </w:r>
    </w:p>
    <w:p w:rsidR="009C34B1" w:rsidRPr="00093A6E" w:rsidRDefault="009C34B1" w:rsidP="00213395">
      <w:pPr>
        <w:pStyle w:val="Default"/>
        <w:jc w:val="both"/>
        <w:rPr>
          <w:rFonts w:ascii="Arial" w:hAnsi="Arial" w:cs="Arial"/>
          <w:color w:val="auto"/>
          <w:sz w:val="22"/>
          <w:szCs w:val="22"/>
        </w:rPr>
      </w:pPr>
    </w:p>
    <w:p w:rsidR="009C34B1" w:rsidRPr="00093A6E" w:rsidRDefault="009C34B1" w:rsidP="00213395">
      <w:pPr>
        <w:pStyle w:val="Default"/>
        <w:jc w:val="both"/>
        <w:rPr>
          <w:b/>
          <w:color w:val="auto"/>
          <w:sz w:val="22"/>
          <w:szCs w:val="22"/>
        </w:rPr>
      </w:pPr>
      <w:r>
        <w:rPr>
          <w:b/>
          <w:color w:val="auto"/>
          <w:sz w:val="22"/>
          <w:szCs w:val="22"/>
        </w:rPr>
        <w:t xml:space="preserve">5. </w:t>
      </w:r>
      <w:r w:rsidRPr="00093A6E">
        <w:rPr>
          <w:b/>
          <w:color w:val="auto"/>
          <w:sz w:val="22"/>
          <w:szCs w:val="22"/>
        </w:rPr>
        <w:t xml:space="preserve">A exigência de demonstração de vínculo empregatício entre profissionais e a licitante, para fins de qualificação técnico-operacional, restringe o caráter competitivo do certame. A qualificação requerida pode ser demonstrada não somente por meio da apresentação de contrato de trabalho, mas também de contrato de prestação de serviços ou mesmo de vínculo societário entre a empresa e o profissional especializado </w:t>
      </w:r>
    </w:p>
    <w:p w:rsidR="009C34B1" w:rsidRPr="00093A6E" w:rsidRDefault="009C34B1" w:rsidP="00975602">
      <w:pPr>
        <w:pStyle w:val="Default"/>
        <w:jc w:val="both"/>
        <w:rPr>
          <w:b/>
          <w:i/>
          <w:color w:val="auto"/>
          <w:sz w:val="22"/>
          <w:szCs w:val="22"/>
        </w:rPr>
      </w:pPr>
      <w:r w:rsidRPr="00093A6E">
        <w:rPr>
          <w:color w:val="auto"/>
          <w:sz w:val="22"/>
          <w:szCs w:val="22"/>
        </w:rPr>
        <w:t xml:space="preserve">Representação formulada por empresa apontou indícios de ilegalidades na condução da Concorrência n. 2/2012, pelo Município de Britânia/GO, da qual resultou a contratação de empresa para executar as obras de ampliação do sistema de esgotamento sanitário do </w:t>
      </w:r>
      <w:r>
        <w:rPr>
          <w:color w:val="auto"/>
          <w:sz w:val="22"/>
          <w:szCs w:val="22"/>
        </w:rPr>
        <w:t>município</w:t>
      </w:r>
      <w:r w:rsidRPr="00093A6E">
        <w:rPr>
          <w:color w:val="auto"/>
          <w:sz w:val="22"/>
          <w:szCs w:val="22"/>
        </w:rPr>
        <w:t xml:space="preserve">, custeadas com recursos federais. Entre as supostas ilicitudes, destaque-se a exigência, para efeito de qualificação técnico-operacional, da apresentação de atestado que demonstrasse o vínculo empregatício dos profissionais com a empresa licitante, em data anterior à do mês da licitação. O relator, em linha de consonância com a unidade técnica, asseverou que tal exigência teria efetivamente comprometido o caráter competitivo do certamente. Mencionou, então, vasta jurisprudência do Tribunal, nesse sentido. Destacou, entre tais decisões, a proferida por meio do Acórdão n. 2.297/2005 – Plenário, segundo a qual “... </w:t>
      </w:r>
      <w:r w:rsidRPr="00093A6E">
        <w:rPr>
          <w:i/>
          <w:color w:val="auto"/>
          <w:sz w:val="22"/>
          <w:szCs w:val="22"/>
        </w:rPr>
        <w:t>seria suficiente a comprovação da existência de um contrato de prestação de serviços, sem vínculo trabalhista e regido pela legislação civil comum</w:t>
      </w:r>
      <w:r w:rsidRPr="00093A6E">
        <w:rPr>
          <w:color w:val="auto"/>
          <w:sz w:val="22"/>
          <w:szCs w:val="22"/>
        </w:rPr>
        <w:t>”, para a comprovação de aptidão para execução do objeto, de que trata o artigo 30, § 1º, inciso I, da Lei n. 8.666/1993. Recorreu, ainda, ao Voto condutor do Acórdão n. 141/2008 – Plenário, no sentido de que “</w:t>
      </w:r>
      <w:r w:rsidRPr="00093A6E">
        <w:rPr>
          <w:i/>
          <w:color w:val="auto"/>
          <w:sz w:val="22"/>
          <w:szCs w:val="22"/>
        </w:rPr>
        <w:t>o fundamental, para a Administração Pública, é que o profissional esteja em condições de efetivamente desempenhar seus trabalhos por ocasião da execução do futuro contrato. É inútil, para ela, que os licitantes mantenham profissionais de alta qualificação empregados apenas para participar da licitação</w:t>
      </w:r>
      <w:r>
        <w:rPr>
          <w:i/>
          <w:color w:val="auto"/>
          <w:sz w:val="22"/>
          <w:szCs w:val="22"/>
        </w:rPr>
        <w:t>..</w:t>
      </w:r>
      <w:r w:rsidRPr="00093A6E">
        <w:rPr>
          <w:i/>
          <w:color w:val="auto"/>
          <w:sz w:val="22"/>
          <w:szCs w:val="22"/>
        </w:rPr>
        <w:t>.</w:t>
      </w:r>
      <w:r w:rsidRPr="00093A6E">
        <w:rPr>
          <w:color w:val="auto"/>
          <w:sz w:val="22"/>
          <w:szCs w:val="22"/>
        </w:rPr>
        <w:t>”. Acrescentou que “</w:t>
      </w:r>
      <w:r w:rsidRPr="00093A6E">
        <w:rPr>
          <w:i/>
          <w:color w:val="auto"/>
          <w:sz w:val="22"/>
          <w:szCs w:val="22"/>
        </w:rPr>
        <w:t>tanto na data da entrega da proposta quanto ao longo da execução do contrato, a contratada deve contar com profissional qualificado, vinculado à empresa por meio de contrato de prestação de serviços, celebrado de acordo com a legislação civil comum, ou que tenha vínculo trabalhista ou societário com a empresa</w:t>
      </w:r>
      <w:r w:rsidRPr="00093A6E">
        <w:rPr>
          <w:color w:val="auto"/>
          <w:sz w:val="22"/>
          <w:szCs w:val="22"/>
        </w:rPr>
        <w:t>”. O Tribunal, então, em face dessa e de outras irregularidades, decidiu: a) aplicar multa à Prefeita do município e aos integrantes da comissão de licitação do município; b) admitir a continuidade do</w:t>
      </w:r>
      <w:r>
        <w:rPr>
          <w:color w:val="auto"/>
          <w:sz w:val="22"/>
          <w:szCs w:val="22"/>
        </w:rPr>
        <w:t xml:space="preserve"> </w:t>
      </w:r>
      <w:r w:rsidRPr="00093A6E">
        <w:rPr>
          <w:color w:val="auto"/>
          <w:sz w:val="22"/>
          <w:szCs w:val="22"/>
        </w:rPr>
        <w:t>contrato celebrado como resultado dessa concorrência,</w:t>
      </w:r>
      <w:r>
        <w:rPr>
          <w:color w:val="auto"/>
          <w:sz w:val="22"/>
          <w:szCs w:val="22"/>
        </w:rPr>
        <w:t xml:space="preserve"> dado seu avançado estágio de execução, </w:t>
      </w:r>
      <w:r w:rsidRPr="00093A6E">
        <w:rPr>
          <w:color w:val="auto"/>
          <w:sz w:val="22"/>
          <w:szCs w:val="22"/>
        </w:rPr>
        <w:t>sem prejuízo verificar a compatibilidade dos preços contratados com os de mercado. Precedentes mencionados: Acórdão n. 2.297/2005 e 141/2008, ambos do Plenário</w:t>
      </w:r>
      <w:r>
        <w:rPr>
          <w:color w:val="auto"/>
          <w:sz w:val="22"/>
          <w:szCs w:val="22"/>
        </w:rPr>
        <w:t>.</w:t>
      </w:r>
      <w:r w:rsidRPr="00093A6E">
        <w:rPr>
          <w:color w:val="auto"/>
          <w:sz w:val="22"/>
          <w:szCs w:val="22"/>
        </w:rPr>
        <w:t xml:space="preserve"> </w:t>
      </w:r>
      <w:r w:rsidRPr="00093A6E">
        <w:rPr>
          <w:b/>
          <w:i/>
          <w:color w:val="auto"/>
          <w:sz w:val="22"/>
          <w:szCs w:val="22"/>
        </w:rPr>
        <w:t>Acórdão nº 3474/2012-Plenário, TC-009.650/2012-1, rel. Min.-Substituto  Marcos Bemquerer Costa, 10.12.2012.</w:t>
      </w:r>
    </w:p>
    <w:p w:rsidR="009C34B1" w:rsidRPr="00093A6E" w:rsidRDefault="009C34B1" w:rsidP="00213395">
      <w:pPr>
        <w:pStyle w:val="Default"/>
        <w:jc w:val="both"/>
        <w:rPr>
          <w:rFonts w:ascii="Arial" w:hAnsi="Arial" w:cs="Arial"/>
          <w:color w:val="auto"/>
          <w:sz w:val="22"/>
          <w:szCs w:val="22"/>
        </w:rPr>
      </w:pPr>
    </w:p>
    <w:p w:rsidR="009C34B1" w:rsidRPr="00093A6E" w:rsidRDefault="009C34B1" w:rsidP="00213395">
      <w:pPr>
        <w:pStyle w:val="Default"/>
        <w:jc w:val="both"/>
        <w:rPr>
          <w:rFonts w:ascii="Arial" w:hAnsi="Arial" w:cs="Arial"/>
          <w:color w:val="auto"/>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3"/>
      </w:tblGrid>
      <w:tr w:rsidR="009C34B1" w:rsidRPr="00093A6E" w:rsidTr="0030360F">
        <w:trPr>
          <w:trHeight w:val="779"/>
          <w:jc w:val="center"/>
        </w:trPr>
        <w:tc>
          <w:tcPr>
            <w:tcW w:w="0" w:type="auto"/>
            <w:vAlign w:val="center"/>
          </w:tcPr>
          <w:p w:rsidR="009C34B1" w:rsidRPr="00093A6E" w:rsidRDefault="009C34B1" w:rsidP="00F0055F">
            <w:pPr>
              <w:pStyle w:val="enter-3pt"/>
              <w:tabs>
                <w:tab w:val="left" w:pos="2590"/>
              </w:tabs>
              <w:spacing w:line="240" w:lineRule="auto"/>
              <w:rPr>
                <w:b/>
                <w:i/>
                <w:sz w:val="20"/>
                <w:szCs w:val="20"/>
              </w:rPr>
            </w:pPr>
            <w:r w:rsidRPr="00093A6E">
              <w:rPr>
                <w:b/>
                <w:i/>
                <w:sz w:val="20"/>
                <w:szCs w:val="20"/>
              </w:rPr>
              <w:t>Elaboração: Secretaria das Sessões</w:t>
            </w:r>
          </w:p>
          <w:p w:rsidR="009C34B1" w:rsidRPr="00093A6E" w:rsidRDefault="009C34B1" w:rsidP="00F0055F">
            <w:pPr>
              <w:pStyle w:val="enter-3pt"/>
              <w:tabs>
                <w:tab w:val="left" w:pos="2590"/>
              </w:tabs>
              <w:spacing w:line="240" w:lineRule="auto"/>
              <w:rPr>
                <w:b/>
                <w:i/>
                <w:sz w:val="22"/>
                <w:szCs w:val="22"/>
              </w:rPr>
            </w:pPr>
            <w:r w:rsidRPr="00093A6E">
              <w:rPr>
                <w:b/>
                <w:i/>
                <w:sz w:val="20"/>
                <w:szCs w:val="20"/>
              </w:rPr>
              <w:t xml:space="preserve">Contato: </w:t>
            </w:r>
            <w:hyperlink r:id="rId7" w:history="1">
              <w:r w:rsidRPr="00093A6E">
                <w:rPr>
                  <w:rStyle w:val="Hyperlink"/>
                  <w:b/>
                  <w:i/>
                  <w:color w:val="auto"/>
                  <w:sz w:val="20"/>
                  <w:szCs w:val="20"/>
                </w:rPr>
                <w:t>infojuris@tcu.gov.br</w:t>
              </w:r>
            </w:hyperlink>
          </w:p>
        </w:tc>
      </w:tr>
    </w:tbl>
    <w:p w:rsidR="009C34B1" w:rsidRPr="00093A6E" w:rsidRDefault="009C34B1" w:rsidP="00F0055F">
      <w:pPr>
        <w:pStyle w:val="PargrafodaLista"/>
        <w:widowControl w:val="0"/>
        <w:autoSpaceDE w:val="0"/>
        <w:autoSpaceDN w:val="0"/>
        <w:adjustRightInd w:val="0"/>
        <w:ind w:left="0"/>
        <w:jc w:val="both"/>
        <w:rPr>
          <w:b/>
          <w:sz w:val="22"/>
        </w:rPr>
      </w:pPr>
    </w:p>
    <w:sectPr w:rsidR="009C34B1" w:rsidRPr="00093A6E" w:rsidSect="00A418FF">
      <w:headerReference w:type="default" r:id="rId8"/>
      <w:footerReference w:type="default" r:id="rId9"/>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69" w:rsidRDefault="00A11269" w:rsidP="008B0547">
      <w:pPr>
        <w:spacing w:after="0"/>
      </w:pPr>
      <w:r>
        <w:separator/>
      </w:r>
    </w:p>
  </w:endnote>
  <w:endnote w:type="continuationSeparator" w:id="0">
    <w:p w:rsidR="00A11269" w:rsidRDefault="00A11269"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B1" w:rsidRPr="00C906CD" w:rsidRDefault="00CA3E9D" w:rsidP="004E357A">
    <w:pPr>
      <w:pStyle w:val="Rodap"/>
      <w:jc w:val="right"/>
      <w:rPr>
        <w:sz w:val="20"/>
        <w:szCs w:val="20"/>
      </w:rPr>
    </w:pPr>
    <w:r w:rsidRPr="00C906CD">
      <w:rPr>
        <w:sz w:val="20"/>
        <w:szCs w:val="20"/>
      </w:rPr>
      <w:fldChar w:fldCharType="begin"/>
    </w:r>
    <w:r w:rsidR="009C34B1" w:rsidRPr="00C906CD">
      <w:rPr>
        <w:sz w:val="20"/>
        <w:szCs w:val="20"/>
      </w:rPr>
      <w:instrText xml:space="preserve"> PAGE   \* MERGEFORMAT </w:instrText>
    </w:r>
    <w:r w:rsidRPr="00C906CD">
      <w:rPr>
        <w:sz w:val="20"/>
        <w:szCs w:val="20"/>
      </w:rPr>
      <w:fldChar w:fldCharType="separate"/>
    </w:r>
    <w:r w:rsidR="003510F2">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69" w:rsidRDefault="00A11269" w:rsidP="008B0547">
      <w:pPr>
        <w:spacing w:after="0"/>
      </w:pPr>
      <w:r>
        <w:separator/>
      </w:r>
    </w:p>
  </w:footnote>
  <w:footnote w:type="continuationSeparator" w:id="0">
    <w:p w:rsidR="00A11269" w:rsidRDefault="00A11269"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B1" w:rsidRDefault="0015177B" w:rsidP="00080148">
    <w:pPr>
      <w:spacing w:after="0"/>
      <w:rPr>
        <w:rFonts w:ascii="Arial" w:hAnsi="Arial" w:cs="Arial"/>
        <w:b/>
      </w:rPr>
    </w:pPr>
    <w:r w:rsidRPr="00CA3E9D">
      <w:rPr>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pic:spPr>
              </pic:pic>
            </a:graphicData>
          </a:graphic>
          <wp14:sizeRelH relativeFrom="page">
            <wp14:pctWidth>0</wp14:pctWidth>
          </wp14:sizeRelH>
          <wp14:sizeRelV relativeFrom="page">
            <wp14:pctHeight>0</wp14:pctHeight>
          </wp14:sizeRelV>
        </wp:anchor>
      </w:drawing>
    </w:r>
    <w:r w:rsidR="009C34B1">
      <w:rPr>
        <w:rFonts w:ascii="Arial" w:hAnsi="Arial" w:cs="Arial"/>
        <w:b/>
      </w:rPr>
      <w:t>TRIBUNAL DE CONTAS DA UNIÃO</w:t>
    </w:r>
  </w:p>
  <w:p w:rsidR="009C34B1" w:rsidRPr="00515E7B" w:rsidRDefault="0015177B" w:rsidP="00080148">
    <w:pPr>
      <w:spacing w:after="0"/>
      <w:rPr>
        <w:rFonts w:ascii="Arial" w:hAnsi="Arial" w:cs="Arial"/>
        <w:b/>
      </w:rPr>
    </w:pPr>
    <w:r w:rsidRPr="00CA3E9D">
      <w:rPr>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5483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9C34B1" w:rsidRPr="00515E7B">
      <w:rPr>
        <w:rFonts w:ascii="Arial" w:hAnsi="Arial" w:cs="Arial"/>
        <w:noProof/>
        <w:lang w:eastAsia="pt-BR"/>
      </w:rPr>
      <w:t>Info</w:t>
    </w:r>
    <w:r w:rsidR="009C34B1">
      <w:rPr>
        <w:rFonts w:ascii="Arial" w:hAnsi="Arial" w:cs="Arial"/>
        <w:noProof/>
        <w:lang w:eastAsia="pt-BR"/>
      </w:rPr>
      <w:t>rmativo de L</w:t>
    </w:r>
    <w:r w:rsidR="009C34B1" w:rsidRPr="00515E7B">
      <w:rPr>
        <w:rFonts w:ascii="Arial" w:hAnsi="Arial" w:cs="Arial"/>
        <w:noProof/>
        <w:lang w:eastAsia="pt-BR"/>
      </w:rPr>
      <w:t xml:space="preserve">icitações e </w:t>
    </w:r>
    <w:r w:rsidR="009C34B1">
      <w:rPr>
        <w:rFonts w:ascii="Arial" w:hAnsi="Arial" w:cs="Arial"/>
        <w:noProof/>
        <w:lang w:eastAsia="pt-BR"/>
      </w:rPr>
      <w:t>C</w:t>
    </w:r>
    <w:r w:rsidR="009C34B1" w:rsidRPr="00515E7B">
      <w:rPr>
        <w:rFonts w:ascii="Arial" w:hAnsi="Arial" w:cs="Arial"/>
        <w:noProof/>
        <w:lang w:eastAsia="pt-BR"/>
      </w:rPr>
      <w:t>ontratos</w:t>
    </w:r>
    <w:r w:rsidR="009C34B1">
      <w:rPr>
        <w:rFonts w:ascii="Arial" w:hAnsi="Arial" w:cs="Arial"/>
        <w:noProof/>
        <w:lang w:eastAsia="pt-BR"/>
      </w:rPr>
      <w:t xml:space="preserve"> nº 136</w:t>
    </w:r>
  </w:p>
  <w:p w:rsidR="009C34B1" w:rsidRDefault="009C34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9176351"/>
    <w:multiLevelType w:val="hybridMultilevel"/>
    <w:tmpl w:val="EC88E42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2">
    <w:nsid w:val="7B3C055A"/>
    <w:multiLevelType w:val="hybridMultilevel"/>
    <w:tmpl w:val="B816B1A0"/>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1"/>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 w:numId="12">
    <w:abstractNumId w:val="12"/>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3CEA"/>
    <w:rsid w:val="00003FC2"/>
    <w:rsid w:val="00004614"/>
    <w:rsid w:val="00004D04"/>
    <w:rsid w:val="00005142"/>
    <w:rsid w:val="00005435"/>
    <w:rsid w:val="00005BA5"/>
    <w:rsid w:val="00005E1E"/>
    <w:rsid w:val="00005F57"/>
    <w:rsid w:val="0000636F"/>
    <w:rsid w:val="000069F3"/>
    <w:rsid w:val="00007FA6"/>
    <w:rsid w:val="0001037C"/>
    <w:rsid w:val="00010F62"/>
    <w:rsid w:val="00011892"/>
    <w:rsid w:val="000118BC"/>
    <w:rsid w:val="000118CC"/>
    <w:rsid w:val="00011BA0"/>
    <w:rsid w:val="00011D5A"/>
    <w:rsid w:val="00012287"/>
    <w:rsid w:val="00012468"/>
    <w:rsid w:val="000132A1"/>
    <w:rsid w:val="00013851"/>
    <w:rsid w:val="00013A1F"/>
    <w:rsid w:val="000145F8"/>
    <w:rsid w:val="000161F7"/>
    <w:rsid w:val="0001636D"/>
    <w:rsid w:val="00016730"/>
    <w:rsid w:val="00016A5D"/>
    <w:rsid w:val="0001776E"/>
    <w:rsid w:val="000179E2"/>
    <w:rsid w:val="0002039E"/>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663F"/>
    <w:rsid w:val="000271FA"/>
    <w:rsid w:val="0002751C"/>
    <w:rsid w:val="00027B2E"/>
    <w:rsid w:val="000300A2"/>
    <w:rsid w:val="00032198"/>
    <w:rsid w:val="0003282A"/>
    <w:rsid w:val="00032CA1"/>
    <w:rsid w:val="00033551"/>
    <w:rsid w:val="0003422F"/>
    <w:rsid w:val="00035D4C"/>
    <w:rsid w:val="00035FBF"/>
    <w:rsid w:val="000360F1"/>
    <w:rsid w:val="000366D7"/>
    <w:rsid w:val="000371C1"/>
    <w:rsid w:val="00037DCE"/>
    <w:rsid w:val="00041450"/>
    <w:rsid w:val="00042393"/>
    <w:rsid w:val="000431BD"/>
    <w:rsid w:val="000436B0"/>
    <w:rsid w:val="000438FC"/>
    <w:rsid w:val="00044732"/>
    <w:rsid w:val="00044B21"/>
    <w:rsid w:val="00045C61"/>
    <w:rsid w:val="000460E4"/>
    <w:rsid w:val="0004660A"/>
    <w:rsid w:val="00046CF7"/>
    <w:rsid w:val="00050483"/>
    <w:rsid w:val="00050BA0"/>
    <w:rsid w:val="0005133B"/>
    <w:rsid w:val="000513D0"/>
    <w:rsid w:val="00051AAB"/>
    <w:rsid w:val="00051D57"/>
    <w:rsid w:val="0005205F"/>
    <w:rsid w:val="00052B15"/>
    <w:rsid w:val="00052BCA"/>
    <w:rsid w:val="00052FC7"/>
    <w:rsid w:val="0005356E"/>
    <w:rsid w:val="000540FC"/>
    <w:rsid w:val="0005412B"/>
    <w:rsid w:val="00054432"/>
    <w:rsid w:val="0005485B"/>
    <w:rsid w:val="00054C16"/>
    <w:rsid w:val="00054FBE"/>
    <w:rsid w:val="00055D4F"/>
    <w:rsid w:val="000562CD"/>
    <w:rsid w:val="0005656B"/>
    <w:rsid w:val="00056A5A"/>
    <w:rsid w:val="00056A5F"/>
    <w:rsid w:val="00056D51"/>
    <w:rsid w:val="0006028E"/>
    <w:rsid w:val="000605A0"/>
    <w:rsid w:val="00060728"/>
    <w:rsid w:val="00060CE3"/>
    <w:rsid w:val="00061A56"/>
    <w:rsid w:val="00061C2E"/>
    <w:rsid w:val="000622E0"/>
    <w:rsid w:val="00062B46"/>
    <w:rsid w:val="00063169"/>
    <w:rsid w:val="00063C6E"/>
    <w:rsid w:val="000647B1"/>
    <w:rsid w:val="00065A49"/>
    <w:rsid w:val="00065A8B"/>
    <w:rsid w:val="00065E95"/>
    <w:rsid w:val="00066126"/>
    <w:rsid w:val="00066E66"/>
    <w:rsid w:val="00066F26"/>
    <w:rsid w:val="0006707B"/>
    <w:rsid w:val="000675D5"/>
    <w:rsid w:val="00067E95"/>
    <w:rsid w:val="00070785"/>
    <w:rsid w:val="00072538"/>
    <w:rsid w:val="0007259B"/>
    <w:rsid w:val="000727DB"/>
    <w:rsid w:val="00072916"/>
    <w:rsid w:val="00072F56"/>
    <w:rsid w:val="00073231"/>
    <w:rsid w:val="00074384"/>
    <w:rsid w:val="00074AC5"/>
    <w:rsid w:val="000750FD"/>
    <w:rsid w:val="000756E7"/>
    <w:rsid w:val="00077346"/>
    <w:rsid w:val="00077A56"/>
    <w:rsid w:val="00077BA4"/>
    <w:rsid w:val="0008010D"/>
    <w:rsid w:val="00080148"/>
    <w:rsid w:val="00080237"/>
    <w:rsid w:val="00080245"/>
    <w:rsid w:val="000807D4"/>
    <w:rsid w:val="00080B82"/>
    <w:rsid w:val="00081635"/>
    <w:rsid w:val="00081DFB"/>
    <w:rsid w:val="00083289"/>
    <w:rsid w:val="00083514"/>
    <w:rsid w:val="000835D8"/>
    <w:rsid w:val="0008397F"/>
    <w:rsid w:val="00084282"/>
    <w:rsid w:val="00084727"/>
    <w:rsid w:val="000858EF"/>
    <w:rsid w:val="000867E7"/>
    <w:rsid w:val="00086A39"/>
    <w:rsid w:val="00086BAA"/>
    <w:rsid w:val="00087006"/>
    <w:rsid w:val="00087894"/>
    <w:rsid w:val="00087C6C"/>
    <w:rsid w:val="0009058C"/>
    <w:rsid w:val="00090D8A"/>
    <w:rsid w:val="00090DE0"/>
    <w:rsid w:val="00090E2E"/>
    <w:rsid w:val="0009133A"/>
    <w:rsid w:val="000916AF"/>
    <w:rsid w:val="000919D7"/>
    <w:rsid w:val="000923FB"/>
    <w:rsid w:val="000929ED"/>
    <w:rsid w:val="00092C2E"/>
    <w:rsid w:val="0009327F"/>
    <w:rsid w:val="00093A6E"/>
    <w:rsid w:val="000940A9"/>
    <w:rsid w:val="00094A7D"/>
    <w:rsid w:val="00094C5B"/>
    <w:rsid w:val="00094EEC"/>
    <w:rsid w:val="00095069"/>
    <w:rsid w:val="00095D98"/>
    <w:rsid w:val="0009649A"/>
    <w:rsid w:val="0009655D"/>
    <w:rsid w:val="00096BDB"/>
    <w:rsid w:val="000971B8"/>
    <w:rsid w:val="0009748C"/>
    <w:rsid w:val="0009780B"/>
    <w:rsid w:val="00097863"/>
    <w:rsid w:val="00097ABD"/>
    <w:rsid w:val="00097BF6"/>
    <w:rsid w:val="000A0291"/>
    <w:rsid w:val="000A0EF8"/>
    <w:rsid w:val="000A152A"/>
    <w:rsid w:val="000A1EBD"/>
    <w:rsid w:val="000A246C"/>
    <w:rsid w:val="000A2C56"/>
    <w:rsid w:val="000A402F"/>
    <w:rsid w:val="000A4632"/>
    <w:rsid w:val="000A47EA"/>
    <w:rsid w:val="000A4E36"/>
    <w:rsid w:val="000A57DA"/>
    <w:rsid w:val="000A599E"/>
    <w:rsid w:val="000A6269"/>
    <w:rsid w:val="000A62BD"/>
    <w:rsid w:val="000A6645"/>
    <w:rsid w:val="000A6CDC"/>
    <w:rsid w:val="000A77BB"/>
    <w:rsid w:val="000A78E5"/>
    <w:rsid w:val="000B0ECB"/>
    <w:rsid w:val="000B0FEA"/>
    <w:rsid w:val="000B177A"/>
    <w:rsid w:val="000B2AFA"/>
    <w:rsid w:val="000B2E84"/>
    <w:rsid w:val="000B3015"/>
    <w:rsid w:val="000B3444"/>
    <w:rsid w:val="000B395E"/>
    <w:rsid w:val="000B4B33"/>
    <w:rsid w:val="000B4C5B"/>
    <w:rsid w:val="000B4EBB"/>
    <w:rsid w:val="000B5DB2"/>
    <w:rsid w:val="000B5DD4"/>
    <w:rsid w:val="000B639F"/>
    <w:rsid w:val="000B6475"/>
    <w:rsid w:val="000B6BC1"/>
    <w:rsid w:val="000B759E"/>
    <w:rsid w:val="000B775A"/>
    <w:rsid w:val="000C0013"/>
    <w:rsid w:val="000C02AD"/>
    <w:rsid w:val="000C049A"/>
    <w:rsid w:val="000C0AA8"/>
    <w:rsid w:val="000C1585"/>
    <w:rsid w:val="000C1AFC"/>
    <w:rsid w:val="000C22BE"/>
    <w:rsid w:val="000C22C0"/>
    <w:rsid w:val="000C28CC"/>
    <w:rsid w:val="000C2CBC"/>
    <w:rsid w:val="000C3DAB"/>
    <w:rsid w:val="000C42A5"/>
    <w:rsid w:val="000C4611"/>
    <w:rsid w:val="000C4A10"/>
    <w:rsid w:val="000C4AC9"/>
    <w:rsid w:val="000C5199"/>
    <w:rsid w:val="000C5799"/>
    <w:rsid w:val="000C5FDE"/>
    <w:rsid w:val="000C61FA"/>
    <w:rsid w:val="000C7281"/>
    <w:rsid w:val="000C7D11"/>
    <w:rsid w:val="000D0C8B"/>
    <w:rsid w:val="000D14D9"/>
    <w:rsid w:val="000D1878"/>
    <w:rsid w:val="000D1B91"/>
    <w:rsid w:val="000D1C53"/>
    <w:rsid w:val="000D1DC7"/>
    <w:rsid w:val="000D1EF5"/>
    <w:rsid w:val="000D1FD7"/>
    <w:rsid w:val="000D2184"/>
    <w:rsid w:val="000D2CBD"/>
    <w:rsid w:val="000D359B"/>
    <w:rsid w:val="000D37B0"/>
    <w:rsid w:val="000D52D9"/>
    <w:rsid w:val="000D6388"/>
    <w:rsid w:val="000D6418"/>
    <w:rsid w:val="000D6839"/>
    <w:rsid w:val="000D6906"/>
    <w:rsid w:val="000D7DB6"/>
    <w:rsid w:val="000D7DED"/>
    <w:rsid w:val="000E020F"/>
    <w:rsid w:val="000E12F7"/>
    <w:rsid w:val="000E1A4B"/>
    <w:rsid w:val="000E1D37"/>
    <w:rsid w:val="000E28AC"/>
    <w:rsid w:val="000E2D47"/>
    <w:rsid w:val="000E3599"/>
    <w:rsid w:val="000E3A55"/>
    <w:rsid w:val="000E3B31"/>
    <w:rsid w:val="000E3C6D"/>
    <w:rsid w:val="000E45B0"/>
    <w:rsid w:val="000E504D"/>
    <w:rsid w:val="000E5EAB"/>
    <w:rsid w:val="000E6B37"/>
    <w:rsid w:val="000E730B"/>
    <w:rsid w:val="000E78A6"/>
    <w:rsid w:val="000E7FD4"/>
    <w:rsid w:val="000F05AC"/>
    <w:rsid w:val="000F0A64"/>
    <w:rsid w:val="000F1450"/>
    <w:rsid w:val="000F1786"/>
    <w:rsid w:val="000F2133"/>
    <w:rsid w:val="000F28E9"/>
    <w:rsid w:val="000F2975"/>
    <w:rsid w:val="000F2D05"/>
    <w:rsid w:val="000F2F92"/>
    <w:rsid w:val="000F2FD9"/>
    <w:rsid w:val="000F47C1"/>
    <w:rsid w:val="000F48B1"/>
    <w:rsid w:val="000F495D"/>
    <w:rsid w:val="000F4B18"/>
    <w:rsid w:val="000F6986"/>
    <w:rsid w:val="000F69B8"/>
    <w:rsid w:val="000F6A43"/>
    <w:rsid w:val="000F6D85"/>
    <w:rsid w:val="000F73F1"/>
    <w:rsid w:val="000F7B66"/>
    <w:rsid w:val="000F7CEE"/>
    <w:rsid w:val="000F7D84"/>
    <w:rsid w:val="0010008F"/>
    <w:rsid w:val="001005A8"/>
    <w:rsid w:val="00100761"/>
    <w:rsid w:val="00101707"/>
    <w:rsid w:val="00101EE1"/>
    <w:rsid w:val="00101F01"/>
    <w:rsid w:val="00102D37"/>
    <w:rsid w:val="00103A3E"/>
    <w:rsid w:val="001041ED"/>
    <w:rsid w:val="00104AAD"/>
    <w:rsid w:val="00107486"/>
    <w:rsid w:val="0011038F"/>
    <w:rsid w:val="0011039E"/>
    <w:rsid w:val="001104BA"/>
    <w:rsid w:val="00111A71"/>
    <w:rsid w:val="001125A2"/>
    <w:rsid w:val="00112676"/>
    <w:rsid w:val="00112A5F"/>
    <w:rsid w:val="0011373A"/>
    <w:rsid w:val="00113A1F"/>
    <w:rsid w:val="00114137"/>
    <w:rsid w:val="0011429C"/>
    <w:rsid w:val="00114511"/>
    <w:rsid w:val="00114AD2"/>
    <w:rsid w:val="00115305"/>
    <w:rsid w:val="001156BA"/>
    <w:rsid w:val="0011582E"/>
    <w:rsid w:val="00115911"/>
    <w:rsid w:val="00116706"/>
    <w:rsid w:val="0011691F"/>
    <w:rsid w:val="00116BAB"/>
    <w:rsid w:val="0011748D"/>
    <w:rsid w:val="00117E95"/>
    <w:rsid w:val="001203BE"/>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A0C"/>
    <w:rsid w:val="00130EF3"/>
    <w:rsid w:val="001316FC"/>
    <w:rsid w:val="0013322B"/>
    <w:rsid w:val="0013393F"/>
    <w:rsid w:val="00133EA9"/>
    <w:rsid w:val="00133FBC"/>
    <w:rsid w:val="00133FE5"/>
    <w:rsid w:val="00134175"/>
    <w:rsid w:val="0013476D"/>
    <w:rsid w:val="001351CE"/>
    <w:rsid w:val="001351D5"/>
    <w:rsid w:val="00135D01"/>
    <w:rsid w:val="00135EDA"/>
    <w:rsid w:val="00136272"/>
    <w:rsid w:val="0013735A"/>
    <w:rsid w:val="001374E3"/>
    <w:rsid w:val="001378A3"/>
    <w:rsid w:val="00137B22"/>
    <w:rsid w:val="00137FE3"/>
    <w:rsid w:val="00140C58"/>
    <w:rsid w:val="00140FED"/>
    <w:rsid w:val="00141D7A"/>
    <w:rsid w:val="001420D1"/>
    <w:rsid w:val="001420FE"/>
    <w:rsid w:val="00142621"/>
    <w:rsid w:val="00142C16"/>
    <w:rsid w:val="001444A2"/>
    <w:rsid w:val="00144987"/>
    <w:rsid w:val="00145B71"/>
    <w:rsid w:val="00146C4A"/>
    <w:rsid w:val="0015086F"/>
    <w:rsid w:val="00151660"/>
    <w:rsid w:val="0015177B"/>
    <w:rsid w:val="00151F92"/>
    <w:rsid w:val="0015258E"/>
    <w:rsid w:val="00152ECC"/>
    <w:rsid w:val="001532E4"/>
    <w:rsid w:val="00155D65"/>
    <w:rsid w:val="0015648A"/>
    <w:rsid w:val="00156851"/>
    <w:rsid w:val="00156908"/>
    <w:rsid w:val="0015699C"/>
    <w:rsid w:val="00156A48"/>
    <w:rsid w:val="00156C90"/>
    <w:rsid w:val="00156DDB"/>
    <w:rsid w:val="00157614"/>
    <w:rsid w:val="001576E2"/>
    <w:rsid w:val="00157AFE"/>
    <w:rsid w:val="00157C0F"/>
    <w:rsid w:val="00157CCE"/>
    <w:rsid w:val="001600FC"/>
    <w:rsid w:val="001612C0"/>
    <w:rsid w:val="001614AF"/>
    <w:rsid w:val="0016160E"/>
    <w:rsid w:val="00161AFB"/>
    <w:rsid w:val="00161E4F"/>
    <w:rsid w:val="001634AE"/>
    <w:rsid w:val="0016352E"/>
    <w:rsid w:val="0016510E"/>
    <w:rsid w:val="001658D6"/>
    <w:rsid w:val="001665B9"/>
    <w:rsid w:val="001667C0"/>
    <w:rsid w:val="00166C60"/>
    <w:rsid w:val="00170A9D"/>
    <w:rsid w:val="00171E89"/>
    <w:rsid w:val="00173174"/>
    <w:rsid w:val="001736AC"/>
    <w:rsid w:val="001737F7"/>
    <w:rsid w:val="00173E30"/>
    <w:rsid w:val="001744B4"/>
    <w:rsid w:val="001744E7"/>
    <w:rsid w:val="0017459B"/>
    <w:rsid w:val="00174C1E"/>
    <w:rsid w:val="00174E4D"/>
    <w:rsid w:val="00175B3C"/>
    <w:rsid w:val="00176024"/>
    <w:rsid w:val="00176287"/>
    <w:rsid w:val="00176375"/>
    <w:rsid w:val="001766A9"/>
    <w:rsid w:val="001777EF"/>
    <w:rsid w:val="00180774"/>
    <w:rsid w:val="00181339"/>
    <w:rsid w:val="00181680"/>
    <w:rsid w:val="00181848"/>
    <w:rsid w:val="00181DF3"/>
    <w:rsid w:val="00183A7D"/>
    <w:rsid w:val="001841C2"/>
    <w:rsid w:val="00184259"/>
    <w:rsid w:val="001847D6"/>
    <w:rsid w:val="00184DD0"/>
    <w:rsid w:val="001855E1"/>
    <w:rsid w:val="001858EA"/>
    <w:rsid w:val="001862B4"/>
    <w:rsid w:val="0018776F"/>
    <w:rsid w:val="001900A2"/>
    <w:rsid w:val="001908DC"/>
    <w:rsid w:val="00190FE2"/>
    <w:rsid w:val="00191CF7"/>
    <w:rsid w:val="00191FCE"/>
    <w:rsid w:val="00192052"/>
    <w:rsid w:val="00192483"/>
    <w:rsid w:val="0019284D"/>
    <w:rsid w:val="00192929"/>
    <w:rsid w:val="00194053"/>
    <w:rsid w:val="001940E0"/>
    <w:rsid w:val="00194EDA"/>
    <w:rsid w:val="00195023"/>
    <w:rsid w:val="001956E2"/>
    <w:rsid w:val="00195F77"/>
    <w:rsid w:val="00196098"/>
    <w:rsid w:val="00197C2F"/>
    <w:rsid w:val="001A0B42"/>
    <w:rsid w:val="001A0CC1"/>
    <w:rsid w:val="001A0DF8"/>
    <w:rsid w:val="001A204B"/>
    <w:rsid w:val="001A2A67"/>
    <w:rsid w:val="001A2B80"/>
    <w:rsid w:val="001A305A"/>
    <w:rsid w:val="001A3198"/>
    <w:rsid w:val="001A31E4"/>
    <w:rsid w:val="001A330B"/>
    <w:rsid w:val="001A335E"/>
    <w:rsid w:val="001A37F4"/>
    <w:rsid w:val="001A4C6F"/>
    <w:rsid w:val="001A58D8"/>
    <w:rsid w:val="001A5C45"/>
    <w:rsid w:val="001A6075"/>
    <w:rsid w:val="001A60A2"/>
    <w:rsid w:val="001A75FE"/>
    <w:rsid w:val="001A79D3"/>
    <w:rsid w:val="001A7BF5"/>
    <w:rsid w:val="001A7FC7"/>
    <w:rsid w:val="001B08E7"/>
    <w:rsid w:val="001B1669"/>
    <w:rsid w:val="001B19FF"/>
    <w:rsid w:val="001B2580"/>
    <w:rsid w:val="001B2931"/>
    <w:rsid w:val="001B2A46"/>
    <w:rsid w:val="001B3729"/>
    <w:rsid w:val="001B3AB2"/>
    <w:rsid w:val="001B3B42"/>
    <w:rsid w:val="001B3BEF"/>
    <w:rsid w:val="001B3E8E"/>
    <w:rsid w:val="001B4316"/>
    <w:rsid w:val="001B4F90"/>
    <w:rsid w:val="001B5333"/>
    <w:rsid w:val="001B5426"/>
    <w:rsid w:val="001B6823"/>
    <w:rsid w:val="001B7F4F"/>
    <w:rsid w:val="001C0575"/>
    <w:rsid w:val="001C0677"/>
    <w:rsid w:val="001C08D8"/>
    <w:rsid w:val="001C0A66"/>
    <w:rsid w:val="001C1568"/>
    <w:rsid w:val="001C15D1"/>
    <w:rsid w:val="001C17A8"/>
    <w:rsid w:val="001C1903"/>
    <w:rsid w:val="001C2397"/>
    <w:rsid w:val="001C23B5"/>
    <w:rsid w:val="001C2492"/>
    <w:rsid w:val="001C24DE"/>
    <w:rsid w:val="001C2950"/>
    <w:rsid w:val="001C2CD1"/>
    <w:rsid w:val="001C437E"/>
    <w:rsid w:val="001C4F39"/>
    <w:rsid w:val="001C51E4"/>
    <w:rsid w:val="001C5777"/>
    <w:rsid w:val="001C5C51"/>
    <w:rsid w:val="001C5CDF"/>
    <w:rsid w:val="001C6A2C"/>
    <w:rsid w:val="001C6E55"/>
    <w:rsid w:val="001C71E3"/>
    <w:rsid w:val="001C72D6"/>
    <w:rsid w:val="001C7892"/>
    <w:rsid w:val="001C7BF3"/>
    <w:rsid w:val="001C7DC4"/>
    <w:rsid w:val="001C7FD4"/>
    <w:rsid w:val="001D03C7"/>
    <w:rsid w:val="001D0FAF"/>
    <w:rsid w:val="001D1478"/>
    <w:rsid w:val="001D1E52"/>
    <w:rsid w:val="001D2BC5"/>
    <w:rsid w:val="001D35B4"/>
    <w:rsid w:val="001D4A98"/>
    <w:rsid w:val="001D4C46"/>
    <w:rsid w:val="001D5190"/>
    <w:rsid w:val="001D5339"/>
    <w:rsid w:val="001D559E"/>
    <w:rsid w:val="001D56C3"/>
    <w:rsid w:val="001D617D"/>
    <w:rsid w:val="001D6198"/>
    <w:rsid w:val="001D670F"/>
    <w:rsid w:val="001D73B6"/>
    <w:rsid w:val="001D74CE"/>
    <w:rsid w:val="001D7622"/>
    <w:rsid w:val="001D78F3"/>
    <w:rsid w:val="001D79D0"/>
    <w:rsid w:val="001E0BF1"/>
    <w:rsid w:val="001E1E28"/>
    <w:rsid w:val="001E2620"/>
    <w:rsid w:val="001E2B28"/>
    <w:rsid w:val="001E2EA2"/>
    <w:rsid w:val="001E3D51"/>
    <w:rsid w:val="001E3D84"/>
    <w:rsid w:val="001E4147"/>
    <w:rsid w:val="001E4CBA"/>
    <w:rsid w:val="001E5B5B"/>
    <w:rsid w:val="001E5CBA"/>
    <w:rsid w:val="001E7019"/>
    <w:rsid w:val="001E71F9"/>
    <w:rsid w:val="001E747D"/>
    <w:rsid w:val="001E76DA"/>
    <w:rsid w:val="001E7C3D"/>
    <w:rsid w:val="001E7F81"/>
    <w:rsid w:val="001F00DF"/>
    <w:rsid w:val="001F182A"/>
    <w:rsid w:val="001F1E8F"/>
    <w:rsid w:val="001F1FE2"/>
    <w:rsid w:val="001F2B05"/>
    <w:rsid w:val="001F4DA1"/>
    <w:rsid w:val="001F553C"/>
    <w:rsid w:val="001F5E50"/>
    <w:rsid w:val="001F6448"/>
    <w:rsid w:val="001F64D1"/>
    <w:rsid w:val="001F6BB0"/>
    <w:rsid w:val="001F6D5B"/>
    <w:rsid w:val="00200260"/>
    <w:rsid w:val="002002CE"/>
    <w:rsid w:val="0020066F"/>
    <w:rsid w:val="0020107A"/>
    <w:rsid w:val="0020135D"/>
    <w:rsid w:val="00201BA3"/>
    <w:rsid w:val="00201FED"/>
    <w:rsid w:val="00202061"/>
    <w:rsid w:val="00202EAD"/>
    <w:rsid w:val="0020328F"/>
    <w:rsid w:val="00203A6F"/>
    <w:rsid w:val="00203D3B"/>
    <w:rsid w:val="00206C2E"/>
    <w:rsid w:val="00206CDA"/>
    <w:rsid w:val="00207BF8"/>
    <w:rsid w:val="0021001C"/>
    <w:rsid w:val="00211194"/>
    <w:rsid w:val="0021149E"/>
    <w:rsid w:val="00211816"/>
    <w:rsid w:val="00212E42"/>
    <w:rsid w:val="00213395"/>
    <w:rsid w:val="002139A2"/>
    <w:rsid w:val="00215156"/>
    <w:rsid w:val="002157BF"/>
    <w:rsid w:val="00217566"/>
    <w:rsid w:val="00217B1B"/>
    <w:rsid w:val="002204A9"/>
    <w:rsid w:val="00220D43"/>
    <w:rsid w:val="0022160D"/>
    <w:rsid w:val="00221C99"/>
    <w:rsid w:val="00221D51"/>
    <w:rsid w:val="002222A1"/>
    <w:rsid w:val="002224F9"/>
    <w:rsid w:val="00223B25"/>
    <w:rsid w:val="00223BB9"/>
    <w:rsid w:val="00224EA9"/>
    <w:rsid w:val="00224F04"/>
    <w:rsid w:val="002255BA"/>
    <w:rsid w:val="00225D42"/>
    <w:rsid w:val="00226AEF"/>
    <w:rsid w:val="00226D9D"/>
    <w:rsid w:val="00227776"/>
    <w:rsid w:val="00230096"/>
    <w:rsid w:val="002308C7"/>
    <w:rsid w:val="00232158"/>
    <w:rsid w:val="0023279B"/>
    <w:rsid w:val="002328F9"/>
    <w:rsid w:val="0023395B"/>
    <w:rsid w:val="00233CE3"/>
    <w:rsid w:val="002343BF"/>
    <w:rsid w:val="00234556"/>
    <w:rsid w:val="0023535F"/>
    <w:rsid w:val="002353E9"/>
    <w:rsid w:val="00235930"/>
    <w:rsid w:val="00235B29"/>
    <w:rsid w:val="00235D4C"/>
    <w:rsid w:val="002366B7"/>
    <w:rsid w:val="00236A81"/>
    <w:rsid w:val="00236E3A"/>
    <w:rsid w:val="00236F05"/>
    <w:rsid w:val="002371E3"/>
    <w:rsid w:val="00237789"/>
    <w:rsid w:val="002401FC"/>
    <w:rsid w:val="00240D9D"/>
    <w:rsid w:val="002415A6"/>
    <w:rsid w:val="00242061"/>
    <w:rsid w:val="00243011"/>
    <w:rsid w:val="002435FC"/>
    <w:rsid w:val="00243797"/>
    <w:rsid w:val="002442D9"/>
    <w:rsid w:val="00244BA7"/>
    <w:rsid w:val="00245351"/>
    <w:rsid w:val="00245432"/>
    <w:rsid w:val="0024593F"/>
    <w:rsid w:val="00245B87"/>
    <w:rsid w:val="00246897"/>
    <w:rsid w:val="002468A3"/>
    <w:rsid w:val="00246C03"/>
    <w:rsid w:val="002476B6"/>
    <w:rsid w:val="00247E76"/>
    <w:rsid w:val="00247E8F"/>
    <w:rsid w:val="002510D5"/>
    <w:rsid w:val="002523CF"/>
    <w:rsid w:val="00252BB0"/>
    <w:rsid w:val="00253242"/>
    <w:rsid w:val="002537C5"/>
    <w:rsid w:val="00253D3A"/>
    <w:rsid w:val="00254590"/>
    <w:rsid w:val="002549FC"/>
    <w:rsid w:val="00254B75"/>
    <w:rsid w:val="002551C8"/>
    <w:rsid w:val="002556B1"/>
    <w:rsid w:val="0025663C"/>
    <w:rsid w:val="00256A50"/>
    <w:rsid w:val="00257D8A"/>
    <w:rsid w:val="00257F96"/>
    <w:rsid w:val="0026051A"/>
    <w:rsid w:val="002612B0"/>
    <w:rsid w:val="00261488"/>
    <w:rsid w:val="0026195C"/>
    <w:rsid w:val="00261CD7"/>
    <w:rsid w:val="00261DAC"/>
    <w:rsid w:val="002621BD"/>
    <w:rsid w:val="0026222C"/>
    <w:rsid w:val="00262359"/>
    <w:rsid w:val="0026283B"/>
    <w:rsid w:val="00262969"/>
    <w:rsid w:val="002633D9"/>
    <w:rsid w:val="0026340E"/>
    <w:rsid w:val="0026362E"/>
    <w:rsid w:val="002639CA"/>
    <w:rsid w:val="002642F2"/>
    <w:rsid w:val="002649A7"/>
    <w:rsid w:val="00264FC3"/>
    <w:rsid w:val="002657B3"/>
    <w:rsid w:val="0026589B"/>
    <w:rsid w:val="002663B7"/>
    <w:rsid w:val="002665A9"/>
    <w:rsid w:val="002666C5"/>
    <w:rsid w:val="00266B83"/>
    <w:rsid w:val="00266C8A"/>
    <w:rsid w:val="002677CD"/>
    <w:rsid w:val="00267E01"/>
    <w:rsid w:val="00270EAC"/>
    <w:rsid w:val="00271CD7"/>
    <w:rsid w:val="00271CF2"/>
    <w:rsid w:val="00271D81"/>
    <w:rsid w:val="0027213F"/>
    <w:rsid w:val="0027267D"/>
    <w:rsid w:val="002727E6"/>
    <w:rsid w:val="00272D1C"/>
    <w:rsid w:val="00273058"/>
    <w:rsid w:val="00273B8D"/>
    <w:rsid w:val="00273E72"/>
    <w:rsid w:val="00274068"/>
    <w:rsid w:val="0027498E"/>
    <w:rsid w:val="00274EFE"/>
    <w:rsid w:val="0027686D"/>
    <w:rsid w:val="00276B43"/>
    <w:rsid w:val="00276DC0"/>
    <w:rsid w:val="00277A63"/>
    <w:rsid w:val="00277BC9"/>
    <w:rsid w:val="00277F47"/>
    <w:rsid w:val="00280026"/>
    <w:rsid w:val="00280F3D"/>
    <w:rsid w:val="002810D9"/>
    <w:rsid w:val="002814EE"/>
    <w:rsid w:val="00281830"/>
    <w:rsid w:val="0028195E"/>
    <w:rsid w:val="00281B57"/>
    <w:rsid w:val="00281D9E"/>
    <w:rsid w:val="00282593"/>
    <w:rsid w:val="002830F6"/>
    <w:rsid w:val="002836D4"/>
    <w:rsid w:val="00283DD1"/>
    <w:rsid w:val="00283F64"/>
    <w:rsid w:val="00284442"/>
    <w:rsid w:val="00284CE8"/>
    <w:rsid w:val="0028584D"/>
    <w:rsid w:val="00285886"/>
    <w:rsid w:val="00285F7B"/>
    <w:rsid w:val="002864FC"/>
    <w:rsid w:val="00287326"/>
    <w:rsid w:val="00287723"/>
    <w:rsid w:val="002878FB"/>
    <w:rsid w:val="00290124"/>
    <w:rsid w:val="0029043B"/>
    <w:rsid w:val="00290658"/>
    <w:rsid w:val="00290A06"/>
    <w:rsid w:val="00290CF7"/>
    <w:rsid w:val="00291703"/>
    <w:rsid w:val="00291766"/>
    <w:rsid w:val="00291B06"/>
    <w:rsid w:val="002920C1"/>
    <w:rsid w:val="0029211E"/>
    <w:rsid w:val="00293198"/>
    <w:rsid w:val="002933A1"/>
    <w:rsid w:val="0029450E"/>
    <w:rsid w:val="00294B1A"/>
    <w:rsid w:val="00294C0F"/>
    <w:rsid w:val="00294F77"/>
    <w:rsid w:val="0029551E"/>
    <w:rsid w:val="00297A00"/>
    <w:rsid w:val="00297BFE"/>
    <w:rsid w:val="00297F8C"/>
    <w:rsid w:val="002A03ED"/>
    <w:rsid w:val="002A040F"/>
    <w:rsid w:val="002A12FD"/>
    <w:rsid w:val="002A190F"/>
    <w:rsid w:val="002A1B25"/>
    <w:rsid w:val="002A2129"/>
    <w:rsid w:val="002A2FA2"/>
    <w:rsid w:val="002A3215"/>
    <w:rsid w:val="002A33F4"/>
    <w:rsid w:val="002A3796"/>
    <w:rsid w:val="002A3B3F"/>
    <w:rsid w:val="002A4F74"/>
    <w:rsid w:val="002A51B8"/>
    <w:rsid w:val="002A5A02"/>
    <w:rsid w:val="002A5F01"/>
    <w:rsid w:val="002A5FBE"/>
    <w:rsid w:val="002A6CE6"/>
    <w:rsid w:val="002A73F9"/>
    <w:rsid w:val="002A7DBA"/>
    <w:rsid w:val="002B059A"/>
    <w:rsid w:val="002B059F"/>
    <w:rsid w:val="002B0668"/>
    <w:rsid w:val="002B1293"/>
    <w:rsid w:val="002B1AD6"/>
    <w:rsid w:val="002B2183"/>
    <w:rsid w:val="002B2414"/>
    <w:rsid w:val="002B2B16"/>
    <w:rsid w:val="002B3035"/>
    <w:rsid w:val="002B32DD"/>
    <w:rsid w:val="002B3968"/>
    <w:rsid w:val="002B4001"/>
    <w:rsid w:val="002B409B"/>
    <w:rsid w:val="002B4392"/>
    <w:rsid w:val="002B56C3"/>
    <w:rsid w:val="002B5AD5"/>
    <w:rsid w:val="002B5C5A"/>
    <w:rsid w:val="002B6038"/>
    <w:rsid w:val="002B6422"/>
    <w:rsid w:val="002B6ABA"/>
    <w:rsid w:val="002B71BA"/>
    <w:rsid w:val="002B742B"/>
    <w:rsid w:val="002B7843"/>
    <w:rsid w:val="002B7B4D"/>
    <w:rsid w:val="002C065A"/>
    <w:rsid w:val="002C1252"/>
    <w:rsid w:val="002C15D5"/>
    <w:rsid w:val="002C171E"/>
    <w:rsid w:val="002C208E"/>
    <w:rsid w:val="002C2F67"/>
    <w:rsid w:val="002C3609"/>
    <w:rsid w:val="002C3A60"/>
    <w:rsid w:val="002C45B6"/>
    <w:rsid w:val="002C4633"/>
    <w:rsid w:val="002C47A5"/>
    <w:rsid w:val="002C506F"/>
    <w:rsid w:val="002C5912"/>
    <w:rsid w:val="002C662D"/>
    <w:rsid w:val="002C78D8"/>
    <w:rsid w:val="002C7B61"/>
    <w:rsid w:val="002C7B6D"/>
    <w:rsid w:val="002C7C2B"/>
    <w:rsid w:val="002D049F"/>
    <w:rsid w:val="002D0B7C"/>
    <w:rsid w:val="002D0D1A"/>
    <w:rsid w:val="002D155C"/>
    <w:rsid w:val="002D1637"/>
    <w:rsid w:val="002D1688"/>
    <w:rsid w:val="002D16B8"/>
    <w:rsid w:val="002D1819"/>
    <w:rsid w:val="002D1B69"/>
    <w:rsid w:val="002D1BA5"/>
    <w:rsid w:val="002D3043"/>
    <w:rsid w:val="002D35F5"/>
    <w:rsid w:val="002D3B6D"/>
    <w:rsid w:val="002D3D5A"/>
    <w:rsid w:val="002D3E5B"/>
    <w:rsid w:val="002D47FE"/>
    <w:rsid w:val="002D532D"/>
    <w:rsid w:val="002D5D7D"/>
    <w:rsid w:val="002D6582"/>
    <w:rsid w:val="002D65E2"/>
    <w:rsid w:val="002D739A"/>
    <w:rsid w:val="002D73BD"/>
    <w:rsid w:val="002D76AB"/>
    <w:rsid w:val="002D786D"/>
    <w:rsid w:val="002E0020"/>
    <w:rsid w:val="002E0188"/>
    <w:rsid w:val="002E0209"/>
    <w:rsid w:val="002E0C55"/>
    <w:rsid w:val="002E0CBF"/>
    <w:rsid w:val="002E1230"/>
    <w:rsid w:val="002E1545"/>
    <w:rsid w:val="002E1910"/>
    <w:rsid w:val="002E1EC7"/>
    <w:rsid w:val="002E2433"/>
    <w:rsid w:val="002E28BA"/>
    <w:rsid w:val="002E361C"/>
    <w:rsid w:val="002E3943"/>
    <w:rsid w:val="002E3F7C"/>
    <w:rsid w:val="002E4254"/>
    <w:rsid w:val="002E4F13"/>
    <w:rsid w:val="002E4FB7"/>
    <w:rsid w:val="002E577D"/>
    <w:rsid w:val="002E63EE"/>
    <w:rsid w:val="002E6712"/>
    <w:rsid w:val="002E6FDB"/>
    <w:rsid w:val="002F104B"/>
    <w:rsid w:val="002F1C09"/>
    <w:rsid w:val="002F1E70"/>
    <w:rsid w:val="002F2645"/>
    <w:rsid w:val="002F28F1"/>
    <w:rsid w:val="002F35DF"/>
    <w:rsid w:val="002F3839"/>
    <w:rsid w:val="002F3866"/>
    <w:rsid w:val="002F4613"/>
    <w:rsid w:val="002F4696"/>
    <w:rsid w:val="002F556F"/>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3A7"/>
    <w:rsid w:val="00304618"/>
    <w:rsid w:val="00304643"/>
    <w:rsid w:val="003047D2"/>
    <w:rsid w:val="00304A73"/>
    <w:rsid w:val="00304DFD"/>
    <w:rsid w:val="003057F7"/>
    <w:rsid w:val="0030597C"/>
    <w:rsid w:val="003063A5"/>
    <w:rsid w:val="00306864"/>
    <w:rsid w:val="003069F9"/>
    <w:rsid w:val="00307669"/>
    <w:rsid w:val="00307DB7"/>
    <w:rsid w:val="00310208"/>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61E0"/>
    <w:rsid w:val="003170A7"/>
    <w:rsid w:val="00317E59"/>
    <w:rsid w:val="00320465"/>
    <w:rsid w:val="00320B02"/>
    <w:rsid w:val="00322065"/>
    <w:rsid w:val="00322440"/>
    <w:rsid w:val="00322496"/>
    <w:rsid w:val="00322AE7"/>
    <w:rsid w:val="00322D91"/>
    <w:rsid w:val="00322EEA"/>
    <w:rsid w:val="0032320A"/>
    <w:rsid w:val="003240EC"/>
    <w:rsid w:val="00324E78"/>
    <w:rsid w:val="003250C3"/>
    <w:rsid w:val="00325246"/>
    <w:rsid w:val="003253A1"/>
    <w:rsid w:val="00325869"/>
    <w:rsid w:val="00325B90"/>
    <w:rsid w:val="00325D35"/>
    <w:rsid w:val="00326448"/>
    <w:rsid w:val="0032650F"/>
    <w:rsid w:val="0032662E"/>
    <w:rsid w:val="00326854"/>
    <w:rsid w:val="00326F42"/>
    <w:rsid w:val="003275E4"/>
    <w:rsid w:val="00330069"/>
    <w:rsid w:val="00330144"/>
    <w:rsid w:val="003302D8"/>
    <w:rsid w:val="003304A1"/>
    <w:rsid w:val="0033133C"/>
    <w:rsid w:val="00331864"/>
    <w:rsid w:val="0033244F"/>
    <w:rsid w:val="00332EF9"/>
    <w:rsid w:val="00333005"/>
    <w:rsid w:val="00333502"/>
    <w:rsid w:val="00333597"/>
    <w:rsid w:val="00334500"/>
    <w:rsid w:val="00335707"/>
    <w:rsid w:val="003359E8"/>
    <w:rsid w:val="0033634D"/>
    <w:rsid w:val="00337743"/>
    <w:rsid w:val="00337E16"/>
    <w:rsid w:val="00340E66"/>
    <w:rsid w:val="00340F10"/>
    <w:rsid w:val="00341C89"/>
    <w:rsid w:val="00341D56"/>
    <w:rsid w:val="00342A44"/>
    <w:rsid w:val="003436D7"/>
    <w:rsid w:val="00343FC9"/>
    <w:rsid w:val="003440A4"/>
    <w:rsid w:val="003444E5"/>
    <w:rsid w:val="00344520"/>
    <w:rsid w:val="0034481B"/>
    <w:rsid w:val="0034486B"/>
    <w:rsid w:val="003448C6"/>
    <w:rsid w:val="003449A9"/>
    <w:rsid w:val="00344D92"/>
    <w:rsid w:val="003452EC"/>
    <w:rsid w:val="003455A2"/>
    <w:rsid w:val="00345760"/>
    <w:rsid w:val="00345BD4"/>
    <w:rsid w:val="0034659F"/>
    <w:rsid w:val="0034675B"/>
    <w:rsid w:val="00347465"/>
    <w:rsid w:val="0034796E"/>
    <w:rsid w:val="00347B56"/>
    <w:rsid w:val="00347E1A"/>
    <w:rsid w:val="00347FA9"/>
    <w:rsid w:val="003506E7"/>
    <w:rsid w:val="0035080A"/>
    <w:rsid w:val="00350BE7"/>
    <w:rsid w:val="00350CDA"/>
    <w:rsid w:val="00350E87"/>
    <w:rsid w:val="003510F2"/>
    <w:rsid w:val="00351286"/>
    <w:rsid w:val="00351609"/>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6DA"/>
    <w:rsid w:val="00357CBE"/>
    <w:rsid w:val="00357D66"/>
    <w:rsid w:val="003609A7"/>
    <w:rsid w:val="00360C13"/>
    <w:rsid w:val="00361487"/>
    <w:rsid w:val="00361661"/>
    <w:rsid w:val="00362905"/>
    <w:rsid w:val="003629D8"/>
    <w:rsid w:val="00363230"/>
    <w:rsid w:val="00364D53"/>
    <w:rsid w:val="003654A7"/>
    <w:rsid w:val="0036610E"/>
    <w:rsid w:val="00366735"/>
    <w:rsid w:val="0036675B"/>
    <w:rsid w:val="0036772F"/>
    <w:rsid w:val="0037008C"/>
    <w:rsid w:val="00370BC7"/>
    <w:rsid w:val="003717C6"/>
    <w:rsid w:val="003719DE"/>
    <w:rsid w:val="00371A33"/>
    <w:rsid w:val="00372E83"/>
    <w:rsid w:val="00373860"/>
    <w:rsid w:val="00374226"/>
    <w:rsid w:val="003745D6"/>
    <w:rsid w:val="00374B8C"/>
    <w:rsid w:val="00375080"/>
    <w:rsid w:val="00375772"/>
    <w:rsid w:val="00376C51"/>
    <w:rsid w:val="00376CE2"/>
    <w:rsid w:val="00377407"/>
    <w:rsid w:val="003775AA"/>
    <w:rsid w:val="00380026"/>
    <w:rsid w:val="0038073F"/>
    <w:rsid w:val="0038081D"/>
    <w:rsid w:val="003808DB"/>
    <w:rsid w:val="0038094F"/>
    <w:rsid w:val="00380993"/>
    <w:rsid w:val="00381332"/>
    <w:rsid w:val="00381780"/>
    <w:rsid w:val="00381FDA"/>
    <w:rsid w:val="003824E4"/>
    <w:rsid w:val="00382610"/>
    <w:rsid w:val="00382B1B"/>
    <w:rsid w:val="0038353B"/>
    <w:rsid w:val="0038370D"/>
    <w:rsid w:val="00383CFE"/>
    <w:rsid w:val="0038430C"/>
    <w:rsid w:val="0038475D"/>
    <w:rsid w:val="00384BEF"/>
    <w:rsid w:val="003853FF"/>
    <w:rsid w:val="00385609"/>
    <w:rsid w:val="003856A4"/>
    <w:rsid w:val="00385DAB"/>
    <w:rsid w:val="00385DE6"/>
    <w:rsid w:val="00385E54"/>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1DD"/>
    <w:rsid w:val="00393502"/>
    <w:rsid w:val="00393865"/>
    <w:rsid w:val="00393C76"/>
    <w:rsid w:val="00393FCC"/>
    <w:rsid w:val="003943E5"/>
    <w:rsid w:val="00394793"/>
    <w:rsid w:val="003947BD"/>
    <w:rsid w:val="00394BEA"/>
    <w:rsid w:val="00394D47"/>
    <w:rsid w:val="00395950"/>
    <w:rsid w:val="00397082"/>
    <w:rsid w:val="0039797F"/>
    <w:rsid w:val="00397D8E"/>
    <w:rsid w:val="003A105C"/>
    <w:rsid w:val="003A21CC"/>
    <w:rsid w:val="003A2222"/>
    <w:rsid w:val="003A2AE0"/>
    <w:rsid w:val="003A3262"/>
    <w:rsid w:val="003A39F5"/>
    <w:rsid w:val="003A434B"/>
    <w:rsid w:val="003A4F18"/>
    <w:rsid w:val="003A5479"/>
    <w:rsid w:val="003A5C1B"/>
    <w:rsid w:val="003A6CF4"/>
    <w:rsid w:val="003A7B31"/>
    <w:rsid w:val="003A7C7F"/>
    <w:rsid w:val="003A7FDB"/>
    <w:rsid w:val="003B023B"/>
    <w:rsid w:val="003B0304"/>
    <w:rsid w:val="003B043F"/>
    <w:rsid w:val="003B155C"/>
    <w:rsid w:val="003B1E19"/>
    <w:rsid w:val="003B2E10"/>
    <w:rsid w:val="003B33CE"/>
    <w:rsid w:val="003B343D"/>
    <w:rsid w:val="003B391B"/>
    <w:rsid w:val="003B3A2C"/>
    <w:rsid w:val="003B416D"/>
    <w:rsid w:val="003B43C3"/>
    <w:rsid w:val="003B467B"/>
    <w:rsid w:val="003B4848"/>
    <w:rsid w:val="003B4936"/>
    <w:rsid w:val="003B4F8A"/>
    <w:rsid w:val="003B551C"/>
    <w:rsid w:val="003B56D7"/>
    <w:rsid w:val="003B5882"/>
    <w:rsid w:val="003B6508"/>
    <w:rsid w:val="003B79D6"/>
    <w:rsid w:val="003B7CC1"/>
    <w:rsid w:val="003C0338"/>
    <w:rsid w:val="003C0DAF"/>
    <w:rsid w:val="003C123E"/>
    <w:rsid w:val="003C179A"/>
    <w:rsid w:val="003C1911"/>
    <w:rsid w:val="003C1B4F"/>
    <w:rsid w:val="003C1CD8"/>
    <w:rsid w:val="003C2288"/>
    <w:rsid w:val="003C331C"/>
    <w:rsid w:val="003C3336"/>
    <w:rsid w:val="003C39E6"/>
    <w:rsid w:val="003C3A11"/>
    <w:rsid w:val="003C526E"/>
    <w:rsid w:val="003C6957"/>
    <w:rsid w:val="003C6DEB"/>
    <w:rsid w:val="003C6EFC"/>
    <w:rsid w:val="003C73CA"/>
    <w:rsid w:val="003C748D"/>
    <w:rsid w:val="003C7585"/>
    <w:rsid w:val="003C7A5C"/>
    <w:rsid w:val="003D0153"/>
    <w:rsid w:val="003D095D"/>
    <w:rsid w:val="003D0AAF"/>
    <w:rsid w:val="003D201E"/>
    <w:rsid w:val="003D2665"/>
    <w:rsid w:val="003D3574"/>
    <w:rsid w:val="003D4149"/>
    <w:rsid w:val="003D660C"/>
    <w:rsid w:val="003D73BD"/>
    <w:rsid w:val="003D7CCE"/>
    <w:rsid w:val="003E0864"/>
    <w:rsid w:val="003E099A"/>
    <w:rsid w:val="003E0BAC"/>
    <w:rsid w:val="003E0D8C"/>
    <w:rsid w:val="003E154A"/>
    <w:rsid w:val="003E15A3"/>
    <w:rsid w:val="003E1B68"/>
    <w:rsid w:val="003E21AD"/>
    <w:rsid w:val="003E21C8"/>
    <w:rsid w:val="003E2417"/>
    <w:rsid w:val="003E2594"/>
    <w:rsid w:val="003E2601"/>
    <w:rsid w:val="003E26F3"/>
    <w:rsid w:val="003E2CAF"/>
    <w:rsid w:val="003E3D77"/>
    <w:rsid w:val="003E5FC5"/>
    <w:rsid w:val="003E65D7"/>
    <w:rsid w:val="003E7483"/>
    <w:rsid w:val="003E76CC"/>
    <w:rsid w:val="003F0515"/>
    <w:rsid w:val="003F14AB"/>
    <w:rsid w:val="003F163F"/>
    <w:rsid w:val="003F185F"/>
    <w:rsid w:val="003F1ACE"/>
    <w:rsid w:val="003F1CE1"/>
    <w:rsid w:val="003F1E26"/>
    <w:rsid w:val="003F2923"/>
    <w:rsid w:val="003F2D7E"/>
    <w:rsid w:val="003F2F87"/>
    <w:rsid w:val="003F3B0D"/>
    <w:rsid w:val="003F413A"/>
    <w:rsid w:val="003F5154"/>
    <w:rsid w:val="003F5249"/>
    <w:rsid w:val="003F54FB"/>
    <w:rsid w:val="003F5542"/>
    <w:rsid w:val="003F56E5"/>
    <w:rsid w:val="003F5BB5"/>
    <w:rsid w:val="003F5D3A"/>
    <w:rsid w:val="003F6572"/>
    <w:rsid w:val="003F6BD4"/>
    <w:rsid w:val="003F6C4D"/>
    <w:rsid w:val="003F6D1F"/>
    <w:rsid w:val="003F78D3"/>
    <w:rsid w:val="0040048C"/>
    <w:rsid w:val="00400533"/>
    <w:rsid w:val="00400C90"/>
    <w:rsid w:val="00400F7F"/>
    <w:rsid w:val="004023F7"/>
    <w:rsid w:val="00402C93"/>
    <w:rsid w:val="0040363C"/>
    <w:rsid w:val="004036AF"/>
    <w:rsid w:val="00403A0F"/>
    <w:rsid w:val="0040424B"/>
    <w:rsid w:val="0040434E"/>
    <w:rsid w:val="004045DC"/>
    <w:rsid w:val="004048E5"/>
    <w:rsid w:val="00404D1E"/>
    <w:rsid w:val="00405316"/>
    <w:rsid w:val="004057B0"/>
    <w:rsid w:val="00406623"/>
    <w:rsid w:val="00410ED3"/>
    <w:rsid w:val="0041153E"/>
    <w:rsid w:val="00411E35"/>
    <w:rsid w:val="00412488"/>
    <w:rsid w:val="004127C7"/>
    <w:rsid w:val="00412B7F"/>
    <w:rsid w:val="00412CEF"/>
    <w:rsid w:val="004141A8"/>
    <w:rsid w:val="00414E59"/>
    <w:rsid w:val="00415791"/>
    <w:rsid w:val="00415F59"/>
    <w:rsid w:val="004165B8"/>
    <w:rsid w:val="004169D8"/>
    <w:rsid w:val="00416AE2"/>
    <w:rsid w:val="00417048"/>
    <w:rsid w:val="00420098"/>
    <w:rsid w:val="004201AF"/>
    <w:rsid w:val="00420B07"/>
    <w:rsid w:val="00420C22"/>
    <w:rsid w:val="00420DF0"/>
    <w:rsid w:val="004214FF"/>
    <w:rsid w:val="004217F1"/>
    <w:rsid w:val="00421E70"/>
    <w:rsid w:val="00422BF5"/>
    <w:rsid w:val="0042327F"/>
    <w:rsid w:val="00425FF9"/>
    <w:rsid w:val="00426328"/>
    <w:rsid w:val="004266DC"/>
    <w:rsid w:val="0042706F"/>
    <w:rsid w:val="004279A3"/>
    <w:rsid w:val="004279C7"/>
    <w:rsid w:val="00427B3B"/>
    <w:rsid w:val="00427D4C"/>
    <w:rsid w:val="00427EBF"/>
    <w:rsid w:val="0043072D"/>
    <w:rsid w:val="00431085"/>
    <w:rsid w:val="004313B0"/>
    <w:rsid w:val="00431AA2"/>
    <w:rsid w:val="00432278"/>
    <w:rsid w:val="00434EDF"/>
    <w:rsid w:val="00435149"/>
    <w:rsid w:val="00435269"/>
    <w:rsid w:val="00435625"/>
    <w:rsid w:val="00435EC1"/>
    <w:rsid w:val="004362AB"/>
    <w:rsid w:val="004367E0"/>
    <w:rsid w:val="0043763C"/>
    <w:rsid w:val="0044047F"/>
    <w:rsid w:val="004404CD"/>
    <w:rsid w:val="0044060D"/>
    <w:rsid w:val="00440C8D"/>
    <w:rsid w:val="00440D07"/>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3F43"/>
    <w:rsid w:val="0044434A"/>
    <w:rsid w:val="0044437F"/>
    <w:rsid w:val="004446ED"/>
    <w:rsid w:val="004453D0"/>
    <w:rsid w:val="0044559A"/>
    <w:rsid w:val="004459D3"/>
    <w:rsid w:val="00445A25"/>
    <w:rsid w:val="00445AC4"/>
    <w:rsid w:val="00445E76"/>
    <w:rsid w:val="0044620A"/>
    <w:rsid w:val="0044655B"/>
    <w:rsid w:val="00446606"/>
    <w:rsid w:val="004471BC"/>
    <w:rsid w:val="00447217"/>
    <w:rsid w:val="00447508"/>
    <w:rsid w:val="00447B50"/>
    <w:rsid w:val="004501F3"/>
    <w:rsid w:val="00450515"/>
    <w:rsid w:val="00450AD8"/>
    <w:rsid w:val="00450F0D"/>
    <w:rsid w:val="00451450"/>
    <w:rsid w:val="00451471"/>
    <w:rsid w:val="0045211C"/>
    <w:rsid w:val="00452756"/>
    <w:rsid w:val="00452C60"/>
    <w:rsid w:val="0045343E"/>
    <w:rsid w:val="00453704"/>
    <w:rsid w:val="00453FC2"/>
    <w:rsid w:val="00454D9A"/>
    <w:rsid w:val="0045665B"/>
    <w:rsid w:val="00456C61"/>
    <w:rsid w:val="00457013"/>
    <w:rsid w:val="004573D3"/>
    <w:rsid w:val="004578EA"/>
    <w:rsid w:val="00457F93"/>
    <w:rsid w:val="00460326"/>
    <w:rsid w:val="00460682"/>
    <w:rsid w:val="00460E6C"/>
    <w:rsid w:val="004617A9"/>
    <w:rsid w:val="00461B70"/>
    <w:rsid w:val="0046258E"/>
    <w:rsid w:val="0046291A"/>
    <w:rsid w:val="00462B26"/>
    <w:rsid w:val="00462CEB"/>
    <w:rsid w:val="00462DCA"/>
    <w:rsid w:val="00462EA8"/>
    <w:rsid w:val="0046384E"/>
    <w:rsid w:val="00464C2B"/>
    <w:rsid w:val="00464CF4"/>
    <w:rsid w:val="00465562"/>
    <w:rsid w:val="004666C7"/>
    <w:rsid w:val="00466E73"/>
    <w:rsid w:val="0046706B"/>
    <w:rsid w:val="00467815"/>
    <w:rsid w:val="00467D9B"/>
    <w:rsid w:val="004705DE"/>
    <w:rsid w:val="00471284"/>
    <w:rsid w:val="00472BF3"/>
    <w:rsid w:val="00472FB0"/>
    <w:rsid w:val="00473696"/>
    <w:rsid w:val="00473721"/>
    <w:rsid w:val="00473A4B"/>
    <w:rsid w:val="004741FD"/>
    <w:rsid w:val="0047491E"/>
    <w:rsid w:val="00474986"/>
    <w:rsid w:val="00474A6A"/>
    <w:rsid w:val="0047608F"/>
    <w:rsid w:val="0047658E"/>
    <w:rsid w:val="00477716"/>
    <w:rsid w:val="00477DE9"/>
    <w:rsid w:val="00480439"/>
    <w:rsid w:val="0048086E"/>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62BE"/>
    <w:rsid w:val="00486ABE"/>
    <w:rsid w:val="00486F3A"/>
    <w:rsid w:val="00487033"/>
    <w:rsid w:val="004873C2"/>
    <w:rsid w:val="004878ED"/>
    <w:rsid w:val="00487B7C"/>
    <w:rsid w:val="0049004B"/>
    <w:rsid w:val="00490586"/>
    <w:rsid w:val="00490C52"/>
    <w:rsid w:val="00491039"/>
    <w:rsid w:val="00491438"/>
    <w:rsid w:val="00491B1C"/>
    <w:rsid w:val="004923BD"/>
    <w:rsid w:val="00492E3F"/>
    <w:rsid w:val="004930B3"/>
    <w:rsid w:val="00493F5C"/>
    <w:rsid w:val="0049412A"/>
    <w:rsid w:val="004945E3"/>
    <w:rsid w:val="00494EB3"/>
    <w:rsid w:val="0049560D"/>
    <w:rsid w:val="00495DB3"/>
    <w:rsid w:val="00495F43"/>
    <w:rsid w:val="00497F5E"/>
    <w:rsid w:val="004A00B0"/>
    <w:rsid w:val="004A171B"/>
    <w:rsid w:val="004A186E"/>
    <w:rsid w:val="004A207E"/>
    <w:rsid w:val="004A2385"/>
    <w:rsid w:val="004A2C49"/>
    <w:rsid w:val="004A2D91"/>
    <w:rsid w:val="004A3B95"/>
    <w:rsid w:val="004A3C91"/>
    <w:rsid w:val="004A44E6"/>
    <w:rsid w:val="004A69D0"/>
    <w:rsid w:val="004A7912"/>
    <w:rsid w:val="004B0194"/>
    <w:rsid w:val="004B0B94"/>
    <w:rsid w:val="004B1113"/>
    <w:rsid w:val="004B1248"/>
    <w:rsid w:val="004B176A"/>
    <w:rsid w:val="004B1DC3"/>
    <w:rsid w:val="004B1E64"/>
    <w:rsid w:val="004B1E80"/>
    <w:rsid w:val="004B2835"/>
    <w:rsid w:val="004B28C5"/>
    <w:rsid w:val="004B326B"/>
    <w:rsid w:val="004B32F8"/>
    <w:rsid w:val="004B36AE"/>
    <w:rsid w:val="004B41CA"/>
    <w:rsid w:val="004B4672"/>
    <w:rsid w:val="004B4766"/>
    <w:rsid w:val="004B497F"/>
    <w:rsid w:val="004B58F5"/>
    <w:rsid w:val="004B67A4"/>
    <w:rsid w:val="004C109F"/>
    <w:rsid w:val="004C14B1"/>
    <w:rsid w:val="004C1815"/>
    <w:rsid w:val="004C289A"/>
    <w:rsid w:val="004C2ADF"/>
    <w:rsid w:val="004C3427"/>
    <w:rsid w:val="004C4453"/>
    <w:rsid w:val="004C4A77"/>
    <w:rsid w:val="004C4D53"/>
    <w:rsid w:val="004C61A3"/>
    <w:rsid w:val="004C6E03"/>
    <w:rsid w:val="004C780C"/>
    <w:rsid w:val="004D03BA"/>
    <w:rsid w:val="004D118A"/>
    <w:rsid w:val="004D301C"/>
    <w:rsid w:val="004D3100"/>
    <w:rsid w:val="004D3441"/>
    <w:rsid w:val="004D349D"/>
    <w:rsid w:val="004D357C"/>
    <w:rsid w:val="004D3E0B"/>
    <w:rsid w:val="004D42B9"/>
    <w:rsid w:val="004D45C8"/>
    <w:rsid w:val="004D4ED8"/>
    <w:rsid w:val="004D5A3C"/>
    <w:rsid w:val="004D613A"/>
    <w:rsid w:val="004D63B2"/>
    <w:rsid w:val="004D6A38"/>
    <w:rsid w:val="004D6C65"/>
    <w:rsid w:val="004D708E"/>
    <w:rsid w:val="004D760C"/>
    <w:rsid w:val="004D77B8"/>
    <w:rsid w:val="004D7C62"/>
    <w:rsid w:val="004D7C91"/>
    <w:rsid w:val="004E01D4"/>
    <w:rsid w:val="004E0F37"/>
    <w:rsid w:val="004E1E98"/>
    <w:rsid w:val="004E26E4"/>
    <w:rsid w:val="004E357A"/>
    <w:rsid w:val="004E3800"/>
    <w:rsid w:val="004E3861"/>
    <w:rsid w:val="004E5000"/>
    <w:rsid w:val="004E530F"/>
    <w:rsid w:val="004E5599"/>
    <w:rsid w:val="004E55D4"/>
    <w:rsid w:val="004E586B"/>
    <w:rsid w:val="004E5CB8"/>
    <w:rsid w:val="004E60AE"/>
    <w:rsid w:val="004E65EB"/>
    <w:rsid w:val="004E7114"/>
    <w:rsid w:val="004E7341"/>
    <w:rsid w:val="004E7E7E"/>
    <w:rsid w:val="004F0244"/>
    <w:rsid w:val="004F0772"/>
    <w:rsid w:val="004F09A1"/>
    <w:rsid w:val="004F0A27"/>
    <w:rsid w:val="004F23B6"/>
    <w:rsid w:val="004F282C"/>
    <w:rsid w:val="004F368A"/>
    <w:rsid w:val="004F379F"/>
    <w:rsid w:val="004F3D4A"/>
    <w:rsid w:val="004F3E0F"/>
    <w:rsid w:val="004F401E"/>
    <w:rsid w:val="004F43AB"/>
    <w:rsid w:val="004F50EE"/>
    <w:rsid w:val="004F5614"/>
    <w:rsid w:val="004F58BE"/>
    <w:rsid w:val="004F7174"/>
    <w:rsid w:val="004F7AF1"/>
    <w:rsid w:val="004F7E98"/>
    <w:rsid w:val="00500DD0"/>
    <w:rsid w:val="00500EDC"/>
    <w:rsid w:val="005010BA"/>
    <w:rsid w:val="005012AA"/>
    <w:rsid w:val="005012CF"/>
    <w:rsid w:val="005013A1"/>
    <w:rsid w:val="00501E11"/>
    <w:rsid w:val="00502352"/>
    <w:rsid w:val="0050278D"/>
    <w:rsid w:val="00502C10"/>
    <w:rsid w:val="00503326"/>
    <w:rsid w:val="0050355D"/>
    <w:rsid w:val="00504188"/>
    <w:rsid w:val="00504560"/>
    <w:rsid w:val="00504655"/>
    <w:rsid w:val="00504A31"/>
    <w:rsid w:val="00504F8B"/>
    <w:rsid w:val="005055B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5E7B"/>
    <w:rsid w:val="005165B0"/>
    <w:rsid w:val="00516F04"/>
    <w:rsid w:val="00517005"/>
    <w:rsid w:val="005171D1"/>
    <w:rsid w:val="005174C6"/>
    <w:rsid w:val="00517868"/>
    <w:rsid w:val="0052072A"/>
    <w:rsid w:val="00520894"/>
    <w:rsid w:val="00520BC0"/>
    <w:rsid w:val="00520BF7"/>
    <w:rsid w:val="005215A2"/>
    <w:rsid w:val="005217F8"/>
    <w:rsid w:val="005219E0"/>
    <w:rsid w:val="00521B41"/>
    <w:rsid w:val="0052267A"/>
    <w:rsid w:val="005226D4"/>
    <w:rsid w:val="005239DD"/>
    <w:rsid w:val="00523CA1"/>
    <w:rsid w:val="00523EB9"/>
    <w:rsid w:val="00524A9C"/>
    <w:rsid w:val="00525956"/>
    <w:rsid w:val="00525BED"/>
    <w:rsid w:val="005266F4"/>
    <w:rsid w:val="0052675C"/>
    <w:rsid w:val="00526931"/>
    <w:rsid w:val="00526D46"/>
    <w:rsid w:val="005303B5"/>
    <w:rsid w:val="005303E3"/>
    <w:rsid w:val="00530D4E"/>
    <w:rsid w:val="00531094"/>
    <w:rsid w:val="00531143"/>
    <w:rsid w:val="0053173F"/>
    <w:rsid w:val="0053186B"/>
    <w:rsid w:val="00531C5C"/>
    <w:rsid w:val="00532A23"/>
    <w:rsid w:val="005331E8"/>
    <w:rsid w:val="0053337C"/>
    <w:rsid w:val="005340EA"/>
    <w:rsid w:val="00534664"/>
    <w:rsid w:val="00534787"/>
    <w:rsid w:val="00534A44"/>
    <w:rsid w:val="00535F4E"/>
    <w:rsid w:val="00536332"/>
    <w:rsid w:val="0053655B"/>
    <w:rsid w:val="00536601"/>
    <w:rsid w:val="00536632"/>
    <w:rsid w:val="00536BE9"/>
    <w:rsid w:val="005373DF"/>
    <w:rsid w:val="00537A19"/>
    <w:rsid w:val="00540D81"/>
    <w:rsid w:val="00542821"/>
    <w:rsid w:val="00542CA8"/>
    <w:rsid w:val="00543514"/>
    <w:rsid w:val="005438A1"/>
    <w:rsid w:val="00543B81"/>
    <w:rsid w:val="00543C00"/>
    <w:rsid w:val="00543CEA"/>
    <w:rsid w:val="00543EB8"/>
    <w:rsid w:val="00543F41"/>
    <w:rsid w:val="00544550"/>
    <w:rsid w:val="0054482E"/>
    <w:rsid w:val="0054485E"/>
    <w:rsid w:val="005448E1"/>
    <w:rsid w:val="00544FCF"/>
    <w:rsid w:val="005450DC"/>
    <w:rsid w:val="005455FC"/>
    <w:rsid w:val="00545A47"/>
    <w:rsid w:val="00545FC7"/>
    <w:rsid w:val="0054634E"/>
    <w:rsid w:val="00546A4F"/>
    <w:rsid w:val="00546B67"/>
    <w:rsid w:val="0054707A"/>
    <w:rsid w:val="005474C7"/>
    <w:rsid w:val="00547B37"/>
    <w:rsid w:val="00550490"/>
    <w:rsid w:val="00550F71"/>
    <w:rsid w:val="00551167"/>
    <w:rsid w:val="005512D3"/>
    <w:rsid w:val="00551C0E"/>
    <w:rsid w:val="00551F46"/>
    <w:rsid w:val="005521F2"/>
    <w:rsid w:val="00552561"/>
    <w:rsid w:val="00552840"/>
    <w:rsid w:val="00552C14"/>
    <w:rsid w:val="00553290"/>
    <w:rsid w:val="00553C45"/>
    <w:rsid w:val="00554068"/>
    <w:rsid w:val="005544FA"/>
    <w:rsid w:val="00554723"/>
    <w:rsid w:val="00554A33"/>
    <w:rsid w:val="00554F2F"/>
    <w:rsid w:val="00554FCF"/>
    <w:rsid w:val="0055525E"/>
    <w:rsid w:val="00555888"/>
    <w:rsid w:val="0055588A"/>
    <w:rsid w:val="0055597A"/>
    <w:rsid w:val="00555A7F"/>
    <w:rsid w:val="0055716D"/>
    <w:rsid w:val="005571A6"/>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54D"/>
    <w:rsid w:val="005677CF"/>
    <w:rsid w:val="00567AEE"/>
    <w:rsid w:val="00567CEE"/>
    <w:rsid w:val="0057040F"/>
    <w:rsid w:val="0057096F"/>
    <w:rsid w:val="00570D57"/>
    <w:rsid w:val="00571102"/>
    <w:rsid w:val="005713EC"/>
    <w:rsid w:val="005713F4"/>
    <w:rsid w:val="0057154B"/>
    <w:rsid w:val="00571E64"/>
    <w:rsid w:val="00573ADD"/>
    <w:rsid w:val="00573D3B"/>
    <w:rsid w:val="00573EE2"/>
    <w:rsid w:val="00573F6A"/>
    <w:rsid w:val="0057432C"/>
    <w:rsid w:val="00574676"/>
    <w:rsid w:val="00575314"/>
    <w:rsid w:val="00575CC3"/>
    <w:rsid w:val="00575D10"/>
    <w:rsid w:val="00576018"/>
    <w:rsid w:val="00576D6B"/>
    <w:rsid w:val="005778E9"/>
    <w:rsid w:val="00577AAE"/>
    <w:rsid w:val="005800F7"/>
    <w:rsid w:val="005808CA"/>
    <w:rsid w:val="00580F26"/>
    <w:rsid w:val="005810A9"/>
    <w:rsid w:val="00581A7C"/>
    <w:rsid w:val="00581BEF"/>
    <w:rsid w:val="00582376"/>
    <w:rsid w:val="00583C0E"/>
    <w:rsid w:val="00583FDB"/>
    <w:rsid w:val="0058427E"/>
    <w:rsid w:val="00584FEF"/>
    <w:rsid w:val="005853EF"/>
    <w:rsid w:val="00585972"/>
    <w:rsid w:val="005864FA"/>
    <w:rsid w:val="005865AA"/>
    <w:rsid w:val="00586848"/>
    <w:rsid w:val="00586D7F"/>
    <w:rsid w:val="00587048"/>
    <w:rsid w:val="005875A3"/>
    <w:rsid w:val="00587652"/>
    <w:rsid w:val="0058773A"/>
    <w:rsid w:val="00587C5F"/>
    <w:rsid w:val="00590750"/>
    <w:rsid w:val="00590907"/>
    <w:rsid w:val="0059241D"/>
    <w:rsid w:val="00592491"/>
    <w:rsid w:val="0059346F"/>
    <w:rsid w:val="00593875"/>
    <w:rsid w:val="00593E2F"/>
    <w:rsid w:val="005943C5"/>
    <w:rsid w:val="00594A7B"/>
    <w:rsid w:val="005952ED"/>
    <w:rsid w:val="005963CE"/>
    <w:rsid w:val="00596C07"/>
    <w:rsid w:val="005976DB"/>
    <w:rsid w:val="00597AA7"/>
    <w:rsid w:val="00597CA1"/>
    <w:rsid w:val="005A0956"/>
    <w:rsid w:val="005A0A13"/>
    <w:rsid w:val="005A115D"/>
    <w:rsid w:val="005A1EAB"/>
    <w:rsid w:val="005A270C"/>
    <w:rsid w:val="005A297A"/>
    <w:rsid w:val="005A2D82"/>
    <w:rsid w:val="005A323A"/>
    <w:rsid w:val="005A3789"/>
    <w:rsid w:val="005A3835"/>
    <w:rsid w:val="005A389E"/>
    <w:rsid w:val="005A3AEC"/>
    <w:rsid w:val="005A40C0"/>
    <w:rsid w:val="005A47FE"/>
    <w:rsid w:val="005A5DE6"/>
    <w:rsid w:val="005A626B"/>
    <w:rsid w:val="005A6858"/>
    <w:rsid w:val="005A68C9"/>
    <w:rsid w:val="005A6AFA"/>
    <w:rsid w:val="005A72F2"/>
    <w:rsid w:val="005A7E22"/>
    <w:rsid w:val="005B0096"/>
    <w:rsid w:val="005B02C2"/>
    <w:rsid w:val="005B0A4B"/>
    <w:rsid w:val="005B2194"/>
    <w:rsid w:val="005B2BC3"/>
    <w:rsid w:val="005B4350"/>
    <w:rsid w:val="005B4621"/>
    <w:rsid w:val="005B4812"/>
    <w:rsid w:val="005B4CFA"/>
    <w:rsid w:val="005B4DEF"/>
    <w:rsid w:val="005B5458"/>
    <w:rsid w:val="005B574D"/>
    <w:rsid w:val="005B5B3D"/>
    <w:rsid w:val="005B5CEE"/>
    <w:rsid w:val="005B6B1E"/>
    <w:rsid w:val="005B6D53"/>
    <w:rsid w:val="005B6D64"/>
    <w:rsid w:val="005B7112"/>
    <w:rsid w:val="005B7166"/>
    <w:rsid w:val="005B74D2"/>
    <w:rsid w:val="005B770C"/>
    <w:rsid w:val="005C01D1"/>
    <w:rsid w:val="005C04FD"/>
    <w:rsid w:val="005C18EE"/>
    <w:rsid w:val="005C1960"/>
    <w:rsid w:val="005C1A79"/>
    <w:rsid w:val="005C239B"/>
    <w:rsid w:val="005C303E"/>
    <w:rsid w:val="005C39AD"/>
    <w:rsid w:val="005C3B26"/>
    <w:rsid w:val="005C3EDF"/>
    <w:rsid w:val="005C4397"/>
    <w:rsid w:val="005C45EA"/>
    <w:rsid w:val="005C48CC"/>
    <w:rsid w:val="005C63B5"/>
    <w:rsid w:val="005C674D"/>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50D9"/>
    <w:rsid w:val="005D6A61"/>
    <w:rsid w:val="005D7724"/>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DEE"/>
    <w:rsid w:val="005E5130"/>
    <w:rsid w:val="005E5364"/>
    <w:rsid w:val="005E5F15"/>
    <w:rsid w:val="005E5FF1"/>
    <w:rsid w:val="005E6001"/>
    <w:rsid w:val="005E62A9"/>
    <w:rsid w:val="005E6566"/>
    <w:rsid w:val="005E72FB"/>
    <w:rsid w:val="005E7FC5"/>
    <w:rsid w:val="005F01CE"/>
    <w:rsid w:val="005F0296"/>
    <w:rsid w:val="005F135B"/>
    <w:rsid w:val="005F1942"/>
    <w:rsid w:val="005F2426"/>
    <w:rsid w:val="005F3709"/>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57C2"/>
    <w:rsid w:val="006058CF"/>
    <w:rsid w:val="006061B0"/>
    <w:rsid w:val="006062EA"/>
    <w:rsid w:val="006063E1"/>
    <w:rsid w:val="006065E4"/>
    <w:rsid w:val="006066C2"/>
    <w:rsid w:val="006066D1"/>
    <w:rsid w:val="00606995"/>
    <w:rsid w:val="00606F56"/>
    <w:rsid w:val="00607D48"/>
    <w:rsid w:val="00610039"/>
    <w:rsid w:val="00610381"/>
    <w:rsid w:val="00610581"/>
    <w:rsid w:val="00610917"/>
    <w:rsid w:val="006109E3"/>
    <w:rsid w:val="00610A2A"/>
    <w:rsid w:val="00611B68"/>
    <w:rsid w:val="00611C07"/>
    <w:rsid w:val="00611E07"/>
    <w:rsid w:val="00612045"/>
    <w:rsid w:val="006120C3"/>
    <w:rsid w:val="0061286E"/>
    <w:rsid w:val="00612E91"/>
    <w:rsid w:val="00612F12"/>
    <w:rsid w:val="00612F99"/>
    <w:rsid w:val="006136FF"/>
    <w:rsid w:val="00613A47"/>
    <w:rsid w:val="00613AC9"/>
    <w:rsid w:val="00613DA3"/>
    <w:rsid w:val="00614026"/>
    <w:rsid w:val="006140E8"/>
    <w:rsid w:val="00614490"/>
    <w:rsid w:val="00614786"/>
    <w:rsid w:val="00614EDE"/>
    <w:rsid w:val="00615808"/>
    <w:rsid w:val="00615E47"/>
    <w:rsid w:val="00617982"/>
    <w:rsid w:val="00617F7C"/>
    <w:rsid w:val="00620E86"/>
    <w:rsid w:val="0062155F"/>
    <w:rsid w:val="006219DD"/>
    <w:rsid w:val="00621D63"/>
    <w:rsid w:val="00622172"/>
    <w:rsid w:val="00623472"/>
    <w:rsid w:val="00623DAF"/>
    <w:rsid w:val="006242BF"/>
    <w:rsid w:val="00624678"/>
    <w:rsid w:val="006246FE"/>
    <w:rsid w:val="00625136"/>
    <w:rsid w:val="0062524C"/>
    <w:rsid w:val="00625B38"/>
    <w:rsid w:val="00626AB6"/>
    <w:rsid w:val="00631B1E"/>
    <w:rsid w:val="00631FE7"/>
    <w:rsid w:val="006321EA"/>
    <w:rsid w:val="006324E6"/>
    <w:rsid w:val="00632ACC"/>
    <w:rsid w:val="006335C9"/>
    <w:rsid w:val="00633FF2"/>
    <w:rsid w:val="00634207"/>
    <w:rsid w:val="006345C1"/>
    <w:rsid w:val="006347E8"/>
    <w:rsid w:val="00634969"/>
    <w:rsid w:val="00634AB3"/>
    <w:rsid w:val="00634F76"/>
    <w:rsid w:val="00635E34"/>
    <w:rsid w:val="00637056"/>
    <w:rsid w:val="00637E9B"/>
    <w:rsid w:val="00637FDD"/>
    <w:rsid w:val="00640129"/>
    <w:rsid w:val="0064090D"/>
    <w:rsid w:val="00641E57"/>
    <w:rsid w:val="0064260D"/>
    <w:rsid w:val="00642A39"/>
    <w:rsid w:val="00642DBC"/>
    <w:rsid w:val="0064307F"/>
    <w:rsid w:val="00643CED"/>
    <w:rsid w:val="00643D90"/>
    <w:rsid w:val="00644234"/>
    <w:rsid w:val="006442FD"/>
    <w:rsid w:val="00644878"/>
    <w:rsid w:val="00644DE2"/>
    <w:rsid w:val="00645FED"/>
    <w:rsid w:val="00646D0E"/>
    <w:rsid w:val="006478E6"/>
    <w:rsid w:val="00650306"/>
    <w:rsid w:val="006503A5"/>
    <w:rsid w:val="00650463"/>
    <w:rsid w:val="006507FD"/>
    <w:rsid w:val="0065082F"/>
    <w:rsid w:val="006509F9"/>
    <w:rsid w:val="00651660"/>
    <w:rsid w:val="006517B9"/>
    <w:rsid w:val="00651C0A"/>
    <w:rsid w:val="00651C84"/>
    <w:rsid w:val="00652171"/>
    <w:rsid w:val="0065227C"/>
    <w:rsid w:val="006523C2"/>
    <w:rsid w:val="006527D9"/>
    <w:rsid w:val="00652FFB"/>
    <w:rsid w:val="00653133"/>
    <w:rsid w:val="00653196"/>
    <w:rsid w:val="006532C3"/>
    <w:rsid w:val="00653E05"/>
    <w:rsid w:val="00654C9C"/>
    <w:rsid w:val="00654ED9"/>
    <w:rsid w:val="0065528E"/>
    <w:rsid w:val="00655390"/>
    <w:rsid w:val="006553D9"/>
    <w:rsid w:val="00655858"/>
    <w:rsid w:val="0065606D"/>
    <w:rsid w:val="006564F2"/>
    <w:rsid w:val="00656D2E"/>
    <w:rsid w:val="0065716D"/>
    <w:rsid w:val="00660163"/>
    <w:rsid w:val="006612A4"/>
    <w:rsid w:val="006613F5"/>
    <w:rsid w:val="00661A2E"/>
    <w:rsid w:val="00661BD2"/>
    <w:rsid w:val="006625C0"/>
    <w:rsid w:val="00662B7A"/>
    <w:rsid w:val="00663175"/>
    <w:rsid w:val="0066326A"/>
    <w:rsid w:val="006632D0"/>
    <w:rsid w:val="006635FA"/>
    <w:rsid w:val="00663B35"/>
    <w:rsid w:val="00663CF1"/>
    <w:rsid w:val="00663F1B"/>
    <w:rsid w:val="0066419E"/>
    <w:rsid w:val="00664AB8"/>
    <w:rsid w:val="0066571F"/>
    <w:rsid w:val="006660F5"/>
    <w:rsid w:val="00666285"/>
    <w:rsid w:val="00666443"/>
    <w:rsid w:val="00666D34"/>
    <w:rsid w:val="0066731A"/>
    <w:rsid w:val="00667E3E"/>
    <w:rsid w:val="00670BE7"/>
    <w:rsid w:val="00670FEA"/>
    <w:rsid w:val="00671DC9"/>
    <w:rsid w:val="0067252D"/>
    <w:rsid w:val="00672C31"/>
    <w:rsid w:val="006730AC"/>
    <w:rsid w:val="006733E9"/>
    <w:rsid w:val="006734AA"/>
    <w:rsid w:val="006734B3"/>
    <w:rsid w:val="0067353C"/>
    <w:rsid w:val="00673735"/>
    <w:rsid w:val="00674093"/>
    <w:rsid w:val="00675BE6"/>
    <w:rsid w:val="00676163"/>
    <w:rsid w:val="006764C4"/>
    <w:rsid w:val="006776E6"/>
    <w:rsid w:val="006777E4"/>
    <w:rsid w:val="00677C1A"/>
    <w:rsid w:val="00677C22"/>
    <w:rsid w:val="00677FB0"/>
    <w:rsid w:val="006808CC"/>
    <w:rsid w:val="006809AA"/>
    <w:rsid w:val="00680AF4"/>
    <w:rsid w:val="00681495"/>
    <w:rsid w:val="0068171A"/>
    <w:rsid w:val="006817D4"/>
    <w:rsid w:val="00681F18"/>
    <w:rsid w:val="00682369"/>
    <w:rsid w:val="0068281F"/>
    <w:rsid w:val="00682C7C"/>
    <w:rsid w:val="00682E20"/>
    <w:rsid w:val="00682F4C"/>
    <w:rsid w:val="006838D8"/>
    <w:rsid w:val="006838DF"/>
    <w:rsid w:val="006842B9"/>
    <w:rsid w:val="00684966"/>
    <w:rsid w:val="00684BAF"/>
    <w:rsid w:val="006856FD"/>
    <w:rsid w:val="00685899"/>
    <w:rsid w:val="006859DA"/>
    <w:rsid w:val="00686772"/>
    <w:rsid w:val="00687642"/>
    <w:rsid w:val="0069023B"/>
    <w:rsid w:val="00690667"/>
    <w:rsid w:val="0069080B"/>
    <w:rsid w:val="00690CBB"/>
    <w:rsid w:val="00691611"/>
    <w:rsid w:val="00691895"/>
    <w:rsid w:val="00691932"/>
    <w:rsid w:val="006919FB"/>
    <w:rsid w:val="0069213E"/>
    <w:rsid w:val="0069246E"/>
    <w:rsid w:val="00692D30"/>
    <w:rsid w:val="00692E71"/>
    <w:rsid w:val="00694124"/>
    <w:rsid w:val="006941DC"/>
    <w:rsid w:val="00695597"/>
    <w:rsid w:val="00696A89"/>
    <w:rsid w:val="00696F75"/>
    <w:rsid w:val="00696FEC"/>
    <w:rsid w:val="00697165"/>
    <w:rsid w:val="00697477"/>
    <w:rsid w:val="00697D97"/>
    <w:rsid w:val="006A037E"/>
    <w:rsid w:val="006A0756"/>
    <w:rsid w:val="006A1D7D"/>
    <w:rsid w:val="006A1E12"/>
    <w:rsid w:val="006A2019"/>
    <w:rsid w:val="006A21CC"/>
    <w:rsid w:val="006A294D"/>
    <w:rsid w:val="006A30E6"/>
    <w:rsid w:val="006A3D41"/>
    <w:rsid w:val="006A5833"/>
    <w:rsid w:val="006A6969"/>
    <w:rsid w:val="006A72F8"/>
    <w:rsid w:val="006A7796"/>
    <w:rsid w:val="006A7C96"/>
    <w:rsid w:val="006B0495"/>
    <w:rsid w:val="006B0DCB"/>
    <w:rsid w:val="006B0EAB"/>
    <w:rsid w:val="006B0EE5"/>
    <w:rsid w:val="006B1253"/>
    <w:rsid w:val="006B2408"/>
    <w:rsid w:val="006B299D"/>
    <w:rsid w:val="006B3325"/>
    <w:rsid w:val="006B33F7"/>
    <w:rsid w:val="006B3AF9"/>
    <w:rsid w:val="006B3C91"/>
    <w:rsid w:val="006B414C"/>
    <w:rsid w:val="006B4B0F"/>
    <w:rsid w:val="006B5474"/>
    <w:rsid w:val="006B62A0"/>
    <w:rsid w:val="006B650F"/>
    <w:rsid w:val="006C0449"/>
    <w:rsid w:val="006C0D0F"/>
    <w:rsid w:val="006C0E39"/>
    <w:rsid w:val="006C1394"/>
    <w:rsid w:val="006C1721"/>
    <w:rsid w:val="006C326E"/>
    <w:rsid w:val="006C32CF"/>
    <w:rsid w:val="006C335E"/>
    <w:rsid w:val="006C3A1F"/>
    <w:rsid w:val="006C53F8"/>
    <w:rsid w:val="006C54BB"/>
    <w:rsid w:val="006C56FC"/>
    <w:rsid w:val="006C5C6C"/>
    <w:rsid w:val="006C5F8C"/>
    <w:rsid w:val="006C63EB"/>
    <w:rsid w:val="006C7DE0"/>
    <w:rsid w:val="006D024B"/>
    <w:rsid w:val="006D0FAB"/>
    <w:rsid w:val="006D1314"/>
    <w:rsid w:val="006D15EE"/>
    <w:rsid w:val="006D16CA"/>
    <w:rsid w:val="006D1D06"/>
    <w:rsid w:val="006D2AB0"/>
    <w:rsid w:val="006D364F"/>
    <w:rsid w:val="006D3693"/>
    <w:rsid w:val="006D3DC7"/>
    <w:rsid w:val="006D4245"/>
    <w:rsid w:val="006D46CE"/>
    <w:rsid w:val="006D4B98"/>
    <w:rsid w:val="006D54D9"/>
    <w:rsid w:val="006D5843"/>
    <w:rsid w:val="006D68AC"/>
    <w:rsid w:val="006D6DF7"/>
    <w:rsid w:val="006D7E18"/>
    <w:rsid w:val="006E010C"/>
    <w:rsid w:val="006E0A87"/>
    <w:rsid w:val="006E0A93"/>
    <w:rsid w:val="006E1B15"/>
    <w:rsid w:val="006E4064"/>
    <w:rsid w:val="006E58EA"/>
    <w:rsid w:val="006E5BF8"/>
    <w:rsid w:val="006E643B"/>
    <w:rsid w:val="006E6B01"/>
    <w:rsid w:val="006E6B82"/>
    <w:rsid w:val="006E6D16"/>
    <w:rsid w:val="006E799D"/>
    <w:rsid w:val="006F0036"/>
    <w:rsid w:val="006F024E"/>
    <w:rsid w:val="006F10D4"/>
    <w:rsid w:val="006F1233"/>
    <w:rsid w:val="006F1244"/>
    <w:rsid w:val="006F27E0"/>
    <w:rsid w:val="006F2F67"/>
    <w:rsid w:val="006F3CA4"/>
    <w:rsid w:val="006F4148"/>
    <w:rsid w:val="006F4783"/>
    <w:rsid w:val="006F4DE0"/>
    <w:rsid w:val="006F4FB2"/>
    <w:rsid w:val="006F5E2D"/>
    <w:rsid w:val="006F62C5"/>
    <w:rsid w:val="006F6483"/>
    <w:rsid w:val="006F6EEB"/>
    <w:rsid w:val="006F7316"/>
    <w:rsid w:val="006F7332"/>
    <w:rsid w:val="00700B08"/>
    <w:rsid w:val="007016DE"/>
    <w:rsid w:val="007025BA"/>
    <w:rsid w:val="00702BB8"/>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7A"/>
    <w:rsid w:val="00707244"/>
    <w:rsid w:val="00711427"/>
    <w:rsid w:val="007114BF"/>
    <w:rsid w:val="00711CBA"/>
    <w:rsid w:val="00712B2B"/>
    <w:rsid w:val="00712CCC"/>
    <w:rsid w:val="00713189"/>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052"/>
    <w:rsid w:val="007213A5"/>
    <w:rsid w:val="00721E12"/>
    <w:rsid w:val="007224C2"/>
    <w:rsid w:val="00722C19"/>
    <w:rsid w:val="00722DD1"/>
    <w:rsid w:val="00723840"/>
    <w:rsid w:val="00726000"/>
    <w:rsid w:val="0072603B"/>
    <w:rsid w:val="00726756"/>
    <w:rsid w:val="00726C1E"/>
    <w:rsid w:val="00726FEB"/>
    <w:rsid w:val="0072771B"/>
    <w:rsid w:val="00727910"/>
    <w:rsid w:val="00727DC2"/>
    <w:rsid w:val="00730B71"/>
    <w:rsid w:val="00731117"/>
    <w:rsid w:val="00731409"/>
    <w:rsid w:val="00731555"/>
    <w:rsid w:val="00731EDD"/>
    <w:rsid w:val="007328A5"/>
    <w:rsid w:val="00732F41"/>
    <w:rsid w:val="007332C1"/>
    <w:rsid w:val="007334B1"/>
    <w:rsid w:val="007339F3"/>
    <w:rsid w:val="00733EB2"/>
    <w:rsid w:val="00733EF8"/>
    <w:rsid w:val="007340CF"/>
    <w:rsid w:val="00734400"/>
    <w:rsid w:val="00734898"/>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E0F"/>
    <w:rsid w:val="0075064C"/>
    <w:rsid w:val="00752801"/>
    <w:rsid w:val="00752B96"/>
    <w:rsid w:val="00752E39"/>
    <w:rsid w:val="0075451A"/>
    <w:rsid w:val="00754E06"/>
    <w:rsid w:val="0075580D"/>
    <w:rsid w:val="00755956"/>
    <w:rsid w:val="00756142"/>
    <w:rsid w:val="007561B4"/>
    <w:rsid w:val="007562B3"/>
    <w:rsid w:val="00756AA0"/>
    <w:rsid w:val="0075785E"/>
    <w:rsid w:val="00757CE6"/>
    <w:rsid w:val="007607F3"/>
    <w:rsid w:val="0076151C"/>
    <w:rsid w:val="00761C9E"/>
    <w:rsid w:val="00761E6B"/>
    <w:rsid w:val="007622F8"/>
    <w:rsid w:val="00762D4F"/>
    <w:rsid w:val="00763097"/>
    <w:rsid w:val="00763A41"/>
    <w:rsid w:val="00764C54"/>
    <w:rsid w:val="00764CB0"/>
    <w:rsid w:val="007651A7"/>
    <w:rsid w:val="007660A1"/>
    <w:rsid w:val="0076613D"/>
    <w:rsid w:val="0076641B"/>
    <w:rsid w:val="0076651A"/>
    <w:rsid w:val="007666D8"/>
    <w:rsid w:val="007669BC"/>
    <w:rsid w:val="00766D03"/>
    <w:rsid w:val="007671B6"/>
    <w:rsid w:val="007671DA"/>
    <w:rsid w:val="00767ADE"/>
    <w:rsid w:val="00767C28"/>
    <w:rsid w:val="00770C72"/>
    <w:rsid w:val="007719A8"/>
    <w:rsid w:val="0077228C"/>
    <w:rsid w:val="00772BB8"/>
    <w:rsid w:val="00772F03"/>
    <w:rsid w:val="00772FA8"/>
    <w:rsid w:val="00773149"/>
    <w:rsid w:val="007737D3"/>
    <w:rsid w:val="00773CAE"/>
    <w:rsid w:val="00774593"/>
    <w:rsid w:val="00774C88"/>
    <w:rsid w:val="00774D02"/>
    <w:rsid w:val="007753B5"/>
    <w:rsid w:val="00775AAA"/>
    <w:rsid w:val="00776EDA"/>
    <w:rsid w:val="00777599"/>
    <w:rsid w:val="00777A2C"/>
    <w:rsid w:val="0078165D"/>
    <w:rsid w:val="00781C97"/>
    <w:rsid w:val="00782B59"/>
    <w:rsid w:val="00783603"/>
    <w:rsid w:val="00783786"/>
    <w:rsid w:val="00783D34"/>
    <w:rsid w:val="00784F4F"/>
    <w:rsid w:val="00785646"/>
    <w:rsid w:val="00785CF8"/>
    <w:rsid w:val="007862B1"/>
    <w:rsid w:val="0078734E"/>
    <w:rsid w:val="00787700"/>
    <w:rsid w:val="00787962"/>
    <w:rsid w:val="00790BBC"/>
    <w:rsid w:val="00790BE6"/>
    <w:rsid w:val="00791B62"/>
    <w:rsid w:val="00792A24"/>
    <w:rsid w:val="00793277"/>
    <w:rsid w:val="0079435F"/>
    <w:rsid w:val="00796068"/>
    <w:rsid w:val="00796163"/>
    <w:rsid w:val="00796CC0"/>
    <w:rsid w:val="00796CF1"/>
    <w:rsid w:val="007974AF"/>
    <w:rsid w:val="007979EA"/>
    <w:rsid w:val="00797A74"/>
    <w:rsid w:val="00797ACF"/>
    <w:rsid w:val="007A1151"/>
    <w:rsid w:val="007A1456"/>
    <w:rsid w:val="007A17A6"/>
    <w:rsid w:val="007A1970"/>
    <w:rsid w:val="007A19BC"/>
    <w:rsid w:val="007A1A35"/>
    <w:rsid w:val="007A2166"/>
    <w:rsid w:val="007A2B7F"/>
    <w:rsid w:val="007A3059"/>
    <w:rsid w:val="007A33FA"/>
    <w:rsid w:val="007A45A6"/>
    <w:rsid w:val="007A536B"/>
    <w:rsid w:val="007A5922"/>
    <w:rsid w:val="007A5969"/>
    <w:rsid w:val="007A63D4"/>
    <w:rsid w:val="007A7750"/>
    <w:rsid w:val="007A77BF"/>
    <w:rsid w:val="007A7AA2"/>
    <w:rsid w:val="007A7C23"/>
    <w:rsid w:val="007B05AC"/>
    <w:rsid w:val="007B07A6"/>
    <w:rsid w:val="007B1ABA"/>
    <w:rsid w:val="007B2070"/>
    <w:rsid w:val="007B221D"/>
    <w:rsid w:val="007B24B8"/>
    <w:rsid w:val="007B259B"/>
    <w:rsid w:val="007B3F28"/>
    <w:rsid w:val="007B434A"/>
    <w:rsid w:val="007B452C"/>
    <w:rsid w:val="007B471E"/>
    <w:rsid w:val="007B5018"/>
    <w:rsid w:val="007B53E7"/>
    <w:rsid w:val="007B65B3"/>
    <w:rsid w:val="007B66B8"/>
    <w:rsid w:val="007B6A14"/>
    <w:rsid w:val="007B6DFA"/>
    <w:rsid w:val="007B7287"/>
    <w:rsid w:val="007B74C3"/>
    <w:rsid w:val="007B753A"/>
    <w:rsid w:val="007B7637"/>
    <w:rsid w:val="007B7677"/>
    <w:rsid w:val="007B7A70"/>
    <w:rsid w:val="007C0033"/>
    <w:rsid w:val="007C08AB"/>
    <w:rsid w:val="007C2208"/>
    <w:rsid w:val="007C24B9"/>
    <w:rsid w:val="007C3515"/>
    <w:rsid w:val="007C38F7"/>
    <w:rsid w:val="007C3AA6"/>
    <w:rsid w:val="007C4290"/>
    <w:rsid w:val="007C42FB"/>
    <w:rsid w:val="007C4E99"/>
    <w:rsid w:val="007C5151"/>
    <w:rsid w:val="007C546B"/>
    <w:rsid w:val="007C565B"/>
    <w:rsid w:val="007C5B8D"/>
    <w:rsid w:val="007C670D"/>
    <w:rsid w:val="007C68D2"/>
    <w:rsid w:val="007C6B7A"/>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ADD"/>
    <w:rsid w:val="007D4C4B"/>
    <w:rsid w:val="007D560E"/>
    <w:rsid w:val="007D5F85"/>
    <w:rsid w:val="007D77EB"/>
    <w:rsid w:val="007E018B"/>
    <w:rsid w:val="007E0637"/>
    <w:rsid w:val="007E0721"/>
    <w:rsid w:val="007E0B69"/>
    <w:rsid w:val="007E0C27"/>
    <w:rsid w:val="007E0C58"/>
    <w:rsid w:val="007E0D6F"/>
    <w:rsid w:val="007E0E05"/>
    <w:rsid w:val="007E1DD3"/>
    <w:rsid w:val="007E209F"/>
    <w:rsid w:val="007E23C8"/>
    <w:rsid w:val="007E25F0"/>
    <w:rsid w:val="007E2878"/>
    <w:rsid w:val="007E2A7E"/>
    <w:rsid w:val="007E4655"/>
    <w:rsid w:val="007E4F19"/>
    <w:rsid w:val="007E4FD0"/>
    <w:rsid w:val="007E50E4"/>
    <w:rsid w:val="007E50F7"/>
    <w:rsid w:val="007E5187"/>
    <w:rsid w:val="007E55E0"/>
    <w:rsid w:val="007E5C50"/>
    <w:rsid w:val="007E5DED"/>
    <w:rsid w:val="007E6017"/>
    <w:rsid w:val="007E79CB"/>
    <w:rsid w:val="007E7C33"/>
    <w:rsid w:val="007F00D0"/>
    <w:rsid w:val="007F0546"/>
    <w:rsid w:val="007F0754"/>
    <w:rsid w:val="007F1B28"/>
    <w:rsid w:val="007F1DEB"/>
    <w:rsid w:val="007F22A5"/>
    <w:rsid w:val="007F2A0B"/>
    <w:rsid w:val="007F2DC4"/>
    <w:rsid w:val="007F2E4B"/>
    <w:rsid w:val="007F367E"/>
    <w:rsid w:val="007F3B8F"/>
    <w:rsid w:val="007F413A"/>
    <w:rsid w:val="007F421D"/>
    <w:rsid w:val="007F4E09"/>
    <w:rsid w:val="007F5240"/>
    <w:rsid w:val="007F532E"/>
    <w:rsid w:val="007F5688"/>
    <w:rsid w:val="007F588F"/>
    <w:rsid w:val="007F5E63"/>
    <w:rsid w:val="007F617F"/>
    <w:rsid w:val="007F66A5"/>
    <w:rsid w:val="0080038A"/>
    <w:rsid w:val="0080065F"/>
    <w:rsid w:val="008006D9"/>
    <w:rsid w:val="00800B08"/>
    <w:rsid w:val="00800BDB"/>
    <w:rsid w:val="008011F2"/>
    <w:rsid w:val="00801588"/>
    <w:rsid w:val="00802807"/>
    <w:rsid w:val="00802CC5"/>
    <w:rsid w:val="00802DA0"/>
    <w:rsid w:val="00803139"/>
    <w:rsid w:val="0080313A"/>
    <w:rsid w:val="00803CE2"/>
    <w:rsid w:val="00803F46"/>
    <w:rsid w:val="008043A4"/>
    <w:rsid w:val="00804983"/>
    <w:rsid w:val="008051DE"/>
    <w:rsid w:val="00805594"/>
    <w:rsid w:val="00805659"/>
    <w:rsid w:val="0080593E"/>
    <w:rsid w:val="008069B2"/>
    <w:rsid w:val="0080733E"/>
    <w:rsid w:val="0080783D"/>
    <w:rsid w:val="008100B2"/>
    <w:rsid w:val="00810B66"/>
    <w:rsid w:val="00810CC2"/>
    <w:rsid w:val="00812C2A"/>
    <w:rsid w:val="00812FCB"/>
    <w:rsid w:val="0081324B"/>
    <w:rsid w:val="00813B80"/>
    <w:rsid w:val="00813DF0"/>
    <w:rsid w:val="0081440E"/>
    <w:rsid w:val="00814F4D"/>
    <w:rsid w:val="0081586E"/>
    <w:rsid w:val="00815CA2"/>
    <w:rsid w:val="00816193"/>
    <w:rsid w:val="008165E4"/>
    <w:rsid w:val="00816696"/>
    <w:rsid w:val="0081761A"/>
    <w:rsid w:val="00817682"/>
    <w:rsid w:val="008176E6"/>
    <w:rsid w:val="00817AD6"/>
    <w:rsid w:val="008209BC"/>
    <w:rsid w:val="00820F8F"/>
    <w:rsid w:val="00821157"/>
    <w:rsid w:val="00821702"/>
    <w:rsid w:val="00822563"/>
    <w:rsid w:val="00822613"/>
    <w:rsid w:val="00823472"/>
    <w:rsid w:val="008234BD"/>
    <w:rsid w:val="00823663"/>
    <w:rsid w:val="00823997"/>
    <w:rsid w:val="00823A7E"/>
    <w:rsid w:val="00824A8C"/>
    <w:rsid w:val="00825155"/>
    <w:rsid w:val="00825D4C"/>
    <w:rsid w:val="00825EB9"/>
    <w:rsid w:val="008261E9"/>
    <w:rsid w:val="00827461"/>
    <w:rsid w:val="008301A9"/>
    <w:rsid w:val="008301B7"/>
    <w:rsid w:val="008303E2"/>
    <w:rsid w:val="00830537"/>
    <w:rsid w:val="00830917"/>
    <w:rsid w:val="00830D99"/>
    <w:rsid w:val="0083169F"/>
    <w:rsid w:val="00831B7E"/>
    <w:rsid w:val="00833A8F"/>
    <w:rsid w:val="00833C13"/>
    <w:rsid w:val="00833D53"/>
    <w:rsid w:val="008341F8"/>
    <w:rsid w:val="00834FDE"/>
    <w:rsid w:val="008359DA"/>
    <w:rsid w:val="008359F3"/>
    <w:rsid w:val="00835C7F"/>
    <w:rsid w:val="00835DB6"/>
    <w:rsid w:val="00836AC2"/>
    <w:rsid w:val="00837D13"/>
    <w:rsid w:val="0084005B"/>
    <w:rsid w:val="0084051D"/>
    <w:rsid w:val="008406D5"/>
    <w:rsid w:val="008417E1"/>
    <w:rsid w:val="0084289D"/>
    <w:rsid w:val="00843798"/>
    <w:rsid w:val="00843BED"/>
    <w:rsid w:val="00843FB3"/>
    <w:rsid w:val="008444E7"/>
    <w:rsid w:val="008447C8"/>
    <w:rsid w:val="00844C5B"/>
    <w:rsid w:val="008451F5"/>
    <w:rsid w:val="00845856"/>
    <w:rsid w:val="00845944"/>
    <w:rsid w:val="00845DFB"/>
    <w:rsid w:val="00846833"/>
    <w:rsid w:val="00847B37"/>
    <w:rsid w:val="008501A4"/>
    <w:rsid w:val="008502F2"/>
    <w:rsid w:val="008505A1"/>
    <w:rsid w:val="00850817"/>
    <w:rsid w:val="008508FD"/>
    <w:rsid w:val="00850D6A"/>
    <w:rsid w:val="008511F2"/>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1A7"/>
    <w:rsid w:val="00857554"/>
    <w:rsid w:val="00857634"/>
    <w:rsid w:val="00857FFB"/>
    <w:rsid w:val="0086124E"/>
    <w:rsid w:val="00861B74"/>
    <w:rsid w:val="00862DB7"/>
    <w:rsid w:val="00864A10"/>
    <w:rsid w:val="00865089"/>
    <w:rsid w:val="008652C9"/>
    <w:rsid w:val="00865D8B"/>
    <w:rsid w:val="00866084"/>
    <w:rsid w:val="00866992"/>
    <w:rsid w:val="00866CA9"/>
    <w:rsid w:val="00867E32"/>
    <w:rsid w:val="0087057E"/>
    <w:rsid w:val="00870AAD"/>
    <w:rsid w:val="00871909"/>
    <w:rsid w:val="008720A6"/>
    <w:rsid w:val="00872942"/>
    <w:rsid w:val="0087361A"/>
    <w:rsid w:val="00873B76"/>
    <w:rsid w:val="0087469C"/>
    <w:rsid w:val="00874DB9"/>
    <w:rsid w:val="0087504D"/>
    <w:rsid w:val="0087568C"/>
    <w:rsid w:val="00875991"/>
    <w:rsid w:val="00875BB5"/>
    <w:rsid w:val="00876F26"/>
    <w:rsid w:val="008771B6"/>
    <w:rsid w:val="00877865"/>
    <w:rsid w:val="00877FDD"/>
    <w:rsid w:val="00880815"/>
    <w:rsid w:val="00880FED"/>
    <w:rsid w:val="00881415"/>
    <w:rsid w:val="0088186D"/>
    <w:rsid w:val="00881B40"/>
    <w:rsid w:val="00882A96"/>
    <w:rsid w:val="008841C8"/>
    <w:rsid w:val="0088463A"/>
    <w:rsid w:val="0088469F"/>
    <w:rsid w:val="00884BD3"/>
    <w:rsid w:val="00885076"/>
    <w:rsid w:val="00885367"/>
    <w:rsid w:val="008853CE"/>
    <w:rsid w:val="008855A4"/>
    <w:rsid w:val="00885871"/>
    <w:rsid w:val="00885989"/>
    <w:rsid w:val="00887082"/>
    <w:rsid w:val="0088722F"/>
    <w:rsid w:val="00887546"/>
    <w:rsid w:val="00887C8D"/>
    <w:rsid w:val="00887DC7"/>
    <w:rsid w:val="00890821"/>
    <w:rsid w:val="00890D3C"/>
    <w:rsid w:val="008913B4"/>
    <w:rsid w:val="00891434"/>
    <w:rsid w:val="00891FCC"/>
    <w:rsid w:val="00892702"/>
    <w:rsid w:val="00892BB8"/>
    <w:rsid w:val="00893014"/>
    <w:rsid w:val="008939C2"/>
    <w:rsid w:val="0089513A"/>
    <w:rsid w:val="008954E8"/>
    <w:rsid w:val="008961D5"/>
    <w:rsid w:val="008965FF"/>
    <w:rsid w:val="00896755"/>
    <w:rsid w:val="00896F38"/>
    <w:rsid w:val="008A019D"/>
    <w:rsid w:val="008A086B"/>
    <w:rsid w:val="008A0F0E"/>
    <w:rsid w:val="008A1565"/>
    <w:rsid w:val="008A2417"/>
    <w:rsid w:val="008A3976"/>
    <w:rsid w:val="008A4D6C"/>
    <w:rsid w:val="008A5034"/>
    <w:rsid w:val="008A5D49"/>
    <w:rsid w:val="008A5D4A"/>
    <w:rsid w:val="008A63CF"/>
    <w:rsid w:val="008A6952"/>
    <w:rsid w:val="008A69D6"/>
    <w:rsid w:val="008A6BDC"/>
    <w:rsid w:val="008A7429"/>
    <w:rsid w:val="008A751E"/>
    <w:rsid w:val="008A756C"/>
    <w:rsid w:val="008B0547"/>
    <w:rsid w:val="008B0D83"/>
    <w:rsid w:val="008B11A3"/>
    <w:rsid w:val="008B12E5"/>
    <w:rsid w:val="008B1FE5"/>
    <w:rsid w:val="008B2AD7"/>
    <w:rsid w:val="008B2E7E"/>
    <w:rsid w:val="008B2FF0"/>
    <w:rsid w:val="008B3A74"/>
    <w:rsid w:val="008B3D72"/>
    <w:rsid w:val="008B3DF6"/>
    <w:rsid w:val="008B3ED8"/>
    <w:rsid w:val="008B434A"/>
    <w:rsid w:val="008B4A47"/>
    <w:rsid w:val="008B50D8"/>
    <w:rsid w:val="008B58F9"/>
    <w:rsid w:val="008B5DA7"/>
    <w:rsid w:val="008B6640"/>
    <w:rsid w:val="008B79A7"/>
    <w:rsid w:val="008B7B55"/>
    <w:rsid w:val="008C12EF"/>
    <w:rsid w:val="008C15C2"/>
    <w:rsid w:val="008C1A4A"/>
    <w:rsid w:val="008C1AFD"/>
    <w:rsid w:val="008C25D0"/>
    <w:rsid w:val="008C26D0"/>
    <w:rsid w:val="008C2ABC"/>
    <w:rsid w:val="008C3730"/>
    <w:rsid w:val="008C39CB"/>
    <w:rsid w:val="008C3A5B"/>
    <w:rsid w:val="008C3D50"/>
    <w:rsid w:val="008C4823"/>
    <w:rsid w:val="008C5B71"/>
    <w:rsid w:val="008C67EB"/>
    <w:rsid w:val="008C6BCE"/>
    <w:rsid w:val="008C6D01"/>
    <w:rsid w:val="008C7039"/>
    <w:rsid w:val="008C7559"/>
    <w:rsid w:val="008D09E8"/>
    <w:rsid w:val="008D0E23"/>
    <w:rsid w:val="008D11E8"/>
    <w:rsid w:val="008D1890"/>
    <w:rsid w:val="008D2382"/>
    <w:rsid w:val="008D2EB8"/>
    <w:rsid w:val="008D2F21"/>
    <w:rsid w:val="008D3521"/>
    <w:rsid w:val="008D3570"/>
    <w:rsid w:val="008D40B3"/>
    <w:rsid w:val="008D421A"/>
    <w:rsid w:val="008D4846"/>
    <w:rsid w:val="008D5667"/>
    <w:rsid w:val="008D61B7"/>
    <w:rsid w:val="008D62A6"/>
    <w:rsid w:val="008D62ED"/>
    <w:rsid w:val="008D675C"/>
    <w:rsid w:val="008D6F5D"/>
    <w:rsid w:val="008D7CB3"/>
    <w:rsid w:val="008D7CB8"/>
    <w:rsid w:val="008E003A"/>
    <w:rsid w:val="008E08A4"/>
    <w:rsid w:val="008E15E3"/>
    <w:rsid w:val="008E2045"/>
    <w:rsid w:val="008E3380"/>
    <w:rsid w:val="008E4027"/>
    <w:rsid w:val="008E4C62"/>
    <w:rsid w:val="008E4E55"/>
    <w:rsid w:val="008E5FB2"/>
    <w:rsid w:val="008E727E"/>
    <w:rsid w:val="008E72E1"/>
    <w:rsid w:val="008E7D97"/>
    <w:rsid w:val="008F03C0"/>
    <w:rsid w:val="008F03CB"/>
    <w:rsid w:val="008F05FB"/>
    <w:rsid w:val="008F0B17"/>
    <w:rsid w:val="008F0F1C"/>
    <w:rsid w:val="008F136C"/>
    <w:rsid w:val="008F2619"/>
    <w:rsid w:val="008F2902"/>
    <w:rsid w:val="008F2FAB"/>
    <w:rsid w:val="008F3912"/>
    <w:rsid w:val="008F4047"/>
    <w:rsid w:val="008F4111"/>
    <w:rsid w:val="008F4593"/>
    <w:rsid w:val="008F5604"/>
    <w:rsid w:val="008F5AE6"/>
    <w:rsid w:val="008F660B"/>
    <w:rsid w:val="008F695F"/>
    <w:rsid w:val="00900146"/>
    <w:rsid w:val="00900516"/>
    <w:rsid w:val="009005CE"/>
    <w:rsid w:val="00900C17"/>
    <w:rsid w:val="00900CF2"/>
    <w:rsid w:val="00901376"/>
    <w:rsid w:val="00901659"/>
    <w:rsid w:val="0090188B"/>
    <w:rsid w:val="00901AF4"/>
    <w:rsid w:val="00901EE5"/>
    <w:rsid w:val="00901F83"/>
    <w:rsid w:val="009021A4"/>
    <w:rsid w:val="009028CD"/>
    <w:rsid w:val="00902A54"/>
    <w:rsid w:val="00903309"/>
    <w:rsid w:val="00904305"/>
    <w:rsid w:val="00904362"/>
    <w:rsid w:val="0090441C"/>
    <w:rsid w:val="009045D3"/>
    <w:rsid w:val="00904986"/>
    <w:rsid w:val="00904C5A"/>
    <w:rsid w:val="00904EC5"/>
    <w:rsid w:val="00910550"/>
    <w:rsid w:val="00910A48"/>
    <w:rsid w:val="00910C0D"/>
    <w:rsid w:val="0091159F"/>
    <w:rsid w:val="00912C43"/>
    <w:rsid w:val="0091308F"/>
    <w:rsid w:val="00913417"/>
    <w:rsid w:val="00913517"/>
    <w:rsid w:val="00913571"/>
    <w:rsid w:val="0091389B"/>
    <w:rsid w:val="0091406E"/>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11F2"/>
    <w:rsid w:val="00921A3E"/>
    <w:rsid w:val="00922061"/>
    <w:rsid w:val="009226F4"/>
    <w:rsid w:val="0092336E"/>
    <w:rsid w:val="009236AA"/>
    <w:rsid w:val="009238AF"/>
    <w:rsid w:val="009239AA"/>
    <w:rsid w:val="009245B5"/>
    <w:rsid w:val="009245D0"/>
    <w:rsid w:val="00924AB4"/>
    <w:rsid w:val="009252B5"/>
    <w:rsid w:val="0092578D"/>
    <w:rsid w:val="00925EF2"/>
    <w:rsid w:val="00925F3C"/>
    <w:rsid w:val="00926204"/>
    <w:rsid w:val="009265A0"/>
    <w:rsid w:val="00926984"/>
    <w:rsid w:val="009269E3"/>
    <w:rsid w:val="0093097F"/>
    <w:rsid w:val="00932208"/>
    <w:rsid w:val="00932814"/>
    <w:rsid w:val="00932ED6"/>
    <w:rsid w:val="009332F5"/>
    <w:rsid w:val="009339EB"/>
    <w:rsid w:val="00933A1D"/>
    <w:rsid w:val="00933F20"/>
    <w:rsid w:val="00934BAF"/>
    <w:rsid w:val="00934F64"/>
    <w:rsid w:val="00934F6D"/>
    <w:rsid w:val="00935493"/>
    <w:rsid w:val="009354B8"/>
    <w:rsid w:val="009355A2"/>
    <w:rsid w:val="00935C40"/>
    <w:rsid w:val="00935C79"/>
    <w:rsid w:val="00935F4D"/>
    <w:rsid w:val="00936158"/>
    <w:rsid w:val="009361D3"/>
    <w:rsid w:val="009373EF"/>
    <w:rsid w:val="009377EA"/>
    <w:rsid w:val="0093795C"/>
    <w:rsid w:val="00937DCB"/>
    <w:rsid w:val="00937EC9"/>
    <w:rsid w:val="00937F7E"/>
    <w:rsid w:val="0094001E"/>
    <w:rsid w:val="00940576"/>
    <w:rsid w:val="0094141F"/>
    <w:rsid w:val="00942022"/>
    <w:rsid w:val="009440DE"/>
    <w:rsid w:val="00944198"/>
    <w:rsid w:val="0094429F"/>
    <w:rsid w:val="009444E6"/>
    <w:rsid w:val="009449E0"/>
    <w:rsid w:val="00944A8E"/>
    <w:rsid w:val="0094541F"/>
    <w:rsid w:val="009455E6"/>
    <w:rsid w:val="0094589B"/>
    <w:rsid w:val="00947AEE"/>
    <w:rsid w:val="00950775"/>
    <w:rsid w:val="009509C0"/>
    <w:rsid w:val="0095290F"/>
    <w:rsid w:val="00952B9C"/>
    <w:rsid w:val="009530DC"/>
    <w:rsid w:val="00953422"/>
    <w:rsid w:val="00953B70"/>
    <w:rsid w:val="00954978"/>
    <w:rsid w:val="00955620"/>
    <w:rsid w:val="00955E2A"/>
    <w:rsid w:val="00956330"/>
    <w:rsid w:val="00956348"/>
    <w:rsid w:val="00956BA7"/>
    <w:rsid w:val="00956FD8"/>
    <w:rsid w:val="009575F7"/>
    <w:rsid w:val="00957E4B"/>
    <w:rsid w:val="0096021A"/>
    <w:rsid w:val="00960F73"/>
    <w:rsid w:val="00961346"/>
    <w:rsid w:val="0096169A"/>
    <w:rsid w:val="00961A86"/>
    <w:rsid w:val="009622D8"/>
    <w:rsid w:val="009624DE"/>
    <w:rsid w:val="00962F11"/>
    <w:rsid w:val="009642CA"/>
    <w:rsid w:val="00964559"/>
    <w:rsid w:val="00964BE5"/>
    <w:rsid w:val="00964F2B"/>
    <w:rsid w:val="009652B6"/>
    <w:rsid w:val="00965D55"/>
    <w:rsid w:val="009664D4"/>
    <w:rsid w:val="0096655D"/>
    <w:rsid w:val="009671A7"/>
    <w:rsid w:val="009675D1"/>
    <w:rsid w:val="009705AB"/>
    <w:rsid w:val="009707B6"/>
    <w:rsid w:val="00970E8A"/>
    <w:rsid w:val="00971139"/>
    <w:rsid w:val="009712B4"/>
    <w:rsid w:val="00971F5D"/>
    <w:rsid w:val="00972B10"/>
    <w:rsid w:val="00973B6E"/>
    <w:rsid w:val="00973F4A"/>
    <w:rsid w:val="0097401F"/>
    <w:rsid w:val="0097465C"/>
    <w:rsid w:val="00974DB6"/>
    <w:rsid w:val="00974E53"/>
    <w:rsid w:val="00975602"/>
    <w:rsid w:val="00975E28"/>
    <w:rsid w:val="00976F32"/>
    <w:rsid w:val="00977D85"/>
    <w:rsid w:val="00980C3D"/>
    <w:rsid w:val="00981234"/>
    <w:rsid w:val="00981F17"/>
    <w:rsid w:val="00981FA0"/>
    <w:rsid w:val="00982496"/>
    <w:rsid w:val="009825AE"/>
    <w:rsid w:val="0098263A"/>
    <w:rsid w:val="00983541"/>
    <w:rsid w:val="00984366"/>
    <w:rsid w:val="00984666"/>
    <w:rsid w:val="009848A7"/>
    <w:rsid w:val="00984E80"/>
    <w:rsid w:val="0098634E"/>
    <w:rsid w:val="0098690F"/>
    <w:rsid w:val="0098701B"/>
    <w:rsid w:val="009870A0"/>
    <w:rsid w:val="009870AB"/>
    <w:rsid w:val="00987994"/>
    <w:rsid w:val="00987C66"/>
    <w:rsid w:val="00987EE5"/>
    <w:rsid w:val="009900F0"/>
    <w:rsid w:val="00990180"/>
    <w:rsid w:val="009902E1"/>
    <w:rsid w:val="00991CD8"/>
    <w:rsid w:val="00991EBE"/>
    <w:rsid w:val="00992277"/>
    <w:rsid w:val="009928B3"/>
    <w:rsid w:val="00992B6B"/>
    <w:rsid w:val="00992C88"/>
    <w:rsid w:val="00993C2E"/>
    <w:rsid w:val="00993D33"/>
    <w:rsid w:val="00994618"/>
    <w:rsid w:val="00994F60"/>
    <w:rsid w:val="00995151"/>
    <w:rsid w:val="00995DF2"/>
    <w:rsid w:val="00997905"/>
    <w:rsid w:val="00997A8C"/>
    <w:rsid w:val="00997B80"/>
    <w:rsid w:val="00997C8A"/>
    <w:rsid w:val="009A019F"/>
    <w:rsid w:val="009A0493"/>
    <w:rsid w:val="009A0547"/>
    <w:rsid w:val="009A0E89"/>
    <w:rsid w:val="009A0F40"/>
    <w:rsid w:val="009A1339"/>
    <w:rsid w:val="009A188A"/>
    <w:rsid w:val="009A1A95"/>
    <w:rsid w:val="009A1BCF"/>
    <w:rsid w:val="009A1C41"/>
    <w:rsid w:val="009A1D11"/>
    <w:rsid w:val="009A26E9"/>
    <w:rsid w:val="009A2CCC"/>
    <w:rsid w:val="009A3006"/>
    <w:rsid w:val="009A3994"/>
    <w:rsid w:val="009A3BB3"/>
    <w:rsid w:val="009A4241"/>
    <w:rsid w:val="009A532D"/>
    <w:rsid w:val="009A59FF"/>
    <w:rsid w:val="009B03E8"/>
    <w:rsid w:val="009B09BF"/>
    <w:rsid w:val="009B0E76"/>
    <w:rsid w:val="009B0F4A"/>
    <w:rsid w:val="009B1B10"/>
    <w:rsid w:val="009B1DAD"/>
    <w:rsid w:val="009B2107"/>
    <w:rsid w:val="009B23FD"/>
    <w:rsid w:val="009B2FB9"/>
    <w:rsid w:val="009B3134"/>
    <w:rsid w:val="009B436E"/>
    <w:rsid w:val="009B4598"/>
    <w:rsid w:val="009B4C24"/>
    <w:rsid w:val="009B4E58"/>
    <w:rsid w:val="009B57F6"/>
    <w:rsid w:val="009B5B0F"/>
    <w:rsid w:val="009B5D6F"/>
    <w:rsid w:val="009B62AF"/>
    <w:rsid w:val="009B6745"/>
    <w:rsid w:val="009B68AF"/>
    <w:rsid w:val="009B74EA"/>
    <w:rsid w:val="009B7AB9"/>
    <w:rsid w:val="009C33CA"/>
    <w:rsid w:val="009C34B1"/>
    <w:rsid w:val="009C35D6"/>
    <w:rsid w:val="009C3EB1"/>
    <w:rsid w:val="009C42D1"/>
    <w:rsid w:val="009C4359"/>
    <w:rsid w:val="009C4B6D"/>
    <w:rsid w:val="009C57AC"/>
    <w:rsid w:val="009C5B2F"/>
    <w:rsid w:val="009C5EDE"/>
    <w:rsid w:val="009C62B6"/>
    <w:rsid w:val="009C656F"/>
    <w:rsid w:val="009C6ECD"/>
    <w:rsid w:val="009C7099"/>
    <w:rsid w:val="009C72E6"/>
    <w:rsid w:val="009D0105"/>
    <w:rsid w:val="009D053E"/>
    <w:rsid w:val="009D0928"/>
    <w:rsid w:val="009D1941"/>
    <w:rsid w:val="009D1B99"/>
    <w:rsid w:val="009D1DD8"/>
    <w:rsid w:val="009D25F9"/>
    <w:rsid w:val="009D2884"/>
    <w:rsid w:val="009D2A4F"/>
    <w:rsid w:val="009D3407"/>
    <w:rsid w:val="009D3B41"/>
    <w:rsid w:val="009D45C8"/>
    <w:rsid w:val="009D4D44"/>
    <w:rsid w:val="009D4FF7"/>
    <w:rsid w:val="009D5393"/>
    <w:rsid w:val="009D5445"/>
    <w:rsid w:val="009D565F"/>
    <w:rsid w:val="009D5DFA"/>
    <w:rsid w:val="009D6026"/>
    <w:rsid w:val="009D65B9"/>
    <w:rsid w:val="009D6C11"/>
    <w:rsid w:val="009D70EE"/>
    <w:rsid w:val="009D7194"/>
    <w:rsid w:val="009D733B"/>
    <w:rsid w:val="009E04DC"/>
    <w:rsid w:val="009E0931"/>
    <w:rsid w:val="009E0FB3"/>
    <w:rsid w:val="009E106E"/>
    <w:rsid w:val="009E1605"/>
    <w:rsid w:val="009E1C20"/>
    <w:rsid w:val="009E35AB"/>
    <w:rsid w:val="009E370E"/>
    <w:rsid w:val="009E3B5A"/>
    <w:rsid w:val="009E3E85"/>
    <w:rsid w:val="009E4562"/>
    <w:rsid w:val="009E46D3"/>
    <w:rsid w:val="009E488C"/>
    <w:rsid w:val="009E48E4"/>
    <w:rsid w:val="009E5105"/>
    <w:rsid w:val="009E593F"/>
    <w:rsid w:val="009E59A1"/>
    <w:rsid w:val="009E66EE"/>
    <w:rsid w:val="009F015D"/>
    <w:rsid w:val="009F01DB"/>
    <w:rsid w:val="009F1041"/>
    <w:rsid w:val="009F202B"/>
    <w:rsid w:val="009F20C6"/>
    <w:rsid w:val="009F37BF"/>
    <w:rsid w:val="009F4326"/>
    <w:rsid w:val="009F4D5E"/>
    <w:rsid w:val="009F7078"/>
    <w:rsid w:val="009F7BB2"/>
    <w:rsid w:val="009F7FA6"/>
    <w:rsid w:val="00A00028"/>
    <w:rsid w:val="00A0082F"/>
    <w:rsid w:val="00A00AE7"/>
    <w:rsid w:val="00A01593"/>
    <w:rsid w:val="00A016AA"/>
    <w:rsid w:val="00A0244C"/>
    <w:rsid w:val="00A02A53"/>
    <w:rsid w:val="00A033FF"/>
    <w:rsid w:val="00A03FA4"/>
    <w:rsid w:val="00A0409E"/>
    <w:rsid w:val="00A046C7"/>
    <w:rsid w:val="00A04E2C"/>
    <w:rsid w:val="00A04EDA"/>
    <w:rsid w:val="00A05840"/>
    <w:rsid w:val="00A06137"/>
    <w:rsid w:val="00A063FE"/>
    <w:rsid w:val="00A068E3"/>
    <w:rsid w:val="00A06C38"/>
    <w:rsid w:val="00A06EDB"/>
    <w:rsid w:val="00A07ACC"/>
    <w:rsid w:val="00A11259"/>
    <w:rsid w:val="00A11269"/>
    <w:rsid w:val="00A11BFE"/>
    <w:rsid w:val="00A122A9"/>
    <w:rsid w:val="00A123F2"/>
    <w:rsid w:val="00A131A1"/>
    <w:rsid w:val="00A1329C"/>
    <w:rsid w:val="00A138CF"/>
    <w:rsid w:val="00A14503"/>
    <w:rsid w:val="00A14E25"/>
    <w:rsid w:val="00A14E81"/>
    <w:rsid w:val="00A14F00"/>
    <w:rsid w:val="00A15901"/>
    <w:rsid w:val="00A16331"/>
    <w:rsid w:val="00A16896"/>
    <w:rsid w:val="00A16A60"/>
    <w:rsid w:val="00A17A3D"/>
    <w:rsid w:val="00A17BC7"/>
    <w:rsid w:val="00A20252"/>
    <w:rsid w:val="00A203C2"/>
    <w:rsid w:val="00A2062A"/>
    <w:rsid w:val="00A2065D"/>
    <w:rsid w:val="00A2066E"/>
    <w:rsid w:val="00A20765"/>
    <w:rsid w:val="00A21E19"/>
    <w:rsid w:val="00A21EE2"/>
    <w:rsid w:val="00A2246A"/>
    <w:rsid w:val="00A22796"/>
    <w:rsid w:val="00A22B7C"/>
    <w:rsid w:val="00A233F6"/>
    <w:rsid w:val="00A2348F"/>
    <w:rsid w:val="00A236A1"/>
    <w:rsid w:val="00A239A8"/>
    <w:rsid w:val="00A24599"/>
    <w:rsid w:val="00A24FBC"/>
    <w:rsid w:val="00A25B79"/>
    <w:rsid w:val="00A25D7B"/>
    <w:rsid w:val="00A260A0"/>
    <w:rsid w:val="00A273A9"/>
    <w:rsid w:val="00A2773E"/>
    <w:rsid w:val="00A27FF0"/>
    <w:rsid w:val="00A300CB"/>
    <w:rsid w:val="00A30683"/>
    <w:rsid w:val="00A3115F"/>
    <w:rsid w:val="00A3194F"/>
    <w:rsid w:val="00A31BFC"/>
    <w:rsid w:val="00A32209"/>
    <w:rsid w:val="00A32BA0"/>
    <w:rsid w:val="00A32D77"/>
    <w:rsid w:val="00A32DFD"/>
    <w:rsid w:val="00A32F2C"/>
    <w:rsid w:val="00A33030"/>
    <w:rsid w:val="00A3314D"/>
    <w:rsid w:val="00A34307"/>
    <w:rsid w:val="00A35A7A"/>
    <w:rsid w:val="00A36427"/>
    <w:rsid w:val="00A378A2"/>
    <w:rsid w:val="00A37CAC"/>
    <w:rsid w:val="00A4070F"/>
    <w:rsid w:val="00A4076B"/>
    <w:rsid w:val="00A407B6"/>
    <w:rsid w:val="00A40CDE"/>
    <w:rsid w:val="00A41298"/>
    <w:rsid w:val="00A417D4"/>
    <w:rsid w:val="00A418FF"/>
    <w:rsid w:val="00A41D00"/>
    <w:rsid w:val="00A422EE"/>
    <w:rsid w:val="00A42F3E"/>
    <w:rsid w:val="00A43D01"/>
    <w:rsid w:val="00A43FBD"/>
    <w:rsid w:val="00A43FD4"/>
    <w:rsid w:val="00A44703"/>
    <w:rsid w:val="00A4568D"/>
    <w:rsid w:val="00A4679A"/>
    <w:rsid w:val="00A473D7"/>
    <w:rsid w:val="00A5205B"/>
    <w:rsid w:val="00A5219C"/>
    <w:rsid w:val="00A52D8E"/>
    <w:rsid w:val="00A52DA1"/>
    <w:rsid w:val="00A53AA9"/>
    <w:rsid w:val="00A54367"/>
    <w:rsid w:val="00A5485E"/>
    <w:rsid w:val="00A5499C"/>
    <w:rsid w:val="00A54CCB"/>
    <w:rsid w:val="00A560D5"/>
    <w:rsid w:val="00A57301"/>
    <w:rsid w:val="00A574DE"/>
    <w:rsid w:val="00A5757E"/>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94D"/>
    <w:rsid w:val="00A6604B"/>
    <w:rsid w:val="00A664AD"/>
    <w:rsid w:val="00A664E7"/>
    <w:rsid w:val="00A66E7F"/>
    <w:rsid w:val="00A66F54"/>
    <w:rsid w:val="00A673A7"/>
    <w:rsid w:val="00A6786C"/>
    <w:rsid w:val="00A678AB"/>
    <w:rsid w:val="00A67917"/>
    <w:rsid w:val="00A679B0"/>
    <w:rsid w:val="00A67F19"/>
    <w:rsid w:val="00A70225"/>
    <w:rsid w:val="00A702A3"/>
    <w:rsid w:val="00A70517"/>
    <w:rsid w:val="00A70904"/>
    <w:rsid w:val="00A709BB"/>
    <w:rsid w:val="00A72239"/>
    <w:rsid w:val="00A7377A"/>
    <w:rsid w:val="00A740EA"/>
    <w:rsid w:val="00A740EF"/>
    <w:rsid w:val="00A74597"/>
    <w:rsid w:val="00A74A7D"/>
    <w:rsid w:val="00A756FE"/>
    <w:rsid w:val="00A759BE"/>
    <w:rsid w:val="00A75C52"/>
    <w:rsid w:val="00A764E0"/>
    <w:rsid w:val="00A767B2"/>
    <w:rsid w:val="00A7717C"/>
    <w:rsid w:val="00A7717E"/>
    <w:rsid w:val="00A77CCE"/>
    <w:rsid w:val="00A80549"/>
    <w:rsid w:val="00A80B0C"/>
    <w:rsid w:val="00A81367"/>
    <w:rsid w:val="00A819D7"/>
    <w:rsid w:val="00A81B11"/>
    <w:rsid w:val="00A82229"/>
    <w:rsid w:val="00A8244E"/>
    <w:rsid w:val="00A827FC"/>
    <w:rsid w:val="00A82B9E"/>
    <w:rsid w:val="00A82D16"/>
    <w:rsid w:val="00A82F78"/>
    <w:rsid w:val="00A831CF"/>
    <w:rsid w:val="00A831FB"/>
    <w:rsid w:val="00A8358F"/>
    <w:rsid w:val="00A83BC5"/>
    <w:rsid w:val="00A84186"/>
    <w:rsid w:val="00A846F1"/>
    <w:rsid w:val="00A857B4"/>
    <w:rsid w:val="00A85B14"/>
    <w:rsid w:val="00A85B90"/>
    <w:rsid w:val="00A8674E"/>
    <w:rsid w:val="00A875C0"/>
    <w:rsid w:val="00A87C15"/>
    <w:rsid w:val="00A90925"/>
    <w:rsid w:val="00A925D7"/>
    <w:rsid w:val="00A92706"/>
    <w:rsid w:val="00A92939"/>
    <w:rsid w:val="00A92CF1"/>
    <w:rsid w:val="00A93190"/>
    <w:rsid w:val="00A93DAF"/>
    <w:rsid w:val="00A93E6F"/>
    <w:rsid w:val="00A9439C"/>
    <w:rsid w:val="00A943F8"/>
    <w:rsid w:val="00A9526B"/>
    <w:rsid w:val="00A96195"/>
    <w:rsid w:val="00A962D6"/>
    <w:rsid w:val="00A9668E"/>
    <w:rsid w:val="00A9704A"/>
    <w:rsid w:val="00A97395"/>
    <w:rsid w:val="00A9741A"/>
    <w:rsid w:val="00A97698"/>
    <w:rsid w:val="00A97AD0"/>
    <w:rsid w:val="00AA0276"/>
    <w:rsid w:val="00AA0776"/>
    <w:rsid w:val="00AA0874"/>
    <w:rsid w:val="00AA0C5B"/>
    <w:rsid w:val="00AA0CE7"/>
    <w:rsid w:val="00AA1110"/>
    <w:rsid w:val="00AA1377"/>
    <w:rsid w:val="00AA1D1B"/>
    <w:rsid w:val="00AA2167"/>
    <w:rsid w:val="00AA2755"/>
    <w:rsid w:val="00AA33BD"/>
    <w:rsid w:val="00AA34B8"/>
    <w:rsid w:val="00AA421C"/>
    <w:rsid w:val="00AA4590"/>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2C8"/>
    <w:rsid w:val="00AB16B1"/>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B25"/>
    <w:rsid w:val="00AC0BAE"/>
    <w:rsid w:val="00AC0E78"/>
    <w:rsid w:val="00AC126F"/>
    <w:rsid w:val="00AC13D9"/>
    <w:rsid w:val="00AC13F7"/>
    <w:rsid w:val="00AC1BD7"/>
    <w:rsid w:val="00AC1E9C"/>
    <w:rsid w:val="00AC2005"/>
    <w:rsid w:val="00AC3256"/>
    <w:rsid w:val="00AC3304"/>
    <w:rsid w:val="00AC3DC0"/>
    <w:rsid w:val="00AC426D"/>
    <w:rsid w:val="00AC43D2"/>
    <w:rsid w:val="00AC47AE"/>
    <w:rsid w:val="00AC4A94"/>
    <w:rsid w:val="00AC4B34"/>
    <w:rsid w:val="00AC4F91"/>
    <w:rsid w:val="00AC50A6"/>
    <w:rsid w:val="00AC66A0"/>
    <w:rsid w:val="00AC6DE2"/>
    <w:rsid w:val="00AC70D4"/>
    <w:rsid w:val="00AC737D"/>
    <w:rsid w:val="00AC7655"/>
    <w:rsid w:val="00AC7F43"/>
    <w:rsid w:val="00AD0007"/>
    <w:rsid w:val="00AD05A6"/>
    <w:rsid w:val="00AD2262"/>
    <w:rsid w:val="00AD22C5"/>
    <w:rsid w:val="00AD283D"/>
    <w:rsid w:val="00AD294A"/>
    <w:rsid w:val="00AD3920"/>
    <w:rsid w:val="00AD4D66"/>
    <w:rsid w:val="00AD5922"/>
    <w:rsid w:val="00AD5F80"/>
    <w:rsid w:val="00AD6555"/>
    <w:rsid w:val="00AD6F4A"/>
    <w:rsid w:val="00AD77D3"/>
    <w:rsid w:val="00AD791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7F7"/>
    <w:rsid w:val="00AF3A05"/>
    <w:rsid w:val="00AF44C8"/>
    <w:rsid w:val="00AF4BF4"/>
    <w:rsid w:val="00AF4BF9"/>
    <w:rsid w:val="00AF551F"/>
    <w:rsid w:val="00AF5706"/>
    <w:rsid w:val="00AF6EEF"/>
    <w:rsid w:val="00B0025D"/>
    <w:rsid w:val="00B006D8"/>
    <w:rsid w:val="00B02174"/>
    <w:rsid w:val="00B02238"/>
    <w:rsid w:val="00B02892"/>
    <w:rsid w:val="00B0313D"/>
    <w:rsid w:val="00B03337"/>
    <w:rsid w:val="00B035B0"/>
    <w:rsid w:val="00B03D35"/>
    <w:rsid w:val="00B03DE4"/>
    <w:rsid w:val="00B0458A"/>
    <w:rsid w:val="00B0487B"/>
    <w:rsid w:val="00B04AEB"/>
    <w:rsid w:val="00B05065"/>
    <w:rsid w:val="00B05194"/>
    <w:rsid w:val="00B0540F"/>
    <w:rsid w:val="00B059A9"/>
    <w:rsid w:val="00B061FF"/>
    <w:rsid w:val="00B0688D"/>
    <w:rsid w:val="00B06AA0"/>
    <w:rsid w:val="00B06B45"/>
    <w:rsid w:val="00B06D33"/>
    <w:rsid w:val="00B074B3"/>
    <w:rsid w:val="00B07937"/>
    <w:rsid w:val="00B103C5"/>
    <w:rsid w:val="00B1041F"/>
    <w:rsid w:val="00B10AD8"/>
    <w:rsid w:val="00B1231B"/>
    <w:rsid w:val="00B12904"/>
    <w:rsid w:val="00B12B44"/>
    <w:rsid w:val="00B12B95"/>
    <w:rsid w:val="00B1394E"/>
    <w:rsid w:val="00B13DA6"/>
    <w:rsid w:val="00B141BB"/>
    <w:rsid w:val="00B149B2"/>
    <w:rsid w:val="00B14F7F"/>
    <w:rsid w:val="00B154B5"/>
    <w:rsid w:val="00B1664E"/>
    <w:rsid w:val="00B17074"/>
    <w:rsid w:val="00B17303"/>
    <w:rsid w:val="00B1744E"/>
    <w:rsid w:val="00B17CA4"/>
    <w:rsid w:val="00B17FBB"/>
    <w:rsid w:val="00B20833"/>
    <w:rsid w:val="00B21343"/>
    <w:rsid w:val="00B219AA"/>
    <w:rsid w:val="00B21A5B"/>
    <w:rsid w:val="00B21D99"/>
    <w:rsid w:val="00B221C7"/>
    <w:rsid w:val="00B2282A"/>
    <w:rsid w:val="00B22D6E"/>
    <w:rsid w:val="00B23135"/>
    <w:rsid w:val="00B23522"/>
    <w:rsid w:val="00B2388A"/>
    <w:rsid w:val="00B23FFE"/>
    <w:rsid w:val="00B243EB"/>
    <w:rsid w:val="00B24C80"/>
    <w:rsid w:val="00B24FB1"/>
    <w:rsid w:val="00B25143"/>
    <w:rsid w:val="00B25825"/>
    <w:rsid w:val="00B2585D"/>
    <w:rsid w:val="00B25962"/>
    <w:rsid w:val="00B266FA"/>
    <w:rsid w:val="00B269DB"/>
    <w:rsid w:val="00B26A9C"/>
    <w:rsid w:val="00B26C40"/>
    <w:rsid w:val="00B26D82"/>
    <w:rsid w:val="00B27359"/>
    <w:rsid w:val="00B30B4B"/>
    <w:rsid w:val="00B30BA2"/>
    <w:rsid w:val="00B30E29"/>
    <w:rsid w:val="00B30F71"/>
    <w:rsid w:val="00B3172B"/>
    <w:rsid w:val="00B3194F"/>
    <w:rsid w:val="00B31C49"/>
    <w:rsid w:val="00B31DDF"/>
    <w:rsid w:val="00B32EB9"/>
    <w:rsid w:val="00B3312D"/>
    <w:rsid w:val="00B33B47"/>
    <w:rsid w:val="00B33D16"/>
    <w:rsid w:val="00B33F57"/>
    <w:rsid w:val="00B33FC2"/>
    <w:rsid w:val="00B3423E"/>
    <w:rsid w:val="00B342A1"/>
    <w:rsid w:val="00B347F1"/>
    <w:rsid w:val="00B34A99"/>
    <w:rsid w:val="00B34CFF"/>
    <w:rsid w:val="00B3502B"/>
    <w:rsid w:val="00B3537B"/>
    <w:rsid w:val="00B35755"/>
    <w:rsid w:val="00B35774"/>
    <w:rsid w:val="00B3599F"/>
    <w:rsid w:val="00B35C3E"/>
    <w:rsid w:val="00B36473"/>
    <w:rsid w:val="00B3656D"/>
    <w:rsid w:val="00B37B12"/>
    <w:rsid w:val="00B408FD"/>
    <w:rsid w:val="00B40A2D"/>
    <w:rsid w:val="00B40BEA"/>
    <w:rsid w:val="00B40EC3"/>
    <w:rsid w:val="00B4140A"/>
    <w:rsid w:val="00B414C9"/>
    <w:rsid w:val="00B4167C"/>
    <w:rsid w:val="00B41D9D"/>
    <w:rsid w:val="00B4220C"/>
    <w:rsid w:val="00B42DCD"/>
    <w:rsid w:val="00B43B2D"/>
    <w:rsid w:val="00B44029"/>
    <w:rsid w:val="00B44FFA"/>
    <w:rsid w:val="00B451D8"/>
    <w:rsid w:val="00B45428"/>
    <w:rsid w:val="00B461F8"/>
    <w:rsid w:val="00B46FA5"/>
    <w:rsid w:val="00B47165"/>
    <w:rsid w:val="00B475CB"/>
    <w:rsid w:val="00B477A4"/>
    <w:rsid w:val="00B47943"/>
    <w:rsid w:val="00B47959"/>
    <w:rsid w:val="00B47DE3"/>
    <w:rsid w:val="00B50446"/>
    <w:rsid w:val="00B506FA"/>
    <w:rsid w:val="00B50A6E"/>
    <w:rsid w:val="00B5102C"/>
    <w:rsid w:val="00B512D2"/>
    <w:rsid w:val="00B51A42"/>
    <w:rsid w:val="00B527BF"/>
    <w:rsid w:val="00B52AF7"/>
    <w:rsid w:val="00B52C0E"/>
    <w:rsid w:val="00B52DC6"/>
    <w:rsid w:val="00B530FD"/>
    <w:rsid w:val="00B53730"/>
    <w:rsid w:val="00B53905"/>
    <w:rsid w:val="00B53920"/>
    <w:rsid w:val="00B53C03"/>
    <w:rsid w:val="00B53C9C"/>
    <w:rsid w:val="00B54B68"/>
    <w:rsid w:val="00B55219"/>
    <w:rsid w:val="00B558FE"/>
    <w:rsid w:val="00B55D1A"/>
    <w:rsid w:val="00B55D4A"/>
    <w:rsid w:val="00B56396"/>
    <w:rsid w:val="00B5639B"/>
    <w:rsid w:val="00B563B5"/>
    <w:rsid w:val="00B5676B"/>
    <w:rsid w:val="00B5696B"/>
    <w:rsid w:val="00B56DFF"/>
    <w:rsid w:val="00B609C5"/>
    <w:rsid w:val="00B60B63"/>
    <w:rsid w:val="00B60C3E"/>
    <w:rsid w:val="00B610BA"/>
    <w:rsid w:val="00B615CB"/>
    <w:rsid w:val="00B616D8"/>
    <w:rsid w:val="00B61E41"/>
    <w:rsid w:val="00B62AE0"/>
    <w:rsid w:val="00B63964"/>
    <w:rsid w:val="00B63E30"/>
    <w:rsid w:val="00B645FA"/>
    <w:rsid w:val="00B64775"/>
    <w:rsid w:val="00B64F04"/>
    <w:rsid w:val="00B657AB"/>
    <w:rsid w:val="00B65AF9"/>
    <w:rsid w:val="00B65FF0"/>
    <w:rsid w:val="00B663CD"/>
    <w:rsid w:val="00B67AB1"/>
    <w:rsid w:val="00B67B4F"/>
    <w:rsid w:val="00B67E6B"/>
    <w:rsid w:val="00B702CD"/>
    <w:rsid w:val="00B71A1D"/>
    <w:rsid w:val="00B71BBB"/>
    <w:rsid w:val="00B71D73"/>
    <w:rsid w:val="00B72089"/>
    <w:rsid w:val="00B72EBB"/>
    <w:rsid w:val="00B7305E"/>
    <w:rsid w:val="00B73288"/>
    <w:rsid w:val="00B73B28"/>
    <w:rsid w:val="00B74FE2"/>
    <w:rsid w:val="00B763BE"/>
    <w:rsid w:val="00B7749A"/>
    <w:rsid w:val="00B779BB"/>
    <w:rsid w:val="00B77A5A"/>
    <w:rsid w:val="00B77B07"/>
    <w:rsid w:val="00B77BB8"/>
    <w:rsid w:val="00B800EC"/>
    <w:rsid w:val="00B80561"/>
    <w:rsid w:val="00B8103D"/>
    <w:rsid w:val="00B81718"/>
    <w:rsid w:val="00B8325B"/>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C52"/>
    <w:rsid w:val="00B92BC7"/>
    <w:rsid w:val="00B9307F"/>
    <w:rsid w:val="00B9389E"/>
    <w:rsid w:val="00B946A8"/>
    <w:rsid w:val="00B94EB5"/>
    <w:rsid w:val="00B95110"/>
    <w:rsid w:val="00B95511"/>
    <w:rsid w:val="00B95F6F"/>
    <w:rsid w:val="00B95FC8"/>
    <w:rsid w:val="00B966FB"/>
    <w:rsid w:val="00B96EA4"/>
    <w:rsid w:val="00B97282"/>
    <w:rsid w:val="00B97A3E"/>
    <w:rsid w:val="00B97A65"/>
    <w:rsid w:val="00B97D3D"/>
    <w:rsid w:val="00B97DE9"/>
    <w:rsid w:val="00BA07B1"/>
    <w:rsid w:val="00BA101D"/>
    <w:rsid w:val="00BA2089"/>
    <w:rsid w:val="00BA2F02"/>
    <w:rsid w:val="00BA2FFD"/>
    <w:rsid w:val="00BA3492"/>
    <w:rsid w:val="00BA3608"/>
    <w:rsid w:val="00BA428A"/>
    <w:rsid w:val="00BA4ED9"/>
    <w:rsid w:val="00BA5023"/>
    <w:rsid w:val="00BA5365"/>
    <w:rsid w:val="00BA56EB"/>
    <w:rsid w:val="00BA58B6"/>
    <w:rsid w:val="00BA5B30"/>
    <w:rsid w:val="00BA62AD"/>
    <w:rsid w:val="00BA6DBD"/>
    <w:rsid w:val="00BB0267"/>
    <w:rsid w:val="00BB078B"/>
    <w:rsid w:val="00BB0DE7"/>
    <w:rsid w:val="00BB0E0C"/>
    <w:rsid w:val="00BB135F"/>
    <w:rsid w:val="00BB2B25"/>
    <w:rsid w:val="00BB30EA"/>
    <w:rsid w:val="00BB35B6"/>
    <w:rsid w:val="00BB37AF"/>
    <w:rsid w:val="00BB3BBC"/>
    <w:rsid w:val="00BB4011"/>
    <w:rsid w:val="00BB4769"/>
    <w:rsid w:val="00BB49D4"/>
    <w:rsid w:val="00BB4C08"/>
    <w:rsid w:val="00BB4FDA"/>
    <w:rsid w:val="00BB61BE"/>
    <w:rsid w:val="00BB6AC3"/>
    <w:rsid w:val="00BB779D"/>
    <w:rsid w:val="00BB7C9F"/>
    <w:rsid w:val="00BC050A"/>
    <w:rsid w:val="00BC066A"/>
    <w:rsid w:val="00BC122C"/>
    <w:rsid w:val="00BC17A9"/>
    <w:rsid w:val="00BC1866"/>
    <w:rsid w:val="00BC1DBD"/>
    <w:rsid w:val="00BC220C"/>
    <w:rsid w:val="00BC2414"/>
    <w:rsid w:val="00BC322A"/>
    <w:rsid w:val="00BC45D9"/>
    <w:rsid w:val="00BC4A4E"/>
    <w:rsid w:val="00BC4D16"/>
    <w:rsid w:val="00BC5092"/>
    <w:rsid w:val="00BC526B"/>
    <w:rsid w:val="00BC5737"/>
    <w:rsid w:val="00BC5EB0"/>
    <w:rsid w:val="00BC6274"/>
    <w:rsid w:val="00BC64D9"/>
    <w:rsid w:val="00BC65A7"/>
    <w:rsid w:val="00BC6D81"/>
    <w:rsid w:val="00BD0DA1"/>
    <w:rsid w:val="00BD130A"/>
    <w:rsid w:val="00BD151C"/>
    <w:rsid w:val="00BD1747"/>
    <w:rsid w:val="00BD3A51"/>
    <w:rsid w:val="00BD3C1A"/>
    <w:rsid w:val="00BD3C68"/>
    <w:rsid w:val="00BD421D"/>
    <w:rsid w:val="00BD4493"/>
    <w:rsid w:val="00BD5052"/>
    <w:rsid w:val="00BD5413"/>
    <w:rsid w:val="00BD6B87"/>
    <w:rsid w:val="00BD6CFA"/>
    <w:rsid w:val="00BD6EF4"/>
    <w:rsid w:val="00BD73FC"/>
    <w:rsid w:val="00BD79B1"/>
    <w:rsid w:val="00BE00E2"/>
    <w:rsid w:val="00BE03D0"/>
    <w:rsid w:val="00BE04D9"/>
    <w:rsid w:val="00BE08EF"/>
    <w:rsid w:val="00BE0BCC"/>
    <w:rsid w:val="00BE1722"/>
    <w:rsid w:val="00BE1FEF"/>
    <w:rsid w:val="00BE29B0"/>
    <w:rsid w:val="00BE2B81"/>
    <w:rsid w:val="00BE348F"/>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E7F6A"/>
    <w:rsid w:val="00BF05CA"/>
    <w:rsid w:val="00BF10E8"/>
    <w:rsid w:val="00BF1376"/>
    <w:rsid w:val="00BF2033"/>
    <w:rsid w:val="00BF2C93"/>
    <w:rsid w:val="00BF3158"/>
    <w:rsid w:val="00BF3169"/>
    <w:rsid w:val="00BF34E0"/>
    <w:rsid w:val="00BF3911"/>
    <w:rsid w:val="00BF3BD1"/>
    <w:rsid w:val="00BF51B7"/>
    <w:rsid w:val="00BF5491"/>
    <w:rsid w:val="00BF56BE"/>
    <w:rsid w:val="00BF6676"/>
    <w:rsid w:val="00BF6B8D"/>
    <w:rsid w:val="00BF7BD9"/>
    <w:rsid w:val="00C004DD"/>
    <w:rsid w:val="00C00953"/>
    <w:rsid w:val="00C00C95"/>
    <w:rsid w:val="00C00F38"/>
    <w:rsid w:val="00C021B2"/>
    <w:rsid w:val="00C0314D"/>
    <w:rsid w:val="00C03312"/>
    <w:rsid w:val="00C03532"/>
    <w:rsid w:val="00C03605"/>
    <w:rsid w:val="00C039A5"/>
    <w:rsid w:val="00C03A04"/>
    <w:rsid w:val="00C03C67"/>
    <w:rsid w:val="00C046F7"/>
    <w:rsid w:val="00C062B9"/>
    <w:rsid w:val="00C06374"/>
    <w:rsid w:val="00C064FE"/>
    <w:rsid w:val="00C066AB"/>
    <w:rsid w:val="00C06EA1"/>
    <w:rsid w:val="00C071E1"/>
    <w:rsid w:val="00C07A9D"/>
    <w:rsid w:val="00C07B5B"/>
    <w:rsid w:val="00C10C0B"/>
    <w:rsid w:val="00C10DD5"/>
    <w:rsid w:val="00C10F51"/>
    <w:rsid w:val="00C1122F"/>
    <w:rsid w:val="00C11A6C"/>
    <w:rsid w:val="00C11F76"/>
    <w:rsid w:val="00C12197"/>
    <w:rsid w:val="00C124A6"/>
    <w:rsid w:val="00C12989"/>
    <w:rsid w:val="00C13567"/>
    <w:rsid w:val="00C13C61"/>
    <w:rsid w:val="00C145C0"/>
    <w:rsid w:val="00C14D9F"/>
    <w:rsid w:val="00C15A27"/>
    <w:rsid w:val="00C15FEF"/>
    <w:rsid w:val="00C165A1"/>
    <w:rsid w:val="00C16765"/>
    <w:rsid w:val="00C16F1F"/>
    <w:rsid w:val="00C176A9"/>
    <w:rsid w:val="00C1776A"/>
    <w:rsid w:val="00C20301"/>
    <w:rsid w:val="00C20BBA"/>
    <w:rsid w:val="00C20FFB"/>
    <w:rsid w:val="00C21D92"/>
    <w:rsid w:val="00C22519"/>
    <w:rsid w:val="00C22725"/>
    <w:rsid w:val="00C22C7B"/>
    <w:rsid w:val="00C22F12"/>
    <w:rsid w:val="00C2305C"/>
    <w:rsid w:val="00C233D0"/>
    <w:rsid w:val="00C234A2"/>
    <w:rsid w:val="00C2380D"/>
    <w:rsid w:val="00C240E7"/>
    <w:rsid w:val="00C24162"/>
    <w:rsid w:val="00C24E5C"/>
    <w:rsid w:val="00C24E78"/>
    <w:rsid w:val="00C2509D"/>
    <w:rsid w:val="00C2514A"/>
    <w:rsid w:val="00C25769"/>
    <w:rsid w:val="00C25854"/>
    <w:rsid w:val="00C25AD4"/>
    <w:rsid w:val="00C25DA4"/>
    <w:rsid w:val="00C26C06"/>
    <w:rsid w:val="00C2796E"/>
    <w:rsid w:val="00C27A2E"/>
    <w:rsid w:val="00C302BD"/>
    <w:rsid w:val="00C302E9"/>
    <w:rsid w:val="00C32176"/>
    <w:rsid w:val="00C32A16"/>
    <w:rsid w:val="00C33356"/>
    <w:rsid w:val="00C344DC"/>
    <w:rsid w:val="00C34ABD"/>
    <w:rsid w:val="00C353CF"/>
    <w:rsid w:val="00C35F0A"/>
    <w:rsid w:val="00C35F43"/>
    <w:rsid w:val="00C363A9"/>
    <w:rsid w:val="00C36603"/>
    <w:rsid w:val="00C36C55"/>
    <w:rsid w:val="00C37088"/>
    <w:rsid w:val="00C3715E"/>
    <w:rsid w:val="00C401E4"/>
    <w:rsid w:val="00C40316"/>
    <w:rsid w:val="00C408C2"/>
    <w:rsid w:val="00C408D5"/>
    <w:rsid w:val="00C40B77"/>
    <w:rsid w:val="00C411B7"/>
    <w:rsid w:val="00C41401"/>
    <w:rsid w:val="00C41D3C"/>
    <w:rsid w:val="00C430EE"/>
    <w:rsid w:val="00C432EC"/>
    <w:rsid w:val="00C43801"/>
    <w:rsid w:val="00C44372"/>
    <w:rsid w:val="00C4453A"/>
    <w:rsid w:val="00C44A07"/>
    <w:rsid w:val="00C44BDC"/>
    <w:rsid w:val="00C45BFB"/>
    <w:rsid w:val="00C45DCE"/>
    <w:rsid w:val="00C46085"/>
    <w:rsid w:val="00C460FC"/>
    <w:rsid w:val="00C46D15"/>
    <w:rsid w:val="00C47127"/>
    <w:rsid w:val="00C4768C"/>
    <w:rsid w:val="00C503C8"/>
    <w:rsid w:val="00C50C7D"/>
    <w:rsid w:val="00C50FF9"/>
    <w:rsid w:val="00C511CC"/>
    <w:rsid w:val="00C520A5"/>
    <w:rsid w:val="00C52889"/>
    <w:rsid w:val="00C528D2"/>
    <w:rsid w:val="00C52D5A"/>
    <w:rsid w:val="00C52E8B"/>
    <w:rsid w:val="00C53DE5"/>
    <w:rsid w:val="00C54518"/>
    <w:rsid w:val="00C54B14"/>
    <w:rsid w:val="00C55455"/>
    <w:rsid w:val="00C56C58"/>
    <w:rsid w:val="00C56CCC"/>
    <w:rsid w:val="00C57B3F"/>
    <w:rsid w:val="00C60320"/>
    <w:rsid w:val="00C60A94"/>
    <w:rsid w:val="00C60ED3"/>
    <w:rsid w:val="00C6352A"/>
    <w:rsid w:val="00C635CC"/>
    <w:rsid w:val="00C63D29"/>
    <w:rsid w:val="00C64538"/>
    <w:rsid w:val="00C65B2D"/>
    <w:rsid w:val="00C65C5D"/>
    <w:rsid w:val="00C65DA0"/>
    <w:rsid w:val="00C6656A"/>
    <w:rsid w:val="00C6688A"/>
    <w:rsid w:val="00C66C03"/>
    <w:rsid w:val="00C67057"/>
    <w:rsid w:val="00C67158"/>
    <w:rsid w:val="00C70383"/>
    <w:rsid w:val="00C71104"/>
    <w:rsid w:val="00C711E5"/>
    <w:rsid w:val="00C716F1"/>
    <w:rsid w:val="00C72816"/>
    <w:rsid w:val="00C730CB"/>
    <w:rsid w:val="00C731FC"/>
    <w:rsid w:val="00C73586"/>
    <w:rsid w:val="00C73782"/>
    <w:rsid w:val="00C73B8D"/>
    <w:rsid w:val="00C73F9C"/>
    <w:rsid w:val="00C74107"/>
    <w:rsid w:val="00C74430"/>
    <w:rsid w:val="00C745E5"/>
    <w:rsid w:val="00C80D90"/>
    <w:rsid w:val="00C81245"/>
    <w:rsid w:val="00C81B05"/>
    <w:rsid w:val="00C82179"/>
    <w:rsid w:val="00C83607"/>
    <w:rsid w:val="00C836EE"/>
    <w:rsid w:val="00C83ADF"/>
    <w:rsid w:val="00C83AEE"/>
    <w:rsid w:val="00C83B2A"/>
    <w:rsid w:val="00C842BA"/>
    <w:rsid w:val="00C84CAA"/>
    <w:rsid w:val="00C85531"/>
    <w:rsid w:val="00C85563"/>
    <w:rsid w:val="00C85AC7"/>
    <w:rsid w:val="00C85B0B"/>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005"/>
    <w:rsid w:val="00C9557C"/>
    <w:rsid w:val="00C961CA"/>
    <w:rsid w:val="00C96242"/>
    <w:rsid w:val="00C96454"/>
    <w:rsid w:val="00C96501"/>
    <w:rsid w:val="00C96747"/>
    <w:rsid w:val="00C96D02"/>
    <w:rsid w:val="00C97075"/>
    <w:rsid w:val="00C97276"/>
    <w:rsid w:val="00CA08DA"/>
    <w:rsid w:val="00CA0CE8"/>
    <w:rsid w:val="00CA0FB8"/>
    <w:rsid w:val="00CA15F3"/>
    <w:rsid w:val="00CA2680"/>
    <w:rsid w:val="00CA3312"/>
    <w:rsid w:val="00CA3E9D"/>
    <w:rsid w:val="00CA4D23"/>
    <w:rsid w:val="00CA50CD"/>
    <w:rsid w:val="00CA522F"/>
    <w:rsid w:val="00CA563C"/>
    <w:rsid w:val="00CA567B"/>
    <w:rsid w:val="00CA570E"/>
    <w:rsid w:val="00CA6716"/>
    <w:rsid w:val="00CA6B37"/>
    <w:rsid w:val="00CA7483"/>
    <w:rsid w:val="00CA7FB2"/>
    <w:rsid w:val="00CB036A"/>
    <w:rsid w:val="00CB072B"/>
    <w:rsid w:val="00CB0D34"/>
    <w:rsid w:val="00CB10CB"/>
    <w:rsid w:val="00CB1145"/>
    <w:rsid w:val="00CB1678"/>
    <w:rsid w:val="00CB1C4E"/>
    <w:rsid w:val="00CB1C53"/>
    <w:rsid w:val="00CB1FD2"/>
    <w:rsid w:val="00CB2A98"/>
    <w:rsid w:val="00CB3818"/>
    <w:rsid w:val="00CB3950"/>
    <w:rsid w:val="00CB43AC"/>
    <w:rsid w:val="00CB4B6E"/>
    <w:rsid w:val="00CB5143"/>
    <w:rsid w:val="00CB5197"/>
    <w:rsid w:val="00CB6164"/>
    <w:rsid w:val="00CB6570"/>
    <w:rsid w:val="00CB6930"/>
    <w:rsid w:val="00CB6A7F"/>
    <w:rsid w:val="00CB6FB4"/>
    <w:rsid w:val="00CB79F7"/>
    <w:rsid w:val="00CB7CCD"/>
    <w:rsid w:val="00CC18C0"/>
    <w:rsid w:val="00CC1939"/>
    <w:rsid w:val="00CC23EB"/>
    <w:rsid w:val="00CC42D4"/>
    <w:rsid w:val="00CC4364"/>
    <w:rsid w:val="00CC5628"/>
    <w:rsid w:val="00CC5ABF"/>
    <w:rsid w:val="00CC64E3"/>
    <w:rsid w:val="00CC727E"/>
    <w:rsid w:val="00CC7712"/>
    <w:rsid w:val="00CC774A"/>
    <w:rsid w:val="00CD13B5"/>
    <w:rsid w:val="00CD179A"/>
    <w:rsid w:val="00CD2030"/>
    <w:rsid w:val="00CD2536"/>
    <w:rsid w:val="00CD3DB8"/>
    <w:rsid w:val="00CD3F00"/>
    <w:rsid w:val="00CD407F"/>
    <w:rsid w:val="00CD4ED2"/>
    <w:rsid w:val="00CD548B"/>
    <w:rsid w:val="00CD5740"/>
    <w:rsid w:val="00CD6347"/>
    <w:rsid w:val="00CD634D"/>
    <w:rsid w:val="00CD69E9"/>
    <w:rsid w:val="00CD6E49"/>
    <w:rsid w:val="00CD704E"/>
    <w:rsid w:val="00CD7420"/>
    <w:rsid w:val="00CD799F"/>
    <w:rsid w:val="00CD7A68"/>
    <w:rsid w:val="00CE0137"/>
    <w:rsid w:val="00CE0BA7"/>
    <w:rsid w:val="00CE16B9"/>
    <w:rsid w:val="00CE19D0"/>
    <w:rsid w:val="00CE1D09"/>
    <w:rsid w:val="00CE27DA"/>
    <w:rsid w:val="00CE2942"/>
    <w:rsid w:val="00CE2FAA"/>
    <w:rsid w:val="00CE36EF"/>
    <w:rsid w:val="00CE3783"/>
    <w:rsid w:val="00CE3B18"/>
    <w:rsid w:val="00CE3FC3"/>
    <w:rsid w:val="00CE45BD"/>
    <w:rsid w:val="00CE4C13"/>
    <w:rsid w:val="00CE552B"/>
    <w:rsid w:val="00CE6766"/>
    <w:rsid w:val="00CE6822"/>
    <w:rsid w:val="00CE6ACB"/>
    <w:rsid w:val="00CE6D09"/>
    <w:rsid w:val="00CE6D4F"/>
    <w:rsid w:val="00CE72DC"/>
    <w:rsid w:val="00CF0105"/>
    <w:rsid w:val="00CF0E4D"/>
    <w:rsid w:val="00CF1081"/>
    <w:rsid w:val="00CF109E"/>
    <w:rsid w:val="00CF19C6"/>
    <w:rsid w:val="00CF230D"/>
    <w:rsid w:val="00CF2A98"/>
    <w:rsid w:val="00CF37CB"/>
    <w:rsid w:val="00CF43C6"/>
    <w:rsid w:val="00CF454F"/>
    <w:rsid w:val="00CF5489"/>
    <w:rsid w:val="00CF7111"/>
    <w:rsid w:val="00CF7615"/>
    <w:rsid w:val="00CF7796"/>
    <w:rsid w:val="00CF7823"/>
    <w:rsid w:val="00CF78DA"/>
    <w:rsid w:val="00D003F8"/>
    <w:rsid w:val="00D0052C"/>
    <w:rsid w:val="00D01540"/>
    <w:rsid w:val="00D016E7"/>
    <w:rsid w:val="00D018DB"/>
    <w:rsid w:val="00D01AA2"/>
    <w:rsid w:val="00D01AFE"/>
    <w:rsid w:val="00D01B9F"/>
    <w:rsid w:val="00D022EE"/>
    <w:rsid w:val="00D0239E"/>
    <w:rsid w:val="00D0267B"/>
    <w:rsid w:val="00D02757"/>
    <w:rsid w:val="00D02851"/>
    <w:rsid w:val="00D02A5B"/>
    <w:rsid w:val="00D02B8B"/>
    <w:rsid w:val="00D02FB7"/>
    <w:rsid w:val="00D035D9"/>
    <w:rsid w:val="00D03823"/>
    <w:rsid w:val="00D04613"/>
    <w:rsid w:val="00D04AF3"/>
    <w:rsid w:val="00D04C4B"/>
    <w:rsid w:val="00D04CB3"/>
    <w:rsid w:val="00D04D9F"/>
    <w:rsid w:val="00D05C77"/>
    <w:rsid w:val="00D06D80"/>
    <w:rsid w:val="00D07581"/>
    <w:rsid w:val="00D07739"/>
    <w:rsid w:val="00D078A1"/>
    <w:rsid w:val="00D10769"/>
    <w:rsid w:val="00D114EA"/>
    <w:rsid w:val="00D1152B"/>
    <w:rsid w:val="00D11642"/>
    <w:rsid w:val="00D116C7"/>
    <w:rsid w:val="00D12514"/>
    <w:rsid w:val="00D137EC"/>
    <w:rsid w:val="00D13AC5"/>
    <w:rsid w:val="00D13C39"/>
    <w:rsid w:val="00D13D2F"/>
    <w:rsid w:val="00D13D3E"/>
    <w:rsid w:val="00D142C5"/>
    <w:rsid w:val="00D149CF"/>
    <w:rsid w:val="00D14A15"/>
    <w:rsid w:val="00D14C59"/>
    <w:rsid w:val="00D14E5F"/>
    <w:rsid w:val="00D14F7D"/>
    <w:rsid w:val="00D14FB2"/>
    <w:rsid w:val="00D157A1"/>
    <w:rsid w:val="00D15B6C"/>
    <w:rsid w:val="00D164EA"/>
    <w:rsid w:val="00D16754"/>
    <w:rsid w:val="00D16827"/>
    <w:rsid w:val="00D16AE5"/>
    <w:rsid w:val="00D16E89"/>
    <w:rsid w:val="00D17548"/>
    <w:rsid w:val="00D17604"/>
    <w:rsid w:val="00D17A20"/>
    <w:rsid w:val="00D17A85"/>
    <w:rsid w:val="00D17CC6"/>
    <w:rsid w:val="00D2041E"/>
    <w:rsid w:val="00D20454"/>
    <w:rsid w:val="00D2058E"/>
    <w:rsid w:val="00D20D10"/>
    <w:rsid w:val="00D20D1D"/>
    <w:rsid w:val="00D2153B"/>
    <w:rsid w:val="00D23801"/>
    <w:rsid w:val="00D24035"/>
    <w:rsid w:val="00D24CA3"/>
    <w:rsid w:val="00D2516D"/>
    <w:rsid w:val="00D251AC"/>
    <w:rsid w:val="00D257FD"/>
    <w:rsid w:val="00D25AEC"/>
    <w:rsid w:val="00D25B2F"/>
    <w:rsid w:val="00D25CC0"/>
    <w:rsid w:val="00D2608B"/>
    <w:rsid w:val="00D26A86"/>
    <w:rsid w:val="00D274CE"/>
    <w:rsid w:val="00D27D36"/>
    <w:rsid w:val="00D27E10"/>
    <w:rsid w:val="00D27E9B"/>
    <w:rsid w:val="00D3037E"/>
    <w:rsid w:val="00D305AC"/>
    <w:rsid w:val="00D30789"/>
    <w:rsid w:val="00D30BF9"/>
    <w:rsid w:val="00D314BD"/>
    <w:rsid w:val="00D31FFD"/>
    <w:rsid w:val="00D32074"/>
    <w:rsid w:val="00D3210D"/>
    <w:rsid w:val="00D32376"/>
    <w:rsid w:val="00D323B1"/>
    <w:rsid w:val="00D326DD"/>
    <w:rsid w:val="00D32DD5"/>
    <w:rsid w:val="00D32E91"/>
    <w:rsid w:val="00D33DBD"/>
    <w:rsid w:val="00D341C9"/>
    <w:rsid w:val="00D3447D"/>
    <w:rsid w:val="00D3488B"/>
    <w:rsid w:val="00D34A20"/>
    <w:rsid w:val="00D34A8C"/>
    <w:rsid w:val="00D34AF6"/>
    <w:rsid w:val="00D35F32"/>
    <w:rsid w:val="00D361DE"/>
    <w:rsid w:val="00D369D6"/>
    <w:rsid w:val="00D36A99"/>
    <w:rsid w:val="00D37427"/>
    <w:rsid w:val="00D3793E"/>
    <w:rsid w:val="00D37E78"/>
    <w:rsid w:val="00D37FB2"/>
    <w:rsid w:val="00D4024B"/>
    <w:rsid w:val="00D404C7"/>
    <w:rsid w:val="00D4191C"/>
    <w:rsid w:val="00D41A6A"/>
    <w:rsid w:val="00D420E0"/>
    <w:rsid w:val="00D4233A"/>
    <w:rsid w:val="00D423E8"/>
    <w:rsid w:val="00D42A1E"/>
    <w:rsid w:val="00D43015"/>
    <w:rsid w:val="00D43B76"/>
    <w:rsid w:val="00D43DDA"/>
    <w:rsid w:val="00D43E3F"/>
    <w:rsid w:val="00D4446B"/>
    <w:rsid w:val="00D44B3D"/>
    <w:rsid w:val="00D45047"/>
    <w:rsid w:val="00D453A0"/>
    <w:rsid w:val="00D46787"/>
    <w:rsid w:val="00D4691A"/>
    <w:rsid w:val="00D46C4C"/>
    <w:rsid w:val="00D47D2E"/>
    <w:rsid w:val="00D503C5"/>
    <w:rsid w:val="00D50F43"/>
    <w:rsid w:val="00D51085"/>
    <w:rsid w:val="00D51635"/>
    <w:rsid w:val="00D51B31"/>
    <w:rsid w:val="00D51F18"/>
    <w:rsid w:val="00D52DA3"/>
    <w:rsid w:val="00D52E5A"/>
    <w:rsid w:val="00D53537"/>
    <w:rsid w:val="00D5360E"/>
    <w:rsid w:val="00D53B2D"/>
    <w:rsid w:val="00D54E49"/>
    <w:rsid w:val="00D54E9E"/>
    <w:rsid w:val="00D551C8"/>
    <w:rsid w:val="00D552EB"/>
    <w:rsid w:val="00D55944"/>
    <w:rsid w:val="00D55972"/>
    <w:rsid w:val="00D564BB"/>
    <w:rsid w:val="00D565FA"/>
    <w:rsid w:val="00D5674B"/>
    <w:rsid w:val="00D568ED"/>
    <w:rsid w:val="00D56BF9"/>
    <w:rsid w:val="00D56E3F"/>
    <w:rsid w:val="00D571B4"/>
    <w:rsid w:val="00D57AED"/>
    <w:rsid w:val="00D57BD9"/>
    <w:rsid w:val="00D6014E"/>
    <w:rsid w:val="00D604B5"/>
    <w:rsid w:val="00D6063B"/>
    <w:rsid w:val="00D60BB3"/>
    <w:rsid w:val="00D61F15"/>
    <w:rsid w:val="00D624A9"/>
    <w:rsid w:val="00D6289E"/>
    <w:rsid w:val="00D630E7"/>
    <w:rsid w:val="00D640BA"/>
    <w:rsid w:val="00D6444B"/>
    <w:rsid w:val="00D64C56"/>
    <w:rsid w:val="00D654B4"/>
    <w:rsid w:val="00D65A49"/>
    <w:rsid w:val="00D66008"/>
    <w:rsid w:val="00D66410"/>
    <w:rsid w:val="00D66472"/>
    <w:rsid w:val="00D6679A"/>
    <w:rsid w:val="00D66D20"/>
    <w:rsid w:val="00D66F17"/>
    <w:rsid w:val="00D66F26"/>
    <w:rsid w:val="00D674F9"/>
    <w:rsid w:val="00D700E5"/>
    <w:rsid w:val="00D70900"/>
    <w:rsid w:val="00D71B77"/>
    <w:rsid w:val="00D725CA"/>
    <w:rsid w:val="00D7374B"/>
    <w:rsid w:val="00D73DFB"/>
    <w:rsid w:val="00D741F4"/>
    <w:rsid w:val="00D74A87"/>
    <w:rsid w:val="00D755DE"/>
    <w:rsid w:val="00D7587B"/>
    <w:rsid w:val="00D75CE3"/>
    <w:rsid w:val="00D76186"/>
    <w:rsid w:val="00D76320"/>
    <w:rsid w:val="00D76513"/>
    <w:rsid w:val="00D7678D"/>
    <w:rsid w:val="00D771E9"/>
    <w:rsid w:val="00D7771F"/>
    <w:rsid w:val="00D80DF6"/>
    <w:rsid w:val="00D817F1"/>
    <w:rsid w:val="00D818F2"/>
    <w:rsid w:val="00D825BC"/>
    <w:rsid w:val="00D82706"/>
    <w:rsid w:val="00D8312E"/>
    <w:rsid w:val="00D8414C"/>
    <w:rsid w:val="00D844B1"/>
    <w:rsid w:val="00D86C20"/>
    <w:rsid w:val="00D86DD4"/>
    <w:rsid w:val="00D8715C"/>
    <w:rsid w:val="00D873BA"/>
    <w:rsid w:val="00D90898"/>
    <w:rsid w:val="00D90998"/>
    <w:rsid w:val="00D909BB"/>
    <w:rsid w:val="00D9111B"/>
    <w:rsid w:val="00D91D92"/>
    <w:rsid w:val="00D92529"/>
    <w:rsid w:val="00D92870"/>
    <w:rsid w:val="00D92B67"/>
    <w:rsid w:val="00D93743"/>
    <w:rsid w:val="00D93ADA"/>
    <w:rsid w:val="00D94BD0"/>
    <w:rsid w:val="00D9558B"/>
    <w:rsid w:val="00D966B2"/>
    <w:rsid w:val="00D966E1"/>
    <w:rsid w:val="00D96917"/>
    <w:rsid w:val="00D96BC9"/>
    <w:rsid w:val="00D973C9"/>
    <w:rsid w:val="00D9781A"/>
    <w:rsid w:val="00D97883"/>
    <w:rsid w:val="00DA041C"/>
    <w:rsid w:val="00DA1613"/>
    <w:rsid w:val="00DA29C5"/>
    <w:rsid w:val="00DA2AEB"/>
    <w:rsid w:val="00DA301E"/>
    <w:rsid w:val="00DA330A"/>
    <w:rsid w:val="00DA4300"/>
    <w:rsid w:val="00DA453C"/>
    <w:rsid w:val="00DA5AAB"/>
    <w:rsid w:val="00DA5B18"/>
    <w:rsid w:val="00DA5F70"/>
    <w:rsid w:val="00DA671A"/>
    <w:rsid w:val="00DA6858"/>
    <w:rsid w:val="00DA7233"/>
    <w:rsid w:val="00DA7266"/>
    <w:rsid w:val="00DA7CBB"/>
    <w:rsid w:val="00DA7EC2"/>
    <w:rsid w:val="00DB08FA"/>
    <w:rsid w:val="00DB1637"/>
    <w:rsid w:val="00DB17A4"/>
    <w:rsid w:val="00DB1CD7"/>
    <w:rsid w:val="00DB2086"/>
    <w:rsid w:val="00DB24A2"/>
    <w:rsid w:val="00DB2651"/>
    <w:rsid w:val="00DB28B4"/>
    <w:rsid w:val="00DB2A1C"/>
    <w:rsid w:val="00DB30B1"/>
    <w:rsid w:val="00DB31FF"/>
    <w:rsid w:val="00DB3ECD"/>
    <w:rsid w:val="00DB4717"/>
    <w:rsid w:val="00DB4BC2"/>
    <w:rsid w:val="00DB4BD4"/>
    <w:rsid w:val="00DB60A0"/>
    <w:rsid w:val="00DB7320"/>
    <w:rsid w:val="00DB75E7"/>
    <w:rsid w:val="00DB79D5"/>
    <w:rsid w:val="00DB7F8E"/>
    <w:rsid w:val="00DC00E8"/>
    <w:rsid w:val="00DC0CC3"/>
    <w:rsid w:val="00DC0F8C"/>
    <w:rsid w:val="00DC12C8"/>
    <w:rsid w:val="00DC1C61"/>
    <w:rsid w:val="00DC36E8"/>
    <w:rsid w:val="00DC3FC3"/>
    <w:rsid w:val="00DC4AC6"/>
    <w:rsid w:val="00DC56F0"/>
    <w:rsid w:val="00DC570A"/>
    <w:rsid w:val="00DC5C68"/>
    <w:rsid w:val="00DC5D8F"/>
    <w:rsid w:val="00DC6AB5"/>
    <w:rsid w:val="00DC6F31"/>
    <w:rsid w:val="00DC7004"/>
    <w:rsid w:val="00DC72FE"/>
    <w:rsid w:val="00DC7FFD"/>
    <w:rsid w:val="00DD0277"/>
    <w:rsid w:val="00DD0698"/>
    <w:rsid w:val="00DD1129"/>
    <w:rsid w:val="00DD15C7"/>
    <w:rsid w:val="00DD19D9"/>
    <w:rsid w:val="00DD1B11"/>
    <w:rsid w:val="00DD1B33"/>
    <w:rsid w:val="00DD1CE2"/>
    <w:rsid w:val="00DD4F6E"/>
    <w:rsid w:val="00DD5967"/>
    <w:rsid w:val="00DD645B"/>
    <w:rsid w:val="00DD6667"/>
    <w:rsid w:val="00DD666A"/>
    <w:rsid w:val="00DD697B"/>
    <w:rsid w:val="00DD6D82"/>
    <w:rsid w:val="00DD7594"/>
    <w:rsid w:val="00DD7789"/>
    <w:rsid w:val="00DD786C"/>
    <w:rsid w:val="00DD7B43"/>
    <w:rsid w:val="00DD7E6D"/>
    <w:rsid w:val="00DD7F2D"/>
    <w:rsid w:val="00DE0129"/>
    <w:rsid w:val="00DE045E"/>
    <w:rsid w:val="00DE0772"/>
    <w:rsid w:val="00DE1240"/>
    <w:rsid w:val="00DE1AA5"/>
    <w:rsid w:val="00DE1E1F"/>
    <w:rsid w:val="00DE231A"/>
    <w:rsid w:val="00DE23D6"/>
    <w:rsid w:val="00DE2825"/>
    <w:rsid w:val="00DE29B9"/>
    <w:rsid w:val="00DE2CB6"/>
    <w:rsid w:val="00DE2D48"/>
    <w:rsid w:val="00DE2DDE"/>
    <w:rsid w:val="00DE30B8"/>
    <w:rsid w:val="00DE395F"/>
    <w:rsid w:val="00DE3E1D"/>
    <w:rsid w:val="00DE423F"/>
    <w:rsid w:val="00DE4978"/>
    <w:rsid w:val="00DE4A0A"/>
    <w:rsid w:val="00DE5039"/>
    <w:rsid w:val="00DE5414"/>
    <w:rsid w:val="00DE5B1E"/>
    <w:rsid w:val="00DE5BAE"/>
    <w:rsid w:val="00DE5D0F"/>
    <w:rsid w:val="00DE7267"/>
    <w:rsid w:val="00DE7566"/>
    <w:rsid w:val="00DE7E46"/>
    <w:rsid w:val="00DF066D"/>
    <w:rsid w:val="00DF0C37"/>
    <w:rsid w:val="00DF0C88"/>
    <w:rsid w:val="00DF135C"/>
    <w:rsid w:val="00DF2234"/>
    <w:rsid w:val="00DF24FD"/>
    <w:rsid w:val="00DF2506"/>
    <w:rsid w:val="00DF27E3"/>
    <w:rsid w:val="00DF2F26"/>
    <w:rsid w:val="00DF301A"/>
    <w:rsid w:val="00DF3469"/>
    <w:rsid w:val="00DF3BE2"/>
    <w:rsid w:val="00DF4E2C"/>
    <w:rsid w:val="00DF4E34"/>
    <w:rsid w:val="00DF4F1B"/>
    <w:rsid w:val="00DF51A8"/>
    <w:rsid w:val="00DF5ACC"/>
    <w:rsid w:val="00DF5CAC"/>
    <w:rsid w:val="00DF5CF7"/>
    <w:rsid w:val="00DF5DC3"/>
    <w:rsid w:val="00DF6A93"/>
    <w:rsid w:val="00DF744D"/>
    <w:rsid w:val="00DF75EC"/>
    <w:rsid w:val="00DF770C"/>
    <w:rsid w:val="00DF78E1"/>
    <w:rsid w:val="00DF7D56"/>
    <w:rsid w:val="00DF7DBE"/>
    <w:rsid w:val="00E002D6"/>
    <w:rsid w:val="00E00E96"/>
    <w:rsid w:val="00E0133D"/>
    <w:rsid w:val="00E0199E"/>
    <w:rsid w:val="00E019ED"/>
    <w:rsid w:val="00E01B31"/>
    <w:rsid w:val="00E01E09"/>
    <w:rsid w:val="00E02392"/>
    <w:rsid w:val="00E0312F"/>
    <w:rsid w:val="00E03889"/>
    <w:rsid w:val="00E0429D"/>
    <w:rsid w:val="00E042BF"/>
    <w:rsid w:val="00E04C48"/>
    <w:rsid w:val="00E058F4"/>
    <w:rsid w:val="00E05C97"/>
    <w:rsid w:val="00E05DA6"/>
    <w:rsid w:val="00E05F35"/>
    <w:rsid w:val="00E06065"/>
    <w:rsid w:val="00E066F2"/>
    <w:rsid w:val="00E06A81"/>
    <w:rsid w:val="00E07901"/>
    <w:rsid w:val="00E079C6"/>
    <w:rsid w:val="00E10BFA"/>
    <w:rsid w:val="00E1133A"/>
    <w:rsid w:val="00E116C6"/>
    <w:rsid w:val="00E1262D"/>
    <w:rsid w:val="00E1273C"/>
    <w:rsid w:val="00E128A2"/>
    <w:rsid w:val="00E134FE"/>
    <w:rsid w:val="00E1434A"/>
    <w:rsid w:val="00E14600"/>
    <w:rsid w:val="00E146CF"/>
    <w:rsid w:val="00E14BED"/>
    <w:rsid w:val="00E15048"/>
    <w:rsid w:val="00E15ACE"/>
    <w:rsid w:val="00E15BA6"/>
    <w:rsid w:val="00E15C2B"/>
    <w:rsid w:val="00E15F9F"/>
    <w:rsid w:val="00E16406"/>
    <w:rsid w:val="00E17711"/>
    <w:rsid w:val="00E17CE3"/>
    <w:rsid w:val="00E2039E"/>
    <w:rsid w:val="00E20504"/>
    <w:rsid w:val="00E211F7"/>
    <w:rsid w:val="00E21B26"/>
    <w:rsid w:val="00E23501"/>
    <w:rsid w:val="00E23C05"/>
    <w:rsid w:val="00E2407B"/>
    <w:rsid w:val="00E2425F"/>
    <w:rsid w:val="00E242F0"/>
    <w:rsid w:val="00E245B0"/>
    <w:rsid w:val="00E2461C"/>
    <w:rsid w:val="00E247E2"/>
    <w:rsid w:val="00E24B86"/>
    <w:rsid w:val="00E24E01"/>
    <w:rsid w:val="00E24EF9"/>
    <w:rsid w:val="00E25B7C"/>
    <w:rsid w:val="00E26325"/>
    <w:rsid w:val="00E27664"/>
    <w:rsid w:val="00E27927"/>
    <w:rsid w:val="00E27F00"/>
    <w:rsid w:val="00E301A0"/>
    <w:rsid w:val="00E3021E"/>
    <w:rsid w:val="00E302AD"/>
    <w:rsid w:val="00E30431"/>
    <w:rsid w:val="00E304EB"/>
    <w:rsid w:val="00E30EF7"/>
    <w:rsid w:val="00E3187A"/>
    <w:rsid w:val="00E329D0"/>
    <w:rsid w:val="00E32C08"/>
    <w:rsid w:val="00E330AD"/>
    <w:rsid w:val="00E33746"/>
    <w:rsid w:val="00E33AFF"/>
    <w:rsid w:val="00E33DEF"/>
    <w:rsid w:val="00E342B3"/>
    <w:rsid w:val="00E3451F"/>
    <w:rsid w:val="00E3469B"/>
    <w:rsid w:val="00E34969"/>
    <w:rsid w:val="00E34B80"/>
    <w:rsid w:val="00E34EE9"/>
    <w:rsid w:val="00E3590B"/>
    <w:rsid w:val="00E36ADF"/>
    <w:rsid w:val="00E36B53"/>
    <w:rsid w:val="00E37585"/>
    <w:rsid w:val="00E40020"/>
    <w:rsid w:val="00E40652"/>
    <w:rsid w:val="00E419F3"/>
    <w:rsid w:val="00E41B64"/>
    <w:rsid w:val="00E41F4B"/>
    <w:rsid w:val="00E4203F"/>
    <w:rsid w:val="00E422B5"/>
    <w:rsid w:val="00E42C35"/>
    <w:rsid w:val="00E42EE0"/>
    <w:rsid w:val="00E43ACE"/>
    <w:rsid w:val="00E43E70"/>
    <w:rsid w:val="00E447D5"/>
    <w:rsid w:val="00E44995"/>
    <w:rsid w:val="00E45452"/>
    <w:rsid w:val="00E4557B"/>
    <w:rsid w:val="00E460C8"/>
    <w:rsid w:val="00E469D5"/>
    <w:rsid w:val="00E46B25"/>
    <w:rsid w:val="00E46CD5"/>
    <w:rsid w:val="00E500D9"/>
    <w:rsid w:val="00E505FC"/>
    <w:rsid w:val="00E517CA"/>
    <w:rsid w:val="00E51AB5"/>
    <w:rsid w:val="00E51DFD"/>
    <w:rsid w:val="00E52345"/>
    <w:rsid w:val="00E52763"/>
    <w:rsid w:val="00E53948"/>
    <w:rsid w:val="00E53DED"/>
    <w:rsid w:val="00E5411A"/>
    <w:rsid w:val="00E54A86"/>
    <w:rsid w:val="00E55509"/>
    <w:rsid w:val="00E55B9C"/>
    <w:rsid w:val="00E5619A"/>
    <w:rsid w:val="00E563AE"/>
    <w:rsid w:val="00E56582"/>
    <w:rsid w:val="00E565F4"/>
    <w:rsid w:val="00E568D9"/>
    <w:rsid w:val="00E568ED"/>
    <w:rsid w:val="00E56E35"/>
    <w:rsid w:val="00E57005"/>
    <w:rsid w:val="00E60B3B"/>
    <w:rsid w:val="00E61029"/>
    <w:rsid w:val="00E61498"/>
    <w:rsid w:val="00E6177F"/>
    <w:rsid w:val="00E62BF6"/>
    <w:rsid w:val="00E62F89"/>
    <w:rsid w:val="00E6376A"/>
    <w:rsid w:val="00E638B2"/>
    <w:rsid w:val="00E64877"/>
    <w:rsid w:val="00E64A96"/>
    <w:rsid w:val="00E64D8F"/>
    <w:rsid w:val="00E6575A"/>
    <w:rsid w:val="00E65B70"/>
    <w:rsid w:val="00E66288"/>
    <w:rsid w:val="00E662CD"/>
    <w:rsid w:val="00E66827"/>
    <w:rsid w:val="00E66FCC"/>
    <w:rsid w:val="00E67427"/>
    <w:rsid w:val="00E676F1"/>
    <w:rsid w:val="00E70088"/>
    <w:rsid w:val="00E705FE"/>
    <w:rsid w:val="00E70C7F"/>
    <w:rsid w:val="00E70EA0"/>
    <w:rsid w:val="00E71AE2"/>
    <w:rsid w:val="00E7270A"/>
    <w:rsid w:val="00E72EB3"/>
    <w:rsid w:val="00E73271"/>
    <w:rsid w:val="00E735DA"/>
    <w:rsid w:val="00E73F5C"/>
    <w:rsid w:val="00E74214"/>
    <w:rsid w:val="00E74762"/>
    <w:rsid w:val="00E74D52"/>
    <w:rsid w:val="00E75855"/>
    <w:rsid w:val="00E758BB"/>
    <w:rsid w:val="00E75D63"/>
    <w:rsid w:val="00E7609C"/>
    <w:rsid w:val="00E779C2"/>
    <w:rsid w:val="00E80278"/>
    <w:rsid w:val="00E80333"/>
    <w:rsid w:val="00E80724"/>
    <w:rsid w:val="00E80E3F"/>
    <w:rsid w:val="00E814F5"/>
    <w:rsid w:val="00E81B70"/>
    <w:rsid w:val="00E820B4"/>
    <w:rsid w:val="00E82556"/>
    <w:rsid w:val="00E832D1"/>
    <w:rsid w:val="00E83809"/>
    <w:rsid w:val="00E83A40"/>
    <w:rsid w:val="00E84688"/>
    <w:rsid w:val="00E8475C"/>
    <w:rsid w:val="00E85288"/>
    <w:rsid w:val="00E859B8"/>
    <w:rsid w:val="00E85CBE"/>
    <w:rsid w:val="00E85F06"/>
    <w:rsid w:val="00E86503"/>
    <w:rsid w:val="00E86566"/>
    <w:rsid w:val="00E86641"/>
    <w:rsid w:val="00E866C4"/>
    <w:rsid w:val="00E875F5"/>
    <w:rsid w:val="00E903F5"/>
    <w:rsid w:val="00E905D8"/>
    <w:rsid w:val="00E906F6"/>
    <w:rsid w:val="00E90A23"/>
    <w:rsid w:val="00E91BC3"/>
    <w:rsid w:val="00E92527"/>
    <w:rsid w:val="00E92A93"/>
    <w:rsid w:val="00E93620"/>
    <w:rsid w:val="00E93ACF"/>
    <w:rsid w:val="00E941E0"/>
    <w:rsid w:val="00E951D5"/>
    <w:rsid w:val="00E9567F"/>
    <w:rsid w:val="00E95761"/>
    <w:rsid w:val="00E959A0"/>
    <w:rsid w:val="00E95A73"/>
    <w:rsid w:val="00E96897"/>
    <w:rsid w:val="00E969FC"/>
    <w:rsid w:val="00E97045"/>
    <w:rsid w:val="00E97758"/>
    <w:rsid w:val="00E97B8E"/>
    <w:rsid w:val="00E97DA3"/>
    <w:rsid w:val="00E97E70"/>
    <w:rsid w:val="00EA0CE1"/>
    <w:rsid w:val="00EA1086"/>
    <w:rsid w:val="00EA10B1"/>
    <w:rsid w:val="00EA270C"/>
    <w:rsid w:val="00EA2ECB"/>
    <w:rsid w:val="00EA3185"/>
    <w:rsid w:val="00EA36EA"/>
    <w:rsid w:val="00EA4001"/>
    <w:rsid w:val="00EA443F"/>
    <w:rsid w:val="00EA466B"/>
    <w:rsid w:val="00EA5CB5"/>
    <w:rsid w:val="00EA5CF4"/>
    <w:rsid w:val="00EA67AD"/>
    <w:rsid w:val="00EA72D8"/>
    <w:rsid w:val="00EA72FC"/>
    <w:rsid w:val="00EA7303"/>
    <w:rsid w:val="00EA7E45"/>
    <w:rsid w:val="00EB09B9"/>
    <w:rsid w:val="00EB2310"/>
    <w:rsid w:val="00EB252E"/>
    <w:rsid w:val="00EB2721"/>
    <w:rsid w:val="00EB30BE"/>
    <w:rsid w:val="00EB3404"/>
    <w:rsid w:val="00EB3599"/>
    <w:rsid w:val="00EB3C52"/>
    <w:rsid w:val="00EB41F5"/>
    <w:rsid w:val="00EB5799"/>
    <w:rsid w:val="00EB76F7"/>
    <w:rsid w:val="00EB77B7"/>
    <w:rsid w:val="00EB793B"/>
    <w:rsid w:val="00EB7CB1"/>
    <w:rsid w:val="00EC01B9"/>
    <w:rsid w:val="00EC04E1"/>
    <w:rsid w:val="00EC0569"/>
    <w:rsid w:val="00EC084D"/>
    <w:rsid w:val="00EC0C7B"/>
    <w:rsid w:val="00EC1658"/>
    <w:rsid w:val="00EC195F"/>
    <w:rsid w:val="00EC1A52"/>
    <w:rsid w:val="00EC1C35"/>
    <w:rsid w:val="00EC1F63"/>
    <w:rsid w:val="00EC358F"/>
    <w:rsid w:val="00EC3F0C"/>
    <w:rsid w:val="00EC52C3"/>
    <w:rsid w:val="00EC5C49"/>
    <w:rsid w:val="00EC5E45"/>
    <w:rsid w:val="00EC5ED6"/>
    <w:rsid w:val="00EC608C"/>
    <w:rsid w:val="00EC60D7"/>
    <w:rsid w:val="00EC61C2"/>
    <w:rsid w:val="00EC61FC"/>
    <w:rsid w:val="00EC6DE5"/>
    <w:rsid w:val="00ED0557"/>
    <w:rsid w:val="00ED0CF0"/>
    <w:rsid w:val="00ED1976"/>
    <w:rsid w:val="00ED21EF"/>
    <w:rsid w:val="00ED34D4"/>
    <w:rsid w:val="00ED3D84"/>
    <w:rsid w:val="00ED3D87"/>
    <w:rsid w:val="00ED42FF"/>
    <w:rsid w:val="00ED58B3"/>
    <w:rsid w:val="00ED5E6C"/>
    <w:rsid w:val="00ED766C"/>
    <w:rsid w:val="00ED76FB"/>
    <w:rsid w:val="00EE05C2"/>
    <w:rsid w:val="00EE06A6"/>
    <w:rsid w:val="00EE0D01"/>
    <w:rsid w:val="00EE1C02"/>
    <w:rsid w:val="00EE296D"/>
    <w:rsid w:val="00EE30EE"/>
    <w:rsid w:val="00EE3C6D"/>
    <w:rsid w:val="00EE4028"/>
    <w:rsid w:val="00EE4999"/>
    <w:rsid w:val="00EE4C6E"/>
    <w:rsid w:val="00EE4F89"/>
    <w:rsid w:val="00EE5135"/>
    <w:rsid w:val="00EE558C"/>
    <w:rsid w:val="00EE5783"/>
    <w:rsid w:val="00EE6019"/>
    <w:rsid w:val="00EE61BE"/>
    <w:rsid w:val="00EE6C87"/>
    <w:rsid w:val="00EE6DE6"/>
    <w:rsid w:val="00EE790F"/>
    <w:rsid w:val="00EF057C"/>
    <w:rsid w:val="00EF1D14"/>
    <w:rsid w:val="00EF23A1"/>
    <w:rsid w:val="00EF2755"/>
    <w:rsid w:val="00EF334E"/>
    <w:rsid w:val="00EF359E"/>
    <w:rsid w:val="00EF4668"/>
    <w:rsid w:val="00EF4685"/>
    <w:rsid w:val="00EF4FEE"/>
    <w:rsid w:val="00EF542B"/>
    <w:rsid w:val="00EF6873"/>
    <w:rsid w:val="00EF6902"/>
    <w:rsid w:val="00EF6F24"/>
    <w:rsid w:val="00EF7143"/>
    <w:rsid w:val="00EF72DB"/>
    <w:rsid w:val="00F0055F"/>
    <w:rsid w:val="00F0080B"/>
    <w:rsid w:val="00F00BE1"/>
    <w:rsid w:val="00F015B1"/>
    <w:rsid w:val="00F01B31"/>
    <w:rsid w:val="00F02D9C"/>
    <w:rsid w:val="00F037D5"/>
    <w:rsid w:val="00F038D5"/>
    <w:rsid w:val="00F03AB6"/>
    <w:rsid w:val="00F03AB9"/>
    <w:rsid w:val="00F03F4E"/>
    <w:rsid w:val="00F0439A"/>
    <w:rsid w:val="00F048EF"/>
    <w:rsid w:val="00F04C0D"/>
    <w:rsid w:val="00F06479"/>
    <w:rsid w:val="00F06958"/>
    <w:rsid w:val="00F07241"/>
    <w:rsid w:val="00F076C5"/>
    <w:rsid w:val="00F07E96"/>
    <w:rsid w:val="00F1069E"/>
    <w:rsid w:val="00F10B0A"/>
    <w:rsid w:val="00F120D9"/>
    <w:rsid w:val="00F124BE"/>
    <w:rsid w:val="00F125DE"/>
    <w:rsid w:val="00F12638"/>
    <w:rsid w:val="00F12A9F"/>
    <w:rsid w:val="00F13137"/>
    <w:rsid w:val="00F1339B"/>
    <w:rsid w:val="00F14C13"/>
    <w:rsid w:val="00F15FBF"/>
    <w:rsid w:val="00F17174"/>
    <w:rsid w:val="00F172D0"/>
    <w:rsid w:val="00F20D8C"/>
    <w:rsid w:val="00F211DE"/>
    <w:rsid w:val="00F21D2A"/>
    <w:rsid w:val="00F21E2E"/>
    <w:rsid w:val="00F21E63"/>
    <w:rsid w:val="00F2254A"/>
    <w:rsid w:val="00F2276D"/>
    <w:rsid w:val="00F22B7B"/>
    <w:rsid w:val="00F22C15"/>
    <w:rsid w:val="00F22EDB"/>
    <w:rsid w:val="00F2304F"/>
    <w:rsid w:val="00F23570"/>
    <w:rsid w:val="00F23F06"/>
    <w:rsid w:val="00F24232"/>
    <w:rsid w:val="00F24E8D"/>
    <w:rsid w:val="00F2526C"/>
    <w:rsid w:val="00F2604B"/>
    <w:rsid w:val="00F261F0"/>
    <w:rsid w:val="00F27170"/>
    <w:rsid w:val="00F27319"/>
    <w:rsid w:val="00F30016"/>
    <w:rsid w:val="00F3013E"/>
    <w:rsid w:val="00F3058F"/>
    <w:rsid w:val="00F30CE5"/>
    <w:rsid w:val="00F30E85"/>
    <w:rsid w:val="00F313D1"/>
    <w:rsid w:val="00F3144A"/>
    <w:rsid w:val="00F31C75"/>
    <w:rsid w:val="00F31FA1"/>
    <w:rsid w:val="00F32543"/>
    <w:rsid w:val="00F33050"/>
    <w:rsid w:val="00F33277"/>
    <w:rsid w:val="00F33286"/>
    <w:rsid w:val="00F333D8"/>
    <w:rsid w:val="00F339D7"/>
    <w:rsid w:val="00F33CE0"/>
    <w:rsid w:val="00F3402A"/>
    <w:rsid w:val="00F340CD"/>
    <w:rsid w:val="00F341B5"/>
    <w:rsid w:val="00F341CC"/>
    <w:rsid w:val="00F342DC"/>
    <w:rsid w:val="00F34A3B"/>
    <w:rsid w:val="00F34E67"/>
    <w:rsid w:val="00F35664"/>
    <w:rsid w:val="00F35C54"/>
    <w:rsid w:val="00F35E63"/>
    <w:rsid w:val="00F35FC7"/>
    <w:rsid w:val="00F36AE4"/>
    <w:rsid w:val="00F36B6C"/>
    <w:rsid w:val="00F36D10"/>
    <w:rsid w:val="00F370DC"/>
    <w:rsid w:val="00F37487"/>
    <w:rsid w:val="00F37566"/>
    <w:rsid w:val="00F37C18"/>
    <w:rsid w:val="00F37E5B"/>
    <w:rsid w:val="00F40CAB"/>
    <w:rsid w:val="00F40D09"/>
    <w:rsid w:val="00F43098"/>
    <w:rsid w:val="00F4352E"/>
    <w:rsid w:val="00F43960"/>
    <w:rsid w:val="00F43C3C"/>
    <w:rsid w:val="00F4470C"/>
    <w:rsid w:val="00F44B59"/>
    <w:rsid w:val="00F44BB8"/>
    <w:rsid w:val="00F455F4"/>
    <w:rsid w:val="00F459C7"/>
    <w:rsid w:val="00F45D8C"/>
    <w:rsid w:val="00F468CA"/>
    <w:rsid w:val="00F47658"/>
    <w:rsid w:val="00F47C5C"/>
    <w:rsid w:val="00F50173"/>
    <w:rsid w:val="00F50A8A"/>
    <w:rsid w:val="00F510A6"/>
    <w:rsid w:val="00F51D20"/>
    <w:rsid w:val="00F53166"/>
    <w:rsid w:val="00F53A12"/>
    <w:rsid w:val="00F54856"/>
    <w:rsid w:val="00F54FE1"/>
    <w:rsid w:val="00F5525D"/>
    <w:rsid w:val="00F55337"/>
    <w:rsid w:val="00F5539B"/>
    <w:rsid w:val="00F554AA"/>
    <w:rsid w:val="00F5565E"/>
    <w:rsid w:val="00F557CB"/>
    <w:rsid w:val="00F55D35"/>
    <w:rsid w:val="00F5608A"/>
    <w:rsid w:val="00F56AF3"/>
    <w:rsid w:val="00F56CB9"/>
    <w:rsid w:val="00F57650"/>
    <w:rsid w:val="00F579FC"/>
    <w:rsid w:val="00F57FD9"/>
    <w:rsid w:val="00F6089D"/>
    <w:rsid w:val="00F60C74"/>
    <w:rsid w:val="00F61342"/>
    <w:rsid w:val="00F61841"/>
    <w:rsid w:val="00F61E93"/>
    <w:rsid w:val="00F62773"/>
    <w:rsid w:val="00F62FE5"/>
    <w:rsid w:val="00F637C9"/>
    <w:rsid w:val="00F64243"/>
    <w:rsid w:val="00F64CF8"/>
    <w:rsid w:val="00F64DD3"/>
    <w:rsid w:val="00F64F51"/>
    <w:rsid w:val="00F66122"/>
    <w:rsid w:val="00F665D5"/>
    <w:rsid w:val="00F666FD"/>
    <w:rsid w:val="00F66EC1"/>
    <w:rsid w:val="00F67099"/>
    <w:rsid w:val="00F672F1"/>
    <w:rsid w:val="00F67302"/>
    <w:rsid w:val="00F67A35"/>
    <w:rsid w:val="00F71419"/>
    <w:rsid w:val="00F72620"/>
    <w:rsid w:val="00F72923"/>
    <w:rsid w:val="00F733CC"/>
    <w:rsid w:val="00F73930"/>
    <w:rsid w:val="00F74118"/>
    <w:rsid w:val="00F746A3"/>
    <w:rsid w:val="00F759AD"/>
    <w:rsid w:val="00F75BDF"/>
    <w:rsid w:val="00F765E8"/>
    <w:rsid w:val="00F76EE1"/>
    <w:rsid w:val="00F7768D"/>
    <w:rsid w:val="00F80A71"/>
    <w:rsid w:val="00F80F3C"/>
    <w:rsid w:val="00F8200C"/>
    <w:rsid w:val="00F82F09"/>
    <w:rsid w:val="00F83841"/>
    <w:rsid w:val="00F84B88"/>
    <w:rsid w:val="00F85244"/>
    <w:rsid w:val="00F856F0"/>
    <w:rsid w:val="00F85D77"/>
    <w:rsid w:val="00F863C8"/>
    <w:rsid w:val="00F86D88"/>
    <w:rsid w:val="00F87FA7"/>
    <w:rsid w:val="00F9002C"/>
    <w:rsid w:val="00F90255"/>
    <w:rsid w:val="00F90898"/>
    <w:rsid w:val="00F911DD"/>
    <w:rsid w:val="00F914C8"/>
    <w:rsid w:val="00F914EA"/>
    <w:rsid w:val="00F91839"/>
    <w:rsid w:val="00F91CC0"/>
    <w:rsid w:val="00F928CE"/>
    <w:rsid w:val="00F92EAE"/>
    <w:rsid w:val="00F92EEE"/>
    <w:rsid w:val="00F936B8"/>
    <w:rsid w:val="00F94205"/>
    <w:rsid w:val="00F945B2"/>
    <w:rsid w:val="00F9473C"/>
    <w:rsid w:val="00F947A1"/>
    <w:rsid w:val="00F94874"/>
    <w:rsid w:val="00F963E1"/>
    <w:rsid w:val="00F9721B"/>
    <w:rsid w:val="00F977CB"/>
    <w:rsid w:val="00F97854"/>
    <w:rsid w:val="00F97C65"/>
    <w:rsid w:val="00F97FC2"/>
    <w:rsid w:val="00FA0942"/>
    <w:rsid w:val="00FA0AC9"/>
    <w:rsid w:val="00FA2910"/>
    <w:rsid w:val="00FA30BD"/>
    <w:rsid w:val="00FA362D"/>
    <w:rsid w:val="00FA3D8C"/>
    <w:rsid w:val="00FA3E51"/>
    <w:rsid w:val="00FA403D"/>
    <w:rsid w:val="00FA40A3"/>
    <w:rsid w:val="00FA427F"/>
    <w:rsid w:val="00FA45CD"/>
    <w:rsid w:val="00FA52BF"/>
    <w:rsid w:val="00FA5989"/>
    <w:rsid w:val="00FA5B17"/>
    <w:rsid w:val="00FA6924"/>
    <w:rsid w:val="00FA69D3"/>
    <w:rsid w:val="00FA7131"/>
    <w:rsid w:val="00FB01CC"/>
    <w:rsid w:val="00FB1350"/>
    <w:rsid w:val="00FB16CA"/>
    <w:rsid w:val="00FB26BD"/>
    <w:rsid w:val="00FB2DE1"/>
    <w:rsid w:val="00FB33FA"/>
    <w:rsid w:val="00FB35CC"/>
    <w:rsid w:val="00FB386A"/>
    <w:rsid w:val="00FB3B56"/>
    <w:rsid w:val="00FB3BA6"/>
    <w:rsid w:val="00FB4411"/>
    <w:rsid w:val="00FB4D65"/>
    <w:rsid w:val="00FB56CA"/>
    <w:rsid w:val="00FB5954"/>
    <w:rsid w:val="00FB5B4B"/>
    <w:rsid w:val="00FB60A1"/>
    <w:rsid w:val="00FB63F5"/>
    <w:rsid w:val="00FB6695"/>
    <w:rsid w:val="00FB7FA7"/>
    <w:rsid w:val="00FC012F"/>
    <w:rsid w:val="00FC0253"/>
    <w:rsid w:val="00FC085C"/>
    <w:rsid w:val="00FC0CDF"/>
    <w:rsid w:val="00FC0D7C"/>
    <w:rsid w:val="00FC163A"/>
    <w:rsid w:val="00FC16FB"/>
    <w:rsid w:val="00FC183A"/>
    <w:rsid w:val="00FC19F5"/>
    <w:rsid w:val="00FC2EA2"/>
    <w:rsid w:val="00FC3D1C"/>
    <w:rsid w:val="00FC50EA"/>
    <w:rsid w:val="00FC51C4"/>
    <w:rsid w:val="00FC5656"/>
    <w:rsid w:val="00FC5661"/>
    <w:rsid w:val="00FC5BAE"/>
    <w:rsid w:val="00FC5F90"/>
    <w:rsid w:val="00FC64F3"/>
    <w:rsid w:val="00FC66AD"/>
    <w:rsid w:val="00FC72E0"/>
    <w:rsid w:val="00FD08A7"/>
    <w:rsid w:val="00FD0B99"/>
    <w:rsid w:val="00FD0F43"/>
    <w:rsid w:val="00FD1295"/>
    <w:rsid w:val="00FD20AB"/>
    <w:rsid w:val="00FD29E9"/>
    <w:rsid w:val="00FD2E55"/>
    <w:rsid w:val="00FD2FA9"/>
    <w:rsid w:val="00FD31D2"/>
    <w:rsid w:val="00FD3572"/>
    <w:rsid w:val="00FD36D4"/>
    <w:rsid w:val="00FD40CF"/>
    <w:rsid w:val="00FD510B"/>
    <w:rsid w:val="00FD52F8"/>
    <w:rsid w:val="00FD5360"/>
    <w:rsid w:val="00FD54CC"/>
    <w:rsid w:val="00FD5914"/>
    <w:rsid w:val="00FD65AD"/>
    <w:rsid w:val="00FD6B34"/>
    <w:rsid w:val="00FD6C8C"/>
    <w:rsid w:val="00FD6DBB"/>
    <w:rsid w:val="00FD795C"/>
    <w:rsid w:val="00FD7A8D"/>
    <w:rsid w:val="00FE06A2"/>
    <w:rsid w:val="00FE0CE6"/>
    <w:rsid w:val="00FE0FBC"/>
    <w:rsid w:val="00FE1630"/>
    <w:rsid w:val="00FE169D"/>
    <w:rsid w:val="00FE190A"/>
    <w:rsid w:val="00FE28C8"/>
    <w:rsid w:val="00FE2C3A"/>
    <w:rsid w:val="00FE33B0"/>
    <w:rsid w:val="00FE39E1"/>
    <w:rsid w:val="00FE4CFC"/>
    <w:rsid w:val="00FE52CD"/>
    <w:rsid w:val="00FE5E92"/>
    <w:rsid w:val="00FE5F93"/>
    <w:rsid w:val="00FE62CD"/>
    <w:rsid w:val="00FE63D3"/>
    <w:rsid w:val="00FE6871"/>
    <w:rsid w:val="00FE71CB"/>
    <w:rsid w:val="00FE792B"/>
    <w:rsid w:val="00FE79EF"/>
    <w:rsid w:val="00FF025A"/>
    <w:rsid w:val="00FF088B"/>
    <w:rsid w:val="00FF0AC4"/>
    <w:rsid w:val="00FF0D1C"/>
    <w:rsid w:val="00FF0E3B"/>
    <w:rsid w:val="00FF10AF"/>
    <w:rsid w:val="00FF116E"/>
    <w:rsid w:val="00FF1304"/>
    <w:rsid w:val="00FF140F"/>
    <w:rsid w:val="00FF18BB"/>
    <w:rsid w:val="00FF209F"/>
    <w:rsid w:val="00FF2151"/>
    <w:rsid w:val="00FF22C2"/>
    <w:rsid w:val="00FF23FB"/>
    <w:rsid w:val="00FF2C03"/>
    <w:rsid w:val="00FF30BA"/>
    <w:rsid w:val="00FF3298"/>
    <w:rsid w:val="00FF334E"/>
    <w:rsid w:val="00FF3880"/>
    <w:rsid w:val="00FF394B"/>
    <w:rsid w:val="00FF4EB5"/>
    <w:rsid w:val="00FF4F9B"/>
    <w:rsid w:val="00FF6062"/>
    <w:rsid w:val="00FF636B"/>
    <w:rsid w:val="00FF66BB"/>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341F38A5-AA35-491F-936E-94792D66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uiPriority w:val="99"/>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9"/>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9"/>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9"/>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9"/>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9"/>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9"/>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locked/>
    <w:rsid w:val="00AE1AB0"/>
    <w:rPr>
      <w:rFonts w:eastAsia="Times New Roman" w:cs="Times New Roman"/>
      <w:sz w:val="24"/>
    </w:rPr>
  </w:style>
  <w:style w:type="character" w:customStyle="1" w:styleId="Ttulo3Char">
    <w:name w:val="Título 3 Char"/>
    <w:basedOn w:val="Fontepargpadro"/>
    <w:link w:val="Ttulo3"/>
    <w:uiPriority w:val="99"/>
    <w:semiHidden/>
    <w:locked/>
    <w:rsid w:val="005438A1"/>
    <w:rPr>
      <w:rFonts w:ascii="Cambria" w:hAnsi="Cambria" w:cs="Times New Roman"/>
      <w:b/>
      <w:bCs/>
      <w:sz w:val="26"/>
      <w:szCs w:val="26"/>
      <w:lang w:eastAsia="en-US"/>
    </w:rPr>
  </w:style>
  <w:style w:type="character" w:customStyle="1" w:styleId="Ttulo4Char">
    <w:name w:val="Título 4 Char"/>
    <w:basedOn w:val="Fontepargpadro"/>
    <w:link w:val="Ttulo4"/>
    <w:uiPriority w:val="99"/>
    <w:semiHidden/>
    <w:locked/>
    <w:rsid w:val="005438A1"/>
    <w:rPr>
      <w:rFonts w:ascii="Calibri" w:hAnsi="Calibri" w:cs="Times New Roman"/>
      <w:b/>
      <w:bCs/>
      <w:sz w:val="28"/>
      <w:szCs w:val="28"/>
      <w:lang w:eastAsia="en-US"/>
    </w:rPr>
  </w:style>
  <w:style w:type="character" w:customStyle="1" w:styleId="Ttulo5Char">
    <w:name w:val="Título 5 Char"/>
    <w:basedOn w:val="Fontepargpadro"/>
    <w:link w:val="Ttulo5"/>
    <w:uiPriority w:val="99"/>
    <w:locked/>
    <w:rsid w:val="005438A1"/>
    <w:rPr>
      <w:rFonts w:ascii="Cambria" w:hAnsi="Cambria" w:cs="Times New Roman"/>
      <w:color w:val="243F60"/>
      <w:sz w:val="22"/>
      <w:szCs w:val="22"/>
      <w:lang w:eastAsia="en-US"/>
    </w:rPr>
  </w:style>
  <w:style w:type="character" w:customStyle="1" w:styleId="Ttulo6Char">
    <w:name w:val="Título 6 Char"/>
    <w:basedOn w:val="Fontepargpadro"/>
    <w:link w:val="Ttulo6"/>
    <w:uiPriority w:val="99"/>
    <w:semiHidden/>
    <w:locked/>
    <w:rsid w:val="00E75855"/>
    <w:rPr>
      <w:rFonts w:ascii="Calibri" w:hAnsi="Calibri" w:cs="Times New Roman"/>
      <w:b/>
      <w:bCs/>
      <w:sz w:val="22"/>
      <w:szCs w:val="22"/>
      <w:lang w:eastAsia="en-US"/>
    </w:rPr>
  </w:style>
  <w:style w:type="character" w:customStyle="1" w:styleId="Ttulo8Char">
    <w:name w:val="Título 8 Char"/>
    <w:basedOn w:val="Fontepargpadro"/>
    <w:link w:val="Ttulo8"/>
    <w:uiPriority w:val="99"/>
    <w:locked/>
    <w:rsid w:val="00515E7B"/>
    <w:rPr>
      <w:rFonts w:ascii="Calibri" w:hAnsi="Calibri" w:cs="Times New Roman"/>
      <w:i/>
      <w:iCs/>
      <w:sz w:val="24"/>
      <w:szCs w:val="24"/>
      <w:lang w:eastAsia="en-US"/>
    </w:rPr>
  </w:style>
  <w:style w:type="character" w:customStyle="1" w:styleId="Ttulo9Char">
    <w:name w:val="Título 9 Char"/>
    <w:basedOn w:val="Fontepargpadro"/>
    <w:link w:val="Ttulo9"/>
    <w:uiPriority w:val="99"/>
    <w:semiHidden/>
    <w:locked/>
    <w:rsid w:val="00515E7B"/>
    <w:rPr>
      <w:rFonts w:ascii="Cambria" w:hAnsi="Cambria" w:cs="Times New Roman"/>
      <w:sz w:val="22"/>
      <w:szCs w:val="22"/>
      <w:lang w:eastAsia="en-US"/>
    </w:rPr>
  </w:style>
  <w:style w:type="paragraph" w:styleId="Cabealho">
    <w:name w:val="header"/>
    <w:basedOn w:val="Normal"/>
    <w:link w:val="CabealhoChar"/>
    <w:uiPriority w:val="99"/>
    <w:rsid w:val="008B0547"/>
    <w:pPr>
      <w:tabs>
        <w:tab w:val="center" w:pos="4252"/>
        <w:tab w:val="right" w:pos="8504"/>
      </w:tabs>
      <w:spacing w:after="0"/>
    </w:pPr>
  </w:style>
  <w:style w:type="character" w:customStyle="1" w:styleId="CabealhoChar">
    <w:name w:val="Cabeçalho Char"/>
    <w:basedOn w:val="Fontepargpadro"/>
    <w:link w:val="Cabealho"/>
    <w:uiPriority w:val="99"/>
    <w:locked/>
    <w:rsid w:val="008B0547"/>
    <w:rPr>
      <w:rFonts w:cs="Times New Roman"/>
    </w:rPr>
  </w:style>
  <w:style w:type="paragraph" w:styleId="Rodap">
    <w:name w:val="footer"/>
    <w:basedOn w:val="Normal"/>
    <w:link w:val="RodapChar"/>
    <w:uiPriority w:val="99"/>
    <w:rsid w:val="008B0547"/>
    <w:pPr>
      <w:tabs>
        <w:tab w:val="center" w:pos="4252"/>
        <w:tab w:val="right" w:pos="8504"/>
      </w:tabs>
      <w:spacing w:after="0"/>
    </w:pPr>
  </w:style>
  <w:style w:type="character" w:customStyle="1" w:styleId="RodapChar">
    <w:name w:val="Rodapé Char"/>
    <w:basedOn w:val="Fontepargpadro"/>
    <w:link w:val="Rodap"/>
    <w:uiPriority w:val="99"/>
    <w:locked/>
    <w:rsid w:val="008B0547"/>
    <w:rPr>
      <w:rFonts w:cs="Times New Roman"/>
    </w:rPr>
  </w:style>
  <w:style w:type="table" w:styleId="Tabelacomgrade">
    <w:name w:val="Table Grid"/>
    <w:basedOn w:val="Tabelanormal"/>
    <w:uiPriority w:val="9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uiPriority w:val="99"/>
    <w:rsid w:val="00E23C05"/>
    <w:pPr>
      <w:spacing w:before="120"/>
      <w:ind w:firstLine="425"/>
      <w:jc w:val="both"/>
    </w:pPr>
    <w:rPr>
      <w:rFonts w:ascii="Arial" w:eastAsia="Times New Roman" w:hAnsi="Arial"/>
    </w:rPr>
  </w:style>
  <w:style w:type="paragraph" w:styleId="Recuodecorpodetexto">
    <w:name w:val="Body Text Indent"/>
    <w:basedOn w:val="Normal"/>
    <w:link w:val="RecuodecorpodetextoChar"/>
    <w:uiPriority w:val="99"/>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uiPriority w:val="99"/>
    <w:semiHidden/>
    <w:locked/>
    <w:rsid w:val="00AE1AB0"/>
    <w:rPr>
      <w:rFonts w:eastAsia="Times New Roman" w:cs="Times New Roman"/>
      <w:sz w:val="24"/>
    </w:rPr>
  </w:style>
  <w:style w:type="paragraph" w:styleId="MapadoDocumento">
    <w:name w:val="Document Map"/>
    <w:basedOn w:val="Normal"/>
    <w:link w:val="MapadoDocumentoChar"/>
    <w:uiPriority w:val="99"/>
    <w:semiHidden/>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locked/>
    <w:rsid w:val="00000605"/>
    <w:rPr>
      <w:rFonts w:ascii="Tahoma" w:hAnsi="Tahoma" w:cs="Tahoma"/>
      <w:sz w:val="16"/>
      <w:szCs w:val="16"/>
      <w:lang w:eastAsia="en-US"/>
    </w:rPr>
  </w:style>
  <w:style w:type="paragraph" w:styleId="Corpodetexto">
    <w:name w:val="Body Text"/>
    <w:basedOn w:val="Normal"/>
    <w:link w:val="CorpodetextoChar"/>
    <w:uiPriority w:val="99"/>
    <w:rsid w:val="00E75855"/>
  </w:style>
  <w:style w:type="character" w:customStyle="1" w:styleId="CorpodetextoChar">
    <w:name w:val="Corpo de texto Char"/>
    <w:basedOn w:val="Fontepargpadro"/>
    <w:link w:val="Corpodetexto"/>
    <w:uiPriority w:val="99"/>
    <w:locked/>
    <w:rsid w:val="00E75855"/>
    <w:rPr>
      <w:rFonts w:cs="Times New Roman"/>
      <w:sz w:val="24"/>
      <w:szCs w:val="24"/>
      <w:lang w:eastAsia="en-US"/>
    </w:rPr>
  </w:style>
  <w:style w:type="paragraph" w:styleId="Corpodetexto2">
    <w:name w:val="Body Text 2"/>
    <w:basedOn w:val="Normal"/>
    <w:link w:val="Corpodetexto2Char"/>
    <w:uiPriority w:val="99"/>
    <w:rsid w:val="00E75855"/>
    <w:pPr>
      <w:spacing w:line="480" w:lineRule="auto"/>
    </w:pPr>
  </w:style>
  <w:style w:type="character" w:customStyle="1" w:styleId="Corpodetexto2Char">
    <w:name w:val="Corpo de texto 2 Char"/>
    <w:basedOn w:val="Fontepargpadro"/>
    <w:link w:val="Corpodetexto2"/>
    <w:uiPriority w:val="99"/>
    <w:locked/>
    <w:rsid w:val="00E75855"/>
    <w:rPr>
      <w:rFonts w:cs="Times New Roman"/>
      <w:sz w:val="24"/>
      <w:szCs w:val="24"/>
      <w:lang w:eastAsia="en-US"/>
    </w:rPr>
  </w:style>
  <w:style w:type="character" w:styleId="Hyperlink">
    <w:name w:val="Hyperlink"/>
    <w:basedOn w:val="Fontepargpadro"/>
    <w:uiPriority w:val="99"/>
    <w:rsid w:val="00E75855"/>
    <w:rPr>
      <w:rFonts w:cs="Times New Roman"/>
      <w:color w:val="0000FF"/>
      <w:u w:val="none"/>
      <w:effect w:val="none"/>
    </w:rPr>
  </w:style>
  <w:style w:type="paragraph" w:styleId="NormalWeb">
    <w:name w:val="Normal (Web)"/>
    <w:basedOn w:val="Normal"/>
    <w:uiPriority w:val="99"/>
    <w:rsid w:val="00E75855"/>
    <w:pPr>
      <w:spacing w:after="0" w:line="360" w:lineRule="auto"/>
      <w:ind w:left="0" w:firstLine="1200"/>
      <w:jc w:val="left"/>
    </w:pPr>
    <w:rPr>
      <w:rFonts w:eastAsia="Times New Roman"/>
      <w:lang w:eastAsia="pt-BR"/>
    </w:rPr>
  </w:style>
  <w:style w:type="character" w:styleId="Forte">
    <w:name w:val="Strong"/>
    <w:basedOn w:val="Fontepargpadro"/>
    <w:uiPriority w:val="99"/>
    <w:qFormat/>
    <w:rsid w:val="00E75855"/>
    <w:rPr>
      <w:rFonts w:cs="Times New Roman"/>
      <w:b/>
      <w:bCs/>
    </w:rPr>
  </w:style>
  <w:style w:type="paragraph" w:customStyle="1" w:styleId="indice">
    <w:name w:val="indice"/>
    <w:uiPriority w:val="99"/>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uiPriority w:val="99"/>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uiPriority w:val="99"/>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uiPriority w:val="99"/>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F4DE0"/>
    <w:rPr>
      <w:rFonts w:ascii="Tahoma" w:hAnsi="Tahoma" w:cs="Tahoma"/>
      <w:sz w:val="16"/>
      <w:szCs w:val="16"/>
      <w:lang w:eastAsia="en-US"/>
    </w:rPr>
  </w:style>
  <w:style w:type="paragraph" w:customStyle="1" w:styleId="TCU-RelVoto-demais">
    <w:name w:val="TCU - Rel/Voto - demais §§"/>
    <w:basedOn w:val="Normal"/>
    <w:uiPriority w:val="99"/>
    <w:rsid w:val="0015258E"/>
    <w:pPr>
      <w:tabs>
        <w:tab w:val="left" w:pos="1134"/>
      </w:tabs>
      <w:spacing w:after="160"/>
      <w:ind w:left="0"/>
    </w:pPr>
    <w:rPr>
      <w:rFonts w:eastAsia="Times New Roman"/>
      <w:szCs w:val="22"/>
    </w:rPr>
  </w:style>
  <w:style w:type="paragraph" w:customStyle="1" w:styleId="votonumerado">
    <w:name w:val="voto numerado"/>
    <w:basedOn w:val="Normal"/>
    <w:uiPriority w:val="99"/>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uiPriority w:val="99"/>
    <w:rsid w:val="001D74CE"/>
    <w:pPr>
      <w:widowControl w:val="0"/>
      <w:suppressAutoHyphens/>
      <w:spacing w:after="0"/>
      <w:ind w:left="0"/>
      <w:jc w:val="left"/>
    </w:pPr>
    <w:rPr>
      <w:rFonts w:eastAsia="Times New Roman"/>
      <w:szCs w:val="20"/>
      <w:lang w:eastAsia="pt-BR"/>
    </w:rPr>
  </w:style>
  <w:style w:type="paragraph" w:customStyle="1" w:styleId="Citao">
    <w:name w:val="#Citação"/>
    <w:uiPriority w:val="99"/>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uiPriority w:val="99"/>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uiPriority w:val="99"/>
    <w:rsid w:val="008501A4"/>
    <w:pPr>
      <w:autoSpaceDE w:val="0"/>
      <w:autoSpaceDN w:val="0"/>
      <w:adjustRightInd w:val="0"/>
    </w:pPr>
    <w:rPr>
      <w:color w:val="000000"/>
      <w:sz w:val="24"/>
      <w:szCs w:val="24"/>
    </w:rPr>
  </w:style>
  <w:style w:type="paragraph" w:customStyle="1" w:styleId="B">
    <w:name w:val="B"/>
    <w:basedOn w:val="Normal"/>
    <w:uiPriority w:val="99"/>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locked/>
    <w:rsid w:val="0086124E"/>
    <w:rPr>
      <w:rFonts w:ascii="Courier New" w:hAnsi="Courier New" w:cs="Times New Roman"/>
    </w:rPr>
  </w:style>
  <w:style w:type="paragraph" w:customStyle="1" w:styleId="TCU-RelVoto-1">
    <w:name w:val="TCU - Rel/Voto - 1º §"/>
    <w:basedOn w:val="Normal"/>
    <w:uiPriority w:val="99"/>
    <w:rsid w:val="00491438"/>
    <w:pPr>
      <w:spacing w:after="160"/>
      <w:ind w:left="0" w:firstLine="1134"/>
    </w:pPr>
    <w:rPr>
      <w:rFonts w:eastAsia="Times New Roman"/>
      <w:szCs w:val="22"/>
    </w:rPr>
  </w:style>
  <w:style w:type="paragraph" w:customStyle="1" w:styleId="TCU-Transcrio">
    <w:name w:val="TCU - Transcrição"/>
    <w:basedOn w:val="Normal"/>
    <w:uiPriority w:val="99"/>
    <w:rsid w:val="00491438"/>
    <w:pPr>
      <w:ind w:left="284" w:firstLine="567"/>
    </w:pPr>
    <w:rPr>
      <w:rFonts w:eastAsia="Times New Roman"/>
      <w:i/>
      <w:szCs w:val="22"/>
    </w:rPr>
  </w:style>
  <w:style w:type="paragraph" w:customStyle="1" w:styleId="Indentado">
    <w:name w:val="Indentado"/>
    <w:basedOn w:val="Normal"/>
    <w:uiPriority w:val="99"/>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uiPriority w:val="99"/>
    <w:rsid w:val="00AA49AF"/>
    <w:pPr>
      <w:spacing w:after="0"/>
      <w:ind w:left="2835"/>
    </w:pPr>
    <w:rPr>
      <w:rFonts w:eastAsia="Times New Roman"/>
      <w:szCs w:val="20"/>
      <w:lang w:eastAsia="pt-BR"/>
    </w:rPr>
  </w:style>
  <w:style w:type="paragraph" w:customStyle="1" w:styleId="CorpodeTextoResumo">
    <w:name w:val="Corpo de Texto Resumo"/>
    <w:basedOn w:val="Corpodetexto"/>
    <w:uiPriority w:val="99"/>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rsid w:val="00A239A8"/>
    <w:pPr>
      <w:spacing w:after="0"/>
    </w:pPr>
  </w:style>
  <w:style w:type="paragraph" w:styleId="Legenda">
    <w:name w:val="caption"/>
    <w:basedOn w:val="Normal"/>
    <w:next w:val="Normal"/>
    <w:uiPriority w:val="99"/>
    <w:qFormat/>
    <w:rsid w:val="005438A1"/>
    <w:pPr>
      <w:spacing w:before="120"/>
      <w:ind w:left="0"/>
      <w:jc w:val="center"/>
    </w:pPr>
    <w:rPr>
      <w:rFonts w:eastAsia="Times New Roman"/>
      <w:szCs w:val="20"/>
      <w:lang w:eastAsia="pt-BR"/>
    </w:rPr>
  </w:style>
  <w:style w:type="paragraph" w:customStyle="1" w:styleId="tensletras">
    <w:name w:val="Ítens letras"/>
    <w:basedOn w:val="Normal"/>
    <w:uiPriority w:val="99"/>
    <w:rsid w:val="005438A1"/>
    <w:pPr>
      <w:numPr>
        <w:numId w:val="4"/>
      </w:numPr>
      <w:spacing w:before="60" w:after="60"/>
    </w:pPr>
    <w:rPr>
      <w:rFonts w:eastAsia="Times New Roman"/>
      <w:szCs w:val="20"/>
      <w:lang w:eastAsia="pt-BR"/>
    </w:rPr>
  </w:style>
  <w:style w:type="paragraph" w:customStyle="1" w:styleId="Propostaletras">
    <w:name w:val="Proposta letras"/>
    <w:basedOn w:val="tensletras"/>
    <w:uiPriority w:val="99"/>
    <w:rsid w:val="005438A1"/>
  </w:style>
  <w:style w:type="paragraph" w:customStyle="1" w:styleId="NormalCG">
    <w:name w:val="Normal CG"/>
    <w:basedOn w:val="Corpodetexto"/>
    <w:uiPriority w:val="99"/>
    <w:rsid w:val="00202EAD"/>
    <w:pPr>
      <w:spacing w:before="120"/>
      <w:ind w:left="0" w:firstLine="1418"/>
    </w:pPr>
    <w:rPr>
      <w:rFonts w:eastAsia="Times New Roman"/>
      <w:szCs w:val="20"/>
      <w:lang w:eastAsia="pt-BR"/>
    </w:rPr>
  </w:style>
  <w:style w:type="paragraph" w:customStyle="1" w:styleId="Normal0">
    <w:name w:val="#Normal"/>
    <w:uiPriority w:val="99"/>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uiPriority w:val="99"/>
    <w:rsid w:val="00412CEF"/>
    <w:pPr>
      <w:spacing w:after="160"/>
      <w:ind w:left="0" w:firstLine="1134"/>
    </w:pPr>
    <w:rPr>
      <w:rFonts w:eastAsia="Times New Roman"/>
      <w:szCs w:val="20"/>
      <w:lang w:eastAsia="pt-BR"/>
    </w:rPr>
  </w:style>
  <w:style w:type="paragraph" w:customStyle="1" w:styleId="TCU-SemRecuo">
    <w:name w:val="TCU - Sem Recuo"/>
    <w:basedOn w:val="Normal"/>
    <w:uiPriority w:val="99"/>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99"/>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99"/>
    <w:locked/>
    <w:rsid w:val="0015699C"/>
    <w:rPr>
      <w:rFonts w:eastAsia="Times New Roman" w:cs="Times New Roman"/>
      <w:sz w:val="22"/>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uiPriority w:val="99"/>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uiPriority w:val="99"/>
    <w:rsid w:val="004E01D4"/>
    <w:pPr>
      <w:spacing w:after="0"/>
      <w:ind w:left="0" w:firstLine="1134"/>
    </w:pPr>
    <w:rPr>
      <w:rFonts w:eastAsia="Times New Roman"/>
      <w:szCs w:val="20"/>
      <w:lang w:eastAsia="pt-BR"/>
    </w:rPr>
  </w:style>
  <w:style w:type="character" w:customStyle="1" w:styleId="st">
    <w:name w:val="st"/>
    <w:basedOn w:val="Fontepargpadro"/>
    <w:uiPriority w:val="99"/>
    <w:rsid w:val="004F7AF1"/>
    <w:rPr>
      <w:rFonts w:cs="Times New Roman"/>
    </w:rPr>
  </w:style>
  <w:style w:type="paragraph" w:customStyle="1" w:styleId="TCU-Ac-itens1a8">
    <w:name w:val="TCU -   Ac - itens 1 a 8"/>
    <w:basedOn w:val="TCU-RelVoto-demais"/>
    <w:uiPriority w:val="99"/>
    <w:rsid w:val="00D825BC"/>
    <w:pPr>
      <w:spacing w:after="0"/>
    </w:pPr>
    <w:rPr>
      <w:szCs w:val="24"/>
    </w:rPr>
  </w:style>
  <w:style w:type="paragraph" w:customStyle="1" w:styleId="Pargrafos">
    <w:name w:val="Parágrafos"/>
    <w:basedOn w:val="Normal"/>
    <w:uiPriority w:val="99"/>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uiPriority w:val="99"/>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uiPriority w:val="99"/>
    <w:locked/>
    <w:rsid w:val="007562B3"/>
    <w:rPr>
      <w:rFonts w:eastAsia="Times New Roman" w:cs="Times New Roman"/>
      <w:sz w:val="24"/>
    </w:rPr>
  </w:style>
  <w:style w:type="paragraph" w:customStyle="1" w:styleId="Referncia">
    <w:name w:val="Referência"/>
    <w:basedOn w:val="Normal"/>
    <w:link w:val="RefernciaChar"/>
    <w:uiPriority w:val="99"/>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uiPriority w:val="99"/>
    <w:locked/>
    <w:rsid w:val="00CE6822"/>
    <w:rPr>
      <w:rFonts w:eastAsia="Times New Roman" w:cs="Times New Roman"/>
      <w:sz w:val="24"/>
    </w:rPr>
  </w:style>
  <w:style w:type="paragraph" w:styleId="Textodenotaderodap">
    <w:name w:val="footnote text"/>
    <w:basedOn w:val="Normal"/>
    <w:link w:val="TextodenotaderodapChar"/>
    <w:uiPriority w:val="99"/>
    <w:semiHidden/>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locked/>
    <w:rsid w:val="00B40A2D"/>
    <w:rPr>
      <w:rFonts w:eastAsia="Times New Roman" w:cs="Times New Roman"/>
      <w:lang w:eastAsia="en-US"/>
    </w:rPr>
  </w:style>
  <w:style w:type="character" w:styleId="Refdenotaderodap">
    <w:name w:val="footnote reference"/>
    <w:basedOn w:val="Fontepargpadro"/>
    <w:uiPriority w:val="99"/>
    <w:semiHidden/>
    <w:rsid w:val="00B40A2D"/>
    <w:rPr>
      <w:rFonts w:cs="Times New Roman"/>
      <w:vertAlign w:val="superscript"/>
    </w:rPr>
  </w:style>
  <w:style w:type="character" w:customStyle="1" w:styleId="apple-converted-space">
    <w:name w:val="apple-converted-space"/>
    <w:basedOn w:val="Fontepargpadro"/>
    <w:uiPriority w:val="99"/>
    <w:rsid w:val="001D78F3"/>
    <w:rPr>
      <w:rFonts w:cs="Times New Roman"/>
    </w:rPr>
  </w:style>
  <w:style w:type="paragraph" w:customStyle="1" w:styleId="cm24">
    <w:name w:val="cm24"/>
    <w:basedOn w:val="Normal"/>
    <w:uiPriority w:val="99"/>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rsid w:val="00DE7267"/>
    <w:pPr>
      <w:ind w:left="283"/>
    </w:pPr>
    <w:rPr>
      <w:sz w:val="16"/>
      <w:szCs w:val="16"/>
    </w:rPr>
  </w:style>
  <w:style w:type="character" w:customStyle="1" w:styleId="Recuodecorpodetexto3Char">
    <w:name w:val="Recuo de corpo de texto 3 Char"/>
    <w:basedOn w:val="Fontepargpadro"/>
    <w:link w:val="Recuodecorpodetexto3"/>
    <w:uiPriority w:val="99"/>
    <w:locked/>
    <w:rsid w:val="00DE7267"/>
    <w:rPr>
      <w:rFonts w:cs="Times New Roman"/>
      <w:sz w:val="16"/>
      <w:szCs w:val="16"/>
      <w:lang w:eastAsia="en-US"/>
    </w:rPr>
  </w:style>
  <w:style w:type="paragraph" w:styleId="Subttulo">
    <w:name w:val="Subtitle"/>
    <w:basedOn w:val="Normal"/>
    <w:next w:val="Normal"/>
    <w:link w:val="SubttuloChar"/>
    <w:uiPriority w:val="99"/>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99"/>
    <w:locked/>
    <w:rsid w:val="0047608F"/>
    <w:rPr>
      <w:rFonts w:eastAsia="Times New Roman" w:cs="Times New Roman"/>
      <w:i/>
      <w:iCs/>
      <w:color w:val="4F81BD"/>
      <w:spacing w:val="15"/>
      <w:sz w:val="24"/>
      <w:szCs w:val="24"/>
      <w:lang w:eastAsia="en-US"/>
    </w:rPr>
  </w:style>
  <w:style w:type="paragraph" w:customStyle="1" w:styleId="Blocoargumentativo">
    <w:name w:val="#Bloco argumentativo"/>
    <w:uiPriority w:val="99"/>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uiPriority w:val="99"/>
    <w:rsid w:val="00103A3E"/>
    <w:rPr>
      <w:rFonts w:eastAsia="Times New Roman"/>
      <w:color w:val="000000"/>
      <w:lang w:eastAsia="en-US"/>
    </w:rPr>
  </w:style>
  <w:style w:type="paragraph" w:customStyle="1" w:styleId="Tabela-Normal-Ttulo">
    <w:name w:val="#Tabela - Normal - Título"/>
    <w:basedOn w:val="Tabela-Normal"/>
    <w:uiPriority w:val="99"/>
    <w:rsid w:val="00103A3E"/>
    <w:pPr>
      <w:jc w:val="center"/>
    </w:pPr>
    <w:rPr>
      <w:b/>
    </w:rPr>
  </w:style>
  <w:style w:type="character" w:styleId="nfase">
    <w:name w:val="Emphasis"/>
    <w:basedOn w:val="Fontepargpadro"/>
    <w:uiPriority w:val="99"/>
    <w:qFormat/>
    <w:rsid w:val="00A93190"/>
    <w:rPr>
      <w:rFonts w:cs="Times New Roman"/>
      <w:i/>
      <w:iCs/>
    </w:rPr>
  </w:style>
  <w:style w:type="paragraph" w:customStyle="1" w:styleId="Titdocumento">
    <w:name w:val="#Tit_documento"/>
    <w:basedOn w:val="Normal"/>
    <w:uiPriority w:val="99"/>
    <w:rsid w:val="004214FF"/>
    <w:pPr>
      <w:spacing w:before="240" w:after="240"/>
      <w:ind w:left="0"/>
      <w:jc w:val="center"/>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1001">
      <w:marLeft w:val="0"/>
      <w:marRight w:val="0"/>
      <w:marTop w:val="0"/>
      <w:marBottom w:val="0"/>
      <w:divBdr>
        <w:top w:val="none" w:sz="0" w:space="0" w:color="auto"/>
        <w:left w:val="none" w:sz="0" w:space="0" w:color="auto"/>
        <w:bottom w:val="none" w:sz="0" w:space="0" w:color="auto"/>
        <w:right w:val="none" w:sz="0" w:space="0" w:color="auto"/>
      </w:divBdr>
    </w:div>
    <w:div w:id="492991002">
      <w:marLeft w:val="0"/>
      <w:marRight w:val="0"/>
      <w:marTop w:val="0"/>
      <w:marBottom w:val="0"/>
      <w:divBdr>
        <w:top w:val="none" w:sz="0" w:space="0" w:color="auto"/>
        <w:left w:val="none" w:sz="0" w:space="0" w:color="auto"/>
        <w:bottom w:val="none" w:sz="0" w:space="0" w:color="auto"/>
        <w:right w:val="none" w:sz="0" w:space="0" w:color="auto"/>
      </w:divBdr>
    </w:div>
    <w:div w:id="492991003">
      <w:marLeft w:val="0"/>
      <w:marRight w:val="0"/>
      <w:marTop w:val="0"/>
      <w:marBottom w:val="0"/>
      <w:divBdr>
        <w:top w:val="none" w:sz="0" w:space="0" w:color="auto"/>
        <w:left w:val="none" w:sz="0" w:space="0" w:color="auto"/>
        <w:bottom w:val="none" w:sz="0" w:space="0" w:color="auto"/>
        <w:right w:val="none" w:sz="0" w:space="0" w:color="auto"/>
      </w:divBdr>
    </w:div>
    <w:div w:id="492991005">
      <w:marLeft w:val="0"/>
      <w:marRight w:val="0"/>
      <w:marTop w:val="0"/>
      <w:marBottom w:val="0"/>
      <w:divBdr>
        <w:top w:val="none" w:sz="0" w:space="0" w:color="auto"/>
        <w:left w:val="none" w:sz="0" w:space="0" w:color="auto"/>
        <w:bottom w:val="none" w:sz="0" w:space="0" w:color="auto"/>
        <w:right w:val="none" w:sz="0" w:space="0" w:color="auto"/>
      </w:divBdr>
    </w:div>
    <w:div w:id="492991006">
      <w:marLeft w:val="0"/>
      <w:marRight w:val="0"/>
      <w:marTop w:val="0"/>
      <w:marBottom w:val="0"/>
      <w:divBdr>
        <w:top w:val="none" w:sz="0" w:space="0" w:color="auto"/>
        <w:left w:val="none" w:sz="0" w:space="0" w:color="auto"/>
        <w:bottom w:val="none" w:sz="0" w:space="0" w:color="auto"/>
        <w:right w:val="none" w:sz="0" w:space="0" w:color="auto"/>
      </w:divBdr>
    </w:div>
    <w:div w:id="492991007">
      <w:marLeft w:val="0"/>
      <w:marRight w:val="0"/>
      <w:marTop w:val="0"/>
      <w:marBottom w:val="0"/>
      <w:divBdr>
        <w:top w:val="none" w:sz="0" w:space="0" w:color="auto"/>
        <w:left w:val="none" w:sz="0" w:space="0" w:color="auto"/>
        <w:bottom w:val="none" w:sz="0" w:space="0" w:color="auto"/>
        <w:right w:val="none" w:sz="0" w:space="0" w:color="auto"/>
      </w:divBdr>
      <w:divsChild>
        <w:div w:id="492991004">
          <w:marLeft w:val="0"/>
          <w:marRight w:val="0"/>
          <w:marTop w:val="0"/>
          <w:marBottom w:val="0"/>
          <w:divBdr>
            <w:top w:val="none" w:sz="0" w:space="0" w:color="auto"/>
            <w:left w:val="none" w:sz="0" w:space="0" w:color="auto"/>
            <w:bottom w:val="none" w:sz="0" w:space="0" w:color="auto"/>
            <w:right w:val="none" w:sz="0" w:space="0" w:color="auto"/>
          </w:divBdr>
        </w:div>
      </w:divsChild>
    </w:div>
    <w:div w:id="492991008">
      <w:marLeft w:val="0"/>
      <w:marRight w:val="0"/>
      <w:marTop w:val="0"/>
      <w:marBottom w:val="0"/>
      <w:divBdr>
        <w:top w:val="none" w:sz="0" w:space="0" w:color="auto"/>
        <w:left w:val="none" w:sz="0" w:space="0" w:color="auto"/>
        <w:bottom w:val="none" w:sz="0" w:space="0" w:color="auto"/>
        <w:right w:val="none" w:sz="0" w:space="0" w:color="auto"/>
      </w:divBdr>
    </w:div>
    <w:div w:id="492991009">
      <w:marLeft w:val="0"/>
      <w:marRight w:val="0"/>
      <w:marTop w:val="0"/>
      <w:marBottom w:val="0"/>
      <w:divBdr>
        <w:top w:val="none" w:sz="0" w:space="0" w:color="auto"/>
        <w:left w:val="none" w:sz="0" w:space="0" w:color="auto"/>
        <w:bottom w:val="none" w:sz="0" w:space="0" w:color="auto"/>
        <w:right w:val="none" w:sz="0" w:space="0" w:color="auto"/>
      </w:divBdr>
    </w:div>
    <w:div w:id="492991010">
      <w:marLeft w:val="0"/>
      <w:marRight w:val="0"/>
      <w:marTop w:val="0"/>
      <w:marBottom w:val="0"/>
      <w:divBdr>
        <w:top w:val="none" w:sz="0" w:space="0" w:color="auto"/>
        <w:left w:val="none" w:sz="0" w:space="0" w:color="auto"/>
        <w:bottom w:val="none" w:sz="0" w:space="0" w:color="auto"/>
        <w:right w:val="none" w:sz="0" w:space="0" w:color="auto"/>
      </w:divBdr>
    </w:div>
    <w:div w:id="492991011">
      <w:marLeft w:val="0"/>
      <w:marRight w:val="0"/>
      <w:marTop w:val="0"/>
      <w:marBottom w:val="0"/>
      <w:divBdr>
        <w:top w:val="none" w:sz="0" w:space="0" w:color="auto"/>
        <w:left w:val="none" w:sz="0" w:space="0" w:color="auto"/>
        <w:bottom w:val="none" w:sz="0" w:space="0" w:color="auto"/>
        <w:right w:val="none" w:sz="0" w:space="0" w:color="auto"/>
      </w:divBdr>
    </w:div>
    <w:div w:id="492991012">
      <w:marLeft w:val="0"/>
      <w:marRight w:val="0"/>
      <w:marTop w:val="0"/>
      <w:marBottom w:val="0"/>
      <w:divBdr>
        <w:top w:val="none" w:sz="0" w:space="0" w:color="auto"/>
        <w:left w:val="none" w:sz="0" w:space="0" w:color="auto"/>
        <w:bottom w:val="none" w:sz="0" w:space="0" w:color="auto"/>
        <w:right w:val="none" w:sz="0" w:space="0" w:color="auto"/>
      </w:divBdr>
    </w:div>
    <w:div w:id="492991013">
      <w:marLeft w:val="0"/>
      <w:marRight w:val="0"/>
      <w:marTop w:val="0"/>
      <w:marBottom w:val="0"/>
      <w:divBdr>
        <w:top w:val="none" w:sz="0" w:space="0" w:color="auto"/>
        <w:left w:val="none" w:sz="0" w:space="0" w:color="auto"/>
        <w:bottom w:val="none" w:sz="0" w:space="0" w:color="auto"/>
        <w:right w:val="none" w:sz="0" w:space="0" w:color="auto"/>
      </w:divBdr>
    </w:div>
    <w:div w:id="492991014">
      <w:marLeft w:val="0"/>
      <w:marRight w:val="0"/>
      <w:marTop w:val="0"/>
      <w:marBottom w:val="0"/>
      <w:divBdr>
        <w:top w:val="none" w:sz="0" w:space="0" w:color="auto"/>
        <w:left w:val="none" w:sz="0" w:space="0" w:color="auto"/>
        <w:bottom w:val="none" w:sz="0" w:space="0" w:color="auto"/>
        <w:right w:val="none" w:sz="0" w:space="0" w:color="auto"/>
      </w:divBdr>
    </w:div>
    <w:div w:id="492991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juris@tcu.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2552</Words>
  <Characters>14467</Characters>
  <Application>Microsoft Office Word</Application>
  <DocSecurity>4</DocSecurity>
  <Lines>120</Lines>
  <Paragraphs>33</Paragraphs>
  <ScaleCrop>false</ScaleCrop>
  <HeadingPairs>
    <vt:vector size="2" baseType="variant">
      <vt:variant>
        <vt:lpstr>Título</vt:lpstr>
      </vt:variant>
      <vt:variant>
        <vt:i4>1</vt:i4>
      </vt:variant>
    </vt:vector>
  </HeadingPairs>
  <TitlesOfParts>
    <vt:vector size="1" baseType="lpstr">
      <vt:lpstr>Sessões: 10 de dezembro de 2012</vt:lpstr>
    </vt:vector>
  </TitlesOfParts>
  <Company>TCU</Company>
  <LinksUpToDate>false</LinksUpToDate>
  <CharactersWithSpaces>16986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Sessões: 10 de dezembro de 2012</dc:title>
  <dc:subject/>
  <dc:creator>Eduardo Porto</dc:creator>
  <cp:keywords/>
  <dc:description/>
  <cp:lastModifiedBy>LUIZ FELYPE TABOSA PORTO</cp:lastModifiedBy>
  <cp:revision>2</cp:revision>
  <cp:lastPrinted>2012-12-18T12:39:00Z</cp:lastPrinted>
  <dcterms:created xsi:type="dcterms:W3CDTF">2015-05-07T13:04:00Z</dcterms:created>
  <dcterms:modified xsi:type="dcterms:W3CDTF">2015-05-07T13:04:00Z</dcterms:modified>
</cp:coreProperties>
</file>