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6817D4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DB24A2">
        <w:rPr>
          <w:rFonts w:ascii="Times New Roman" w:hAnsi="Times New Roman"/>
          <w:b/>
          <w:i w:val="0"/>
          <w:color w:val="000000"/>
          <w:sz w:val="22"/>
          <w:szCs w:val="22"/>
        </w:rPr>
        <w:t>20</w:t>
      </w:r>
      <w:r w:rsidR="00536601"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 </w:t>
      </w:r>
      <w:r w:rsidR="00DB24A2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="00536601"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  <w:r w:rsidR="00DB24A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EE6019"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>d</w:t>
      </w:r>
      <w:r w:rsidR="00E64D8F"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EE6019"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>novembro</w:t>
      </w:r>
      <w:r w:rsidR="00E64D8F"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6817D4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6817D4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6817D4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6817D4">
        <w:rPr>
          <w:sz w:val="22"/>
          <w:szCs w:val="22"/>
        </w:rPr>
        <w:t>s</w:t>
      </w:r>
      <w:r w:rsidRPr="006817D4">
        <w:rPr>
          <w:sz w:val="22"/>
          <w:szCs w:val="22"/>
        </w:rPr>
        <w:t xml:space="preserve"> data</w:t>
      </w:r>
      <w:r w:rsidR="003D0153" w:rsidRPr="006817D4">
        <w:rPr>
          <w:sz w:val="22"/>
          <w:szCs w:val="22"/>
        </w:rPr>
        <w:t>s</w:t>
      </w:r>
      <w:r w:rsidRPr="006817D4">
        <w:rPr>
          <w:sz w:val="22"/>
          <w:szCs w:val="22"/>
        </w:rPr>
        <w:t xml:space="preserve"> acima indicada</w:t>
      </w:r>
      <w:r w:rsidR="003D0153" w:rsidRPr="006817D4">
        <w:rPr>
          <w:sz w:val="22"/>
          <w:szCs w:val="22"/>
        </w:rPr>
        <w:t>s</w:t>
      </w:r>
      <w:r w:rsidRPr="006817D4">
        <w:rPr>
          <w:sz w:val="22"/>
          <w:szCs w:val="22"/>
        </w:rPr>
        <w:t>, relativas a licitações e contratos, e tem por finalidade facilitar o acompanhamento, pelo leitor, d</w:t>
      </w:r>
      <w:r w:rsidR="000E5EAB" w:rsidRPr="006817D4">
        <w:rPr>
          <w:sz w:val="22"/>
          <w:szCs w:val="22"/>
        </w:rPr>
        <w:t>o</w:t>
      </w:r>
      <w:r w:rsidRPr="006817D4">
        <w:rPr>
          <w:sz w:val="22"/>
          <w:szCs w:val="22"/>
        </w:rPr>
        <w:t xml:space="preserve">s aspectos relevantes que envolvem o tema. </w:t>
      </w:r>
      <w:r w:rsidR="000E5EAB" w:rsidRPr="006817D4">
        <w:rPr>
          <w:sz w:val="22"/>
          <w:szCs w:val="22"/>
        </w:rPr>
        <w:t>A</w:t>
      </w:r>
      <w:r w:rsidRPr="006817D4">
        <w:rPr>
          <w:sz w:val="22"/>
          <w:szCs w:val="22"/>
        </w:rPr>
        <w:t xml:space="preserve"> seleção das decisões que constam do Informativo é feita pela Secretaria das Sessões, levando em consideração ao menos um dos </w:t>
      </w:r>
      <w:r w:rsidRPr="006817D4">
        <w:rPr>
          <w:b/>
          <w:sz w:val="22"/>
          <w:szCs w:val="22"/>
        </w:rPr>
        <w:t>seguintes</w:t>
      </w:r>
      <w:r w:rsidRPr="006817D4">
        <w:rPr>
          <w:sz w:val="22"/>
          <w:szCs w:val="22"/>
        </w:rPr>
        <w:t xml:space="preserve"> fatores: ineditismo da deliberação, discussão no colegiado ou reiteração de entendimento importante. Os resumos apresentados no Informativo não são repositórios oficiais de jurisprudência.</w:t>
      </w:r>
    </w:p>
    <w:p w:rsidR="00612E91" w:rsidRPr="006817D4" w:rsidRDefault="00612E91" w:rsidP="00612E9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6817D4">
        <w:rPr>
          <w:b/>
          <w:bCs/>
          <w:smallCaps/>
          <w:sz w:val="22"/>
          <w:szCs w:val="22"/>
        </w:rPr>
        <w:t>NOVIDADE</w:t>
      </w:r>
    </w:p>
    <w:p w:rsidR="00D96917" w:rsidRPr="006817D4" w:rsidRDefault="00A24FBC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6817D4">
        <w:rPr>
          <w:sz w:val="22"/>
          <w:szCs w:val="22"/>
        </w:rPr>
        <w:t xml:space="preserve">Desde o dia </w:t>
      </w:r>
      <w:r w:rsidR="00B610BA" w:rsidRPr="006817D4">
        <w:rPr>
          <w:sz w:val="22"/>
          <w:szCs w:val="22"/>
        </w:rPr>
        <w:t xml:space="preserve">27/9/2012, está disponível, no portal do Tribunal, opção de </w:t>
      </w:r>
      <w:r w:rsidR="00B610BA" w:rsidRPr="006817D4">
        <w:rPr>
          <w:b/>
          <w:sz w:val="22"/>
          <w:szCs w:val="22"/>
        </w:rPr>
        <w:t>consulta textual</w:t>
      </w:r>
      <w:r w:rsidR="00B610BA" w:rsidRPr="006817D4">
        <w:rPr>
          <w:sz w:val="22"/>
          <w:szCs w:val="22"/>
        </w:rPr>
        <w:t xml:space="preserve"> a todas as edições do Informativo de Licitações e Contratos.</w:t>
      </w:r>
    </w:p>
    <w:p w:rsidR="009675D1" w:rsidRPr="006817D4" w:rsidRDefault="009675D1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</w:p>
    <w:p w:rsidR="009C5EDE" w:rsidRPr="006817D4" w:rsidRDefault="002D35F5" w:rsidP="0030597C">
      <w:pPr>
        <w:pBdr>
          <w:top w:val="threeDEmboss" w:sz="24" w:space="2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6817D4">
        <w:rPr>
          <w:b/>
          <w:bCs/>
          <w:smallCaps/>
          <w:sz w:val="22"/>
          <w:szCs w:val="22"/>
        </w:rPr>
        <w:t>S</w:t>
      </w:r>
      <w:r w:rsidR="00FF7C62" w:rsidRPr="006817D4">
        <w:rPr>
          <w:b/>
          <w:bCs/>
          <w:smallCaps/>
          <w:sz w:val="22"/>
          <w:szCs w:val="22"/>
        </w:rPr>
        <w:t>UMÁRIO</w:t>
      </w:r>
    </w:p>
    <w:p w:rsidR="00400533" w:rsidRDefault="0084005B" w:rsidP="00400533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6817D4">
        <w:rPr>
          <w:b/>
          <w:sz w:val="22"/>
          <w:szCs w:val="22"/>
          <w:lang w:eastAsia="pt-BR"/>
        </w:rPr>
        <w:t>Plenário</w:t>
      </w:r>
    </w:p>
    <w:p w:rsidR="00A64067" w:rsidRPr="00400533" w:rsidRDefault="00400533" w:rsidP="00400533">
      <w:pPr>
        <w:autoSpaceDE w:val="0"/>
        <w:autoSpaceDN w:val="0"/>
        <w:adjustRightInd w:val="0"/>
        <w:spacing w:before="60" w:after="0"/>
        <w:ind w:left="0"/>
        <w:rPr>
          <w:i/>
          <w:sz w:val="22"/>
          <w:szCs w:val="22"/>
        </w:rPr>
      </w:pPr>
      <w:r w:rsidRPr="00400533">
        <w:rPr>
          <w:sz w:val="22"/>
          <w:szCs w:val="22"/>
          <w:lang w:eastAsia="pt-BR"/>
        </w:rPr>
        <w:t>1</w:t>
      </w:r>
      <w:r w:rsidR="00A64067" w:rsidRPr="00400533">
        <w:rPr>
          <w:sz w:val="22"/>
          <w:szCs w:val="22"/>
        </w:rPr>
        <w:t>. A contração de empresa que elaborou projeto básico ou executivo de obra para exercer as funções de fiscalização, supervisão ou gerenciamento d</w:t>
      </w:r>
      <w:r>
        <w:rPr>
          <w:sz w:val="22"/>
          <w:szCs w:val="22"/>
        </w:rPr>
        <w:t>o</w:t>
      </w:r>
      <w:r w:rsidR="00A64067" w:rsidRPr="00400533">
        <w:rPr>
          <w:sz w:val="22"/>
          <w:szCs w:val="22"/>
        </w:rPr>
        <w:t xml:space="preserve"> empreendimento encontra amparo no comando contido no art. 9º, § 1º da Lei nº 8.666/1993.</w:t>
      </w:r>
    </w:p>
    <w:p w:rsidR="00A64067" w:rsidRPr="00400533" w:rsidRDefault="00A64067" w:rsidP="00400533">
      <w:pPr>
        <w:pStyle w:val="Default"/>
        <w:spacing w:before="60"/>
        <w:jc w:val="both"/>
        <w:rPr>
          <w:i/>
          <w:sz w:val="22"/>
          <w:szCs w:val="22"/>
        </w:rPr>
      </w:pPr>
      <w:r w:rsidRPr="00400533">
        <w:rPr>
          <w:sz w:val="22"/>
          <w:szCs w:val="22"/>
        </w:rPr>
        <w:t xml:space="preserve">2. É indevida, em avaliação inicial, a concessão do benefício estipulado no art. 44 da Lei Complementar nº 123/2006 a consórcio de empresas cuja soma dos faturamentos anuais extrapole o limite previsto no art. 3º, inciso II, dessa </w:t>
      </w:r>
      <w:r w:rsidR="00400533">
        <w:rPr>
          <w:sz w:val="22"/>
          <w:szCs w:val="22"/>
        </w:rPr>
        <w:t>l</w:t>
      </w:r>
      <w:r w:rsidRPr="00400533">
        <w:rPr>
          <w:sz w:val="22"/>
          <w:szCs w:val="22"/>
        </w:rPr>
        <w:t>ei.</w:t>
      </w:r>
    </w:p>
    <w:p w:rsidR="00A64067" w:rsidRPr="00400533" w:rsidRDefault="00A64067" w:rsidP="00400533">
      <w:pPr>
        <w:pStyle w:val="Default"/>
        <w:spacing w:before="60"/>
        <w:jc w:val="both"/>
        <w:rPr>
          <w:sz w:val="22"/>
          <w:szCs w:val="22"/>
        </w:rPr>
      </w:pPr>
      <w:r w:rsidRPr="00400533">
        <w:rPr>
          <w:sz w:val="22"/>
          <w:szCs w:val="22"/>
        </w:rPr>
        <w:t xml:space="preserve">3. Em avaliação preliminar, o estabelecimento de data específica para realização de visita técnica, mesmo </w:t>
      </w:r>
      <w:r w:rsidR="00400533">
        <w:rPr>
          <w:sz w:val="22"/>
          <w:szCs w:val="22"/>
        </w:rPr>
        <w:t xml:space="preserve">na hipótese de não ser ela obrigatória, </w:t>
      </w:r>
      <w:r w:rsidRPr="00400533">
        <w:rPr>
          <w:sz w:val="22"/>
          <w:szCs w:val="22"/>
        </w:rPr>
        <w:t xml:space="preserve">compromete o caráter competitivo do certame e </w:t>
      </w:r>
      <w:r w:rsidRPr="00400533">
        <w:rPr>
          <w:iCs/>
          <w:sz w:val="22"/>
          <w:szCs w:val="22"/>
        </w:rPr>
        <w:t xml:space="preserve">favorece a formação de acertos prévios entre licitantes. O caráter </w:t>
      </w:r>
      <w:r w:rsidR="00400533">
        <w:rPr>
          <w:iCs/>
          <w:sz w:val="22"/>
          <w:szCs w:val="22"/>
        </w:rPr>
        <w:t>facultativo d</w:t>
      </w:r>
      <w:r w:rsidRPr="00400533">
        <w:rPr>
          <w:iCs/>
          <w:sz w:val="22"/>
          <w:szCs w:val="22"/>
        </w:rPr>
        <w:t xml:space="preserve">essa visita demanda, também em análise precária, a inserção, no edital, de cláusula que estipule ser da responsabilidade do contratado a </w:t>
      </w:r>
      <w:r w:rsidR="00400533">
        <w:rPr>
          <w:iCs/>
          <w:sz w:val="22"/>
          <w:szCs w:val="22"/>
        </w:rPr>
        <w:t xml:space="preserve">assunção de eventuais </w:t>
      </w:r>
      <w:r w:rsidRPr="00400533">
        <w:rPr>
          <w:iCs/>
          <w:sz w:val="22"/>
          <w:szCs w:val="22"/>
        </w:rPr>
        <w:t>prejuízos decorrentes d</w:t>
      </w:r>
      <w:r w:rsidRPr="00400533">
        <w:rPr>
          <w:iCs/>
          <w:color w:val="auto"/>
          <w:sz w:val="22"/>
          <w:szCs w:val="22"/>
        </w:rPr>
        <w:t xml:space="preserve">a </w:t>
      </w:r>
      <w:r w:rsidR="00400533">
        <w:rPr>
          <w:iCs/>
          <w:color w:val="auto"/>
          <w:sz w:val="22"/>
          <w:szCs w:val="22"/>
        </w:rPr>
        <w:t xml:space="preserve">opção de não </w:t>
      </w:r>
      <w:r w:rsidRPr="00400533">
        <w:rPr>
          <w:iCs/>
          <w:color w:val="auto"/>
          <w:sz w:val="22"/>
          <w:szCs w:val="22"/>
        </w:rPr>
        <w:t>realizá-la.</w:t>
      </w:r>
    </w:p>
    <w:p w:rsidR="00A64067" w:rsidRPr="00400533" w:rsidRDefault="00A64067" w:rsidP="00400533">
      <w:pPr>
        <w:pStyle w:val="Default"/>
        <w:spacing w:before="60"/>
        <w:jc w:val="both"/>
        <w:rPr>
          <w:sz w:val="22"/>
          <w:szCs w:val="22"/>
        </w:rPr>
      </w:pPr>
      <w:r w:rsidRPr="00400533">
        <w:rPr>
          <w:sz w:val="22"/>
          <w:szCs w:val="22"/>
        </w:rPr>
        <w:t>4. A necessidade de preservação do sigilo de informações e da imagem de instituição bancária submetida aos ditames da Lei de Licitações não autoriza a contratação direta de empresa pública para a modernização de infraestrutura tecnológica. Diversas empresas são capazes de executar tal objeto satisfatoriamente.</w:t>
      </w:r>
    </w:p>
    <w:p w:rsidR="0087568C" w:rsidRPr="00400533" w:rsidRDefault="00A64067" w:rsidP="00400533">
      <w:pPr>
        <w:pStyle w:val="Default"/>
        <w:spacing w:before="60"/>
        <w:jc w:val="both"/>
        <w:rPr>
          <w:sz w:val="22"/>
          <w:szCs w:val="22"/>
        </w:rPr>
      </w:pPr>
      <w:r w:rsidRPr="00400533">
        <w:rPr>
          <w:sz w:val="22"/>
          <w:szCs w:val="22"/>
        </w:rPr>
        <w:t>5. A contratação de serviços comuns de engenharia que possam ser objetivamente definidos em edital, aí incluídos os relativos à conservação</w:t>
      </w:r>
      <w:r w:rsidR="00634969">
        <w:rPr>
          <w:sz w:val="22"/>
          <w:szCs w:val="22"/>
        </w:rPr>
        <w:t xml:space="preserve"> de rodovia</w:t>
      </w:r>
      <w:r w:rsidRPr="00400533">
        <w:rPr>
          <w:sz w:val="22"/>
          <w:szCs w:val="22"/>
        </w:rPr>
        <w:t>, deve se dar por meio de pregão</w:t>
      </w:r>
      <w:r w:rsidRPr="00400533">
        <w:rPr>
          <w:i/>
          <w:sz w:val="22"/>
          <w:szCs w:val="22"/>
        </w:rPr>
        <w:t>.</w:t>
      </w:r>
    </w:p>
    <w:p w:rsidR="00A93190" w:rsidRDefault="00DB5D6A" w:rsidP="00DB5D6A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DB5D6A" w:rsidRPr="006817D4" w:rsidRDefault="00DB5D6A" w:rsidP="00DB5D6A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A93DAF" w:rsidRPr="006817D4" w:rsidRDefault="00A64067" w:rsidP="00A93190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rPr>
          <w:b/>
          <w:bCs/>
          <w:smallCaps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FE39E1" w:rsidRPr="006817D4">
        <w:rPr>
          <w:b/>
          <w:sz w:val="22"/>
          <w:szCs w:val="22"/>
        </w:rPr>
        <w:t>A contração de empresa que elaborou projeto básico ou executivo de obra para exercer as funções de fiscalização, supervisão ou gerenciamento d</w:t>
      </w:r>
      <w:r w:rsidR="00400533">
        <w:rPr>
          <w:b/>
          <w:sz w:val="22"/>
          <w:szCs w:val="22"/>
        </w:rPr>
        <w:t>o</w:t>
      </w:r>
      <w:r w:rsidR="00D80DF6">
        <w:rPr>
          <w:b/>
          <w:sz w:val="22"/>
          <w:szCs w:val="22"/>
        </w:rPr>
        <w:t xml:space="preserve"> </w:t>
      </w:r>
      <w:r w:rsidR="00FE39E1" w:rsidRPr="006817D4">
        <w:rPr>
          <w:b/>
          <w:sz w:val="22"/>
          <w:szCs w:val="22"/>
        </w:rPr>
        <w:t>empreendimento encontra amparo no comando contido no art. 9º, § 1º da Lei nº 8.666/1993</w:t>
      </w:r>
    </w:p>
    <w:p w:rsidR="004045DC" w:rsidRPr="006817D4" w:rsidRDefault="0012665C" w:rsidP="00A93DAF">
      <w:pPr>
        <w:pStyle w:val="Default"/>
        <w:jc w:val="both"/>
        <w:rPr>
          <w:b/>
          <w:i/>
          <w:sz w:val="22"/>
          <w:szCs w:val="22"/>
        </w:rPr>
      </w:pPr>
      <w:r w:rsidRPr="006817D4">
        <w:rPr>
          <w:sz w:val="22"/>
          <w:szCs w:val="22"/>
        </w:rPr>
        <w:t xml:space="preserve">Denúncia encaminhada ao Tribunal apontou supostas irregularidades na Concorrência nº 1/2012-MI, conduzida pelo Ministério da Integração Nacional, com o objetivo de viabilizar a contratação de empresas de engenharia para a prestação de serviços de consultoria especializada em supervisão, acompanhamento técnico e controle tecnológico nas obras do Projeto de Integração do Rio São Francisco com Bacias Hidrográficas do Nordeste Setentrional (Trechos I, II e V). </w:t>
      </w:r>
      <w:r w:rsidR="00585972" w:rsidRPr="006817D4">
        <w:rPr>
          <w:sz w:val="22"/>
          <w:szCs w:val="22"/>
        </w:rPr>
        <w:t>O autor da denúncia</w:t>
      </w:r>
      <w:r w:rsidR="00B65FF0" w:rsidRPr="006817D4">
        <w:rPr>
          <w:sz w:val="22"/>
          <w:szCs w:val="22"/>
        </w:rPr>
        <w:t xml:space="preserve">, </w:t>
      </w:r>
      <w:r w:rsidR="00A93DAF" w:rsidRPr="006817D4">
        <w:rPr>
          <w:sz w:val="22"/>
          <w:szCs w:val="22"/>
        </w:rPr>
        <w:t xml:space="preserve">além de </w:t>
      </w:r>
      <w:r w:rsidR="00C2514A" w:rsidRPr="006817D4">
        <w:rPr>
          <w:sz w:val="22"/>
          <w:szCs w:val="22"/>
        </w:rPr>
        <w:t xml:space="preserve">apontar </w:t>
      </w:r>
      <w:r w:rsidR="00A93DAF" w:rsidRPr="006817D4">
        <w:rPr>
          <w:sz w:val="22"/>
          <w:szCs w:val="22"/>
        </w:rPr>
        <w:t xml:space="preserve">suposta restrição ao caráter competitivo do certame, </w:t>
      </w:r>
      <w:r w:rsidR="00B65FF0" w:rsidRPr="006817D4">
        <w:rPr>
          <w:sz w:val="22"/>
          <w:szCs w:val="22"/>
        </w:rPr>
        <w:t xml:space="preserve">alegou que a </w:t>
      </w:r>
      <w:r w:rsidR="00585972" w:rsidRPr="006817D4">
        <w:rPr>
          <w:sz w:val="22"/>
          <w:szCs w:val="22"/>
        </w:rPr>
        <w:t>participação</w:t>
      </w:r>
      <w:r w:rsidR="00A93DAF" w:rsidRPr="006817D4">
        <w:rPr>
          <w:sz w:val="22"/>
          <w:szCs w:val="22"/>
        </w:rPr>
        <w:t>,</w:t>
      </w:r>
      <w:r w:rsidR="00B65FF0" w:rsidRPr="006817D4">
        <w:rPr>
          <w:sz w:val="22"/>
          <w:szCs w:val="22"/>
        </w:rPr>
        <w:t xml:space="preserve"> </w:t>
      </w:r>
      <w:r w:rsidR="00A93DAF" w:rsidRPr="006817D4">
        <w:rPr>
          <w:sz w:val="22"/>
          <w:szCs w:val="22"/>
        </w:rPr>
        <w:t xml:space="preserve">nessa Concorrência, </w:t>
      </w:r>
      <w:r w:rsidR="00B65FF0" w:rsidRPr="006817D4">
        <w:rPr>
          <w:sz w:val="22"/>
          <w:szCs w:val="22"/>
        </w:rPr>
        <w:t>do</w:t>
      </w:r>
      <w:r w:rsidR="00585972" w:rsidRPr="006817D4">
        <w:rPr>
          <w:sz w:val="22"/>
          <w:szCs w:val="22"/>
        </w:rPr>
        <w:t xml:space="preserve"> </w:t>
      </w:r>
      <w:r w:rsidR="00A21EE2" w:rsidRPr="006817D4">
        <w:rPr>
          <w:sz w:val="22"/>
          <w:szCs w:val="22"/>
        </w:rPr>
        <w:t>consórcio Ecoplan-Techne-Skill,</w:t>
      </w:r>
      <w:r w:rsidR="00585972" w:rsidRPr="006817D4">
        <w:rPr>
          <w:sz w:val="22"/>
          <w:szCs w:val="22"/>
        </w:rPr>
        <w:t xml:space="preserve"> </w:t>
      </w:r>
      <w:r w:rsidRPr="006817D4">
        <w:rPr>
          <w:sz w:val="22"/>
          <w:szCs w:val="22"/>
        </w:rPr>
        <w:t>responsável pel</w:t>
      </w:r>
      <w:r w:rsidR="00A93DAF" w:rsidRPr="006817D4">
        <w:rPr>
          <w:sz w:val="22"/>
          <w:szCs w:val="22"/>
        </w:rPr>
        <w:t>a elaboração d</w:t>
      </w:r>
      <w:r w:rsidRPr="006817D4">
        <w:rPr>
          <w:sz w:val="22"/>
          <w:szCs w:val="22"/>
        </w:rPr>
        <w:t>o projeto executivo das obras do PISF</w:t>
      </w:r>
      <w:r w:rsidR="00B65FF0" w:rsidRPr="006817D4">
        <w:rPr>
          <w:sz w:val="22"/>
          <w:szCs w:val="22"/>
        </w:rPr>
        <w:t xml:space="preserve"> </w:t>
      </w:r>
      <w:r w:rsidR="00A21EE2" w:rsidRPr="006817D4">
        <w:rPr>
          <w:sz w:val="22"/>
          <w:szCs w:val="22"/>
        </w:rPr>
        <w:t xml:space="preserve">do Trecho V, </w:t>
      </w:r>
      <w:r w:rsidR="00B65FF0" w:rsidRPr="006817D4">
        <w:rPr>
          <w:sz w:val="22"/>
          <w:szCs w:val="22"/>
        </w:rPr>
        <w:t xml:space="preserve">e sua posterior contratação para prestar os referidos serviços </w:t>
      </w:r>
      <w:r w:rsidR="00A93DAF" w:rsidRPr="006817D4">
        <w:rPr>
          <w:sz w:val="22"/>
          <w:szCs w:val="22"/>
        </w:rPr>
        <w:t>não poderia ter sido admitida pela Administração.</w:t>
      </w:r>
      <w:r w:rsidR="00987935">
        <w:rPr>
          <w:sz w:val="22"/>
          <w:szCs w:val="22"/>
        </w:rPr>
        <w:t xml:space="preserve"> </w:t>
      </w:r>
      <w:r w:rsidR="00B65FF0" w:rsidRPr="006817D4">
        <w:rPr>
          <w:sz w:val="22"/>
          <w:szCs w:val="22"/>
        </w:rPr>
        <w:t>Por isso, requereu a anu</w:t>
      </w:r>
      <w:r w:rsidR="00A21EE2" w:rsidRPr="006817D4">
        <w:rPr>
          <w:sz w:val="22"/>
          <w:szCs w:val="22"/>
        </w:rPr>
        <w:t xml:space="preserve">lação dos atos que resultaram nessa contratação. </w:t>
      </w:r>
      <w:r w:rsidR="00A93DAF" w:rsidRPr="006817D4">
        <w:rPr>
          <w:sz w:val="22"/>
          <w:szCs w:val="22"/>
        </w:rPr>
        <w:t>O relator, porém, a</w:t>
      </w:r>
      <w:r w:rsidR="00A21EE2" w:rsidRPr="006817D4">
        <w:rPr>
          <w:sz w:val="22"/>
          <w:szCs w:val="22"/>
        </w:rPr>
        <w:t xml:space="preserve">lém de afastar </w:t>
      </w:r>
      <w:r w:rsidR="00A93DAF" w:rsidRPr="006817D4">
        <w:rPr>
          <w:sz w:val="22"/>
          <w:szCs w:val="22"/>
        </w:rPr>
        <w:t xml:space="preserve">alegada restrição à </w:t>
      </w:r>
      <w:r w:rsidR="00A21EE2" w:rsidRPr="006817D4">
        <w:rPr>
          <w:sz w:val="22"/>
          <w:szCs w:val="22"/>
        </w:rPr>
        <w:t>competiti</w:t>
      </w:r>
      <w:r w:rsidR="00A93DAF" w:rsidRPr="006817D4">
        <w:rPr>
          <w:sz w:val="22"/>
          <w:szCs w:val="22"/>
        </w:rPr>
        <w:t xml:space="preserve">vidade da licitação, </w:t>
      </w:r>
      <w:r w:rsidR="00A21EE2" w:rsidRPr="006817D4">
        <w:rPr>
          <w:sz w:val="22"/>
          <w:szCs w:val="22"/>
        </w:rPr>
        <w:t>observou que “</w:t>
      </w:r>
      <w:r w:rsidRPr="006817D4">
        <w:rPr>
          <w:i/>
          <w:sz w:val="22"/>
          <w:szCs w:val="22"/>
        </w:rPr>
        <w:t>o art. 9º, § 1º da Lei nº 8.666/1993 permite, na licitação de obra, a participação</w:t>
      </w:r>
      <w:r w:rsidR="00A21EE2" w:rsidRPr="006817D4">
        <w:rPr>
          <w:i/>
          <w:sz w:val="22"/>
          <w:szCs w:val="22"/>
        </w:rPr>
        <w:t xml:space="preserve"> </w:t>
      </w:r>
      <w:r w:rsidRPr="006817D4">
        <w:rPr>
          <w:i/>
          <w:sz w:val="22"/>
          <w:szCs w:val="22"/>
        </w:rPr>
        <w:t>de empresa, isoladamente ou em consórcio, responsável pela elaboração de projeto básico ou</w:t>
      </w:r>
      <w:r w:rsidR="00A21EE2" w:rsidRPr="006817D4">
        <w:rPr>
          <w:i/>
          <w:sz w:val="22"/>
          <w:szCs w:val="22"/>
        </w:rPr>
        <w:t xml:space="preserve"> </w:t>
      </w:r>
      <w:r w:rsidRPr="006817D4">
        <w:rPr>
          <w:i/>
          <w:sz w:val="22"/>
          <w:szCs w:val="22"/>
        </w:rPr>
        <w:t>executivo, nas funções de fiscalização, supervisão ou gerenciamento</w:t>
      </w:r>
      <w:r w:rsidR="00A21EE2" w:rsidRPr="006817D4">
        <w:rPr>
          <w:sz w:val="22"/>
          <w:szCs w:val="22"/>
        </w:rPr>
        <w:t>”</w:t>
      </w:r>
      <w:r w:rsidRPr="006817D4">
        <w:rPr>
          <w:sz w:val="22"/>
          <w:szCs w:val="22"/>
        </w:rPr>
        <w:t>.</w:t>
      </w:r>
      <w:r w:rsidR="00A21EE2" w:rsidRPr="006817D4">
        <w:rPr>
          <w:sz w:val="22"/>
          <w:szCs w:val="22"/>
        </w:rPr>
        <w:t xml:space="preserve"> O Tribunal, então, ao acolher a proposta do relator, decidiu: a) conhecer a </w:t>
      </w:r>
      <w:r w:rsidR="00A93DAF" w:rsidRPr="006817D4">
        <w:rPr>
          <w:sz w:val="22"/>
          <w:szCs w:val="22"/>
        </w:rPr>
        <w:t xml:space="preserve">denúncia; </w:t>
      </w:r>
      <w:r w:rsidR="00A21EE2" w:rsidRPr="006817D4">
        <w:rPr>
          <w:sz w:val="22"/>
          <w:szCs w:val="22"/>
        </w:rPr>
        <w:t>b) julgá-la improcedente</w:t>
      </w:r>
      <w:r w:rsidR="00A93DAF" w:rsidRPr="006817D4">
        <w:rPr>
          <w:sz w:val="22"/>
          <w:szCs w:val="22"/>
        </w:rPr>
        <w:t xml:space="preserve">; c) retirar a chancela de sigilo que recaia sobre o processo. </w:t>
      </w:r>
      <w:r w:rsidR="004045DC" w:rsidRPr="006817D4">
        <w:rPr>
          <w:b/>
          <w:i/>
          <w:sz w:val="22"/>
          <w:szCs w:val="22"/>
        </w:rPr>
        <w:t xml:space="preserve">Acórdão nº </w:t>
      </w:r>
      <w:r w:rsidR="00A93DAF" w:rsidRPr="006817D4">
        <w:rPr>
          <w:b/>
          <w:i/>
          <w:sz w:val="22"/>
          <w:szCs w:val="22"/>
        </w:rPr>
        <w:t>3156/2012</w:t>
      </w:r>
      <w:r w:rsidR="004045DC" w:rsidRPr="006817D4">
        <w:rPr>
          <w:b/>
          <w:i/>
          <w:sz w:val="22"/>
          <w:szCs w:val="22"/>
        </w:rPr>
        <w:t>-Plenário, TC-</w:t>
      </w:r>
      <w:r w:rsidRPr="006817D4">
        <w:rPr>
          <w:b/>
          <w:i/>
          <w:sz w:val="22"/>
          <w:szCs w:val="22"/>
        </w:rPr>
        <w:t>029.694/2012-4</w:t>
      </w:r>
      <w:r w:rsidR="004045DC" w:rsidRPr="006817D4">
        <w:rPr>
          <w:b/>
          <w:i/>
          <w:sz w:val="22"/>
          <w:szCs w:val="22"/>
        </w:rPr>
        <w:t xml:space="preserve">, rel. Min. </w:t>
      </w:r>
      <w:r w:rsidRPr="006817D4">
        <w:rPr>
          <w:b/>
          <w:i/>
          <w:sz w:val="22"/>
          <w:szCs w:val="22"/>
        </w:rPr>
        <w:t>Raimundo Carreiro</w:t>
      </w:r>
      <w:r w:rsidR="004045DC" w:rsidRPr="006817D4">
        <w:rPr>
          <w:b/>
          <w:i/>
          <w:sz w:val="22"/>
          <w:szCs w:val="22"/>
        </w:rPr>
        <w:t xml:space="preserve">, </w:t>
      </w:r>
      <w:r w:rsidR="0087568C">
        <w:rPr>
          <w:b/>
          <w:i/>
          <w:sz w:val="22"/>
          <w:szCs w:val="22"/>
        </w:rPr>
        <w:t>2</w:t>
      </w:r>
      <w:r w:rsidR="004045DC" w:rsidRPr="006817D4">
        <w:rPr>
          <w:b/>
          <w:i/>
          <w:sz w:val="22"/>
          <w:szCs w:val="22"/>
        </w:rPr>
        <w:t>1.11.2012.</w:t>
      </w:r>
    </w:p>
    <w:p w:rsidR="004045DC" w:rsidRPr="006817D4" w:rsidRDefault="004045DC" w:rsidP="004045DC">
      <w:pPr>
        <w:pStyle w:val="Default"/>
        <w:jc w:val="both"/>
        <w:rPr>
          <w:b/>
          <w:sz w:val="22"/>
          <w:szCs w:val="22"/>
        </w:rPr>
      </w:pPr>
    </w:p>
    <w:p w:rsidR="00FE39E1" w:rsidRPr="006817D4" w:rsidRDefault="00A64067" w:rsidP="004045D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577AAE" w:rsidRPr="006817D4">
        <w:rPr>
          <w:b/>
          <w:sz w:val="22"/>
          <w:szCs w:val="22"/>
        </w:rPr>
        <w:t>É indevida</w:t>
      </w:r>
      <w:r w:rsidR="00552C14" w:rsidRPr="006817D4">
        <w:rPr>
          <w:b/>
          <w:sz w:val="22"/>
          <w:szCs w:val="22"/>
        </w:rPr>
        <w:t xml:space="preserve">, em avaliação inicial, </w:t>
      </w:r>
      <w:r w:rsidR="00577AAE" w:rsidRPr="006817D4">
        <w:rPr>
          <w:b/>
          <w:sz w:val="22"/>
          <w:szCs w:val="22"/>
        </w:rPr>
        <w:t>a concessão do benefício estipulado no art. 44 da Lei Complementar nº 123/2006 a consórcio de empresas cuja</w:t>
      </w:r>
      <w:r w:rsidR="00D80DF6">
        <w:rPr>
          <w:b/>
          <w:sz w:val="22"/>
          <w:szCs w:val="22"/>
        </w:rPr>
        <w:t xml:space="preserve"> </w:t>
      </w:r>
      <w:r w:rsidR="00577AAE" w:rsidRPr="006817D4">
        <w:rPr>
          <w:b/>
          <w:sz w:val="22"/>
          <w:szCs w:val="22"/>
        </w:rPr>
        <w:t>soma d</w:t>
      </w:r>
      <w:r>
        <w:rPr>
          <w:b/>
          <w:sz w:val="22"/>
          <w:szCs w:val="22"/>
        </w:rPr>
        <w:t>os</w:t>
      </w:r>
      <w:r w:rsidR="00577AAE" w:rsidRPr="006817D4">
        <w:rPr>
          <w:b/>
          <w:sz w:val="22"/>
          <w:szCs w:val="22"/>
        </w:rPr>
        <w:t xml:space="preserve"> faturamentos anuais extrapole o limite previsto no art. 3º, inciso II, dessa </w:t>
      </w:r>
      <w:r w:rsidR="00C2514A" w:rsidRPr="006817D4">
        <w:rPr>
          <w:b/>
          <w:sz w:val="22"/>
          <w:szCs w:val="22"/>
        </w:rPr>
        <w:t>l</w:t>
      </w:r>
      <w:r w:rsidR="00577AAE" w:rsidRPr="006817D4">
        <w:rPr>
          <w:b/>
          <w:sz w:val="22"/>
          <w:szCs w:val="22"/>
        </w:rPr>
        <w:t>ei</w:t>
      </w:r>
    </w:p>
    <w:p w:rsidR="006E0A87" w:rsidRPr="00554FCF" w:rsidRDefault="00717F41" w:rsidP="0053173F">
      <w:pPr>
        <w:pStyle w:val="Default"/>
        <w:jc w:val="both"/>
        <w:rPr>
          <w:b/>
          <w:i/>
          <w:sz w:val="22"/>
          <w:szCs w:val="22"/>
        </w:rPr>
      </w:pPr>
      <w:r w:rsidRPr="006817D4">
        <w:rPr>
          <w:sz w:val="22"/>
          <w:szCs w:val="22"/>
        </w:rPr>
        <w:t xml:space="preserve">Representação de empresa apontou supostas irregularidades </w:t>
      </w:r>
      <w:r w:rsidR="00FE39E1" w:rsidRPr="006817D4">
        <w:rPr>
          <w:sz w:val="22"/>
          <w:szCs w:val="22"/>
        </w:rPr>
        <w:t>na condução</w:t>
      </w:r>
      <w:r w:rsidR="00C2514A" w:rsidRPr="006817D4">
        <w:rPr>
          <w:sz w:val="22"/>
          <w:szCs w:val="22"/>
        </w:rPr>
        <w:t xml:space="preserve"> do Pregão Eletrônico 39/2012</w:t>
      </w:r>
      <w:r w:rsidR="00FE39E1" w:rsidRPr="006817D4">
        <w:rPr>
          <w:sz w:val="22"/>
          <w:szCs w:val="22"/>
        </w:rPr>
        <w:t xml:space="preserve"> pelo Fundo Nacional de Desenvolvimento da Educação </w:t>
      </w:r>
      <w:r w:rsidR="00C2514A" w:rsidRPr="006817D4">
        <w:rPr>
          <w:sz w:val="22"/>
          <w:szCs w:val="22"/>
        </w:rPr>
        <w:t>–</w:t>
      </w:r>
      <w:r w:rsidR="00FE39E1" w:rsidRPr="006817D4">
        <w:rPr>
          <w:sz w:val="22"/>
          <w:szCs w:val="22"/>
        </w:rPr>
        <w:t xml:space="preserve"> FNDE</w:t>
      </w:r>
      <w:r w:rsidRPr="006817D4">
        <w:rPr>
          <w:sz w:val="22"/>
          <w:szCs w:val="22"/>
        </w:rPr>
        <w:t xml:space="preserve">, que tem por objeto a contratação de empresa para aquisição e entrega de equipamentos e </w:t>
      </w:r>
      <w:r w:rsidRPr="006817D4">
        <w:rPr>
          <w:i/>
          <w:iCs/>
          <w:sz w:val="22"/>
          <w:szCs w:val="22"/>
        </w:rPr>
        <w:t xml:space="preserve">softwares </w:t>
      </w:r>
      <w:r w:rsidRPr="006817D4">
        <w:rPr>
          <w:sz w:val="22"/>
          <w:szCs w:val="22"/>
        </w:rPr>
        <w:t>para compor os laboratórios tecnológicos</w:t>
      </w:r>
      <w:r w:rsidR="00AC7F43" w:rsidRPr="006817D4">
        <w:rPr>
          <w:sz w:val="22"/>
          <w:szCs w:val="22"/>
        </w:rPr>
        <w:t xml:space="preserve">, no âmbito do </w:t>
      </w:r>
      <w:r w:rsidRPr="006817D4">
        <w:rPr>
          <w:sz w:val="22"/>
          <w:szCs w:val="22"/>
        </w:rPr>
        <w:t xml:space="preserve">Programa Brasil Profissionalizado. </w:t>
      </w:r>
      <w:r w:rsidR="007E7C33" w:rsidRPr="006817D4">
        <w:rPr>
          <w:sz w:val="22"/>
          <w:szCs w:val="22"/>
        </w:rPr>
        <w:t xml:space="preserve">Entre as ocorrências impugnadas pela autora da representação, destaque-se </w:t>
      </w:r>
      <w:r w:rsidR="00AC7F43" w:rsidRPr="006817D4">
        <w:rPr>
          <w:sz w:val="22"/>
          <w:szCs w:val="22"/>
        </w:rPr>
        <w:t>a concessão d</w:t>
      </w:r>
      <w:r w:rsidR="00283DD1" w:rsidRPr="006817D4">
        <w:rPr>
          <w:sz w:val="22"/>
          <w:szCs w:val="22"/>
        </w:rPr>
        <w:t>o benefício previsto no a</w:t>
      </w:r>
      <w:r w:rsidR="00283DD1" w:rsidRPr="006817D4">
        <w:rPr>
          <w:iCs/>
          <w:sz w:val="22"/>
          <w:szCs w:val="22"/>
        </w:rPr>
        <w:t>rt. 44 da Lei Complementar 123/2006 a consórcio que participou do certame.</w:t>
      </w:r>
      <w:r w:rsidR="007328A5" w:rsidRPr="006817D4">
        <w:rPr>
          <w:iCs/>
          <w:sz w:val="22"/>
          <w:szCs w:val="22"/>
        </w:rPr>
        <w:t xml:space="preserve"> Segundo disposto nesse artigo e em seus §§ 1º e 2º</w:t>
      </w:r>
      <w:r w:rsidR="00FC50EA" w:rsidRPr="006817D4">
        <w:rPr>
          <w:iCs/>
          <w:sz w:val="22"/>
          <w:szCs w:val="22"/>
        </w:rPr>
        <w:t>: “</w:t>
      </w:r>
      <w:bookmarkStart w:id="1" w:name="art44"/>
      <w:bookmarkEnd w:id="1"/>
      <w:r w:rsidR="00FC50EA" w:rsidRPr="006817D4">
        <w:rPr>
          <w:i/>
          <w:iCs/>
          <w:sz w:val="22"/>
          <w:szCs w:val="22"/>
        </w:rPr>
        <w:t>Art. 44. Nas licitações será assegurada, como critério de desempate, preferência de contratação para as microempresas e empresas de pequeno porte. § 1</w:t>
      </w:r>
      <w:r w:rsidR="00FC50EA" w:rsidRPr="006817D4">
        <w:rPr>
          <w:i/>
          <w:iCs/>
          <w:sz w:val="22"/>
          <w:szCs w:val="22"/>
          <w:u w:val="single"/>
          <w:vertAlign w:val="superscript"/>
        </w:rPr>
        <w:t>o</w:t>
      </w:r>
      <w:r w:rsidR="00FC50EA" w:rsidRPr="006817D4">
        <w:rPr>
          <w:i/>
          <w:iCs/>
          <w:sz w:val="22"/>
          <w:szCs w:val="22"/>
        </w:rPr>
        <w:t xml:space="preserve"> Entende-se por empate aquelas situações em que as propostas apresentadas pelas microempresas e empresas de pequeno porte sejam iguais ou até 10% (dez por cento) superiores à proposta mais bem classificada. § 2</w:t>
      </w:r>
      <w:r w:rsidR="00FC50EA" w:rsidRPr="006817D4">
        <w:rPr>
          <w:i/>
          <w:iCs/>
          <w:sz w:val="22"/>
          <w:szCs w:val="22"/>
          <w:u w:val="single"/>
          <w:vertAlign w:val="superscript"/>
        </w:rPr>
        <w:t>o</w:t>
      </w:r>
      <w:r w:rsidR="00FC50EA" w:rsidRPr="006817D4">
        <w:rPr>
          <w:i/>
          <w:iCs/>
          <w:sz w:val="22"/>
          <w:szCs w:val="22"/>
        </w:rPr>
        <w:t xml:space="preserve"> Na modalidade de pregão, o intervalo percentual estabelecido no § 1</w:t>
      </w:r>
      <w:r w:rsidR="00FC50EA" w:rsidRPr="006817D4">
        <w:rPr>
          <w:i/>
          <w:iCs/>
          <w:sz w:val="22"/>
          <w:szCs w:val="22"/>
          <w:u w:val="single"/>
          <w:vertAlign w:val="superscript"/>
        </w:rPr>
        <w:t>o</w:t>
      </w:r>
      <w:r w:rsidR="00FC50EA" w:rsidRPr="006817D4">
        <w:rPr>
          <w:i/>
          <w:iCs/>
          <w:sz w:val="22"/>
          <w:szCs w:val="22"/>
        </w:rPr>
        <w:t xml:space="preserve"> deste artigo será de até 5% (cinco por cento) superior ao melhor preço</w:t>
      </w:r>
      <w:r w:rsidR="00393865" w:rsidRPr="006817D4">
        <w:rPr>
          <w:i/>
          <w:iCs/>
          <w:sz w:val="22"/>
          <w:szCs w:val="22"/>
        </w:rPr>
        <w:t>.</w:t>
      </w:r>
      <w:r w:rsidR="00FC50EA" w:rsidRPr="006817D4">
        <w:rPr>
          <w:iCs/>
          <w:sz w:val="22"/>
          <w:szCs w:val="22"/>
        </w:rPr>
        <w:t xml:space="preserve">” </w:t>
      </w:r>
      <w:r w:rsidR="007328A5" w:rsidRPr="006817D4">
        <w:rPr>
          <w:iCs/>
          <w:sz w:val="22"/>
          <w:szCs w:val="22"/>
        </w:rPr>
        <w:t>O relator</w:t>
      </w:r>
      <w:r w:rsidR="00C2514A" w:rsidRPr="006817D4">
        <w:rPr>
          <w:iCs/>
          <w:sz w:val="22"/>
          <w:szCs w:val="22"/>
        </w:rPr>
        <w:t>, ao se debruçar sobre a questão,</w:t>
      </w:r>
      <w:r w:rsidR="007328A5" w:rsidRPr="006817D4">
        <w:rPr>
          <w:iCs/>
          <w:sz w:val="22"/>
          <w:szCs w:val="22"/>
        </w:rPr>
        <w:t xml:space="preserve"> anotou que </w:t>
      </w:r>
      <w:r w:rsidR="00283DD1" w:rsidRPr="006817D4">
        <w:rPr>
          <w:iCs/>
          <w:sz w:val="22"/>
          <w:szCs w:val="22"/>
        </w:rPr>
        <w:t xml:space="preserve">as empresas constituintes do consórcio </w:t>
      </w:r>
      <w:r w:rsidR="007328A5" w:rsidRPr="006817D4">
        <w:rPr>
          <w:iCs/>
          <w:sz w:val="22"/>
          <w:szCs w:val="22"/>
        </w:rPr>
        <w:t xml:space="preserve">beneficiado </w:t>
      </w:r>
      <w:r w:rsidR="00283DD1" w:rsidRPr="006817D4">
        <w:rPr>
          <w:iCs/>
          <w:sz w:val="22"/>
          <w:szCs w:val="22"/>
        </w:rPr>
        <w:t>tiveram faturamento, em 2011, da ordem de R$ 2,8</w:t>
      </w:r>
      <w:r w:rsidR="00FC50EA" w:rsidRPr="006817D4">
        <w:rPr>
          <w:iCs/>
          <w:sz w:val="22"/>
          <w:szCs w:val="22"/>
        </w:rPr>
        <w:t>3</w:t>
      </w:r>
      <w:r w:rsidR="00283DD1" w:rsidRPr="006817D4">
        <w:rPr>
          <w:iCs/>
          <w:sz w:val="22"/>
          <w:szCs w:val="22"/>
        </w:rPr>
        <w:t xml:space="preserve"> milhões e </w:t>
      </w:r>
      <w:r w:rsidR="00FC50EA" w:rsidRPr="006817D4">
        <w:rPr>
          <w:iCs/>
          <w:sz w:val="22"/>
          <w:szCs w:val="22"/>
        </w:rPr>
        <w:t xml:space="preserve">R$ 1,28 milhões. O art. 3º, inciso II, da citada lei, porém, </w:t>
      </w:r>
      <w:r w:rsidR="00393865" w:rsidRPr="006817D4">
        <w:rPr>
          <w:iCs/>
          <w:sz w:val="22"/>
          <w:szCs w:val="22"/>
        </w:rPr>
        <w:t>define</w:t>
      </w:r>
      <w:r w:rsidR="00FC50EA" w:rsidRPr="006817D4">
        <w:rPr>
          <w:iCs/>
          <w:sz w:val="22"/>
          <w:szCs w:val="22"/>
        </w:rPr>
        <w:t xml:space="preserve"> empresa de pequeno porte </w:t>
      </w:r>
      <w:r w:rsidR="00393865" w:rsidRPr="006817D4">
        <w:rPr>
          <w:iCs/>
          <w:sz w:val="22"/>
          <w:szCs w:val="22"/>
        </w:rPr>
        <w:t xml:space="preserve">como sendo </w:t>
      </w:r>
      <w:r w:rsidR="00FC50EA" w:rsidRPr="006817D4">
        <w:rPr>
          <w:iCs/>
          <w:sz w:val="22"/>
          <w:szCs w:val="22"/>
        </w:rPr>
        <w:t xml:space="preserve">aquela que </w:t>
      </w:r>
      <w:r w:rsidR="007328A5" w:rsidRPr="006817D4">
        <w:rPr>
          <w:iCs/>
          <w:sz w:val="22"/>
          <w:szCs w:val="22"/>
        </w:rPr>
        <w:t>“</w:t>
      </w:r>
      <w:r w:rsidR="00FC50EA" w:rsidRPr="006817D4">
        <w:rPr>
          <w:i/>
          <w:iCs/>
          <w:sz w:val="22"/>
          <w:szCs w:val="22"/>
        </w:rPr>
        <w:t>aufira, em cada ano-calendário, receita bruta superior a R$ 360.000,00 e igual ou inferior a R$ 3.600.000,00</w:t>
      </w:r>
      <w:r w:rsidR="007328A5" w:rsidRPr="006817D4">
        <w:rPr>
          <w:iCs/>
          <w:sz w:val="22"/>
          <w:szCs w:val="22"/>
        </w:rPr>
        <w:t>”</w:t>
      </w:r>
      <w:r w:rsidR="00FC50EA" w:rsidRPr="006817D4">
        <w:rPr>
          <w:i/>
          <w:iCs/>
          <w:sz w:val="22"/>
          <w:szCs w:val="22"/>
        </w:rPr>
        <w:t xml:space="preserve">. </w:t>
      </w:r>
      <w:r w:rsidR="00FC50EA" w:rsidRPr="006817D4">
        <w:rPr>
          <w:iCs/>
          <w:sz w:val="22"/>
          <w:szCs w:val="22"/>
        </w:rPr>
        <w:t>Valeu-se, então</w:t>
      </w:r>
      <w:r w:rsidR="00897C8B">
        <w:rPr>
          <w:iCs/>
          <w:sz w:val="22"/>
          <w:szCs w:val="22"/>
        </w:rPr>
        <w:t>,</w:t>
      </w:r>
      <w:r w:rsidR="00FC50EA" w:rsidRPr="006817D4">
        <w:rPr>
          <w:iCs/>
          <w:sz w:val="22"/>
          <w:szCs w:val="22"/>
        </w:rPr>
        <w:t xml:space="preserve"> de manifestação da unidade técnica no sentido de que </w:t>
      </w:r>
      <w:r w:rsidRPr="006817D4">
        <w:rPr>
          <w:sz w:val="22"/>
          <w:szCs w:val="22"/>
        </w:rPr>
        <w:t>o</w:t>
      </w:r>
      <w:r w:rsidR="00FC50EA" w:rsidRPr="006817D4">
        <w:rPr>
          <w:sz w:val="22"/>
          <w:szCs w:val="22"/>
        </w:rPr>
        <w:t>s</w:t>
      </w:r>
      <w:r w:rsidRPr="006817D4">
        <w:rPr>
          <w:sz w:val="22"/>
          <w:szCs w:val="22"/>
        </w:rPr>
        <w:t xml:space="preserve"> consórcio</w:t>
      </w:r>
      <w:r w:rsidR="00FC50EA" w:rsidRPr="006817D4">
        <w:rPr>
          <w:sz w:val="22"/>
          <w:szCs w:val="22"/>
        </w:rPr>
        <w:t>s</w:t>
      </w:r>
      <w:r w:rsidRPr="006817D4">
        <w:rPr>
          <w:sz w:val="22"/>
          <w:szCs w:val="22"/>
        </w:rPr>
        <w:t xml:space="preserve"> não </w:t>
      </w:r>
      <w:r w:rsidR="00FC50EA" w:rsidRPr="006817D4">
        <w:rPr>
          <w:sz w:val="22"/>
          <w:szCs w:val="22"/>
        </w:rPr>
        <w:t xml:space="preserve">possuem personalidade jurídica. </w:t>
      </w:r>
      <w:r w:rsidR="007328A5" w:rsidRPr="006817D4">
        <w:rPr>
          <w:sz w:val="22"/>
          <w:szCs w:val="22"/>
        </w:rPr>
        <w:t>E de que, por isso, nã</w:t>
      </w:r>
      <w:r w:rsidR="00FC50EA" w:rsidRPr="006817D4">
        <w:rPr>
          <w:sz w:val="22"/>
          <w:szCs w:val="22"/>
        </w:rPr>
        <w:t>o podem ser</w:t>
      </w:r>
      <w:r w:rsidR="007328A5" w:rsidRPr="006817D4">
        <w:rPr>
          <w:sz w:val="22"/>
          <w:szCs w:val="22"/>
        </w:rPr>
        <w:t xml:space="preserve"> </w:t>
      </w:r>
      <w:r w:rsidR="00FC50EA" w:rsidRPr="006817D4">
        <w:rPr>
          <w:sz w:val="22"/>
          <w:szCs w:val="22"/>
        </w:rPr>
        <w:t>classificados com</w:t>
      </w:r>
      <w:r w:rsidR="007328A5" w:rsidRPr="006817D4">
        <w:rPr>
          <w:sz w:val="22"/>
          <w:szCs w:val="22"/>
        </w:rPr>
        <w:t>o</w:t>
      </w:r>
      <w:r w:rsidR="00FC50EA" w:rsidRPr="006817D4">
        <w:rPr>
          <w:sz w:val="22"/>
          <w:szCs w:val="22"/>
        </w:rPr>
        <w:t xml:space="preserve"> </w:t>
      </w:r>
      <w:r w:rsidRPr="006817D4">
        <w:rPr>
          <w:sz w:val="22"/>
          <w:szCs w:val="22"/>
        </w:rPr>
        <w:t>empresa</w:t>
      </w:r>
      <w:r w:rsidR="00FC50EA" w:rsidRPr="006817D4">
        <w:rPr>
          <w:sz w:val="22"/>
          <w:szCs w:val="22"/>
        </w:rPr>
        <w:t>s</w:t>
      </w:r>
      <w:r w:rsidRPr="006817D4">
        <w:rPr>
          <w:sz w:val="22"/>
          <w:szCs w:val="22"/>
        </w:rPr>
        <w:t xml:space="preserve"> de pequeno porte</w:t>
      </w:r>
      <w:r w:rsidR="00FC50EA" w:rsidRPr="006817D4">
        <w:rPr>
          <w:sz w:val="22"/>
          <w:szCs w:val="22"/>
        </w:rPr>
        <w:t>. A</w:t>
      </w:r>
      <w:r w:rsidR="007328A5" w:rsidRPr="006817D4">
        <w:rPr>
          <w:sz w:val="22"/>
          <w:szCs w:val="22"/>
        </w:rPr>
        <w:t>demais</w:t>
      </w:r>
      <w:r w:rsidR="00FC50EA" w:rsidRPr="006817D4">
        <w:rPr>
          <w:sz w:val="22"/>
          <w:szCs w:val="22"/>
        </w:rPr>
        <w:t xml:space="preserve"> </w:t>
      </w:r>
      <w:r w:rsidR="00FC50EA" w:rsidRPr="006817D4">
        <w:rPr>
          <w:i/>
          <w:sz w:val="22"/>
          <w:szCs w:val="22"/>
        </w:rPr>
        <w:t>“</w:t>
      </w:r>
      <w:r w:rsidRPr="006817D4">
        <w:rPr>
          <w:i/>
          <w:sz w:val="22"/>
          <w:szCs w:val="22"/>
        </w:rPr>
        <w:t>o somatório dos faturamentos das empresas consorciadas extrapola o limite estabelecido na lei para enquadramento como empresa de pequeno porte e não existe dispositivo legal permitindo o tratamento diferenciado aos consórcios formados por empresas de pequeno porte</w:t>
      </w:r>
      <w:r w:rsidR="00FC50EA" w:rsidRPr="006817D4">
        <w:rPr>
          <w:i/>
          <w:sz w:val="22"/>
          <w:szCs w:val="22"/>
        </w:rPr>
        <w:t>”</w:t>
      </w:r>
      <w:r w:rsidRPr="006817D4">
        <w:rPr>
          <w:sz w:val="22"/>
          <w:szCs w:val="22"/>
        </w:rPr>
        <w:t>.</w:t>
      </w:r>
      <w:r w:rsidR="007328A5" w:rsidRPr="006817D4">
        <w:rPr>
          <w:sz w:val="22"/>
          <w:szCs w:val="22"/>
        </w:rPr>
        <w:t xml:space="preserve"> </w:t>
      </w:r>
      <w:r w:rsidR="006E0A87" w:rsidRPr="006817D4">
        <w:rPr>
          <w:sz w:val="22"/>
          <w:szCs w:val="22"/>
        </w:rPr>
        <w:t>E</w:t>
      </w:r>
      <w:r w:rsidR="007328A5" w:rsidRPr="006817D4">
        <w:rPr>
          <w:sz w:val="22"/>
          <w:szCs w:val="22"/>
        </w:rPr>
        <w:t xml:space="preserve">m face desse panorama, </w:t>
      </w:r>
      <w:r w:rsidR="00653196" w:rsidRPr="006817D4">
        <w:rPr>
          <w:sz w:val="22"/>
          <w:szCs w:val="22"/>
        </w:rPr>
        <w:t>o referido benefício só pode</w:t>
      </w:r>
      <w:r w:rsidR="00FE39E1" w:rsidRPr="006817D4">
        <w:rPr>
          <w:sz w:val="22"/>
          <w:szCs w:val="22"/>
        </w:rPr>
        <w:t>ria</w:t>
      </w:r>
      <w:r w:rsidR="00653196" w:rsidRPr="006817D4">
        <w:rPr>
          <w:sz w:val="22"/>
          <w:szCs w:val="22"/>
        </w:rPr>
        <w:t xml:space="preserve"> ser conferido </w:t>
      </w:r>
      <w:r w:rsidRPr="006817D4">
        <w:rPr>
          <w:sz w:val="22"/>
          <w:szCs w:val="22"/>
        </w:rPr>
        <w:t>a entidades que</w:t>
      </w:r>
      <w:r w:rsidR="00653196" w:rsidRPr="006817D4">
        <w:rPr>
          <w:i/>
          <w:sz w:val="22"/>
          <w:szCs w:val="22"/>
        </w:rPr>
        <w:t xml:space="preserve"> “</w:t>
      </w:r>
      <w:r w:rsidRPr="006817D4">
        <w:rPr>
          <w:i/>
          <w:sz w:val="22"/>
          <w:szCs w:val="22"/>
        </w:rPr>
        <w:t>individualmente, nos termos do artigo 3º da referida norma, sejam classificadas como microempresas ou empresas de pequeno porte</w:t>
      </w:r>
      <w:r w:rsidR="007328A5" w:rsidRPr="006817D4">
        <w:rPr>
          <w:sz w:val="22"/>
          <w:szCs w:val="22"/>
        </w:rPr>
        <w:t>”</w:t>
      </w:r>
      <w:r w:rsidRPr="006817D4">
        <w:rPr>
          <w:sz w:val="22"/>
          <w:szCs w:val="22"/>
        </w:rPr>
        <w:t xml:space="preserve">. </w:t>
      </w:r>
      <w:r w:rsidR="006E0A87" w:rsidRPr="006817D4">
        <w:rPr>
          <w:sz w:val="22"/>
          <w:szCs w:val="22"/>
        </w:rPr>
        <w:t xml:space="preserve"> Acrescentou, porém, que</w:t>
      </w:r>
      <w:r w:rsidR="00D30287">
        <w:rPr>
          <w:sz w:val="22"/>
          <w:szCs w:val="22"/>
        </w:rPr>
        <w:t>,</w:t>
      </w:r>
      <w:r w:rsidR="006E0A87" w:rsidRPr="006817D4">
        <w:rPr>
          <w:sz w:val="22"/>
          <w:szCs w:val="22"/>
        </w:rPr>
        <w:t xml:space="preserve"> “</w:t>
      </w:r>
      <w:r w:rsidRPr="006817D4">
        <w:rPr>
          <w:i/>
          <w:sz w:val="22"/>
          <w:szCs w:val="22"/>
        </w:rPr>
        <w:t>Na hipótese de serem admitidos consórcios, a condição das empresas que os integram não deve ser aferida de forma individual, mas deve ser promovido o somatório, para fins de concessão desse benefício, dos faturamentos das empresas, devendo o benefício ser estendido apenas aos consórcios cujos faturamentos anuais encontrem-se dentro dos limites estipulados no mencionado normativo</w:t>
      </w:r>
      <w:r w:rsidRPr="006817D4">
        <w:rPr>
          <w:sz w:val="22"/>
          <w:szCs w:val="22"/>
        </w:rPr>
        <w:t xml:space="preserve">. </w:t>
      </w:r>
      <w:r w:rsidR="006E0A87" w:rsidRPr="006817D4">
        <w:rPr>
          <w:sz w:val="22"/>
          <w:szCs w:val="22"/>
        </w:rPr>
        <w:t>Concluiu, em avaliação preliminar, que o benefício estendido ao consórcio não seria devido. O relator, então, também por esse motivo</w:t>
      </w:r>
      <w:r w:rsidR="0053173F" w:rsidRPr="006817D4">
        <w:rPr>
          <w:sz w:val="22"/>
          <w:szCs w:val="22"/>
        </w:rPr>
        <w:t xml:space="preserve">, </w:t>
      </w:r>
      <w:r w:rsidR="006E0A87" w:rsidRPr="006817D4">
        <w:rPr>
          <w:sz w:val="22"/>
          <w:szCs w:val="22"/>
        </w:rPr>
        <w:t xml:space="preserve"> suspendeu o andamento do</w:t>
      </w:r>
      <w:r w:rsidRPr="006817D4">
        <w:rPr>
          <w:sz w:val="22"/>
          <w:szCs w:val="22"/>
        </w:rPr>
        <w:t xml:space="preserve">s atos </w:t>
      </w:r>
      <w:r w:rsidR="006E0A87" w:rsidRPr="006817D4">
        <w:rPr>
          <w:sz w:val="22"/>
          <w:szCs w:val="22"/>
        </w:rPr>
        <w:t xml:space="preserve">relacionados à condução do </w:t>
      </w:r>
      <w:r w:rsidRPr="006817D4">
        <w:rPr>
          <w:sz w:val="22"/>
          <w:szCs w:val="22"/>
        </w:rPr>
        <w:t>Grupo 3 do Pregão Eletrônico 39/2012</w:t>
      </w:r>
      <w:r w:rsidR="0053173F" w:rsidRPr="006817D4">
        <w:rPr>
          <w:sz w:val="22"/>
          <w:szCs w:val="22"/>
        </w:rPr>
        <w:t xml:space="preserve"> e promoveu a oitiva do consórcio beneficiado e do FNDE</w:t>
      </w:r>
      <w:r w:rsidR="006E0A87" w:rsidRPr="006817D4">
        <w:rPr>
          <w:sz w:val="22"/>
          <w:szCs w:val="22"/>
        </w:rPr>
        <w:t xml:space="preserve">. O Tribunal endossou essa providência. </w:t>
      </w:r>
      <w:r w:rsidR="006E0A87" w:rsidRPr="00554FCF">
        <w:rPr>
          <w:b/>
          <w:i/>
          <w:sz w:val="22"/>
          <w:szCs w:val="22"/>
        </w:rPr>
        <w:t>Comunicação de Cautelar, TC-</w:t>
      </w:r>
      <w:r w:rsidR="0053173F" w:rsidRPr="00554FCF">
        <w:rPr>
          <w:b/>
          <w:bCs/>
          <w:i/>
          <w:sz w:val="22"/>
          <w:szCs w:val="22"/>
        </w:rPr>
        <w:t>042.183/2012-0</w:t>
      </w:r>
      <w:r w:rsidR="006E0A87" w:rsidRPr="00554FCF">
        <w:rPr>
          <w:b/>
          <w:i/>
          <w:sz w:val="22"/>
          <w:szCs w:val="22"/>
        </w:rPr>
        <w:t xml:space="preserve">, rel. Min. </w:t>
      </w:r>
      <w:r w:rsidR="0053173F" w:rsidRPr="00554FCF">
        <w:rPr>
          <w:b/>
          <w:i/>
          <w:sz w:val="22"/>
          <w:szCs w:val="22"/>
        </w:rPr>
        <w:t>José Jorge</w:t>
      </w:r>
      <w:r w:rsidR="006E0A87" w:rsidRPr="00554FCF">
        <w:rPr>
          <w:b/>
          <w:i/>
          <w:sz w:val="22"/>
          <w:szCs w:val="22"/>
        </w:rPr>
        <w:t xml:space="preserve">, </w:t>
      </w:r>
      <w:r w:rsidR="00355C09" w:rsidRPr="00554FCF">
        <w:rPr>
          <w:b/>
          <w:i/>
          <w:sz w:val="22"/>
          <w:szCs w:val="22"/>
        </w:rPr>
        <w:t>2</w:t>
      </w:r>
      <w:r w:rsidR="006E0A87" w:rsidRPr="00554FCF">
        <w:rPr>
          <w:b/>
          <w:i/>
          <w:sz w:val="22"/>
          <w:szCs w:val="22"/>
        </w:rPr>
        <w:t>1.11.2012.</w:t>
      </w:r>
    </w:p>
    <w:p w:rsidR="006E0A87" w:rsidRDefault="006E0A87" w:rsidP="006E0A87">
      <w:pPr>
        <w:pStyle w:val="Default"/>
        <w:jc w:val="both"/>
        <w:rPr>
          <w:sz w:val="22"/>
          <w:szCs w:val="22"/>
        </w:rPr>
      </w:pPr>
    </w:p>
    <w:p w:rsidR="0087568C" w:rsidRPr="006817D4" w:rsidRDefault="00A64067" w:rsidP="0087568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400533">
        <w:rPr>
          <w:b/>
          <w:sz w:val="22"/>
          <w:szCs w:val="22"/>
        </w:rPr>
        <w:t xml:space="preserve"> </w:t>
      </w:r>
      <w:r w:rsidR="00400533" w:rsidRPr="00400533">
        <w:rPr>
          <w:b/>
          <w:sz w:val="22"/>
          <w:szCs w:val="22"/>
        </w:rPr>
        <w:t xml:space="preserve">Em avaliação preliminar, o estabelecimento de data específica para realização de visita técnica, mesmo na hipótese de não ser ela obrigatória, compromete o caráter competitivo do certame e </w:t>
      </w:r>
      <w:r w:rsidR="00400533" w:rsidRPr="00400533">
        <w:rPr>
          <w:b/>
          <w:iCs/>
          <w:sz w:val="22"/>
          <w:szCs w:val="22"/>
        </w:rPr>
        <w:t>favorece a formação de acertos prévios entre licitantes. O caráter facultativo dessa visita demanda, também em análise precária, a inserção, no edital, de cláusula que estipule ser da responsabilidade do contratado a assunção de eventuais prejuízos decorrentes d</w:t>
      </w:r>
      <w:r w:rsidR="00400533">
        <w:rPr>
          <w:b/>
          <w:iCs/>
          <w:sz w:val="22"/>
          <w:szCs w:val="22"/>
        </w:rPr>
        <w:t xml:space="preserve">a </w:t>
      </w:r>
      <w:r w:rsidR="00400533" w:rsidRPr="00400533">
        <w:rPr>
          <w:b/>
          <w:iCs/>
          <w:color w:val="auto"/>
          <w:sz w:val="22"/>
          <w:szCs w:val="22"/>
        </w:rPr>
        <w:t xml:space="preserve">opção </w:t>
      </w:r>
      <w:r w:rsidR="00400533">
        <w:rPr>
          <w:b/>
          <w:iCs/>
          <w:color w:val="auto"/>
          <w:sz w:val="22"/>
          <w:szCs w:val="22"/>
        </w:rPr>
        <w:t>de não</w:t>
      </w:r>
      <w:r w:rsidR="00400533" w:rsidRPr="00400533">
        <w:rPr>
          <w:b/>
          <w:iCs/>
          <w:color w:val="auto"/>
          <w:sz w:val="22"/>
          <w:szCs w:val="22"/>
        </w:rPr>
        <w:t xml:space="preserve"> realizá-la</w:t>
      </w:r>
      <w:r w:rsidR="0087568C" w:rsidRPr="006817D4">
        <w:rPr>
          <w:b/>
          <w:iCs/>
          <w:sz w:val="22"/>
          <w:szCs w:val="22"/>
        </w:rPr>
        <w:t xml:space="preserve">     </w:t>
      </w:r>
      <w:r w:rsidR="0087568C" w:rsidRPr="006817D4">
        <w:rPr>
          <w:b/>
          <w:sz w:val="22"/>
          <w:szCs w:val="22"/>
        </w:rPr>
        <w:t xml:space="preserve">    </w:t>
      </w:r>
    </w:p>
    <w:p w:rsidR="0087568C" w:rsidRDefault="0087568C" w:rsidP="0087568C">
      <w:pPr>
        <w:pStyle w:val="Default"/>
        <w:jc w:val="both"/>
        <w:rPr>
          <w:b/>
          <w:sz w:val="22"/>
          <w:szCs w:val="22"/>
        </w:rPr>
      </w:pPr>
      <w:r w:rsidRPr="006817D4">
        <w:rPr>
          <w:sz w:val="22"/>
          <w:szCs w:val="22"/>
        </w:rPr>
        <w:t xml:space="preserve"> Representação formulada por empresa apontou supostas irregularidades no edital da Concorrência 18/2012, conduzida pelo Instituto Federal de Educação, Ciência e Tecnologia de São Paulo (IFSP), que tem por objeto a contratação de empresa para executar as obras de construção civil do </w:t>
      </w:r>
      <w:r w:rsidRPr="006817D4">
        <w:rPr>
          <w:i/>
          <w:iCs/>
          <w:sz w:val="22"/>
          <w:szCs w:val="22"/>
        </w:rPr>
        <w:t xml:space="preserve">campus </w:t>
      </w:r>
      <w:r w:rsidRPr="006817D4">
        <w:rPr>
          <w:sz w:val="22"/>
          <w:szCs w:val="22"/>
        </w:rPr>
        <w:t>Araraquara. Além de inconsistências na definição do objeto, ausência de critérios de aceitabilidade de preços unitários e outros indícios de graves irregularidades, a autora da representação também acusou: a) “</w:t>
      </w:r>
      <w:r w:rsidRPr="006817D4">
        <w:rPr>
          <w:i/>
          <w:sz w:val="22"/>
          <w:szCs w:val="22"/>
        </w:rPr>
        <w:t>a d</w:t>
      </w:r>
      <w:r w:rsidRPr="006817D4">
        <w:rPr>
          <w:bCs/>
          <w:i/>
          <w:iCs/>
          <w:sz w:val="22"/>
          <w:szCs w:val="22"/>
        </w:rPr>
        <w:t xml:space="preserve">elimitação de visita técnica facultativa em um dia predefinido (...), ainda que passível de alteração em caso excepcional; </w:t>
      </w:r>
      <w:r w:rsidRPr="006817D4">
        <w:rPr>
          <w:iCs/>
          <w:sz w:val="22"/>
          <w:szCs w:val="22"/>
        </w:rPr>
        <w:t>b)</w:t>
      </w:r>
      <w:r w:rsidRPr="006817D4">
        <w:rPr>
          <w:i/>
          <w:iCs/>
          <w:sz w:val="22"/>
          <w:szCs w:val="22"/>
        </w:rPr>
        <w:t xml:space="preserve"> </w:t>
      </w:r>
      <w:r w:rsidRPr="006817D4">
        <w:rPr>
          <w:iCs/>
          <w:sz w:val="22"/>
          <w:szCs w:val="22"/>
        </w:rPr>
        <w:t>“</w:t>
      </w:r>
      <w:r w:rsidRPr="006817D4">
        <w:rPr>
          <w:i/>
          <w:iCs/>
          <w:sz w:val="22"/>
          <w:szCs w:val="22"/>
        </w:rPr>
        <w:t>a ausência de cláusula no edital que estabeleça ser da responsabilidade da futura contratada a ocorrência de eventuais prejuízos em virtude de sua omissão na verificação dos locais da obra</w:t>
      </w:r>
      <w:r w:rsidRPr="006817D4">
        <w:rPr>
          <w:iCs/>
          <w:sz w:val="22"/>
          <w:szCs w:val="22"/>
        </w:rPr>
        <w:t>”. Anotou a unidade técnica a respeito dessas ocorrências que: a) O Tribunal considera “</w:t>
      </w:r>
      <w:r w:rsidRPr="006817D4">
        <w:rPr>
          <w:i/>
          <w:iCs/>
          <w:sz w:val="22"/>
          <w:szCs w:val="22"/>
        </w:rPr>
        <w:t>irregular a exigência da realização de visita técnica em dias e horários fixos</w:t>
      </w:r>
      <w:r w:rsidRPr="006817D4">
        <w:rPr>
          <w:iCs/>
          <w:sz w:val="22"/>
          <w:szCs w:val="22"/>
        </w:rPr>
        <w:t xml:space="preserve">” (Acórdãos 1948/2011, 3119/2010, 3197/2010, 2583/2010, 2477/2009, 874/2007, todos do Plenário/TCU e Acórdãos 1450/2009-TCU-2ª Câmara e 2028/2006-TCU-1ª Câmara); apesar de o edital do certame estabelecer como facultativa a visita técnica e permitir sua realização em outra data, isso restringiria indevidamente a competitividade do certame e possibilitaria o conhecimento prévio dos concorrentes pelas licitantes; b) “O </w:t>
      </w:r>
      <w:r w:rsidRPr="006817D4">
        <w:rPr>
          <w:i/>
          <w:iCs/>
          <w:sz w:val="22"/>
          <w:szCs w:val="22"/>
        </w:rPr>
        <w:t xml:space="preserve">estabelecimento de visita técnica facultativa sem a inserção de cláusula editalícia que estabeleça ser da responsabilidade do contratado a ocorrência de eventuais prejuízos em virtude </w:t>
      </w:r>
      <w:r w:rsidRPr="006817D4">
        <w:rPr>
          <w:i/>
          <w:iCs/>
          <w:color w:val="auto"/>
          <w:sz w:val="22"/>
          <w:szCs w:val="22"/>
        </w:rPr>
        <w:t>de sua omissão na verificação dos locais de instalação é temerária, razão pela qual também há necessidade de oitiva da IFSP quanto a esse aspecto...</w:t>
      </w:r>
      <w:r w:rsidRPr="006817D4">
        <w:rPr>
          <w:iCs/>
          <w:color w:val="auto"/>
          <w:sz w:val="22"/>
          <w:szCs w:val="22"/>
        </w:rPr>
        <w:t>”</w:t>
      </w:r>
      <w:r w:rsidRPr="006817D4">
        <w:rPr>
          <w:i/>
          <w:iCs/>
          <w:color w:val="auto"/>
          <w:sz w:val="22"/>
          <w:szCs w:val="22"/>
        </w:rPr>
        <w:t>.</w:t>
      </w:r>
      <w:r w:rsidRPr="006817D4">
        <w:rPr>
          <w:iCs/>
          <w:color w:val="auto"/>
          <w:sz w:val="22"/>
          <w:szCs w:val="22"/>
        </w:rPr>
        <w:t xml:space="preserve"> O relator, por sua vez, ao endossar a análise efetuada pela unidade técnica a respeito dessa</w:t>
      </w:r>
      <w:r>
        <w:rPr>
          <w:iCs/>
          <w:color w:val="auto"/>
          <w:sz w:val="22"/>
          <w:szCs w:val="22"/>
        </w:rPr>
        <w:t>s</w:t>
      </w:r>
      <w:r w:rsidRPr="006817D4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falhas e </w:t>
      </w:r>
      <w:r w:rsidRPr="006817D4">
        <w:rPr>
          <w:iCs/>
          <w:color w:val="auto"/>
          <w:sz w:val="22"/>
          <w:szCs w:val="22"/>
        </w:rPr>
        <w:t xml:space="preserve">das outras supostas irregularidades identificadas no referido edital, decidiu: a) suspender, em caráter cautelar, o andamento do referido certame; </w:t>
      </w:r>
      <w:r w:rsidR="00D30287">
        <w:rPr>
          <w:iCs/>
          <w:color w:val="auto"/>
          <w:sz w:val="22"/>
          <w:szCs w:val="22"/>
        </w:rPr>
        <w:t>b</w:t>
      </w:r>
      <w:r w:rsidRPr="006817D4">
        <w:rPr>
          <w:iCs/>
          <w:color w:val="auto"/>
          <w:sz w:val="22"/>
          <w:szCs w:val="22"/>
        </w:rPr>
        <w:t>) promover a oitiva do IFSP a respeito dos indícios de irregularidades apurados, entre os quais aqueles relativos à vista técnica ao local daquelas obras.</w:t>
      </w:r>
      <w:r>
        <w:rPr>
          <w:iCs/>
          <w:color w:val="auto"/>
          <w:sz w:val="22"/>
          <w:szCs w:val="22"/>
        </w:rPr>
        <w:t xml:space="preserve"> </w:t>
      </w:r>
      <w:r w:rsidRPr="006817D4">
        <w:rPr>
          <w:iCs/>
          <w:color w:val="auto"/>
          <w:sz w:val="22"/>
          <w:szCs w:val="22"/>
        </w:rPr>
        <w:t xml:space="preserve">O Tribunal, então, ratificou as providências implementadas pelo relator. </w:t>
      </w:r>
      <w:r>
        <w:rPr>
          <w:iCs/>
          <w:color w:val="auto"/>
          <w:sz w:val="22"/>
          <w:szCs w:val="22"/>
        </w:rPr>
        <w:t xml:space="preserve">Precedentes mencionados: </w:t>
      </w:r>
      <w:r w:rsidRPr="006817D4">
        <w:rPr>
          <w:iCs/>
          <w:sz w:val="22"/>
          <w:szCs w:val="22"/>
        </w:rPr>
        <w:t>Acórdãos 1948/2011, 3119/2010, 3197/2010, 2583/2010, 2477/2009, 874/2007, todos do Plenário/TCU e Acórdãos 1450/2009-2ª Câmara e 2028/2006-1ª Câmara</w:t>
      </w:r>
      <w:r>
        <w:rPr>
          <w:iCs/>
          <w:sz w:val="22"/>
          <w:szCs w:val="22"/>
        </w:rPr>
        <w:t xml:space="preserve">. </w:t>
      </w:r>
      <w:r w:rsidRPr="006817D4">
        <w:rPr>
          <w:b/>
          <w:i/>
          <w:sz w:val="22"/>
          <w:szCs w:val="22"/>
        </w:rPr>
        <w:t>Comunicação de Cautelar, TC-</w:t>
      </w:r>
      <w:r w:rsidRPr="006817D4">
        <w:rPr>
          <w:b/>
          <w:bCs/>
          <w:i/>
          <w:sz w:val="22"/>
          <w:szCs w:val="22"/>
        </w:rPr>
        <w:t>043.862/2012-8</w:t>
      </w:r>
      <w:r w:rsidRPr="006817D4">
        <w:rPr>
          <w:b/>
          <w:i/>
          <w:sz w:val="22"/>
          <w:szCs w:val="22"/>
        </w:rPr>
        <w:t>, rel. Min. José Jorge, 21.11.2012.</w:t>
      </w:r>
    </w:p>
    <w:p w:rsidR="0087568C" w:rsidRPr="0087568C" w:rsidRDefault="0087568C" w:rsidP="0087568C">
      <w:pPr>
        <w:pStyle w:val="Default"/>
        <w:jc w:val="both"/>
        <w:rPr>
          <w:sz w:val="22"/>
          <w:szCs w:val="22"/>
        </w:rPr>
      </w:pPr>
    </w:p>
    <w:p w:rsidR="00FE190A" w:rsidRPr="006817D4" w:rsidRDefault="00A64067" w:rsidP="00E34969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24E5C" w:rsidRPr="006817D4">
        <w:rPr>
          <w:b/>
          <w:sz w:val="22"/>
          <w:szCs w:val="22"/>
        </w:rPr>
        <w:t xml:space="preserve">A </w:t>
      </w:r>
      <w:r w:rsidR="002677CD" w:rsidRPr="006817D4">
        <w:rPr>
          <w:b/>
          <w:sz w:val="22"/>
          <w:szCs w:val="22"/>
        </w:rPr>
        <w:t xml:space="preserve">necessidade de preservação do sigilo de informações e </w:t>
      </w:r>
      <w:r w:rsidR="005952ED" w:rsidRPr="006817D4">
        <w:rPr>
          <w:b/>
          <w:sz w:val="22"/>
          <w:szCs w:val="22"/>
        </w:rPr>
        <w:t>da imagem de instituição</w:t>
      </w:r>
      <w:r w:rsidR="00534787" w:rsidRPr="006817D4">
        <w:rPr>
          <w:b/>
          <w:sz w:val="22"/>
          <w:szCs w:val="22"/>
        </w:rPr>
        <w:t xml:space="preserve"> </w:t>
      </w:r>
      <w:r w:rsidR="00C2514A" w:rsidRPr="006817D4">
        <w:rPr>
          <w:b/>
          <w:sz w:val="22"/>
          <w:szCs w:val="22"/>
        </w:rPr>
        <w:t xml:space="preserve">bancária </w:t>
      </w:r>
      <w:r w:rsidR="00B8586E" w:rsidRPr="006817D4">
        <w:rPr>
          <w:b/>
          <w:sz w:val="22"/>
          <w:szCs w:val="22"/>
        </w:rPr>
        <w:t xml:space="preserve">submetida aos ditames da Lei de Licitações </w:t>
      </w:r>
      <w:r w:rsidR="005952ED" w:rsidRPr="006817D4">
        <w:rPr>
          <w:b/>
          <w:sz w:val="22"/>
          <w:szCs w:val="22"/>
        </w:rPr>
        <w:t>não</w:t>
      </w:r>
      <w:r w:rsidR="00D80DF6">
        <w:rPr>
          <w:b/>
          <w:sz w:val="22"/>
          <w:szCs w:val="22"/>
        </w:rPr>
        <w:t xml:space="preserve"> a</w:t>
      </w:r>
      <w:r w:rsidR="00743059">
        <w:rPr>
          <w:b/>
          <w:sz w:val="22"/>
          <w:szCs w:val="22"/>
        </w:rPr>
        <w:t xml:space="preserve">utoriza a </w:t>
      </w:r>
      <w:r w:rsidR="00AA2755" w:rsidRPr="006817D4">
        <w:rPr>
          <w:b/>
          <w:sz w:val="22"/>
          <w:szCs w:val="22"/>
        </w:rPr>
        <w:t xml:space="preserve">contratação direta de empresa pública </w:t>
      </w:r>
      <w:r w:rsidR="005952ED" w:rsidRPr="006817D4">
        <w:rPr>
          <w:b/>
          <w:sz w:val="22"/>
          <w:szCs w:val="22"/>
        </w:rPr>
        <w:t xml:space="preserve">para </w:t>
      </w:r>
      <w:r w:rsidR="00FE190A" w:rsidRPr="006817D4">
        <w:rPr>
          <w:b/>
          <w:sz w:val="22"/>
          <w:szCs w:val="22"/>
        </w:rPr>
        <w:t xml:space="preserve">a </w:t>
      </w:r>
      <w:r w:rsidR="005952ED" w:rsidRPr="006817D4">
        <w:rPr>
          <w:b/>
          <w:sz w:val="22"/>
          <w:szCs w:val="22"/>
        </w:rPr>
        <w:t>modernização de infraestrutura tecnol</w:t>
      </w:r>
      <w:r w:rsidR="000B759E" w:rsidRPr="006817D4">
        <w:rPr>
          <w:b/>
          <w:sz w:val="22"/>
          <w:szCs w:val="22"/>
        </w:rPr>
        <w:t>ógica</w:t>
      </w:r>
      <w:r w:rsidR="005952ED" w:rsidRPr="006817D4">
        <w:rPr>
          <w:b/>
          <w:sz w:val="22"/>
          <w:szCs w:val="22"/>
        </w:rPr>
        <w:t xml:space="preserve">. </w:t>
      </w:r>
      <w:r w:rsidR="00FE190A" w:rsidRPr="006817D4">
        <w:rPr>
          <w:b/>
          <w:sz w:val="22"/>
          <w:szCs w:val="22"/>
        </w:rPr>
        <w:t>Diversas empresas são capazes de executar tal objeto satisfatoriamente</w:t>
      </w:r>
    </w:p>
    <w:p w:rsidR="00E34969" w:rsidRPr="006817D4" w:rsidRDefault="00E71AE2" w:rsidP="00E34969">
      <w:pPr>
        <w:pStyle w:val="Default"/>
        <w:jc w:val="both"/>
        <w:rPr>
          <w:b/>
          <w:i/>
          <w:sz w:val="22"/>
          <w:szCs w:val="22"/>
        </w:rPr>
      </w:pPr>
      <w:r w:rsidRPr="006817D4">
        <w:rPr>
          <w:sz w:val="22"/>
          <w:szCs w:val="22"/>
        </w:rPr>
        <w:t xml:space="preserve">Representação apontou supostas irregularidades na contratação efetuada pelo Banco da Amazônia S. A. – Basa da empresa </w:t>
      </w:r>
      <w:r w:rsidR="00CB6FB4" w:rsidRPr="006817D4">
        <w:rPr>
          <w:sz w:val="22"/>
          <w:szCs w:val="22"/>
        </w:rPr>
        <w:t>Cobra Tecnologia S.A.</w:t>
      </w:r>
      <w:r w:rsidRPr="006817D4">
        <w:rPr>
          <w:sz w:val="22"/>
          <w:szCs w:val="22"/>
        </w:rPr>
        <w:t>,</w:t>
      </w:r>
      <w:r w:rsidR="00CB6FB4" w:rsidRPr="006817D4">
        <w:rPr>
          <w:sz w:val="22"/>
          <w:szCs w:val="22"/>
        </w:rPr>
        <w:t xml:space="preserve"> controlada pelo Banco do Brasil S.A.,</w:t>
      </w:r>
      <w:r w:rsidRPr="006817D4">
        <w:rPr>
          <w:sz w:val="22"/>
          <w:szCs w:val="22"/>
        </w:rPr>
        <w:t xml:space="preserve"> por inexigibilidade de licitação, </w:t>
      </w:r>
      <w:r w:rsidR="00CB6FB4" w:rsidRPr="006817D4">
        <w:rPr>
          <w:sz w:val="22"/>
          <w:szCs w:val="22"/>
        </w:rPr>
        <w:t>a qual t</w:t>
      </w:r>
      <w:r w:rsidRPr="006817D4">
        <w:rPr>
          <w:sz w:val="22"/>
          <w:szCs w:val="22"/>
        </w:rPr>
        <w:t>ev</w:t>
      </w:r>
      <w:r w:rsidR="00E7270A" w:rsidRPr="006817D4">
        <w:rPr>
          <w:sz w:val="22"/>
          <w:szCs w:val="22"/>
        </w:rPr>
        <w:t>e</w:t>
      </w:r>
      <w:r w:rsidRPr="006817D4">
        <w:rPr>
          <w:sz w:val="22"/>
          <w:szCs w:val="22"/>
        </w:rPr>
        <w:t xml:space="preserve"> por objeto a realização de melhorias </w:t>
      </w:r>
      <w:r w:rsidR="00355C09" w:rsidRPr="006817D4">
        <w:rPr>
          <w:sz w:val="22"/>
          <w:szCs w:val="22"/>
        </w:rPr>
        <w:t xml:space="preserve">em sua </w:t>
      </w:r>
      <w:r w:rsidRPr="006817D4">
        <w:rPr>
          <w:sz w:val="22"/>
          <w:szCs w:val="22"/>
        </w:rPr>
        <w:t>infraestrutura tecnológica, “</w:t>
      </w:r>
      <w:r w:rsidRPr="006817D4">
        <w:rPr>
          <w:i/>
          <w:sz w:val="22"/>
          <w:szCs w:val="22"/>
        </w:rPr>
        <w:t xml:space="preserve">abrangendo </w:t>
      </w:r>
      <w:r w:rsidRPr="006817D4">
        <w:rPr>
          <w:i/>
          <w:iCs/>
          <w:sz w:val="22"/>
          <w:szCs w:val="22"/>
        </w:rPr>
        <w:t>softwares</w:t>
      </w:r>
      <w:r w:rsidRPr="006817D4">
        <w:rPr>
          <w:i/>
          <w:sz w:val="22"/>
          <w:szCs w:val="22"/>
        </w:rPr>
        <w:t>, aplicativos e equipamentos computacionais, visando atender as recomendações sugeridas pela Associação Brasileira dos Bancos Estaduais (Asbace)</w:t>
      </w:r>
      <w:r w:rsidRPr="006817D4">
        <w:rPr>
          <w:sz w:val="22"/>
          <w:szCs w:val="22"/>
        </w:rPr>
        <w:t>”</w:t>
      </w:r>
      <w:r w:rsidR="00CB6FB4" w:rsidRPr="006817D4">
        <w:rPr>
          <w:sz w:val="22"/>
          <w:szCs w:val="22"/>
        </w:rPr>
        <w:t xml:space="preserve"> - Contrato 2004/224. </w:t>
      </w:r>
      <w:r w:rsidR="00534664" w:rsidRPr="006817D4">
        <w:rPr>
          <w:sz w:val="22"/>
          <w:szCs w:val="22"/>
        </w:rPr>
        <w:t xml:space="preserve">Entre os vícios identificados, destaque-se a ausência dos </w:t>
      </w:r>
      <w:r w:rsidRPr="006817D4">
        <w:rPr>
          <w:sz w:val="22"/>
          <w:szCs w:val="22"/>
        </w:rPr>
        <w:t xml:space="preserve">pressupostos estabelecidos no art. 25, </w:t>
      </w:r>
      <w:r w:rsidRPr="006817D4">
        <w:rPr>
          <w:i/>
          <w:iCs/>
          <w:sz w:val="22"/>
          <w:szCs w:val="22"/>
        </w:rPr>
        <w:t xml:space="preserve">caput </w:t>
      </w:r>
      <w:r w:rsidRPr="006817D4">
        <w:rPr>
          <w:sz w:val="22"/>
          <w:szCs w:val="22"/>
        </w:rPr>
        <w:t>e inciso II da Lei 8.666/1993</w:t>
      </w:r>
      <w:r w:rsidR="00042393" w:rsidRPr="006817D4">
        <w:rPr>
          <w:sz w:val="22"/>
          <w:szCs w:val="22"/>
        </w:rPr>
        <w:t>, que justificassem tal contratação</w:t>
      </w:r>
      <w:r w:rsidR="00534664" w:rsidRPr="006817D4">
        <w:rPr>
          <w:sz w:val="22"/>
          <w:szCs w:val="22"/>
        </w:rPr>
        <w:t>. Foram ouvidos em audiência a respeito dessa ocorrência Diretores do Basa, seu consultor</w:t>
      </w:r>
      <w:r w:rsidR="00355C09" w:rsidRPr="006817D4">
        <w:rPr>
          <w:sz w:val="22"/>
          <w:szCs w:val="22"/>
        </w:rPr>
        <w:t xml:space="preserve"> jurídico</w:t>
      </w:r>
      <w:r w:rsidR="00534664" w:rsidRPr="006817D4">
        <w:rPr>
          <w:sz w:val="22"/>
          <w:szCs w:val="22"/>
        </w:rPr>
        <w:t xml:space="preserve"> e alguns técnic</w:t>
      </w:r>
      <w:r w:rsidR="00AA2755" w:rsidRPr="006817D4">
        <w:rPr>
          <w:sz w:val="22"/>
          <w:szCs w:val="22"/>
        </w:rPr>
        <w:t>o</w:t>
      </w:r>
      <w:r w:rsidR="00534664" w:rsidRPr="006817D4">
        <w:rPr>
          <w:sz w:val="22"/>
          <w:szCs w:val="22"/>
        </w:rPr>
        <w:t xml:space="preserve">s relativamente aos atos inseridos em suas respectivas esferas de atuação. Entre </w:t>
      </w:r>
      <w:r w:rsidR="00126AB1" w:rsidRPr="006817D4">
        <w:rPr>
          <w:sz w:val="22"/>
          <w:szCs w:val="22"/>
        </w:rPr>
        <w:t xml:space="preserve">os motivos invocados para justificar tal contratação, mencionem-se os seguintes: a) necessidade de manter sigilo das informações bancárias e de proteger a imagem do banco, evitando-se a exposição de sua situação crítica na área de TI; b) complexidade do projeto; c) risco de se obter uma solução insatisfatória, se tivesse havido licitação; d) </w:t>
      </w:r>
      <w:r w:rsidR="00042393" w:rsidRPr="006817D4">
        <w:rPr>
          <w:sz w:val="22"/>
          <w:szCs w:val="22"/>
        </w:rPr>
        <w:t xml:space="preserve">possível </w:t>
      </w:r>
      <w:r w:rsidR="00126AB1" w:rsidRPr="006817D4">
        <w:rPr>
          <w:sz w:val="22"/>
          <w:szCs w:val="22"/>
        </w:rPr>
        <w:t>retardo na implementação da solução, “</w:t>
      </w:r>
      <w:r w:rsidR="00126AB1" w:rsidRPr="006817D4">
        <w:rPr>
          <w:i/>
          <w:sz w:val="22"/>
          <w:szCs w:val="22"/>
        </w:rPr>
        <w:t>em razão de recursos protelatórios</w:t>
      </w:r>
      <w:r w:rsidR="00126AB1" w:rsidRPr="006817D4">
        <w:rPr>
          <w:sz w:val="22"/>
          <w:szCs w:val="22"/>
        </w:rPr>
        <w:t>”</w:t>
      </w:r>
      <w:r w:rsidR="00042393" w:rsidRPr="006817D4">
        <w:rPr>
          <w:sz w:val="22"/>
          <w:szCs w:val="22"/>
        </w:rPr>
        <w:t>, caso tivesse sido realizada a licitação</w:t>
      </w:r>
      <w:r w:rsidR="00126AB1" w:rsidRPr="006817D4">
        <w:rPr>
          <w:sz w:val="22"/>
          <w:szCs w:val="22"/>
        </w:rPr>
        <w:t>.</w:t>
      </w:r>
      <w:r w:rsidR="00355C09" w:rsidRPr="006817D4">
        <w:rPr>
          <w:sz w:val="22"/>
          <w:szCs w:val="22"/>
        </w:rPr>
        <w:t xml:space="preserve"> </w:t>
      </w:r>
      <w:r w:rsidR="00C842BA" w:rsidRPr="006817D4">
        <w:rPr>
          <w:sz w:val="22"/>
          <w:szCs w:val="22"/>
        </w:rPr>
        <w:t>A relatora, ao valer-se de manifestação da unidade técnica especializada, anotou que a descrição minuciosa das necessidades de TI do Banco revelaria, apenas, a pretensão de modernização de suas soluções de TI; “</w:t>
      </w:r>
      <w:r w:rsidR="00C842BA" w:rsidRPr="006817D4">
        <w:rPr>
          <w:i/>
          <w:sz w:val="22"/>
          <w:szCs w:val="22"/>
        </w:rPr>
        <w:t>Todas as instituições passam por isso</w:t>
      </w:r>
      <w:r w:rsidR="00C842BA" w:rsidRPr="006817D4">
        <w:rPr>
          <w:sz w:val="22"/>
          <w:szCs w:val="22"/>
        </w:rPr>
        <w:t xml:space="preserve">”. </w:t>
      </w:r>
      <w:r w:rsidR="006C1721" w:rsidRPr="006817D4">
        <w:rPr>
          <w:sz w:val="22"/>
          <w:szCs w:val="22"/>
        </w:rPr>
        <w:t>As grandes empresas que atuam nesse ramo estão obrigadas preservar o sigilo de informações estratégicas a respeito das quais tomem conhecimento. “</w:t>
      </w:r>
      <w:r w:rsidR="006C1721" w:rsidRPr="006817D4">
        <w:rPr>
          <w:i/>
          <w:sz w:val="22"/>
          <w:szCs w:val="22"/>
        </w:rPr>
        <w:t>Várias contratações de empresas privadas são realizadas pelo governo federal e por empresas públicas. Muitas vezes, nessas contratações, a contratada tem acesso a informações estratégicas, sendo o assunto tratado de forma sigilosa e de mercado</w:t>
      </w:r>
      <w:r w:rsidR="006C1721" w:rsidRPr="006817D4">
        <w:rPr>
          <w:sz w:val="22"/>
          <w:szCs w:val="22"/>
        </w:rPr>
        <w:t xml:space="preserve">”. </w:t>
      </w:r>
      <w:r w:rsidR="00E7270A" w:rsidRPr="006817D4">
        <w:rPr>
          <w:sz w:val="22"/>
          <w:szCs w:val="22"/>
        </w:rPr>
        <w:t xml:space="preserve">Não se poderia, com base na aventada necessidade de resguardo de sigilo, promover a contratação de empresa pública. O fato de a Cobra ser controlada pelo Banco do Brasil não </w:t>
      </w:r>
      <w:r w:rsidR="00042393" w:rsidRPr="006817D4">
        <w:rPr>
          <w:sz w:val="22"/>
          <w:szCs w:val="22"/>
        </w:rPr>
        <w:t>deveria</w:t>
      </w:r>
      <w:r w:rsidR="00E7270A" w:rsidRPr="006817D4">
        <w:rPr>
          <w:sz w:val="22"/>
          <w:szCs w:val="22"/>
        </w:rPr>
        <w:t>, portanto, ter sido considerada decisiva para a contratação em tela.</w:t>
      </w:r>
      <w:r w:rsidR="002C3609" w:rsidRPr="006817D4">
        <w:rPr>
          <w:sz w:val="22"/>
          <w:szCs w:val="22"/>
        </w:rPr>
        <w:t xml:space="preserve"> </w:t>
      </w:r>
      <w:r w:rsidR="00C44372" w:rsidRPr="006817D4">
        <w:rPr>
          <w:sz w:val="22"/>
          <w:szCs w:val="22"/>
        </w:rPr>
        <w:t>O Tribunal, então, ao acolher proposta d</w:t>
      </w:r>
      <w:r w:rsidR="00552C14" w:rsidRPr="006817D4">
        <w:rPr>
          <w:sz w:val="22"/>
          <w:szCs w:val="22"/>
        </w:rPr>
        <w:t>a</w:t>
      </w:r>
      <w:r w:rsidR="00C44372" w:rsidRPr="006817D4">
        <w:rPr>
          <w:sz w:val="22"/>
          <w:szCs w:val="22"/>
        </w:rPr>
        <w:t xml:space="preserve"> relatora decidiu: a) em face dessa e de outras graves irregularidades verificadas na celebração e execução do citado contrato, aplicar a ex-Presidente e ex-Diretores do Basa multa do art. 58 da Lei nº 8.443/1992, no valor máximo permitido (</w:t>
      </w:r>
      <w:r w:rsidR="002677CD" w:rsidRPr="006817D4">
        <w:rPr>
          <w:sz w:val="22"/>
          <w:szCs w:val="22"/>
        </w:rPr>
        <w:t xml:space="preserve">R$ 41.528,52), e a outros agentes, no valor de R$ 15.000,00; b) dar ciência ao Basa </w:t>
      </w:r>
      <w:r w:rsidR="00552C14" w:rsidRPr="006817D4">
        <w:rPr>
          <w:sz w:val="22"/>
          <w:szCs w:val="22"/>
        </w:rPr>
        <w:t xml:space="preserve">de </w:t>
      </w:r>
      <w:r w:rsidR="002677CD" w:rsidRPr="006817D4">
        <w:rPr>
          <w:sz w:val="22"/>
          <w:szCs w:val="22"/>
        </w:rPr>
        <w:t>que a contratação de forma direta por inexigibilidade “</w:t>
      </w:r>
      <w:r w:rsidR="002677CD" w:rsidRPr="006817D4">
        <w:rPr>
          <w:i/>
          <w:sz w:val="22"/>
          <w:szCs w:val="22"/>
        </w:rPr>
        <w:t>sem a presença de todos os pressupostos legais</w:t>
      </w:r>
      <w:r w:rsidR="002677CD" w:rsidRPr="006817D4">
        <w:rPr>
          <w:sz w:val="22"/>
          <w:szCs w:val="22"/>
        </w:rPr>
        <w:t>”, viola o disposto no art. 25 da Lei 8.666/1993.</w:t>
      </w:r>
      <w:r w:rsidR="00E34969" w:rsidRPr="006817D4">
        <w:rPr>
          <w:sz w:val="22"/>
          <w:szCs w:val="22"/>
        </w:rPr>
        <w:t xml:space="preserve"> </w:t>
      </w:r>
      <w:r w:rsidR="00E34969" w:rsidRPr="006817D4">
        <w:rPr>
          <w:b/>
          <w:i/>
          <w:sz w:val="22"/>
          <w:szCs w:val="22"/>
        </w:rPr>
        <w:t>Acórdão nº 3126/2012-Plenário, TC-019.534/2006-0, rel. Min. Ana Arraes, 21.11.2012.</w:t>
      </w:r>
    </w:p>
    <w:p w:rsidR="00C432EC" w:rsidRPr="006817D4" w:rsidRDefault="00C432EC" w:rsidP="00005142">
      <w:pPr>
        <w:pStyle w:val="Default"/>
        <w:jc w:val="both"/>
        <w:rPr>
          <w:sz w:val="22"/>
          <w:szCs w:val="22"/>
        </w:rPr>
      </w:pPr>
    </w:p>
    <w:p w:rsidR="0087568C" w:rsidRPr="006817D4" w:rsidRDefault="00A64067" w:rsidP="0087568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87568C" w:rsidRPr="006817D4">
        <w:rPr>
          <w:b/>
          <w:sz w:val="22"/>
          <w:szCs w:val="22"/>
        </w:rPr>
        <w:t>A contratação de serviços comuns de engenharia que possam ser objetivamente definidos em edital, aí incluídos os relativos à conservação</w:t>
      </w:r>
      <w:r w:rsidR="00634969">
        <w:rPr>
          <w:b/>
          <w:sz w:val="22"/>
          <w:szCs w:val="22"/>
        </w:rPr>
        <w:t xml:space="preserve"> de rodovia</w:t>
      </w:r>
      <w:r w:rsidR="0087568C" w:rsidRPr="006817D4">
        <w:rPr>
          <w:b/>
          <w:sz w:val="22"/>
          <w:szCs w:val="22"/>
        </w:rPr>
        <w:t xml:space="preserve">, deve se dar por meio de pregão </w:t>
      </w:r>
    </w:p>
    <w:p w:rsidR="0087568C" w:rsidRDefault="0087568C" w:rsidP="0087568C">
      <w:pPr>
        <w:pStyle w:val="Default"/>
        <w:jc w:val="both"/>
        <w:rPr>
          <w:b/>
          <w:i/>
          <w:sz w:val="22"/>
          <w:szCs w:val="22"/>
        </w:rPr>
      </w:pPr>
      <w:r w:rsidRPr="006817D4">
        <w:rPr>
          <w:sz w:val="22"/>
          <w:szCs w:val="22"/>
        </w:rPr>
        <w:t>O Departamento Nacional de Infraestrutura de Transportes – Dnit, ex-Diretor dessa entidade e duas empresas de engenharia interpuseram pedidos de reexame contra deliberação do Tribunal, proferida por meio do Acórdão 1.936/2011 - Plenário, em que se examinou auditoria em obras de manutenção de trechos rodoviários na BR-163/MT. No âmbito dessa auditoria, foram avaliados oito contratos firmados para execução de intervenções ao longo da rodovia. Esses contratos englobavam atividades típicas de conservação (mais simples) e também de restauração rodoviária (mais complexas). O Tribunal, com base nos achados de auditoria, considerou “</w:t>
      </w:r>
      <w:r w:rsidRPr="006817D4">
        <w:rPr>
          <w:i/>
          <w:sz w:val="22"/>
          <w:szCs w:val="22"/>
        </w:rPr>
        <w:t>indevida a licitação de serviços de conservação rodoviária por meio de concorrência pública e determinou ao Dnit, no item 9.8.1, que passasse a utilizar-se da modalidade pregão em certames para contratação do referido objeto</w:t>
      </w:r>
      <w:r w:rsidRPr="006817D4">
        <w:rPr>
          <w:sz w:val="22"/>
          <w:szCs w:val="22"/>
        </w:rPr>
        <w:t>”. A unidade técnica, ao posicionar-se favoravelmente à manutenção dessa determinação, ressaltou que “</w:t>
      </w:r>
      <w:r w:rsidRPr="006817D4">
        <w:rPr>
          <w:i/>
          <w:sz w:val="22"/>
          <w:szCs w:val="22"/>
        </w:rPr>
        <w:t xml:space="preserve">a jurisprudência desta Corte, </w:t>
      </w:r>
      <w:r w:rsidRPr="006817D4">
        <w:rPr>
          <w:i/>
          <w:color w:val="auto"/>
          <w:sz w:val="22"/>
          <w:szCs w:val="22"/>
        </w:rPr>
        <w:t>interpretada em consonância com o Decreto 5.450/2005, definiria como obrigatória a utilização da modalidade pregão para serviços comuns, inclusive de engenharia</w:t>
      </w:r>
      <w:r w:rsidRPr="006817D4">
        <w:rPr>
          <w:color w:val="auto"/>
          <w:sz w:val="22"/>
          <w:szCs w:val="22"/>
        </w:rPr>
        <w:t>”. E também que os serviços de conservação devem ser classificados como comuns. A relatora, contudo, ao ter em vista os objetos dos contratos examinados na auditoria, entendeu que “</w:t>
      </w:r>
      <w:r w:rsidRPr="006817D4">
        <w:rPr>
          <w:i/>
          <w:sz w:val="22"/>
          <w:szCs w:val="22"/>
        </w:rPr>
        <w:t>os serviços de manutenção rodoviária não podem, indistintamente, ser considerados comuns, ‘de prateleira’, passíveis de objetiva definição em edital</w:t>
      </w:r>
      <w:r w:rsidRPr="006817D4">
        <w:rPr>
          <w:sz w:val="22"/>
          <w:szCs w:val="22"/>
        </w:rPr>
        <w:t>”.  E mais: “</w:t>
      </w:r>
      <w:r w:rsidRPr="006817D4">
        <w:rPr>
          <w:i/>
          <w:sz w:val="22"/>
          <w:szCs w:val="22"/>
        </w:rPr>
        <w:t xml:space="preserve">O escopo das intervenções é que definirá como comuns ou específicos os serviços e, por isso, penso que </w:t>
      </w:r>
      <w:r w:rsidRPr="006817D4">
        <w:rPr>
          <w:i/>
          <w:sz w:val="22"/>
          <w:szCs w:val="22"/>
          <w:u w:val="single"/>
        </w:rPr>
        <w:t>cabe ao gestor público avaliar, em cada caso, se os serviços a serem licitados são comuns</w:t>
      </w:r>
      <w:r w:rsidRPr="006817D4">
        <w:rPr>
          <w:i/>
          <w:sz w:val="22"/>
          <w:szCs w:val="22"/>
        </w:rPr>
        <w:t xml:space="preserve"> – o que o obrigaria a utilizar a modalidade pregão – ou complexos a ponto de afastar a referida modalidade</w:t>
      </w:r>
      <w:r w:rsidRPr="006817D4">
        <w:rPr>
          <w:sz w:val="22"/>
          <w:szCs w:val="22"/>
        </w:rPr>
        <w:t>” – grifou-se.  Acrescentou que “</w:t>
      </w:r>
      <w:r w:rsidRPr="006817D4">
        <w:rPr>
          <w:i/>
          <w:sz w:val="22"/>
          <w:szCs w:val="22"/>
        </w:rPr>
        <w:t>A existência de normativos técnicos que esbocem o escopo dos serviços não é suficiente, por si só, para definir a atividade como de baixa complexidade</w:t>
      </w:r>
      <w:r w:rsidRPr="006817D4">
        <w:rPr>
          <w:sz w:val="22"/>
          <w:szCs w:val="22"/>
        </w:rPr>
        <w:t>”.  O Tribunal, então, ao acolher proposta da relatora, decidiu: a) dar provimento parcial ao recurso interposto pelo Dnit</w:t>
      </w:r>
      <w:r w:rsidR="00743059">
        <w:rPr>
          <w:sz w:val="22"/>
          <w:szCs w:val="22"/>
        </w:rPr>
        <w:t xml:space="preserve"> e</w:t>
      </w:r>
      <w:r w:rsidRPr="006817D4">
        <w:rPr>
          <w:sz w:val="22"/>
          <w:szCs w:val="22"/>
        </w:rPr>
        <w:t xml:space="preserve"> tornar insubsistente o subitem 9.8.1 do acórdão 1.936/2011-Plenário; b) dar ciência à Autarquia de que, “</w:t>
      </w:r>
      <w:r w:rsidRPr="006817D4">
        <w:rPr>
          <w:i/>
          <w:sz w:val="22"/>
          <w:szCs w:val="22"/>
        </w:rPr>
        <w:t>quando da contratação de serviços comuns, aí incluídos os relativos à conservação rodoviária que possam ser objetivamente definidos em edital, a utilização do pregão é obrigatória</w:t>
      </w:r>
      <w:r w:rsidRPr="006817D4">
        <w:rPr>
          <w:sz w:val="22"/>
          <w:szCs w:val="22"/>
        </w:rPr>
        <w:t xml:space="preserve">”. </w:t>
      </w:r>
      <w:r w:rsidRPr="006817D4">
        <w:rPr>
          <w:b/>
          <w:i/>
          <w:sz w:val="22"/>
          <w:szCs w:val="22"/>
        </w:rPr>
        <w:t>Acórdão nº 3144/2012-Plenário, TC-005.868/2009-7, rel. Min. Ana Arraes, 21.11.2012.</w:t>
      </w:r>
    </w:p>
    <w:p w:rsidR="00A64067" w:rsidRPr="0087568C" w:rsidRDefault="00A64067" w:rsidP="00005142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6817D4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6817D4" w:rsidRDefault="00C10DD5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6817D4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6817D4" w:rsidRDefault="007334B1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6817D4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6817D4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6817D4" w:rsidRDefault="00F3058F" w:rsidP="00F0055F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6817D4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42" w:rsidRDefault="004E6242" w:rsidP="008B0547">
      <w:pPr>
        <w:spacing w:after="0"/>
      </w:pPr>
      <w:r>
        <w:separator/>
      </w:r>
    </w:p>
  </w:endnote>
  <w:endnote w:type="continuationSeparator" w:id="0">
    <w:p w:rsidR="004E6242" w:rsidRDefault="004E624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C41F2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133B8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42" w:rsidRDefault="004E6242" w:rsidP="008B0547">
      <w:pPr>
        <w:spacing w:after="0"/>
      </w:pPr>
      <w:r>
        <w:separator/>
      </w:r>
    </w:p>
  </w:footnote>
  <w:footnote w:type="continuationSeparator" w:id="0">
    <w:p w:rsidR="004E6242" w:rsidRDefault="004E624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13734D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13734D" w:rsidP="00080148">
    <w:pPr>
      <w:spacing w:after="0"/>
      <w:rPr>
        <w:rFonts w:ascii="Arial" w:hAnsi="Arial" w:cs="Arial"/>
        <w:b/>
      </w:rPr>
    </w:pPr>
    <w:r w:rsidRPr="00C41F2C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D59D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F17174">
      <w:rPr>
        <w:rFonts w:ascii="Arial" w:hAnsi="Arial" w:cs="Arial"/>
        <w:noProof/>
        <w:lang w:eastAsia="pt-BR"/>
      </w:rPr>
      <w:t>3</w:t>
    </w:r>
    <w:r w:rsidR="00A93DAF">
      <w:rPr>
        <w:rFonts w:ascii="Arial" w:hAnsi="Arial" w:cs="Arial"/>
        <w:noProof/>
        <w:lang w:eastAsia="pt-BR"/>
      </w:rPr>
      <w:t>3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CEA"/>
    <w:rsid w:val="00004614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287"/>
    <w:rsid w:val="00012468"/>
    <w:rsid w:val="000132A1"/>
    <w:rsid w:val="00013851"/>
    <w:rsid w:val="00013A1F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D4C"/>
    <w:rsid w:val="00035FBF"/>
    <w:rsid w:val="000360F1"/>
    <w:rsid w:val="000371C1"/>
    <w:rsid w:val="00037DCE"/>
    <w:rsid w:val="00041450"/>
    <w:rsid w:val="00042393"/>
    <w:rsid w:val="000431BD"/>
    <w:rsid w:val="000436B0"/>
    <w:rsid w:val="000438FC"/>
    <w:rsid w:val="00044732"/>
    <w:rsid w:val="00044B21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FC7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A5F"/>
    <w:rsid w:val="00056D51"/>
    <w:rsid w:val="0006028E"/>
    <w:rsid w:val="000605A0"/>
    <w:rsid w:val="00060728"/>
    <w:rsid w:val="00060CE3"/>
    <w:rsid w:val="00061A56"/>
    <w:rsid w:val="00061C2E"/>
    <w:rsid w:val="000622E0"/>
    <w:rsid w:val="00062B46"/>
    <w:rsid w:val="00063C6E"/>
    <w:rsid w:val="000647B1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259B"/>
    <w:rsid w:val="000727DB"/>
    <w:rsid w:val="00072916"/>
    <w:rsid w:val="00072F56"/>
    <w:rsid w:val="00073231"/>
    <w:rsid w:val="00074384"/>
    <w:rsid w:val="00074AC5"/>
    <w:rsid w:val="000756E7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DFB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0E2E"/>
    <w:rsid w:val="0009133A"/>
    <w:rsid w:val="000916AF"/>
    <w:rsid w:val="000919D7"/>
    <w:rsid w:val="000923FB"/>
    <w:rsid w:val="000929ED"/>
    <w:rsid w:val="00092C2E"/>
    <w:rsid w:val="000940A9"/>
    <w:rsid w:val="00094A7D"/>
    <w:rsid w:val="00094C5B"/>
    <w:rsid w:val="00094EEC"/>
    <w:rsid w:val="00095069"/>
    <w:rsid w:val="00095D98"/>
    <w:rsid w:val="0009649A"/>
    <w:rsid w:val="0009655D"/>
    <w:rsid w:val="00096BDB"/>
    <w:rsid w:val="000971B8"/>
    <w:rsid w:val="0009748C"/>
    <w:rsid w:val="0009780B"/>
    <w:rsid w:val="00097863"/>
    <w:rsid w:val="00097ABD"/>
    <w:rsid w:val="00097BF6"/>
    <w:rsid w:val="000A0291"/>
    <w:rsid w:val="000A0EF8"/>
    <w:rsid w:val="000A152A"/>
    <w:rsid w:val="000A1EBD"/>
    <w:rsid w:val="000A246C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59E"/>
    <w:rsid w:val="000B775A"/>
    <w:rsid w:val="000C0013"/>
    <w:rsid w:val="000C02AD"/>
    <w:rsid w:val="000C049A"/>
    <w:rsid w:val="000C0AA8"/>
    <w:rsid w:val="000C1AFC"/>
    <w:rsid w:val="000C22BE"/>
    <w:rsid w:val="000C22C0"/>
    <w:rsid w:val="000C28CC"/>
    <w:rsid w:val="000C2CBC"/>
    <w:rsid w:val="000C3DAB"/>
    <w:rsid w:val="000C42A5"/>
    <w:rsid w:val="000C4611"/>
    <w:rsid w:val="000C4A10"/>
    <w:rsid w:val="000C4AC9"/>
    <w:rsid w:val="000C519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A55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5AC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47C1"/>
    <w:rsid w:val="000F48B1"/>
    <w:rsid w:val="000F495D"/>
    <w:rsid w:val="000F4B18"/>
    <w:rsid w:val="000F6986"/>
    <w:rsid w:val="000F69B8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3A3E"/>
    <w:rsid w:val="001041ED"/>
    <w:rsid w:val="00104AAD"/>
    <w:rsid w:val="00107486"/>
    <w:rsid w:val="0011038F"/>
    <w:rsid w:val="0011039E"/>
    <w:rsid w:val="001104B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E95"/>
    <w:rsid w:val="001203BE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272"/>
    <w:rsid w:val="0013734D"/>
    <w:rsid w:val="0013735A"/>
    <w:rsid w:val="001374E3"/>
    <w:rsid w:val="001378A3"/>
    <w:rsid w:val="00137B22"/>
    <w:rsid w:val="00137FE3"/>
    <w:rsid w:val="00140C58"/>
    <w:rsid w:val="00140FED"/>
    <w:rsid w:val="00141D7A"/>
    <w:rsid w:val="001420D1"/>
    <w:rsid w:val="001420FE"/>
    <w:rsid w:val="00142621"/>
    <w:rsid w:val="00142C16"/>
    <w:rsid w:val="001444A2"/>
    <w:rsid w:val="00144987"/>
    <w:rsid w:val="00146C4A"/>
    <w:rsid w:val="0015086F"/>
    <w:rsid w:val="00151660"/>
    <w:rsid w:val="00151F92"/>
    <w:rsid w:val="0015258E"/>
    <w:rsid w:val="00152ECC"/>
    <w:rsid w:val="001532E4"/>
    <w:rsid w:val="00155D65"/>
    <w:rsid w:val="0015648A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70A9D"/>
    <w:rsid w:val="00171E89"/>
    <w:rsid w:val="00173174"/>
    <w:rsid w:val="001737F7"/>
    <w:rsid w:val="001744B4"/>
    <w:rsid w:val="001744E7"/>
    <w:rsid w:val="0017459B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1339"/>
    <w:rsid w:val="00181680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CF7"/>
    <w:rsid w:val="00191FCE"/>
    <w:rsid w:val="00192052"/>
    <w:rsid w:val="00192483"/>
    <w:rsid w:val="0019284D"/>
    <w:rsid w:val="00194053"/>
    <w:rsid w:val="00194EDA"/>
    <w:rsid w:val="00195023"/>
    <w:rsid w:val="001956E2"/>
    <w:rsid w:val="00195F77"/>
    <w:rsid w:val="00196098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37E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1FE2"/>
    <w:rsid w:val="001F2B05"/>
    <w:rsid w:val="001F4DA1"/>
    <w:rsid w:val="001F553C"/>
    <w:rsid w:val="001F5E50"/>
    <w:rsid w:val="001F6448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3D3B"/>
    <w:rsid w:val="00206C2E"/>
    <w:rsid w:val="00206CDA"/>
    <w:rsid w:val="00207434"/>
    <w:rsid w:val="00207BF8"/>
    <w:rsid w:val="0021001C"/>
    <w:rsid w:val="00211194"/>
    <w:rsid w:val="0021149E"/>
    <w:rsid w:val="00211816"/>
    <w:rsid w:val="00212E42"/>
    <w:rsid w:val="002133B8"/>
    <w:rsid w:val="002139A2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3BB9"/>
    <w:rsid w:val="00224EA9"/>
    <w:rsid w:val="00224F04"/>
    <w:rsid w:val="002255BA"/>
    <w:rsid w:val="00225D42"/>
    <w:rsid w:val="00226AEF"/>
    <w:rsid w:val="00226D9D"/>
    <w:rsid w:val="00227776"/>
    <w:rsid w:val="00230096"/>
    <w:rsid w:val="002308C7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E3A"/>
    <w:rsid w:val="00236F05"/>
    <w:rsid w:val="002371E3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6897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D3A"/>
    <w:rsid w:val="00254590"/>
    <w:rsid w:val="002549FC"/>
    <w:rsid w:val="00254B75"/>
    <w:rsid w:val="002551C8"/>
    <w:rsid w:val="002556B1"/>
    <w:rsid w:val="0025663C"/>
    <w:rsid w:val="00256A50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B3"/>
    <w:rsid w:val="0026589B"/>
    <w:rsid w:val="002663B7"/>
    <w:rsid w:val="002666C5"/>
    <w:rsid w:val="00266B83"/>
    <w:rsid w:val="00266C8A"/>
    <w:rsid w:val="002677CD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B8D"/>
    <w:rsid w:val="00273E72"/>
    <w:rsid w:val="00274068"/>
    <w:rsid w:val="0027498E"/>
    <w:rsid w:val="00274EFE"/>
    <w:rsid w:val="0027686D"/>
    <w:rsid w:val="00276B43"/>
    <w:rsid w:val="00276DC0"/>
    <w:rsid w:val="00277A63"/>
    <w:rsid w:val="00277BC9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DD1"/>
    <w:rsid w:val="00283F64"/>
    <w:rsid w:val="00284442"/>
    <w:rsid w:val="00284CE8"/>
    <w:rsid w:val="00285F7B"/>
    <w:rsid w:val="002864FC"/>
    <w:rsid w:val="00287326"/>
    <w:rsid w:val="00287723"/>
    <w:rsid w:val="002878FB"/>
    <w:rsid w:val="0029043B"/>
    <w:rsid w:val="00290658"/>
    <w:rsid w:val="00290A06"/>
    <w:rsid w:val="00290CF7"/>
    <w:rsid w:val="00291703"/>
    <w:rsid w:val="00291766"/>
    <w:rsid w:val="00291B06"/>
    <w:rsid w:val="002920C1"/>
    <w:rsid w:val="0029211E"/>
    <w:rsid w:val="00293198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190F"/>
    <w:rsid w:val="002A1B25"/>
    <w:rsid w:val="002A2129"/>
    <w:rsid w:val="002A2FA2"/>
    <w:rsid w:val="002A3215"/>
    <w:rsid w:val="002A33F4"/>
    <w:rsid w:val="002A3796"/>
    <w:rsid w:val="002A3B3F"/>
    <w:rsid w:val="002A4F74"/>
    <w:rsid w:val="002A5A02"/>
    <w:rsid w:val="002A5F01"/>
    <w:rsid w:val="002A5FBE"/>
    <w:rsid w:val="002A6CE6"/>
    <w:rsid w:val="002A7DBA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252"/>
    <w:rsid w:val="002C15D5"/>
    <w:rsid w:val="002C171E"/>
    <w:rsid w:val="002C208E"/>
    <w:rsid w:val="002C2F67"/>
    <w:rsid w:val="002C3609"/>
    <w:rsid w:val="002C3A60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6D"/>
    <w:rsid w:val="002D3D5A"/>
    <w:rsid w:val="002D3E5B"/>
    <w:rsid w:val="002D47FE"/>
    <w:rsid w:val="002D532D"/>
    <w:rsid w:val="002D5D7D"/>
    <w:rsid w:val="002D6582"/>
    <w:rsid w:val="002D65E2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E70"/>
    <w:rsid w:val="002F2645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61E0"/>
    <w:rsid w:val="003170A7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4500"/>
    <w:rsid w:val="00335707"/>
    <w:rsid w:val="0033634D"/>
    <w:rsid w:val="00337743"/>
    <w:rsid w:val="00337E16"/>
    <w:rsid w:val="00340E66"/>
    <w:rsid w:val="00340F10"/>
    <w:rsid w:val="00341C89"/>
    <w:rsid w:val="00341D56"/>
    <w:rsid w:val="00342A44"/>
    <w:rsid w:val="003436D7"/>
    <w:rsid w:val="00343FC9"/>
    <w:rsid w:val="003444E5"/>
    <w:rsid w:val="00344520"/>
    <w:rsid w:val="0034481B"/>
    <w:rsid w:val="0034486B"/>
    <w:rsid w:val="003448C6"/>
    <w:rsid w:val="003449A9"/>
    <w:rsid w:val="00344D92"/>
    <w:rsid w:val="003455A2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BE7"/>
    <w:rsid w:val="00350CDA"/>
    <w:rsid w:val="00350E87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6DA"/>
    <w:rsid w:val="00357CBE"/>
    <w:rsid w:val="00357D66"/>
    <w:rsid w:val="003609A7"/>
    <w:rsid w:val="00360C13"/>
    <w:rsid w:val="00361487"/>
    <w:rsid w:val="00361661"/>
    <w:rsid w:val="00362905"/>
    <w:rsid w:val="00363230"/>
    <w:rsid w:val="00364D53"/>
    <w:rsid w:val="003654A7"/>
    <w:rsid w:val="0036610E"/>
    <w:rsid w:val="00366735"/>
    <w:rsid w:val="0036675B"/>
    <w:rsid w:val="0036772F"/>
    <w:rsid w:val="00370BC7"/>
    <w:rsid w:val="003717C6"/>
    <w:rsid w:val="003719DE"/>
    <w:rsid w:val="00371A33"/>
    <w:rsid w:val="00372E83"/>
    <w:rsid w:val="00373860"/>
    <w:rsid w:val="00374226"/>
    <w:rsid w:val="00374B8C"/>
    <w:rsid w:val="00375080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865"/>
    <w:rsid w:val="00393C76"/>
    <w:rsid w:val="00393FCC"/>
    <w:rsid w:val="003943E5"/>
    <w:rsid w:val="00394793"/>
    <w:rsid w:val="003947BD"/>
    <w:rsid w:val="00394BEA"/>
    <w:rsid w:val="00394D47"/>
    <w:rsid w:val="00395950"/>
    <w:rsid w:val="00397D8E"/>
    <w:rsid w:val="003A105C"/>
    <w:rsid w:val="003A2222"/>
    <w:rsid w:val="003A2AE0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F8A"/>
    <w:rsid w:val="003B551C"/>
    <w:rsid w:val="003B56D7"/>
    <w:rsid w:val="003B5882"/>
    <w:rsid w:val="003B6508"/>
    <w:rsid w:val="003B79D6"/>
    <w:rsid w:val="003B7CC1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EF"/>
    <w:rsid w:val="004141A8"/>
    <w:rsid w:val="00414E59"/>
    <w:rsid w:val="00415F59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4FF"/>
    <w:rsid w:val="004217F1"/>
    <w:rsid w:val="00421E70"/>
    <w:rsid w:val="00422BF5"/>
    <w:rsid w:val="0042327F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515"/>
    <w:rsid w:val="00450AD8"/>
    <w:rsid w:val="00450F0D"/>
    <w:rsid w:val="00451450"/>
    <w:rsid w:val="00451471"/>
    <w:rsid w:val="0045211C"/>
    <w:rsid w:val="00452756"/>
    <w:rsid w:val="00452C60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F93"/>
    <w:rsid w:val="00460326"/>
    <w:rsid w:val="00460682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4CF4"/>
    <w:rsid w:val="00465562"/>
    <w:rsid w:val="004666C7"/>
    <w:rsid w:val="00466E73"/>
    <w:rsid w:val="0046706B"/>
    <w:rsid w:val="00467815"/>
    <w:rsid w:val="00467D9B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716"/>
    <w:rsid w:val="00477DE9"/>
    <w:rsid w:val="00480439"/>
    <w:rsid w:val="0048086E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60D"/>
    <w:rsid w:val="00495DB3"/>
    <w:rsid w:val="00495F43"/>
    <w:rsid w:val="00497F5E"/>
    <w:rsid w:val="004A00B0"/>
    <w:rsid w:val="004A171B"/>
    <w:rsid w:val="004A207E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109F"/>
    <w:rsid w:val="004C14B1"/>
    <w:rsid w:val="004C289A"/>
    <w:rsid w:val="004C2ADF"/>
    <w:rsid w:val="004C3427"/>
    <w:rsid w:val="004C4A77"/>
    <w:rsid w:val="004C61A3"/>
    <w:rsid w:val="004C6E03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599"/>
    <w:rsid w:val="004E586B"/>
    <w:rsid w:val="004E5CB8"/>
    <w:rsid w:val="004E6242"/>
    <w:rsid w:val="004E65EB"/>
    <w:rsid w:val="004E7114"/>
    <w:rsid w:val="004E7328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2AA"/>
    <w:rsid w:val="005012CF"/>
    <w:rsid w:val="005013A1"/>
    <w:rsid w:val="00501E11"/>
    <w:rsid w:val="00502352"/>
    <w:rsid w:val="0050249F"/>
    <w:rsid w:val="0050278D"/>
    <w:rsid w:val="00502C10"/>
    <w:rsid w:val="00503326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31E8"/>
    <w:rsid w:val="0053337C"/>
    <w:rsid w:val="005340EA"/>
    <w:rsid w:val="00534664"/>
    <w:rsid w:val="00534787"/>
    <w:rsid w:val="00534A44"/>
    <w:rsid w:val="00535F4E"/>
    <w:rsid w:val="00536332"/>
    <w:rsid w:val="0053655B"/>
    <w:rsid w:val="00536601"/>
    <w:rsid w:val="00536BE9"/>
    <w:rsid w:val="005373DF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07A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C14"/>
    <w:rsid w:val="00553290"/>
    <w:rsid w:val="00553C45"/>
    <w:rsid w:val="005544FA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3ADD"/>
    <w:rsid w:val="00573D3B"/>
    <w:rsid w:val="00573EE2"/>
    <w:rsid w:val="00573F6A"/>
    <w:rsid w:val="0057432C"/>
    <w:rsid w:val="00574676"/>
    <w:rsid w:val="00575314"/>
    <w:rsid w:val="00575CC3"/>
    <w:rsid w:val="00575D10"/>
    <w:rsid w:val="00576018"/>
    <w:rsid w:val="00576D6B"/>
    <w:rsid w:val="00577AAE"/>
    <w:rsid w:val="005800F7"/>
    <w:rsid w:val="005808CA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41D"/>
    <w:rsid w:val="00592491"/>
    <w:rsid w:val="0059346F"/>
    <w:rsid w:val="00593875"/>
    <w:rsid w:val="00593E2F"/>
    <w:rsid w:val="005943C5"/>
    <w:rsid w:val="00594A7B"/>
    <w:rsid w:val="005952ED"/>
    <w:rsid w:val="005963CE"/>
    <w:rsid w:val="00596C07"/>
    <w:rsid w:val="005976DB"/>
    <w:rsid w:val="00597AA7"/>
    <w:rsid w:val="00597CA1"/>
    <w:rsid w:val="005A115D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A4B"/>
    <w:rsid w:val="005B2194"/>
    <w:rsid w:val="005B2BC3"/>
    <w:rsid w:val="005B4350"/>
    <w:rsid w:val="005B4621"/>
    <w:rsid w:val="005B4812"/>
    <w:rsid w:val="005B4CFA"/>
    <w:rsid w:val="005B4DEF"/>
    <w:rsid w:val="005B5458"/>
    <w:rsid w:val="005B574D"/>
    <w:rsid w:val="005B5B3D"/>
    <w:rsid w:val="005B5CEE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2A9"/>
    <w:rsid w:val="005E6566"/>
    <w:rsid w:val="005E72FB"/>
    <w:rsid w:val="005E7FC5"/>
    <w:rsid w:val="005F01CE"/>
    <w:rsid w:val="005F029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76C"/>
    <w:rsid w:val="005F6AED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D48"/>
    <w:rsid w:val="00610039"/>
    <w:rsid w:val="006103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490"/>
    <w:rsid w:val="00614786"/>
    <w:rsid w:val="00614EDE"/>
    <w:rsid w:val="00615808"/>
    <w:rsid w:val="00615E47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7E8"/>
    <w:rsid w:val="00634969"/>
    <w:rsid w:val="00634F76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4F2"/>
    <w:rsid w:val="00656D2E"/>
    <w:rsid w:val="0065716D"/>
    <w:rsid w:val="00660163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AB8"/>
    <w:rsid w:val="0066571F"/>
    <w:rsid w:val="00666285"/>
    <w:rsid w:val="00666443"/>
    <w:rsid w:val="00666D34"/>
    <w:rsid w:val="0066731A"/>
    <w:rsid w:val="00667E3E"/>
    <w:rsid w:val="00670BE7"/>
    <w:rsid w:val="00670FEA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76E6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80B"/>
    <w:rsid w:val="00690CBB"/>
    <w:rsid w:val="00691611"/>
    <w:rsid w:val="00691895"/>
    <w:rsid w:val="00691932"/>
    <w:rsid w:val="006919FB"/>
    <w:rsid w:val="0069213E"/>
    <w:rsid w:val="0069246E"/>
    <w:rsid w:val="00692D30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30E6"/>
    <w:rsid w:val="006A3D41"/>
    <w:rsid w:val="006A5833"/>
    <w:rsid w:val="006A72F8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5474"/>
    <w:rsid w:val="006B62A0"/>
    <w:rsid w:val="006B650F"/>
    <w:rsid w:val="006C0449"/>
    <w:rsid w:val="006C0D0F"/>
    <w:rsid w:val="006C0E39"/>
    <w:rsid w:val="006C1394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DE0"/>
    <w:rsid w:val="006D024B"/>
    <w:rsid w:val="006D0FAB"/>
    <w:rsid w:val="006D1314"/>
    <w:rsid w:val="006D15EE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E18"/>
    <w:rsid w:val="006E010C"/>
    <w:rsid w:val="006E0A87"/>
    <w:rsid w:val="006E0A93"/>
    <w:rsid w:val="006E1B15"/>
    <w:rsid w:val="006E4064"/>
    <w:rsid w:val="006E58EA"/>
    <w:rsid w:val="006E5BF8"/>
    <w:rsid w:val="006E643B"/>
    <w:rsid w:val="006E6B01"/>
    <w:rsid w:val="006E6B82"/>
    <w:rsid w:val="006E6D16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BB8"/>
    <w:rsid w:val="007035D0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7A"/>
    <w:rsid w:val="00707244"/>
    <w:rsid w:val="00711427"/>
    <w:rsid w:val="007114BF"/>
    <w:rsid w:val="00711CBA"/>
    <w:rsid w:val="00712B2B"/>
    <w:rsid w:val="00712CCC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E12"/>
    <w:rsid w:val="007224C2"/>
    <w:rsid w:val="00722C19"/>
    <w:rsid w:val="00722DD1"/>
    <w:rsid w:val="00723840"/>
    <w:rsid w:val="00726000"/>
    <w:rsid w:val="0072603B"/>
    <w:rsid w:val="00726756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EDD"/>
    <w:rsid w:val="007328A5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580D"/>
    <w:rsid w:val="00755956"/>
    <w:rsid w:val="00756142"/>
    <w:rsid w:val="007561B4"/>
    <w:rsid w:val="007562B3"/>
    <w:rsid w:val="00756AA0"/>
    <w:rsid w:val="0075785E"/>
    <w:rsid w:val="00757CE6"/>
    <w:rsid w:val="007607F3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13D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BB8"/>
    <w:rsid w:val="00772FA8"/>
    <w:rsid w:val="00773149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BBC"/>
    <w:rsid w:val="00790BE6"/>
    <w:rsid w:val="00791B62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FA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5AC"/>
    <w:rsid w:val="007B07A6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24B9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8CF"/>
    <w:rsid w:val="007D4A4A"/>
    <w:rsid w:val="007D4C4B"/>
    <w:rsid w:val="007D560E"/>
    <w:rsid w:val="007D5F85"/>
    <w:rsid w:val="007E018B"/>
    <w:rsid w:val="007E0637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5E0"/>
    <w:rsid w:val="007E5C50"/>
    <w:rsid w:val="007E5DED"/>
    <w:rsid w:val="007E6017"/>
    <w:rsid w:val="007E7C33"/>
    <w:rsid w:val="007F00D0"/>
    <w:rsid w:val="007F0546"/>
    <w:rsid w:val="007F0754"/>
    <w:rsid w:val="007F1DEB"/>
    <w:rsid w:val="007F22A5"/>
    <w:rsid w:val="007F2A0B"/>
    <w:rsid w:val="007F2DC4"/>
    <w:rsid w:val="007F2E4B"/>
    <w:rsid w:val="007F367E"/>
    <w:rsid w:val="007F413A"/>
    <w:rsid w:val="007F421D"/>
    <w:rsid w:val="007F5240"/>
    <w:rsid w:val="007F532E"/>
    <w:rsid w:val="007F5688"/>
    <w:rsid w:val="007F588F"/>
    <w:rsid w:val="007F5E63"/>
    <w:rsid w:val="007F617F"/>
    <w:rsid w:val="007F66A5"/>
    <w:rsid w:val="0080038A"/>
    <w:rsid w:val="0080065F"/>
    <w:rsid w:val="008006D9"/>
    <w:rsid w:val="00800BDB"/>
    <w:rsid w:val="008011F2"/>
    <w:rsid w:val="00801588"/>
    <w:rsid w:val="00802807"/>
    <w:rsid w:val="00802CC5"/>
    <w:rsid w:val="00802DA0"/>
    <w:rsid w:val="00803139"/>
    <w:rsid w:val="008043A4"/>
    <w:rsid w:val="00804983"/>
    <w:rsid w:val="008051DE"/>
    <w:rsid w:val="00805594"/>
    <w:rsid w:val="00805659"/>
    <w:rsid w:val="0080593E"/>
    <w:rsid w:val="008069B2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17E1"/>
    <w:rsid w:val="0084289D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5D8B"/>
    <w:rsid w:val="00866084"/>
    <w:rsid w:val="00866992"/>
    <w:rsid w:val="00866CA9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F26"/>
    <w:rsid w:val="008771B6"/>
    <w:rsid w:val="00877865"/>
    <w:rsid w:val="00877FDD"/>
    <w:rsid w:val="00880815"/>
    <w:rsid w:val="00880FED"/>
    <w:rsid w:val="00881415"/>
    <w:rsid w:val="0088186D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4E8"/>
    <w:rsid w:val="008961D5"/>
    <w:rsid w:val="008965FF"/>
    <w:rsid w:val="00896755"/>
    <w:rsid w:val="00896F38"/>
    <w:rsid w:val="00897C8B"/>
    <w:rsid w:val="008A019D"/>
    <w:rsid w:val="008A086B"/>
    <w:rsid w:val="008A0F0E"/>
    <w:rsid w:val="008A1565"/>
    <w:rsid w:val="008A2417"/>
    <w:rsid w:val="008A3976"/>
    <w:rsid w:val="008A4D6C"/>
    <w:rsid w:val="008A5034"/>
    <w:rsid w:val="008A5D49"/>
    <w:rsid w:val="008A5D4A"/>
    <w:rsid w:val="008A63CF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B55"/>
    <w:rsid w:val="008C12EF"/>
    <w:rsid w:val="008C15C2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9E8"/>
    <w:rsid w:val="008D0E23"/>
    <w:rsid w:val="008D2382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EC5"/>
    <w:rsid w:val="00910A48"/>
    <w:rsid w:val="00910C0D"/>
    <w:rsid w:val="0091159F"/>
    <w:rsid w:val="00912C43"/>
    <w:rsid w:val="0091308F"/>
    <w:rsid w:val="00913417"/>
    <w:rsid w:val="00913517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EF2"/>
    <w:rsid w:val="00925F3C"/>
    <w:rsid w:val="00926204"/>
    <w:rsid w:val="009265A0"/>
    <w:rsid w:val="00926984"/>
    <w:rsid w:val="009269E3"/>
    <w:rsid w:val="00932208"/>
    <w:rsid w:val="00932814"/>
    <w:rsid w:val="009332F5"/>
    <w:rsid w:val="009339EB"/>
    <w:rsid w:val="00933A1D"/>
    <w:rsid w:val="00934BAF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2022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AEE"/>
    <w:rsid w:val="00950775"/>
    <w:rsid w:val="009509C0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42CA"/>
    <w:rsid w:val="00964559"/>
    <w:rsid w:val="00964BE5"/>
    <w:rsid w:val="00964F2B"/>
    <w:rsid w:val="009652B6"/>
    <w:rsid w:val="0096655D"/>
    <w:rsid w:val="009671A7"/>
    <w:rsid w:val="009675D1"/>
    <w:rsid w:val="009705AB"/>
    <w:rsid w:val="009707B6"/>
    <w:rsid w:val="00970E8A"/>
    <w:rsid w:val="00971139"/>
    <w:rsid w:val="009712B4"/>
    <w:rsid w:val="00971F5D"/>
    <w:rsid w:val="00972B10"/>
    <w:rsid w:val="00973B6E"/>
    <w:rsid w:val="00973F4A"/>
    <w:rsid w:val="0097401F"/>
    <w:rsid w:val="0097465C"/>
    <w:rsid w:val="00974DB6"/>
    <w:rsid w:val="00974E53"/>
    <w:rsid w:val="00975E28"/>
    <w:rsid w:val="00976F32"/>
    <w:rsid w:val="00980C3D"/>
    <w:rsid w:val="00981234"/>
    <w:rsid w:val="00981FA0"/>
    <w:rsid w:val="00982496"/>
    <w:rsid w:val="0098263A"/>
    <w:rsid w:val="00983541"/>
    <w:rsid w:val="00984366"/>
    <w:rsid w:val="00984666"/>
    <w:rsid w:val="009848A7"/>
    <w:rsid w:val="00984E80"/>
    <w:rsid w:val="0098634E"/>
    <w:rsid w:val="00986579"/>
    <w:rsid w:val="0098690F"/>
    <w:rsid w:val="0098701B"/>
    <w:rsid w:val="009870A0"/>
    <w:rsid w:val="00987935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151"/>
    <w:rsid w:val="00995DF2"/>
    <w:rsid w:val="00997905"/>
    <w:rsid w:val="00997B80"/>
    <w:rsid w:val="00997C8A"/>
    <w:rsid w:val="009A019F"/>
    <w:rsid w:val="009A0493"/>
    <w:rsid w:val="009A0547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B99"/>
    <w:rsid w:val="009D1DD8"/>
    <w:rsid w:val="009D2884"/>
    <w:rsid w:val="009D2A4F"/>
    <w:rsid w:val="009D3407"/>
    <w:rsid w:val="009D3B41"/>
    <w:rsid w:val="009D45C8"/>
    <w:rsid w:val="009D4D44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F015D"/>
    <w:rsid w:val="009F01DB"/>
    <w:rsid w:val="009F1041"/>
    <w:rsid w:val="009F202B"/>
    <w:rsid w:val="009F20C6"/>
    <w:rsid w:val="009F37BF"/>
    <w:rsid w:val="009F4326"/>
    <w:rsid w:val="009F4D5E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5901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FF0"/>
    <w:rsid w:val="00A300CB"/>
    <w:rsid w:val="00A30683"/>
    <w:rsid w:val="00A3115F"/>
    <w:rsid w:val="00A3194F"/>
    <w:rsid w:val="00A31BFC"/>
    <w:rsid w:val="00A32209"/>
    <w:rsid w:val="00A32BA0"/>
    <w:rsid w:val="00A32D77"/>
    <w:rsid w:val="00A32DFD"/>
    <w:rsid w:val="00A32F2C"/>
    <w:rsid w:val="00A33030"/>
    <w:rsid w:val="00A3314D"/>
    <w:rsid w:val="00A34307"/>
    <w:rsid w:val="00A35A7A"/>
    <w:rsid w:val="00A36427"/>
    <w:rsid w:val="00A378A2"/>
    <w:rsid w:val="00A37CAC"/>
    <w:rsid w:val="00A4070F"/>
    <w:rsid w:val="00A4076B"/>
    <w:rsid w:val="00A407B6"/>
    <w:rsid w:val="00A40CDE"/>
    <w:rsid w:val="00A41298"/>
    <w:rsid w:val="00A417D4"/>
    <w:rsid w:val="00A418FF"/>
    <w:rsid w:val="00A41D00"/>
    <w:rsid w:val="00A422EE"/>
    <w:rsid w:val="00A43D01"/>
    <w:rsid w:val="00A43FBD"/>
    <w:rsid w:val="00A43FD4"/>
    <w:rsid w:val="00A44703"/>
    <w:rsid w:val="00A4568D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728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377A"/>
    <w:rsid w:val="00A740EA"/>
    <w:rsid w:val="00A74597"/>
    <w:rsid w:val="00A74A7D"/>
    <w:rsid w:val="00A756FE"/>
    <w:rsid w:val="00A759BE"/>
    <w:rsid w:val="00A75C52"/>
    <w:rsid w:val="00A764E0"/>
    <w:rsid w:val="00A767B2"/>
    <w:rsid w:val="00A7717C"/>
    <w:rsid w:val="00A77CCE"/>
    <w:rsid w:val="00A80549"/>
    <w:rsid w:val="00A80B0C"/>
    <w:rsid w:val="00A81367"/>
    <w:rsid w:val="00A819D7"/>
    <w:rsid w:val="00A81B11"/>
    <w:rsid w:val="00A82229"/>
    <w:rsid w:val="00A8244E"/>
    <w:rsid w:val="00A827FC"/>
    <w:rsid w:val="00A82B9E"/>
    <w:rsid w:val="00A82D16"/>
    <w:rsid w:val="00A82F78"/>
    <w:rsid w:val="00A831CF"/>
    <w:rsid w:val="00A831FB"/>
    <w:rsid w:val="00A83BC5"/>
    <w:rsid w:val="00A84186"/>
    <w:rsid w:val="00A846F1"/>
    <w:rsid w:val="00A857B4"/>
    <w:rsid w:val="00A85B14"/>
    <w:rsid w:val="00A85B90"/>
    <w:rsid w:val="00A8674E"/>
    <w:rsid w:val="00A875C0"/>
    <w:rsid w:val="00A87C15"/>
    <w:rsid w:val="00A90925"/>
    <w:rsid w:val="00A925D7"/>
    <w:rsid w:val="00A92706"/>
    <w:rsid w:val="00A92939"/>
    <w:rsid w:val="00A92CF1"/>
    <w:rsid w:val="00A93190"/>
    <w:rsid w:val="00A93DAF"/>
    <w:rsid w:val="00A93E6F"/>
    <w:rsid w:val="00A9439C"/>
    <w:rsid w:val="00A943F8"/>
    <w:rsid w:val="00A96195"/>
    <w:rsid w:val="00A962D6"/>
    <w:rsid w:val="00A9668E"/>
    <w:rsid w:val="00A9704A"/>
    <w:rsid w:val="00A97395"/>
    <w:rsid w:val="00A9741A"/>
    <w:rsid w:val="00A97AD0"/>
    <w:rsid w:val="00AA0776"/>
    <w:rsid w:val="00AA0874"/>
    <w:rsid w:val="00AA0C5B"/>
    <w:rsid w:val="00AA0CE7"/>
    <w:rsid w:val="00AA1110"/>
    <w:rsid w:val="00AA1377"/>
    <w:rsid w:val="00AA1D1B"/>
    <w:rsid w:val="00AA2167"/>
    <w:rsid w:val="00AA2755"/>
    <w:rsid w:val="00AA34B8"/>
    <w:rsid w:val="00AA421C"/>
    <w:rsid w:val="00AA4590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920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301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474"/>
    <w:rsid w:val="00AF15A7"/>
    <w:rsid w:val="00AF1A40"/>
    <w:rsid w:val="00AF1D86"/>
    <w:rsid w:val="00AF1FDF"/>
    <w:rsid w:val="00AF20FB"/>
    <w:rsid w:val="00AF37F7"/>
    <w:rsid w:val="00AF3A05"/>
    <w:rsid w:val="00AF44C8"/>
    <w:rsid w:val="00AF4BF4"/>
    <w:rsid w:val="00AF4BF9"/>
    <w:rsid w:val="00AF551F"/>
    <w:rsid w:val="00AF5706"/>
    <w:rsid w:val="00AF6EEF"/>
    <w:rsid w:val="00AF7A86"/>
    <w:rsid w:val="00B0025D"/>
    <w:rsid w:val="00B006D8"/>
    <w:rsid w:val="00B02174"/>
    <w:rsid w:val="00B02238"/>
    <w:rsid w:val="00B02892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41F"/>
    <w:rsid w:val="00B10AD8"/>
    <w:rsid w:val="00B1231B"/>
    <w:rsid w:val="00B12904"/>
    <w:rsid w:val="00B12B44"/>
    <w:rsid w:val="00B12B95"/>
    <w:rsid w:val="00B1394E"/>
    <w:rsid w:val="00B13DA6"/>
    <w:rsid w:val="00B149B2"/>
    <w:rsid w:val="00B14F7F"/>
    <w:rsid w:val="00B154B5"/>
    <w:rsid w:val="00B1664E"/>
    <w:rsid w:val="00B17074"/>
    <w:rsid w:val="00B17303"/>
    <w:rsid w:val="00B1744E"/>
    <w:rsid w:val="00B17CA4"/>
    <w:rsid w:val="00B17FBB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88A"/>
    <w:rsid w:val="00B23FFE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E29"/>
    <w:rsid w:val="00B30F71"/>
    <w:rsid w:val="00B3172B"/>
    <w:rsid w:val="00B3194F"/>
    <w:rsid w:val="00B31C49"/>
    <w:rsid w:val="00B31DDF"/>
    <w:rsid w:val="00B32EB9"/>
    <w:rsid w:val="00B3312D"/>
    <w:rsid w:val="00B33B47"/>
    <w:rsid w:val="00B33D16"/>
    <w:rsid w:val="00B33F57"/>
    <w:rsid w:val="00B33FC2"/>
    <w:rsid w:val="00B3423E"/>
    <w:rsid w:val="00B347F1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37B1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47E9C"/>
    <w:rsid w:val="00B50446"/>
    <w:rsid w:val="00B506FA"/>
    <w:rsid w:val="00B50A6E"/>
    <w:rsid w:val="00B512D2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C3E"/>
    <w:rsid w:val="00B610BA"/>
    <w:rsid w:val="00B615CB"/>
    <w:rsid w:val="00B616D8"/>
    <w:rsid w:val="00B61E41"/>
    <w:rsid w:val="00B62AE0"/>
    <w:rsid w:val="00B63964"/>
    <w:rsid w:val="00B63E30"/>
    <w:rsid w:val="00B645FA"/>
    <w:rsid w:val="00B64775"/>
    <w:rsid w:val="00B64F04"/>
    <w:rsid w:val="00B657AB"/>
    <w:rsid w:val="00B65AF9"/>
    <w:rsid w:val="00B65FF0"/>
    <w:rsid w:val="00B663CD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2BC7"/>
    <w:rsid w:val="00B9307F"/>
    <w:rsid w:val="00B9389E"/>
    <w:rsid w:val="00B946A8"/>
    <w:rsid w:val="00B94EB5"/>
    <w:rsid w:val="00B95110"/>
    <w:rsid w:val="00B95DDF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5B6"/>
    <w:rsid w:val="00BB37AF"/>
    <w:rsid w:val="00BB4011"/>
    <w:rsid w:val="00BB4769"/>
    <w:rsid w:val="00BB49D4"/>
    <w:rsid w:val="00BB4C08"/>
    <w:rsid w:val="00BB4FDA"/>
    <w:rsid w:val="00BB61BE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414"/>
    <w:rsid w:val="00BC322A"/>
    <w:rsid w:val="00BC45D9"/>
    <w:rsid w:val="00BC4A4E"/>
    <w:rsid w:val="00BC5092"/>
    <w:rsid w:val="00BC526B"/>
    <w:rsid w:val="00BC5737"/>
    <w:rsid w:val="00BC5EB0"/>
    <w:rsid w:val="00BC6274"/>
    <w:rsid w:val="00BC64D9"/>
    <w:rsid w:val="00BC65A7"/>
    <w:rsid w:val="00BC6D81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090"/>
    <w:rsid w:val="00BE749B"/>
    <w:rsid w:val="00BE7D8D"/>
    <w:rsid w:val="00BF10E8"/>
    <w:rsid w:val="00BF1376"/>
    <w:rsid w:val="00BF2033"/>
    <w:rsid w:val="00BF2C93"/>
    <w:rsid w:val="00BF3158"/>
    <w:rsid w:val="00BF3169"/>
    <w:rsid w:val="00BF34E0"/>
    <w:rsid w:val="00BF3911"/>
    <w:rsid w:val="00BF3BD1"/>
    <w:rsid w:val="00BF51B7"/>
    <w:rsid w:val="00BF5491"/>
    <w:rsid w:val="00BF56BE"/>
    <w:rsid w:val="00BF6676"/>
    <w:rsid w:val="00BF6B8D"/>
    <w:rsid w:val="00BF7BD9"/>
    <w:rsid w:val="00C004DD"/>
    <w:rsid w:val="00C00953"/>
    <w:rsid w:val="00C00C95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2B9"/>
    <w:rsid w:val="00C06374"/>
    <w:rsid w:val="00C064FE"/>
    <w:rsid w:val="00C066AB"/>
    <w:rsid w:val="00C06EA1"/>
    <w:rsid w:val="00C071E1"/>
    <w:rsid w:val="00C07B5B"/>
    <w:rsid w:val="00C10C0B"/>
    <w:rsid w:val="00C10DD5"/>
    <w:rsid w:val="00C10F51"/>
    <w:rsid w:val="00C1122F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0E7"/>
    <w:rsid w:val="00C24162"/>
    <w:rsid w:val="00C24E5C"/>
    <w:rsid w:val="00C24E78"/>
    <w:rsid w:val="00C2509D"/>
    <w:rsid w:val="00C2514A"/>
    <w:rsid w:val="00C25769"/>
    <w:rsid w:val="00C25854"/>
    <w:rsid w:val="00C25AD4"/>
    <w:rsid w:val="00C25DA4"/>
    <w:rsid w:val="00C26C06"/>
    <w:rsid w:val="00C2796E"/>
    <w:rsid w:val="00C27A2E"/>
    <w:rsid w:val="00C302BD"/>
    <w:rsid w:val="00C32176"/>
    <w:rsid w:val="00C32A1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1F2C"/>
    <w:rsid w:val="00C430EE"/>
    <w:rsid w:val="00C432EC"/>
    <w:rsid w:val="00C43801"/>
    <w:rsid w:val="00C44372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C7D"/>
    <w:rsid w:val="00C50FF9"/>
    <w:rsid w:val="00C511CC"/>
    <w:rsid w:val="00C520A5"/>
    <w:rsid w:val="00C52889"/>
    <w:rsid w:val="00C528D2"/>
    <w:rsid w:val="00C52D5A"/>
    <w:rsid w:val="00C52E8B"/>
    <w:rsid w:val="00C53DE5"/>
    <w:rsid w:val="00C54518"/>
    <w:rsid w:val="00C54B14"/>
    <w:rsid w:val="00C55455"/>
    <w:rsid w:val="00C56C58"/>
    <w:rsid w:val="00C56CCC"/>
    <w:rsid w:val="00C57B3F"/>
    <w:rsid w:val="00C60320"/>
    <w:rsid w:val="00C60A94"/>
    <w:rsid w:val="00C60ED3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5E5"/>
    <w:rsid w:val="00C80D90"/>
    <w:rsid w:val="00C81245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132"/>
    <w:rsid w:val="00C934E0"/>
    <w:rsid w:val="00C94A2F"/>
    <w:rsid w:val="00C94BDC"/>
    <w:rsid w:val="00C9557C"/>
    <w:rsid w:val="00C961CA"/>
    <w:rsid w:val="00C96242"/>
    <w:rsid w:val="00C96454"/>
    <w:rsid w:val="00C96747"/>
    <w:rsid w:val="00C97075"/>
    <w:rsid w:val="00C97276"/>
    <w:rsid w:val="00CA08DA"/>
    <w:rsid w:val="00CA0CE8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483"/>
    <w:rsid w:val="00CA7FB2"/>
    <w:rsid w:val="00CB036A"/>
    <w:rsid w:val="00CB072B"/>
    <w:rsid w:val="00CB0D34"/>
    <w:rsid w:val="00CB10CB"/>
    <w:rsid w:val="00CB1678"/>
    <w:rsid w:val="00CB1C4E"/>
    <w:rsid w:val="00CB1C53"/>
    <w:rsid w:val="00CB1FD2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27E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4C"/>
    <w:rsid w:val="00CD7A68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09E"/>
    <w:rsid w:val="00CF19C6"/>
    <w:rsid w:val="00CF230D"/>
    <w:rsid w:val="00CF2A98"/>
    <w:rsid w:val="00CF43C6"/>
    <w:rsid w:val="00CF454F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4613"/>
    <w:rsid w:val="00D04AF3"/>
    <w:rsid w:val="00D04C4B"/>
    <w:rsid w:val="00D04CB3"/>
    <w:rsid w:val="00D04D9F"/>
    <w:rsid w:val="00D05C77"/>
    <w:rsid w:val="00D06D80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0D1D"/>
    <w:rsid w:val="00D2153B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287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3A0"/>
    <w:rsid w:val="00D46787"/>
    <w:rsid w:val="00D4691A"/>
    <w:rsid w:val="00D46C4C"/>
    <w:rsid w:val="00D47D2E"/>
    <w:rsid w:val="00D50F43"/>
    <w:rsid w:val="00D51635"/>
    <w:rsid w:val="00D51B31"/>
    <w:rsid w:val="00D51F18"/>
    <w:rsid w:val="00D52DA3"/>
    <w:rsid w:val="00D52E5A"/>
    <w:rsid w:val="00D53537"/>
    <w:rsid w:val="00D5360E"/>
    <w:rsid w:val="00D54E49"/>
    <w:rsid w:val="00D54E9E"/>
    <w:rsid w:val="00D551C8"/>
    <w:rsid w:val="00D552EB"/>
    <w:rsid w:val="00D55972"/>
    <w:rsid w:val="00D564BB"/>
    <w:rsid w:val="00D565FA"/>
    <w:rsid w:val="00D5674B"/>
    <w:rsid w:val="00D568ED"/>
    <w:rsid w:val="00D56BF9"/>
    <w:rsid w:val="00D56E3F"/>
    <w:rsid w:val="00D571B4"/>
    <w:rsid w:val="00D57AED"/>
    <w:rsid w:val="00D57BD9"/>
    <w:rsid w:val="00D6014E"/>
    <w:rsid w:val="00D6063B"/>
    <w:rsid w:val="00D60BB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DF6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66E1"/>
    <w:rsid w:val="00D96917"/>
    <w:rsid w:val="00D96BC9"/>
    <w:rsid w:val="00D973C9"/>
    <w:rsid w:val="00D9781A"/>
    <w:rsid w:val="00D97883"/>
    <w:rsid w:val="00DA041C"/>
    <w:rsid w:val="00DA1613"/>
    <w:rsid w:val="00DA29C5"/>
    <w:rsid w:val="00DA2AEB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ECD"/>
    <w:rsid w:val="00DB4717"/>
    <w:rsid w:val="00DB4BC2"/>
    <w:rsid w:val="00DB4BD4"/>
    <w:rsid w:val="00DB5D6A"/>
    <w:rsid w:val="00DB60A0"/>
    <w:rsid w:val="00DB7320"/>
    <w:rsid w:val="00DB75E7"/>
    <w:rsid w:val="00DB79D5"/>
    <w:rsid w:val="00DB7F8E"/>
    <w:rsid w:val="00DC00E8"/>
    <w:rsid w:val="00DC0CC3"/>
    <w:rsid w:val="00DC0F8C"/>
    <w:rsid w:val="00DC12C8"/>
    <w:rsid w:val="00DC1C61"/>
    <w:rsid w:val="00DC36E8"/>
    <w:rsid w:val="00DC56F0"/>
    <w:rsid w:val="00DC570A"/>
    <w:rsid w:val="00DC5C68"/>
    <w:rsid w:val="00DC5D8F"/>
    <w:rsid w:val="00DC6AB5"/>
    <w:rsid w:val="00DC6F31"/>
    <w:rsid w:val="00DC7004"/>
    <w:rsid w:val="00DC72FE"/>
    <w:rsid w:val="00DC7FFD"/>
    <w:rsid w:val="00DD0277"/>
    <w:rsid w:val="00DD1129"/>
    <w:rsid w:val="00DD15C7"/>
    <w:rsid w:val="00DD1B11"/>
    <w:rsid w:val="00DD1B33"/>
    <w:rsid w:val="00DD1CE2"/>
    <w:rsid w:val="00DD4F6E"/>
    <w:rsid w:val="00DD5967"/>
    <w:rsid w:val="00DD645B"/>
    <w:rsid w:val="00DD6667"/>
    <w:rsid w:val="00DD666A"/>
    <w:rsid w:val="00DD697B"/>
    <w:rsid w:val="00DD6D82"/>
    <w:rsid w:val="00DD7594"/>
    <w:rsid w:val="00DD786C"/>
    <w:rsid w:val="00DD7E6D"/>
    <w:rsid w:val="00DE0129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4FD"/>
    <w:rsid w:val="00DF2506"/>
    <w:rsid w:val="00DF27E3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44D"/>
    <w:rsid w:val="00DF75EC"/>
    <w:rsid w:val="00DF770C"/>
    <w:rsid w:val="00DF78E1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29D"/>
    <w:rsid w:val="00E04C48"/>
    <w:rsid w:val="00E058F4"/>
    <w:rsid w:val="00E05C97"/>
    <w:rsid w:val="00E05DA6"/>
    <w:rsid w:val="00E05F35"/>
    <w:rsid w:val="00E06065"/>
    <w:rsid w:val="00E066F2"/>
    <w:rsid w:val="00E06A81"/>
    <w:rsid w:val="00E07901"/>
    <w:rsid w:val="00E079C6"/>
    <w:rsid w:val="00E10BFA"/>
    <w:rsid w:val="00E1133A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6406"/>
    <w:rsid w:val="00E17711"/>
    <w:rsid w:val="00E20504"/>
    <w:rsid w:val="00E211F7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6325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452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5B9C"/>
    <w:rsid w:val="00E5619A"/>
    <w:rsid w:val="00E563AE"/>
    <w:rsid w:val="00E56582"/>
    <w:rsid w:val="00E565F4"/>
    <w:rsid w:val="00E568D9"/>
    <w:rsid w:val="00E56E35"/>
    <w:rsid w:val="00E57005"/>
    <w:rsid w:val="00E60B3B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0EA0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B8E"/>
    <w:rsid w:val="00E97DA3"/>
    <w:rsid w:val="00E97E70"/>
    <w:rsid w:val="00EA03E5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2310"/>
    <w:rsid w:val="00EB2721"/>
    <w:rsid w:val="00EB30BE"/>
    <w:rsid w:val="00EB3404"/>
    <w:rsid w:val="00EB3599"/>
    <w:rsid w:val="00EB3C52"/>
    <w:rsid w:val="00EB41F5"/>
    <w:rsid w:val="00EB5799"/>
    <w:rsid w:val="00EB76F7"/>
    <w:rsid w:val="00EB77B7"/>
    <w:rsid w:val="00EB793B"/>
    <w:rsid w:val="00EB7CB1"/>
    <w:rsid w:val="00EC01B9"/>
    <w:rsid w:val="00EC04E1"/>
    <w:rsid w:val="00EC0569"/>
    <w:rsid w:val="00EC084D"/>
    <w:rsid w:val="00EC0C7B"/>
    <w:rsid w:val="00EC0FC0"/>
    <w:rsid w:val="00EC1658"/>
    <w:rsid w:val="00EC195F"/>
    <w:rsid w:val="00EC1C35"/>
    <w:rsid w:val="00EC1F63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42FF"/>
    <w:rsid w:val="00ED58B3"/>
    <w:rsid w:val="00ED5E6C"/>
    <w:rsid w:val="00ED766C"/>
    <w:rsid w:val="00ED76FB"/>
    <w:rsid w:val="00EE05C2"/>
    <w:rsid w:val="00EE06A6"/>
    <w:rsid w:val="00EE0D01"/>
    <w:rsid w:val="00EE1C02"/>
    <w:rsid w:val="00EE296D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755"/>
    <w:rsid w:val="00EF334E"/>
    <w:rsid w:val="00EF359E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B1"/>
    <w:rsid w:val="00F01B31"/>
    <w:rsid w:val="00F02D9C"/>
    <w:rsid w:val="00F038D5"/>
    <w:rsid w:val="00F03AB6"/>
    <w:rsid w:val="00F03AB9"/>
    <w:rsid w:val="00F03F4E"/>
    <w:rsid w:val="00F0439A"/>
    <w:rsid w:val="00F048EF"/>
    <w:rsid w:val="00F06479"/>
    <w:rsid w:val="00F06958"/>
    <w:rsid w:val="00F07241"/>
    <w:rsid w:val="00F076C5"/>
    <w:rsid w:val="00F10B0A"/>
    <w:rsid w:val="00F120D9"/>
    <w:rsid w:val="00F124BE"/>
    <w:rsid w:val="00F125DE"/>
    <w:rsid w:val="00F12638"/>
    <w:rsid w:val="00F12A9F"/>
    <w:rsid w:val="00F13137"/>
    <w:rsid w:val="00F1339B"/>
    <w:rsid w:val="00F14C13"/>
    <w:rsid w:val="00F15FBF"/>
    <w:rsid w:val="00F17174"/>
    <w:rsid w:val="00F172D0"/>
    <w:rsid w:val="00F211DE"/>
    <w:rsid w:val="00F21D2A"/>
    <w:rsid w:val="00F21E63"/>
    <w:rsid w:val="00F2254A"/>
    <w:rsid w:val="00F2276D"/>
    <w:rsid w:val="00F22B7B"/>
    <w:rsid w:val="00F22C15"/>
    <w:rsid w:val="00F22EDB"/>
    <w:rsid w:val="00F23570"/>
    <w:rsid w:val="00F23F06"/>
    <w:rsid w:val="00F24232"/>
    <w:rsid w:val="00F24E8D"/>
    <w:rsid w:val="00F2526C"/>
    <w:rsid w:val="00F2604B"/>
    <w:rsid w:val="00F261F0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5FC7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70C"/>
    <w:rsid w:val="00F44B59"/>
    <w:rsid w:val="00F44BB8"/>
    <w:rsid w:val="00F459C7"/>
    <w:rsid w:val="00F45D8C"/>
    <w:rsid w:val="00F468CA"/>
    <w:rsid w:val="00F47658"/>
    <w:rsid w:val="00F47C5C"/>
    <w:rsid w:val="00F50173"/>
    <w:rsid w:val="00F50A8A"/>
    <w:rsid w:val="00F510A6"/>
    <w:rsid w:val="00F51D20"/>
    <w:rsid w:val="00F53166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FE5"/>
    <w:rsid w:val="00F637C9"/>
    <w:rsid w:val="00F64243"/>
    <w:rsid w:val="00F64CF8"/>
    <w:rsid w:val="00F64DD3"/>
    <w:rsid w:val="00F64F51"/>
    <w:rsid w:val="00F66122"/>
    <w:rsid w:val="00F665D5"/>
    <w:rsid w:val="00F666FD"/>
    <w:rsid w:val="00F66EC1"/>
    <w:rsid w:val="00F67099"/>
    <w:rsid w:val="00F672F1"/>
    <w:rsid w:val="00F67302"/>
    <w:rsid w:val="00F67A35"/>
    <w:rsid w:val="00F71419"/>
    <w:rsid w:val="00F72620"/>
    <w:rsid w:val="00F733CC"/>
    <w:rsid w:val="00F73930"/>
    <w:rsid w:val="00F74118"/>
    <w:rsid w:val="00F746A3"/>
    <w:rsid w:val="00F759AD"/>
    <w:rsid w:val="00F75BDF"/>
    <w:rsid w:val="00F765E8"/>
    <w:rsid w:val="00F76EE1"/>
    <w:rsid w:val="00F7768D"/>
    <w:rsid w:val="00F80F3C"/>
    <w:rsid w:val="00F8200C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36B8"/>
    <w:rsid w:val="00F94205"/>
    <w:rsid w:val="00F945B2"/>
    <w:rsid w:val="00F9473C"/>
    <w:rsid w:val="00F947A1"/>
    <w:rsid w:val="00F9721B"/>
    <w:rsid w:val="00F977CB"/>
    <w:rsid w:val="00F97854"/>
    <w:rsid w:val="00FA0942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B17"/>
    <w:rsid w:val="00FA6924"/>
    <w:rsid w:val="00FA69D3"/>
    <w:rsid w:val="00FA7131"/>
    <w:rsid w:val="00FB01CC"/>
    <w:rsid w:val="00FB1350"/>
    <w:rsid w:val="00FB16CA"/>
    <w:rsid w:val="00FB26BD"/>
    <w:rsid w:val="00FB2DE1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50EA"/>
    <w:rsid w:val="00FC51C4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9E9"/>
    <w:rsid w:val="00FD2E55"/>
    <w:rsid w:val="00FD2FA9"/>
    <w:rsid w:val="00FD31D2"/>
    <w:rsid w:val="00FD3572"/>
    <w:rsid w:val="00FD36D4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FBC"/>
    <w:rsid w:val="00FE1630"/>
    <w:rsid w:val="00FE169D"/>
    <w:rsid w:val="00FE190A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71CB"/>
    <w:rsid w:val="00FE792B"/>
    <w:rsid w:val="00FE79EF"/>
    <w:rsid w:val="00FF025A"/>
    <w:rsid w:val="00FF088B"/>
    <w:rsid w:val="00FF0AC4"/>
    <w:rsid w:val="00FF0D1C"/>
    <w:rsid w:val="00FF0E3B"/>
    <w:rsid w:val="00FF10AF"/>
    <w:rsid w:val="00FF1304"/>
    <w:rsid w:val="00FF140F"/>
    <w:rsid w:val="00FF18BB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062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97ABD8-FD43-419D-8CFE-8EB921A0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58AB-8185-4F70-9C41-881720BB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2525</Words>
  <Characters>13636</Characters>
  <Application>Microsoft Office Word</Application>
  <DocSecurity>4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16129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2012-10-29T19:00:00Z</cp:lastPrinted>
  <dcterms:created xsi:type="dcterms:W3CDTF">2015-05-07T13:03:00Z</dcterms:created>
  <dcterms:modified xsi:type="dcterms:W3CDTF">2015-05-07T13:03:00Z</dcterms:modified>
</cp:coreProperties>
</file>