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C0338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A85B90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23</w:t>
      </w:r>
      <w:r w:rsidR="00197C2F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A85B90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24</w:t>
      </w:r>
      <w:r w:rsidR="00531C5C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64D8F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ED21EF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outubro</w:t>
      </w:r>
      <w:r w:rsidR="00E64D8F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3C0338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3C0338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C0338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3C0338">
        <w:rPr>
          <w:sz w:val="22"/>
          <w:szCs w:val="22"/>
        </w:rPr>
        <w:t>s</w:t>
      </w:r>
      <w:r w:rsidRPr="003C0338">
        <w:rPr>
          <w:sz w:val="22"/>
          <w:szCs w:val="22"/>
        </w:rPr>
        <w:t xml:space="preserve"> data</w:t>
      </w:r>
      <w:r w:rsidR="003D0153" w:rsidRPr="003C0338">
        <w:rPr>
          <w:sz w:val="22"/>
          <w:szCs w:val="22"/>
        </w:rPr>
        <w:t>s</w:t>
      </w:r>
      <w:r w:rsidRPr="003C0338">
        <w:rPr>
          <w:sz w:val="22"/>
          <w:szCs w:val="22"/>
        </w:rPr>
        <w:t xml:space="preserve"> acima indicada</w:t>
      </w:r>
      <w:r w:rsidR="003D0153" w:rsidRPr="003C0338">
        <w:rPr>
          <w:sz w:val="22"/>
          <w:szCs w:val="22"/>
        </w:rPr>
        <w:t>s</w:t>
      </w:r>
      <w:r w:rsidRPr="003C0338">
        <w:rPr>
          <w:sz w:val="22"/>
          <w:szCs w:val="22"/>
        </w:rPr>
        <w:t>, relativas a licitações e contratos, e tem por finalidade facilitar o acompanhamento, pelo leitor, d</w:t>
      </w:r>
      <w:r w:rsidR="000E5EAB" w:rsidRPr="003C0338">
        <w:rPr>
          <w:sz w:val="22"/>
          <w:szCs w:val="22"/>
        </w:rPr>
        <w:t>o</w:t>
      </w:r>
      <w:r w:rsidRPr="003C0338">
        <w:rPr>
          <w:sz w:val="22"/>
          <w:szCs w:val="22"/>
        </w:rPr>
        <w:t xml:space="preserve">s aspectos relevantes que envolvem o tema. </w:t>
      </w:r>
      <w:r w:rsidR="000E5EAB" w:rsidRPr="003C0338">
        <w:rPr>
          <w:sz w:val="22"/>
          <w:szCs w:val="22"/>
        </w:rPr>
        <w:t>A</w:t>
      </w:r>
      <w:r w:rsidRPr="003C0338">
        <w:rPr>
          <w:sz w:val="22"/>
          <w:szCs w:val="22"/>
        </w:rPr>
        <w:t xml:space="preserve"> seleção das decisões que constam do Informativo é feita pela Secretaria das Sessões, levando em consideração ao menos um dos </w:t>
      </w:r>
      <w:r w:rsidRPr="00462BD5">
        <w:rPr>
          <w:sz w:val="22"/>
          <w:szCs w:val="22"/>
        </w:rPr>
        <w:t>seguintes</w:t>
      </w:r>
      <w:r w:rsidRPr="003C0338">
        <w:rPr>
          <w:sz w:val="22"/>
          <w:szCs w:val="22"/>
        </w:rPr>
        <w:t xml:space="preserve"> fatores: ineditismo da deliberação, discussão no colegiado ou reiteração de entendimento importante. Os resumos apresentados no Informativo não são repositórios oficiais de jurisprudência.</w:t>
      </w:r>
    </w:p>
    <w:p w:rsidR="00612E91" w:rsidRPr="003C0338" w:rsidRDefault="00612E91" w:rsidP="00612E91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612E91" w:rsidRPr="003C0338" w:rsidRDefault="00612E91" w:rsidP="00612E9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C0338">
        <w:rPr>
          <w:b/>
          <w:bCs/>
          <w:smallCaps/>
          <w:sz w:val="22"/>
          <w:szCs w:val="22"/>
        </w:rPr>
        <w:t>NOVIDADE</w:t>
      </w:r>
    </w:p>
    <w:p w:rsidR="00D96917" w:rsidRPr="003C0338" w:rsidRDefault="00A24FBC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3C0338">
        <w:rPr>
          <w:sz w:val="22"/>
          <w:szCs w:val="22"/>
        </w:rPr>
        <w:t xml:space="preserve">Desde o dia </w:t>
      </w:r>
      <w:r w:rsidR="00B610BA" w:rsidRPr="003C0338">
        <w:rPr>
          <w:sz w:val="22"/>
          <w:szCs w:val="22"/>
        </w:rPr>
        <w:t xml:space="preserve">27/9/2012, está disponível, no portal do Tribunal, opção de </w:t>
      </w:r>
      <w:r w:rsidR="00B610BA" w:rsidRPr="003C0338">
        <w:rPr>
          <w:b/>
          <w:sz w:val="22"/>
          <w:szCs w:val="22"/>
        </w:rPr>
        <w:t>consulta textual</w:t>
      </w:r>
      <w:r w:rsidR="00B610BA" w:rsidRPr="003C0338">
        <w:rPr>
          <w:sz w:val="22"/>
          <w:szCs w:val="22"/>
        </w:rPr>
        <w:t xml:space="preserve"> a todas as edições do Informativo de Licitações e Contratos.</w:t>
      </w:r>
    </w:p>
    <w:p w:rsidR="00B610BA" w:rsidRPr="003C0338" w:rsidRDefault="00B610BA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9C5EDE" w:rsidRPr="003C0338" w:rsidRDefault="002D35F5" w:rsidP="0030597C">
      <w:pPr>
        <w:pBdr>
          <w:top w:val="threeDEmboss" w:sz="24" w:space="2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C0338">
        <w:rPr>
          <w:b/>
          <w:bCs/>
          <w:smallCaps/>
          <w:sz w:val="22"/>
          <w:szCs w:val="22"/>
        </w:rPr>
        <w:t>S</w:t>
      </w:r>
      <w:r w:rsidR="00FF7C62" w:rsidRPr="003C0338">
        <w:rPr>
          <w:b/>
          <w:bCs/>
          <w:smallCaps/>
          <w:sz w:val="22"/>
          <w:szCs w:val="22"/>
        </w:rPr>
        <w:t>UMÁRIO</w:t>
      </w:r>
    </w:p>
    <w:p w:rsidR="0084005B" w:rsidRPr="00F1339B" w:rsidRDefault="0084005B" w:rsidP="00F1339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F1339B">
        <w:rPr>
          <w:b/>
          <w:sz w:val="22"/>
          <w:szCs w:val="22"/>
          <w:lang w:eastAsia="pt-BR"/>
        </w:rPr>
        <w:t>Plenário</w:t>
      </w:r>
    </w:p>
    <w:p w:rsidR="00F1339B" w:rsidRPr="00F1339B" w:rsidRDefault="00F1339B" w:rsidP="00F1339B">
      <w:pPr>
        <w:pStyle w:val="Default"/>
        <w:spacing w:before="60"/>
        <w:jc w:val="both"/>
        <w:rPr>
          <w:sz w:val="22"/>
          <w:szCs w:val="22"/>
        </w:rPr>
      </w:pPr>
      <w:r w:rsidRPr="00F1339B">
        <w:rPr>
          <w:sz w:val="22"/>
          <w:szCs w:val="22"/>
        </w:rPr>
        <w:t>1. A falta de conformidade entre a metodologia de execução de determinado serviço, adotada no orçamento e no contrato, e a efetivamente empregada na obra justifica a conformação do preço unitário pactuado ao preço de referência, calculado com base na forma de execução do serviço</w:t>
      </w:r>
      <w:r>
        <w:rPr>
          <w:sz w:val="22"/>
          <w:szCs w:val="22"/>
        </w:rPr>
        <w:t>.</w:t>
      </w:r>
    </w:p>
    <w:p w:rsidR="00F1339B" w:rsidRPr="00F1339B" w:rsidRDefault="00F1339B" w:rsidP="00F1339B">
      <w:pPr>
        <w:pStyle w:val="Default"/>
        <w:spacing w:before="60"/>
        <w:jc w:val="both"/>
        <w:rPr>
          <w:sz w:val="22"/>
          <w:szCs w:val="22"/>
        </w:rPr>
      </w:pPr>
      <w:r w:rsidRPr="00F1339B">
        <w:rPr>
          <w:sz w:val="22"/>
          <w:szCs w:val="22"/>
        </w:rPr>
        <w:t>2. É lícita a utilização de pregão para contratação de serviço técnico de apoio à fiscalização de projetos executivos e de execução de obras de engenharia</w:t>
      </w:r>
      <w:r>
        <w:rPr>
          <w:sz w:val="22"/>
          <w:szCs w:val="22"/>
        </w:rPr>
        <w:t>.</w:t>
      </w:r>
    </w:p>
    <w:p w:rsidR="00F51D20" w:rsidRPr="00F1339B" w:rsidRDefault="00F1339B" w:rsidP="00F1339B">
      <w:pPr>
        <w:pStyle w:val="TCU-RelVoto-1"/>
        <w:spacing w:before="60" w:after="0"/>
        <w:ind w:firstLine="0"/>
        <w:rPr>
          <w:sz w:val="22"/>
        </w:rPr>
      </w:pPr>
      <w:r w:rsidRPr="00F1339B">
        <w:rPr>
          <w:sz w:val="22"/>
        </w:rPr>
        <w:t>3. O impedimento de participação de consórcios de empresas em licitação de obra de elevada complexidade e grande vulto restringe o caráter competitivo do certame</w:t>
      </w:r>
      <w:r>
        <w:rPr>
          <w:sz w:val="22"/>
        </w:rPr>
        <w:t>.</w:t>
      </w:r>
    </w:p>
    <w:p w:rsidR="00F1339B" w:rsidRPr="00F1339B" w:rsidRDefault="00F1339B" w:rsidP="00F1339B">
      <w:pPr>
        <w:pStyle w:val="TCU-RelVoto-1"/>
        <w:spacing w:before="60" w:after="0"/>
        <w:ind w:firstLine="0"/>
        <w:rPr>
          <w:sz w:val="22"/>
        </w:rPr>
      </w:pPr>
      <w:r w:rsidRPr="00F1339B">
        <w:rPr>
          <w:sz w:val="22"/>
        </w:rPr>
        <w:t>4. É indevida a adoção de desconto linear como critérios de aceitabilidade de preços e de julgamento das propostas, salvo quando o objeto do certame abranger itens homogêneos e sujeitos a controle de preços, como os exemplificados no art. 9º, § 1º, do Decreto nº 3.931/2001</w:t>
      </w:r>
      <w:r>
        <w:rPr>
          <w:sz w:val="22"/>
        </w:rPr>
        <w:t>.</w:t>
      </w:r>
    </w:p>
    <w:p w:rsidR="00F1339B" w:rsidRPr="00F1339B" w:rsidRDefault="00F1339B" w:rsidP="00F1339B">
      <w:pPr>
        <w:pStyle w:val="TCU-RelVoto-1"/>
        <w:spacing w:before="60" w:after="0"/>
        <w:ind w:firstLine="0"/>
        <w:rPr>
          <w:sz w:val="22"/>
        </w:rPr>
      </w:pPr>
      <w:r w:rsidRPr="00F1339B">
        <w:rPr>
          <w:sz w:val="22"/>
        </w:rPr>
        <w:t>5. A adoção, em licitação do tipo técnica e preço, de peso excessivamente elevado para a pontuação técnica em relação à de preço, sem justificativa plausível, e de critérios subjetivos de julgamento das propostas contraria o disposto nos arts. 3º, 40, inciso VII, 44, § 1º, e 45, da Lei 8.666/1993</w:t>
      </w:r>
      <w:r>
        <w:rPr>
          <w:sz w:val="22"/>
        </w:rPr>
        <w:t>.</w:t>
      </w:r>
    </w:p>
    <w:p w:rsidR="0030597C" w:rsidRDefault="00ED21EF" w:rsidP="0030597C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3C0338">
        <w:rPr>
          <w:b/>
          <w:bCs/>
          <w:smallCaps/>
          <w:sz w:val="22"/>
          <w:szCs w:val="22"/>
        </w:rPr>
        <w:t>P</w:t>
      </w:r>
      <w:r w:rsidR="0030597C" w:rsidRPr="003C0338">
        <w:rPr>
          <w:b/>
          <w:bCs/>
          <w:smallCaps/>
          <w:sz w:val="22"/>
          <w:szCs w:val="22"/>
        </w:rPr>
        <w:t>LENÁRIO</w:t>
      </w:r>
    </w:p>
    <w:p w:rsidR="0066419E" w:rsidRDefault="0066419E" w:rsidP="0030597C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66419E" w:rsidRPr="003C0338" w:rsidRDefault="008E4E55" w:rsidP="0066419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6419E" w:rsidRPr="003C0338">
        <w:rPr>
          <w:b/>
          <w:sz w:val="22"/>
          <w:szCs w:val="22"/>
        </w:rPr>
        <w:t>A falta de conformidade entre a metodologia de execução de determinado serviço</w:t>
      </w:r>
      <w:r w:rsidR="0076613D">
        <w:rPr>
          <w:b/>
          <w:sz w:val="22"/>
          <w:szCs w:val="22"/>
        </w:rPr>
        <w:t>,</w:t>
      </w:r>
      <w:r w:rsidR="0066419E" w:rsidRPr="003C0338">
        <w:rPr>
          <w:b/>
          <w:sz w:val="22"/>
          <w:szCs w:val="22"/>
        </w:rPr>
        <w:t xml:space="preserve"> adotada </w:t>
      </w:r>
      <w:r w:rsidR="0076613D">
        <w:rPr>
          <w:b/>
          <w:sz w:val="22"/>
          <w:szCs w:val="22"/>
        </w:rPr>
        <w:t>no</w:t>
      </w:r>
      <w:r w:rsidR="0066419E" w:rsidRPr="003C0338">
        <w:rPr>
          <w:b/>
          <w:sz w:val="22"/>
          <w:szCs w:val="22"/>
        </w:rPr>
        <w:t xml:space="preserve"> orçamento e no contrato</w:t>
      </w:r>
      <w:r w:rsidR="0076613D">
        <w:rPr>
          <w:b/>
          <w:sz w:val="22"/>
          <w:szCs w:val="22"/>
        </w:rPr>
        <w:t>,</w:t>
      </w:r>
      <w:r w:rsidR="0066419E" w:rsidRPr="003C0338">
        <w:rPr>
          <w:b/>
          <w:sz w:val="22"/>
          <w:szCs w:val="22"/>
        </w:rPr>
        <w:t xml:space="preserve"> e a </w:t>
      </w:r>
      <w:r w:rsidR="0076613D">
        <w:rPr>
          <w:b/>
          <w:sz w:val="22"/>
          <w:szCs w:val="22"/>
        </w:rPr>
        <w:t xml:space="preserve">efetivamente </w:t>
      </w:r>
      <w:r w:rsidR="0066419E" w:rsidRPr="003C0338">
        <w:rPr>
          <w:b/>
          <w:sz w:val="22"/>
          <w:szCs w:val="22"/>
        </w:rPr>
        <w:t xml:space="preserve">empregada </w:t>
      </w:r>
      <w:r w:rsidR="003F3B0D">
        <w:rPr>
          <w:b/>
          <w:sz w:val="22"/>
          <w:szCs w:val="22"/>
        </w:rPr>
        <w:t xml:space="preserve">na obra </w:t>
      </w:r>
      <w:r w:rsidR="0066419E" w:rsidRPr="003C0338">
        <w:rPr>
          <w:b/>
          <w:sz w:val="22"/>
          <w:szCs w:val="22"/>
        </w:rPr>
        <w:t xml:space="preserve">justifica a conformação do preço unitário </w:t>
      </w:r>
      <w:r w:rsidR="000971B8">
        <w:rPr>
          <w:b/>
          <w:sz w:val="22"/>
          <w:szCs w:val="22"/>
        </w:rPr>
        <w:t xml:space="preserve">pactuado </w:t>
      </w:r>
      <w:r w:rsidR="0066419E" w:rsidRPr="003C0338">
        <w:rPr>
          <w:b/>
          <w:sz w:val="22"/>
          <w:szCs w:val="22"/>
        </w:rPr>
        <w:t xml:space="preserve">ao </w:t>
      </w:r>
      <w:r w:rsidR="0066419E">
        <w:rPr>
          <w:b/>
          <w:sz w:val="22"/>
          <w:szCs w:val="22"/>
        </w:rPr>
        <w:t>preço de referência</w:t>
      </w:r>
      <w:r w:rsidR="000971B8">
        <w:rPr>
          <w:b/>
          <w:sz w:val="22"/>
          <w:szCs w:val="22"/>
        </w:rPr>
        <w:t xml:space="preserve">, calculado com base </w:t>
      </w:r>
      <w:r w:rsidR="00411E35">
        <w:rPr>
          <w:b/>
          <w:sz w:val="22"/>
          <w:szCs w:val="22"/>
        </w:rPr>
        <w:t xml:space="preserve">na </w:t>
      </w:r>
      <w:r w:rsidR="00467509">
        <w:rPr>
          <w:b/>
          <w:sz w:val="22"/>
          <w:szCs w:val="22"/>
        </w:rPr>
        <w:t>forma de execução do serviço</w:t>
      </w:r>
    </w:p>
    <w:p w:rsidR="0066419E" w:rsidRDefault="0066419E" w:rsidP="0066419E">
      <w:pPr>
        <w:pStyle w:val="Default"/>
        <w:jc w:val="both"/>
        <w:rPr>
          <w:b/>
          <w:i/>
          <w:sz w:val="22"/>
          <w:szCs w:val="22"/>
        </w:rPr>
      </w:pPr>
      <w:r w:rsidRPr="003C0338">
        <w:rPr>
          <w:sz w:val="22"/>
          <w:szCs w:val="22"/>
        </w:rPr>
        <w:t xml:space="preserve">Auditoria no Departamento Nacional de Infraestrutura de Transporte – Dnit apontou possíveis irregularidades nos Contratos 484/2009, 491/2009 e 492/2009 das obras de construção da rodovia BR-448/RS. Foram apurados indícios de irregularidades em projetos básicos da obra e de superfaturamento em itens dos respectivos contratos. Destaque-se o fato de que a metodologia que balizou a mensuração do preço de referência, em alguns serviços, não correspondia à efetivamente empregada em sua execução. </w:t>
      </w:r>
      <w:r w:rsidR="0087361A">
        <w:rPr>
          <w:sz w:val="22"/>
          <w:szCs w:val="22"/>
        </w:rPr>
        <w:t xml:space="preserve">O </w:t>
      </w:r>
      <w:r w:rsidRPr="003C0338">
        <w:rPr>
          <w:sz w:val="22"/>
          <w:szCs w:val="22"/>
        </w:rPr>
        <w:t>relator, ao endossar o exame da unidade técnica acerca das razões de justificativas e das defesas apresentadas pelos consórcios contratados,</w:t>
      </w:r>
      <w:r w:rsidR="0087361A">
        <w:rPr>
          <w:sz w:val="22"/>
          <w:szCs w:val="22"/>
        </w:rPr>
        <w:t xml:space="preserve"> ressaltou </w:t>
      </w:r>
      <w:r w:rsidRPr="003C0338">
        <w:rPr>
          <w:sz w:val="22"/>
          <w:szCs w:val="22"/>
        </w:rPr>
        <w:t>que “</w:t>
      </w:r>
      <w:r w:rsidRPr="003C0338">
        <w:rPr>
          <w:i/>
          <w:sz w:val="22"/>
          <w:szCs w:val="22"/>
        </w:rPr>
        <w:t>essas inconsistências são resultado de falhas no orçamento do projeto básico (considerado na licitação)</w:t>
      </w:r>
      <w:r w:rsidRPr="003C0338">
        <w:rPr>
          <w:sz w:val="22"/>
          <w:szCs w:val="22"/>
        </w:rPr>
        <w:t>” e impõem a “</w:t>
      </w:r>
      <w:r w:rsidRPr="003C0338">
        <w:rPr>
          <w:i/>
          <w:sz w:val="22"/>
          <w:szCs w:val="22"/>
        </w:rPr>
        <w:t>readequação/correção do projeto contratado, de modo a que o preço unitário pago pela Administração retrate o processo construtivo empregado na execução dos serviços questionados e as quantidades contratadas reflitam as estritamente necessárias para a realização da obra</w:t>
      </w:r>
      <w:r w:rsidRPr="003C0338">
        <w:rPr>
          <w:sz w:val="22"/>
          <w:szCs w:val="22"/>
        </w:rPr>
        <w:t xml:space="preserve">”.  </w:t>
      </w:r>
      <w:r w:rsidR="0087361A">
        <w:rPr>
          <w:sz w:val="22"/>
          <w:szCs w:val="22"/>
        </w:rPr>
        <w:t>Enfatizou o</w:t>
      </w:r>
      <w:r w:rsidRPr="003C0338">
        <w:rPr>
          <w:sz w:val="22"/>
          <w:szCs w:val="22"/>
        </w:rPr>
        <w:t xml:space="preserve"> sobrepreço identificado nos serviços de fornecimento, preparo, e colocação nas fôrmas do aço CA-50 nos Contratos 484/2009, 491/2009 e 492/2009</w:t>
      </w:r>
      <w:r w:rsidR="0087361A">
        <w:rPr>
          <w:sz w:val="22"/>
          <w:szCs w:val="22"/>
        </w:rPr>
        <w:t xml:space="preserve">, tendo em vista </w:t>
      </w:r>
      <w:r w:rsidRPr="003C0338">
        <w:rPr>
          <w:sz w:val="22"/>
          <w:szCs w:val="22"/>
        </w:rPr>
        <w:t>a relevância desses serviços na formação do custo total da obra. Era de se esperar, por isso, que “</w:t>
      </w:r>
      <w:r w:rsidRPr="003C0338">
        <w:rPr>
          <w:i/>
          <w:sz w:val="22"/>
          <w:szCs w:val="22"/>
        </w:rPr>
        <w:t>o orçamento do projeto refletisse técnicas construtivas modernas, necessárias à implantação de todas essas obras de arte especiais, como a previsão de corte e dobra de aço industrializados, a utilização de fôrmas metálicas, a previsão de fabricação de concreto por meio de centrais dosadoras e misturadoras, práticas amplamente adotadas no mercado da construção pesada, e, inclusive, foram as alternativas escolhidas pelo consórcio executor do referido contrato</w:t>
      </w:r>
      <w:r w:rsidRPr="003C0338">
        <w:rPr>
          <w:sz w:val="22"/>
          <w:szCs w:val="22"/>
        </w:rPr>
        <w:t>”.</w:t>
      </w:r>
      <w:r w:rsidR="0087361A">
        <w:rPr>
          <w:sz w:val="22"/>
          <w:szCs w:val="22"/>
        </w:rPr>
        <w:t xml:space="preserve"> </w:t>
      </w:r>
      <w:r w:rsidRPr="003C0338">
        <w:rPr>
          <w:sz w:val="22"/>
          <w:szCs w:val="22"/>
        </w:rPr>
        <w:t>Concluiu, em face dos comandos contidos nos artigos 6º, incisos IX e X; 12, incisos III e V; 65, inciso I e 66 na Lei 8.666/1993 e do princípio constitucional da eficiência, ser necessária a readequação dos contratos das obras. O Tribunal, então, ao acolher proposta do relator, entre outras medidas, com o intuito de conformar o preço do serviço contratado à sua efetiva metodologia de execução, decidiu fixar prazo ao Dnit para que: a) promova o ajuste dos preços dos Contratos 484/2009, 491/2009 e 492/2009, entre os quais os d</w:t>
      </w:r>
      <w:r w:rsidR="00351609">
        <w:rPr>
          <w:sz w:val="22"/>
          <w:szCs w:val="22"/>
        </w:rPr>
        <w:t xml:space="preserve">e </w:t>
      </w:r>
      <w:r w:rsidRPr="003C0338">
        <w:rPr>
          <w:sz w:val="22"/>
          <w:szCs w:val="22"/>
        </w:rPr>
        <w:t>“</w:t>
      </w:r>
      <w:r w:rsidRPr="003C0338">
        <w:rPr>
          <w:i/>
          <w:sz w:val="22"/>
          <w:szCs w:val="22"/>
        </w:rPr>
        <w:t>Fornecimento, preparo e colocação de fôrmas aço CA-50 (corte e dobra industrializado)</w:t>
      </w:r>
      <w:r w:rsidRPr="003C0338">
        <w:rPr>
          <w:sz w:val="22"/>
          <w:szCs w:val="22"/>
        </w:rPr>
        <w:t>”; b) desconte</w:t>
      </w:r>
      <w:r w:rsidR="00351609">
        <w:rPr>
          <w:sz w:val="22"/>
          <w:szCs w:val="22"/>
        </w:rPr>
        <w:t>,</w:t>
      </w:r>
      <w:r w:rsidRPr="003C0338">
        <w:rPr>
          <w:sz w:val="22"/>
          <w:szCs w:val="22"/>
        </w:rPr>
        <w:t xml:space="preserve"> nas medições futuras de cada um d</w:t>
      </w:r>
      <w:r w:rsidR="00351609">
        <w:rPr>
          <w:sz w:val="22"/>
          <w:szCs w:val="22"/>
        </w:rPr>
        <w:t>esse</w:t>
      </w:r>
      <w:r w:rsidRPr="003C0338">
        <w:rPr>
          <w:sz w:val="22"/>
          <w:szCs w:val="22"/>
        </w:rPr>
        <w:t>s contratos</w:t>
      </w:r>
      <w:r w:rsidR="00351609">
        <w:rPr>
          <w:sz w:val="22"/>
          <w:szCs w:val="22"/>
        </w:rPr>
        <w:t>,</w:t>
      </w:r>
      <w:r w:rsidRPr="003C0338">
        <w:rPr>
          <w:sz w:val="22"/>
          <w:szCs w:val="22"/>
        </w:rPr>
        <w:t xml:space="preserve"> a diferença entre os preços já pagos e os de referência para os serviços da obra. </w:t>
      </w:r>
      <w:r w:rsidR="00D37233">
        <w:rPr>
          <w:b/>
          <w:i/>
          <w:sz w:val="22"/>
          <w:szCs w:val="22"/>
        </w:rPr>
        <w:t>Acórdão n.º 2872</w:t>
      </w:r>
      <w:r w:rsidRPr="003C0338">
        <w:rPr>
          <w:b/>
          <w:i/>
          <w:sz w:val="22"/>
          <w:szCs w:val="22"/>
        </w:rPr>
        <w:t>/2012-Plenário, TC-008.945/2011-0, rel. Min. Walton Alencar Rodrigues</w:t>
      </w:r>
      <w:r w:rsidR="001652EB">
        <w:rPr>
          <w:b/>
          <w:i/>
          <w:sz w:val="22"/>
          <w:szCs w:val="22"/>
        </w:rPr>
        <w:t>, 24.10.2012.</w:t>
      </w:r>
    </w:p>
    <w:p w:rsidR="0066419E" w:rsidRPr="003C0338" w:rsidRDefault="0066419E" w:rsidP="0066419E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723840" w:rsidRPr="00351609" w:rsidRDefault="008E4E55" w:rsidP="0072384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B3015" w:rsidRPr="00351609">
        <w:rPr>
          <w:b/>
          <w:sz w:val="22"/>
          <w:szCs w:val="22"/>
        </w:rPr>
        <w:t xml:space="preserve">É </w:t>
      </w:r>
      <w:r w:rsidR="004B32F8" w:rsidRPr="00351609">
        <w:rPr>
          <w:b/>
          <w:sz w:val="22"/>
          <w:szCs w:val="22"/>
        </w:rPr>
        <w:t xml:space="preserve">lícita </w:t>
      </w:r>
      <w:r w:rsidR="000B3015" w:rsidRPr="00351609">
        <w:rPr>
          <w:b/>
          <w:sz w:val="22"/>
          <w:szCs w:val="22"/>
        </w:rPr>
        <w:t xml:space="preserve">a utilização de pregão para contratação de serviço técnico de apoio </w:t>
      </w:r>
      <w:r w:rsidR="004B32F8" w:rsidRPr="00351609">
        <w:rPr>
          <w:b/>
          <w:sz w:val="22"/>
          <w:szCs w:val="22"/>
        </w:rPr>
        <w:t>à</w:t>
      </w:r>
      <w:r w:rsidR="000B3015" w:rsidRPr="00351609">
        <w:rPr>
          <w:b/>
          <w:sz w:val="22"/>
          <w:szCs w:val="22"/>
        </w:rPr>
        <w:t xml:space="preserve"> </w:t>
      </w:r>
      <w:r w:rsidR="00351609" w:rsidRPr="00351609">
        <w:rPr>
          <w:b/>
          <w:sz w:val="22"/>
          <w:szCs w:val="22"/>
        </w:rPr>
        <w:t xml:space="preserve">fiscalização de projetos executivos e </w:t>
      </w:r>
      <w:r w:rsidR="006F024E">
        <w:rPr>
          <w:b/>
          <w:sz w:val="22"/>
          <w:szCs w:val="22"/>
        </w:rPr>
        <w:t xml:space="preserve">de execução de </w:t>
      </w:r>
      <w:r w:rsidR="00351609" w:rsidRPr="00351609">
        <w:rPr>
          <w:b/>
          <w:sz w:val="22"/>
          <w:szCs w:val="22"/>
        </w:rPr>
        <w:t>obras</w:t>
      </w:r>
      <w:r w:rsidR="000B3015" w:rsidRPr="00351609">
        <w:rPr>
          <w:b/>
          <w:sz w:val="22"/>
          <w:szCs w:val="22"/>
        </w:rPr>
        <w:t xml:space="preserve"> de engenharia</w:t>
      </w:r>
    </w:p>
    <w:p w:rsidR="00723840" w:rsidRPr="003C0338" w:rsidRDefault="00A85B90" w:rsidP="00456C61">
      <w:pPr>
        <w:pStyle w:val="TCU-Epgrafe"/>
        <w:tabs>
          <w:tab w:val="left" w:pos="1134"/>
        </w:tabs>
        <w:ind w:left="0"/>
        <w:rPr>
          <w:b/>
          <w:sz w:val="22"/>
          <w:szCs w:val="22"/>
        </w:rPr>
      </w:pPr>
      <w:r w:rsidRPr="003C0338">
        <w:rPr>
          <w:sz w:val="22"/>
          <w:szCs w:val="22"/>
        </w:rPr>
        <w:t xml:space="preserve">Representação formulada pela Associação Brasileira de Consultores de Engenharia - ABCE questionou a utilização de licitação na modalidade pregão pela Centrais Elétricas de Rondônia S/A - CERON, </w:t>
      </w:r>
      <w:r w:rsidR="00552840" w:rsidRPr="003C0338">
        <w:rPr>
          <w:sz w:val="22"/>
          <w:szCs w:val="22"/>
        </w:rPr>
        <w:t>visando a</w:t>
      </w:r>
      <w:r w:rsidRPr="003C0338">
        <w:rPr>
          <w:sz w:val="22"/>
          <w:szCs w:val="22"/>
        </w:rPr>
        <w:t xml:space="preserve"> contratação de serviço técnico para apoio a fiscalização de projetos executivos e obras de redes aéreas de distribuição de energia elétrica, nas áreas de concessão de empresas distribuidoras da Eletrobras. </w:t>
      </w:r>
      <w:r w:rsidR="0031422F" w:rsidRPr="003C0338">
        <w:rPr>
          <w:sz w:val="22"/>
          <w:szCs w:val="22"/>
        </w:rPr>
        <w:t xml:space="preserve">Argumentou, em essência, que tais serviços </w:t>
      </w:r>
      <w:r w:rsidR="0031422F" w:rsidRPr="003C0338">
        <w:rPr>
          <w:i/>
          <w:sz w:val="22"/>
          <w:szCs w:val="22"/>
        </w:rPr>
        <w:t xml:space="preserve">exigem </w:t>
      </w:r>
      <w:r w:rsidR="0031422F" w:rsidRPr="003C0338">
        <w:rPr>
          <w:sz w:val="22"/>
          <w:szCs w:val="22"/>
        </w:rPr>
        <w:t>“</w:t>
      </w:r>
      <w:r w:rsidR="0031422F" w:rsidRPr="003C0338">
        <w:rPr>
          <w:i/>
          <w:sz w:val="22"/>
          <w:szCs w:val="22"/>
        </w:rPr>
        <w:t>nível apreciável de qualificação técnica da empresa e seus profissionais</w:t>
      </w:r>
      <w:r w:rsidR="0031422F" w:rsidRPr="003C0338">
        <w:rPr>
          <w:sz w:val="22"/>
          <w:szCs w:val="22"/>
        </w:rPr>
        <w:t>”</w:t>
      </w:r>
      <w:r w:rsidR="0031422F" w:rsidRPr="003C0338">
        <w:rPr>
          <w:i/>
          <w:sz w:val="22"/>
          <w:szCs w:val="22"/>
        </w:rPr>
        <w:t>,</w:t>
      </w:r>
      <w:r w:rsidR="0031422F" w:rsidRPr="003C0338">
        <w:rPr>
          <w:sz w:val="22"/>
          <w:szCs w:val="22"/>
        </w:rPr>
        <w:t xml:space="preserve"> o que impediria sua classificação como “</w:t>
      </w:r>
      <w:r w:rsidR="0031422F" w:rsidRPr="003C0338">
        <w:rPr>
          <w:i/>
          <w:sz w:val="22"/>
          <w:szCs w:val="22"/>
        </w:rPr>
        <w:t>serviços comuns</w:t>
      </w:r>
      <w:r w:rsidR="0031422F" w:rsidRPr="003C0338">
        <w:rPr>
          <w:sz w:val="22"/>
          <w:szCs w:val="22"/>
        </w:rPr>
        <w:t xml:space="preserve">”. O Relator, contudo, </w:t>
      </w:r>
      <w:r w:rsidR="009339EB" w:rsidRPr="003C0338">
        <w:rPr>
          <w:sz w:val="22"/>
          <w:szCs w:val="22"/>
        </w:rPr>
        <w:t xml:space="preserve">em linha de consonância com o pronunciamento da unidade técnica, </w:t>
      </w:r>
      <w:r w:rsidR="00552840" w:rsidRPr="003C0338">
        <w:rPr>
          <w:sz w:val="22"/>
          <w:szCs w:val="22"/>
        </w:rPr>
        <w:t xml:space="preserve">observou que </w:t>
      </w:r>
      <w:r w:rsidR="009339EB" w:rsidRPr="003C0338">
        <w:rPr>
          <w:sz w:val="22"/>
          <w:szCs w:val="22"/>
        </w:rPr>
        <w:t xml:space="preserve">os serviços </w:t>
      </w:r>
      <w:r w:rsidR="00402C93" w:rsidRPr="003C0338">
        <w:rPr>
          <w:sz w:val="22"/>
          <w:szCs w:val="22"/>
        </w:rPr>
        <w:t>objeto do certame</w:t>
      </w:r>
      <w:r w:rsidR="009339EB" w:rsidRPr="003C0338">
        <w:rPr>
          <w:sz w:val="22"/>
          <w:szCs w:val="22"/>
        </w:rPr>
        <w:t xml:space="preserve"> </w:t>
      </w:r>
      <w:r w:rsidR="00402C93" w:rsidRPr="003C0338">
        <w:rPr>
          <w:sz w:val="22"/>
          <w:szCs w:val="22"/>
        </w:rPr>
        <w:t xml:space="preserve">foram </w:t>
      </w:r>
      <w:r w:rsidR="009339EB" w:rsidRPr="003C0338">
        <w:rPr>
          <w:sz w:val="22"/>
          <w:szCs w:val="22"/>
        </w:rPr>
        <w:t xml:space="preserve">especificados no edital </w:t>
      </w:r>
      <w:r w:rsidR="00402C93" w:rsidRPr="003C0338">
        <w:rPr>
          <w:sz w:val="22"/>
          <w:szCs w:val="22"/>
        </w:rPr>
        <w:t>“</w:t>
      </w:r>
      <w:r w:rsidR="009339EB" w:rsidRPr="003C0338">
        <w:rPr>
          <w:i/>
          <w:sz w:val="22"/>
          <w:szCs w:val="22"/>
        </w:rPr>
        <w:t xml:space="preserve">de forma objetiva, consoante os termos usuais de mercado, ajustando-se, portanto, ao conceito de </w:t>
      </w:r>
      <w:r w:rsidR="00402C93" w:rsidRPr="003C0338">
        <w:rPr>
          <w:i/>
          <w:sz w:val="22"/>
          <w:szCs w:val="22"/>
        </w:rPr>
        <w:t>‘</w:t>
      </w:r>
      <w:r w:rsidR="009339EB" w:rsidRPr="003C0338">
        <w:rPr>
          <w:i/>
          <w:sz w:val="22"/>
          <w:szCs w:val="22"/>
        </w:rPr>
        <w:t>serviço comum</w:t>
      </w:r>
      <w:r w:rsidR="00402C93" w:rsidRPr="003C0338">
        <w:rPr>
          <w:i/>
          <w:sz w:val="22"/>
          <w:szCs w:val="22"/>
        </w:rPr>
        <w:t>’</w:t>
      </w:r>
      <w:r w:rsidR="009339EB" w:rsidRPr="003C0338">
        <w:rPr>
          <w:i/>
          <w:sz w:val="22"/>
          <w:szCs w:val="22"/>
        </w:rPr>
        <w:t xml:space="preserve"> definido no art. 1º, parágrafo único, da Lei 10.520/2002</w:t>
      </w:r>
      <w:r w:rsidR="00402C93" w:rsidRPr="003C0338">
        <w:rPr>
          <w:sz w:val="22"/>
          <w:szCs w:val="22"/>
        </w:rPr>
        <w:t xml:space="preserve">”, o que permite a </w:t>
      </w:r>
      <w:r w:rsidR="009339EB" w:rsidRPr="003C0338">
        <w:rPr>
          <w:sz w:val="22"/>
          <w:szCs w:val="22"/>
        </w:rPr>
        <w:t>ado</w:t>
      </w:r>
      <w:r w:rsidR="00402C93" w:rsidRPr="003C0338">
        <w:rPr>
          <w:sz w:val="22"/>
          <w:szCs w:val="22"/>
        </w:rPr>
        <w:t>ção da</w:t>
      </w:r>
      <w:r w:rsidR="009339EB" w:rsidRPr="003C0338">
        <w:rPr>
          <w:sz w:val="22"/>
          <w:szCs w:val="22"/>
        </w:rPr>
        <w:t xml:space="preserve"> licitação na modalidade de pregão</w:t>
      </w:r>
      <w:r w:rsidR="00402C93" w:rsidRPr="003C0338">
        <w:rPr>
          <w:sz w:val="22"/>
          <w:szCs w:val="22"/>
        </w:rPr>
        <w:t>. Acrescentou que o e</w:t>
      </w:r>
      <w:r w:rsidR="009339EB" w:rsidRPr="003C0338">
        <w:rPr>
          <w:sz w:val="22"/>
          <w:szCs w:val="22"/>
        </w:rPr>
        <w:t>nunciado n° 257 da Súmula de Jurisprudência d</w:t>
      </w:r>
      <w:r w:rsidR="00402C93" w:rsidRPr="003C0338">
        <w:rPr>
          <w:sz w:val="22"/>
          <w:szCs w:val="22"/>
        </w:rPr>
        <w:t xml:space="preserve">o TCU, a seguir transcrito, </w:t>
      </w:r>
      <w:r w:rsidR="00C401E4" w:rsidRPr="003C0338">
        <w:rPr>
          <w:sz w:val="22"/>
          <w:szCs w:val="22"/>
        </w:rPr>
        <w:t xml:space="preserve">respalda </w:t>
      </w:r>
      <w:r w:rsidR="009339EB" w:rsidRPr="003C0338">
        <w:rPr>
          <w:sz w:val="22"/>
          <w:szCs w:val="22"/>
        </w:rPr>
        <w:t>a contratação de serviços comuns de engenharia</w:t>
      </w:r>
      <w:r w:rsidR="00C401E4" w:rsidRPr="003C0338">
        <w:rPr>
          <w:sz w:val="22"/>
          <w:szCs w:val="22"/>
        </w:rPr>
        <w:t xml:space="preserve"> por meio de </w:t>
      </w:r>
      <w:r w:rsidR="009339EB" w:rsidRPr="003C0338">
        <w:rPr>
          <w:sz w:val="22"/>
          <w:szCs w:val="22"/>
        </w:rPr>
        <w:t>pregão</w:t>
      </w:r>
      <w:r w:rsidR="00402C93" w:rsidRPr="003C0338">
        <w:rPr>
          <w:sz w:val="22"/>
          <w:szCs w:val="22"/>
        </w:rPr>
        <w:t>: “</w:t>
      </w:r>
      <w:r w:rsidR="009339EB" w:rsidRPr="003C0338">
        <w:rPr>
          <w:i/>
          <w:sz w:val="22"/>
          <w:szCs w:val="22"/>
        </w:rPr>
        <w:t>O uso do pregão nas contratações de serviços comuns de engenharia encontra amparo na Lei nº 10.520/2002</w:t>
      </w:r>
      <w:r w:rsidR="00402C93" w:rsidRPr="003C0338">
        <w:rPr>
          <w:sz w:val="22"/>
          <w:szCs w:val="22"/>
        </w:rPr>
        <w:t>”</w:t>
      </w:r>
      <w:r w:rsidR="009339EB" w:rsidRPr="003C0338">
        <w:rPr>
          <w:i/>
          <w:sz w:val="22"/>
          <w:szCs w:val="22"/>
        </w:rPr>
        <w:t>.</w:t>
      </w:r>
      <w:r w:rsidR="00456C61" w:rsidRPr="003C0338">
        <w:rPr>
          <w:sz w:val="22"/>
          <w:szCs w:val="22"/>
        </w:rPr>
        <w:t xml:space="preserve"> Ponderou, com suporte nos comandos contidos nos arts. 1º e 8º da Resolução Confea n° 218/193, que os serviços previstos no edital foram “</w:t>
      </w:r>
      <w:r w:rsidR="00456C61" w:rsidRPr="003C0338">
        <w:rPr>
          <w:i/>
          <w:sz w:val="22"/>
          <w:szCs w:val="22"/>
        </w:rPr>
        <w:t>bem definidos</w:t>
      </w:r>
      <w:r w:rsidR="00456C61" w:rsidRPr="003C0338">
        <w:rPr>
          <w:sz w:val="22"/>
          <w:szCs w:val="22"/>
        </w:rPr>
        <w:t>” e revelam “</w:t>
      </w:r>
      <w:r w:rsidR="00456C61" w:rsidRPr="003C0338">
        <w:rPr>
          <w:i/>
          <w:sz w:val="22"/>
          <w:szCs w:val="22"/>
        </w:rPr>
        <w:t>atividades comuns e rotineiras inerentes à atividade de fiscalização de obras, tais como: acompanhamento de boletins diários de obras, verificação da documentação exigida na apresentação de faturas, exame de conformidade dos projetos com o respectivo contrato de financiamento, cadastro de obras em sistema informatizado, emissão de relatórios, conferência de desenhos etc</w:t>
      </w:r>
      <w:r w:rsidR="00456C61" w:rsidRPr="003C0338">
        <w:rPr>
          <w:sz w:val="22"/>
          <w:szCs w:val="22"/>
        </w:rPr>
        <w:t xml:space="preserve">”. O Tribunal, então, ao acolher proposta do relator, decidiu conhecer a representação e julgá-la improcedente. </w:t>
      </w:r>
      <w:r w:rsidR="00723840" w:rsidRPr="003C0338">
        <w:rPr>
          <w:b/>
          <w:i/>
          <w:sz w:val="22"/>
          <w:szCs w:val="22"/>
        </w:rPr>
        <w:t>Acórdão n.º</w:t>
      </w:r>
      <w:r w:rsidR="00BD151C" w:rsidRPr="003C0338">
        <w:rPr>
          <w:b/>
          <w:i/>
          <w:sz w:val="22"/>
          <w:szCs w:val="22"/>
        </w:rPr>
        <w:t xml:space="preserve"> 2899</w:t>
      </w:r>
      <w:r w:rsidR="00723840" w:rsidRPr="003C0338">
        <w:rPr>
          <w:b/>
          <w:i/>
          <w:sz w:val="22"/>
          <w:szCs w:val="22"/>
        </w:rPr>
        <w:t>/2012-Plenário, TC-</w:t>
      </w:r>
      <w:r w:rsidR="00456C61" w:rsidRPr="003C0338">
        <w:rPr>
          <w:b/>
          <w:i/>
          <w:sz w:val="22"/>
          <w:szCs w:val="22"/>
        </w:rPr>
        <w:t>027.389/2012-0</w:t>
      </w:r>
      <w:r w:rsidR="00723840" w:rsidRPr="003C0338">
        <w:rPr>
          <w:b/>
          <w:i/>
          <w:sz w:val="22"/>
          <w:szCs w:val="22"/>
        </w:rPr>
        <w:t xml:space="preserve">, rel. Min. </w:t>
      </w:r>
      <w:r w:rsidR="00456C61" w:rsidRPr="003C0338">
        <w:rPr>
          <w:b/>
          <w:i/>
          <w:sz w:val="22"/>
          <w:szCs w:val="22"/>
        </w:rPr>
        <w:t>Raimundo Carreiro</w:t>
      </w:r>
      <w:r w:rsidR="001652EB">
        <w:rPr>
          <w:b/>
          <w:i/>
          <w:sz w:val="22"/>
          <w:szCs w:val="22"/>
        </w:rPr>
        <w:t>, 24.10.2012</w:t>
      </w:r>
      <w:r w:rsidR="00467509">
        <w:rPr>
          <w:b/>
          <w:i/>
          <w:sz w:val="22"/>
          <w:szCs w:val="22"/>
        </w:rPr>
        <w:t>.</w:t>
      </w:r>
    </w:p>
    <w:p w:rsidR="000B3015" w:rsidRPr="007D3F48" w:rsidRDefault="000B3015" w:rsidP="004930B3">
      <w:pPr>
        <w:pStyle w:val="Default"/>
        <w:jc w:val="both"/>
        <w:rPr>
          <w:sz w:val="22"/>
          <w:szCs w:val="22"/>
        </w:rPr>
      </w:pPr>
    </w:p>
    <w:p w:rsidR="0066419E" w:rsidRPr="003C0338" w:rsidRDefault="008E4E55" w:rsidP="0066419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F3B0D">
        <w:rPr>
          <w:b/>
          <w:sz w:val="22"/>
          <w:szCs w:val="22"/>
        </w:rPr>
        <w:t>O impedimento d</w:t>
      </w:r>
      <w:r w:rsidR="006F024E">
        <w:rPr>
          <w:b/>
          <w:sz w:val="22"/>
          <w:szCs w:val="22"/>
        </w:rPr>
        <w:t>e</w:t>
      </w:r>
      <w:r w:rsidR="0066419E" w:rsidRPr="003C0338">
        <w:rPr>
          <w:b/>
          <w:sz w:val="22"/>
          <w:szCs w:val="22"/>
        </w:rPr>
        <w:t xml:space="preserve"> </w:t>
      </w:r>
      <w:r w:rsidR="003F3B0D">
        <w:rPr>
          <w:b/>
          <w:sz w:val="22"/>
          <w:szCs w:val="22"/>
        </w:rPr>
        <w:t>participação de</w:t>
      </w:r>
      <w:r w:rsidR="0066419E" w:rsidRPr="003C0338">
        <w:rPr>
          <w:b/>
          <w:sz w:val="22"/>
          <w:szCs w:val="22"/>
        </w:rPr>
        <w:t xml:space="preserve"> consórcio</w:t>
      </w:r>
      <w:r w:rsidR="003F3B0D">
        <w:rPr>
          <w:b/>
          <w:sz w:val="22"/>
          <w:szCs w:val="22"/>
        </w:rPr>
        <w:t>s</w:t>
      </w:r>
      <w:r w:rsidR="0066419E" w:rsidRPr="003C0338">
        <w:rPr>
          <w:b/>
          <w:sz w:val="22"/>
          <w:szCs w:val="22"/>
        </w:rPr>
        <w:t xml:space="preserve"> de empresa</w:t>
      </w:r>
      <w:r w:rsidR="00351609">
        <w:rPr>
          <w:b/>
          <w:sz w:val="22"/>
          <w:szCs w:val="22"/>
        </w:rPr>
        <w:t>s</w:t>
      </w:r>
      <w:r w:rsidR="0066419E" w:rsidRPr="003C0338">
        <w:rPr>
          <w:b/>
          <w:sz w:val="22"/>
          <w:szCs w:val="22"/>
        </w:rPr>
        <w:t xml:space="preserve"> </w:t>
      </w:r>
      <w:r w:rsidR="003F3B0D">
        <w:rPr>
          <w:b/>
          <w:sz w:val="22"/>
          <w:szCs w:val="22"/>
        </w:rPr>
        <w:t xml:space="preserve">em </w:t>
      </w:r>
      <w:r w:rsidR="0066419E" w:rsidRPr="003C0338">
        <w:rPr>
          <w:b/>
          <w:sz w:val="22"/>
          <w:szCs w:val="22"/>
        </w:rPr>
        <w:t xml:space="preserve">licitação </w:t>
      </w:r>
      <w:r w:rsidR="003F3B0D">
        <w:rPr>
          <w:b/>
          <w:sz w:val="22"/>
          <w:szCs w:val="22"/>
        </w:rPr>
        <w:t xml:space="preserve">de </w:t>
      </w:r>
      <w:r w:rsidR="0066419E" w:rsidRPr="003C0338">
        <w:rPr>
          <w:b/>
          <w:sz w:val="22"/>
          <w:szCs w:val="22"/>
        </w:rPr>
        <w:t>obra de elevada complexidade e grande vulto</w:t>
      </w:r>
      <w:r w:rsidR="003F3B0D">
        <w:rPr>
          <w:b/>
          <w:sz w:val="22"/>
          <w:szCs w:val="22"/>
        </w:rPr>
        <w:t xml:space="preserve"> restringe o caráter competitivo do certame</w:t>
      </w:r>
    </w:p>
    <w:p w:rsidR="0066419E" w:rsidRDefault="0066419E" w:rsidP="0066419E">
      <w:pPr>
        <w:pStyle w:val="Default"/>
        <w:jc w:val="both"/>
        <w:rPr>
          <w:b/>
          <w:i/>
          <w:sz w:val="22"/>
          <w:szCs w:val="22"/>
        </w:rPr>
      </w:pPr>
      <w:r w:rsidRPr="003C0338">
        <w:rPr>
          <w:sz w:val="22"/>
          <w:szCs w:val="22"/>
        </w:rPr>
        <w:t xml:space="preserve">Representação de empresa apontou possíveis irregularidades na condução da Concorrência n.º 001/2012 pela Secretaria do Meio Ambiente e Recursos Hídricos do Governo do Estado do Piauí – Semar/PI, visando </w:t>
      </w:r>
      <w:r>
        <w:rPr>
          <w:sz w:val="22"/>
          <w:szCs w:val="22"/>
        </w:rPr>
        <w:t>à</w:t>
      </w:r>
      <w:r w:rsidRPr="003C0338">
        <w:rPr>
          <w:sz w:val="22"/>
          <w:szCs w:val="22"/>
        </w:rPr>
        <w:t xml:space="preserve"> contratação de empresa para execução das obras do sistema adutor Bocaina/Piaus II, no valor estimado de R$ 76,9 milhões. Entre as impugnações efetuadas, destaque-se a proibição de participação de empresas em consórcio (item 3.4 do edital). Ao se debruçar sobre as justificativas apresentadas pelos gestores, o relator, em linha de consonância com a unidade técnica, destacou que tal vedação “</w:t>
      </w:r>
      <w:r w:rsidRPr="003C0338">
        <w:rPr>
          <w:i/>
          <w:sz w:val="22"/>
          <w:szCs w:val="22"/>
        </w:rPr>
        <w:t>não encontra respaldo na jurisprudência deste Tribunal, segundo a qual, nos casos de obras de grande complexidade e relevante vulto, deve ser sempre admitida a união de esforços entre empresas como forma de suprir as condições de habilitação, as quais, isoladamente, não teriam como fazê-lo</w:t>
      </w:r>
      <w:r w:rsidRPr="003C0338">
        <w:rPr>
          <w:sz w:val="22"/>
          <w:szCs w:val="22"/>
        </w:rPr>
        <w:t>”. Ponderou que determinadas empresas, “</w:t>
      </w:r>
      <w:r w:rsidRPr="003C0338">
        <w:rPr>
          <w:i/>
          <w:iCs/>
          <w:sz w:val="22"/>
          <w:szCs w:val="22"/>
        </w:rPr>
        <w:t>apesar de possuírem competência e capacidade operacional na sua área de atuação, necessitam se associar a outras empresas para a execução de serviços dos quais não detém expertise, mas que são indispensáveis para que alcancem seu nicho de mercado ...</w:t>
      </w:r>
      <w:r w:rsidRPr="003C0338">
        <w:rPr>
          <w:iCs/>
          <w:sz w:val="22"/>
          <w:szCs w:val="22"/>
        </w:rPr>
        <w:t xml:space="preserve">”. </w:t>
      </w:r>
      <w:r>
        <w:rPr>
          <w:iCs/>
          <w:sz w:val="22"/>
          <w:szCs w:val="22"/>
        </w:rPr>
        <w:t>A</w:t>
      </w:r>
      <w:r w:rsidRPr="003C0338">
        <w:rPr>
          <w:iCs/>
          <w:sz w:val="22"/>
          <w:szCs w:val="22"/>
        </w:rPr>
        <w:t xml:space="preserve">notou que, no caso concreto, </w:t>
      </w:r>
      <w:r w:rsidRPr="003C0338">
        <w:rPr>
          <w:sz w:val="22"/>
          <w:szCs w:val="22"/>
        </w:rPr>
        <w:t xml:space="preserve">somente quatro empresas participaram da licitação, </w:t>
      </w:r>
      <w:r>
        <w:rPr>
          <w:sz w:val="22"/>
          <w:szCs w:val="22"/>
        </w:rPr>
        <w:t xml:space="preserve">sendo que </w:t>
      </w:r>
      <w:r w:rsidRPr="003C0338">
        <w:rPr>
          <w:sz w:val="22"/>
          <w:szCs w:val="22"/>
        </w:rPr>
        <w:t xml:space="preserve">apenas duas foram habilitadas. </w:t>
      </w:r>
      <w:r w:rsidR="00351609">
        <w:rPr>
          <w:sz w:val="22"/>
          <w:szCs w:val="22"/>
        </w:rPr>
        <w:t xml:space="preserve">E que </w:t>
      </w:r>
      <w:r w:rsidRPr="003C0338">
        <w:rPr>
          <w:sz w:val="22"/>
          <w:szCs w:val="22"/>
        </w:rPr>
        <w:t xml:space="preserve">a variedade de competências exigidas para execução do objeto limitou a participação de empresas no certame. </w:t>
      </w:r>
      <w:r w:rsidR="00351609">
        <w:rPr>
          <w:sz w:val="22"/>
          <w:szCs w:val="22"/>
        </w:rPr>
        <w:t xml:space="preserve">Endossou </w:t>
      </w:r>
      <w:r w:rsidRPr="003C0338">
        <w:rPr>
          <w:sz w:val="22"/>
          <w:szCs w:val="22"/>
        </w:rPr>
        <w:t xml:space="preserve">as considerações da unidade técnica, no sentido de </w:t>
      </w:r>
      <w:r>
        <w:rPr>
          <w:sz w:val="22"/>
          <w:szCs w:val="22"/>
        </w:rPr>
        <w:t xml:space="preserve">que </w:t>
      </w:r>
      <w:r w:rsidRPr="003C0338">
        <w:rPr>
          <w:sz w:val="22"/>
          <w:szCs w:val="22"/>
        </w:rPr>
        <w:t>empresas com experiência em implantação de adutoras, embora tenham condições de comprovar a capacidade técnica exigida pelo edital, talvez não tenham condições de executar isoladamente o objeto licitado.</w:t>
      </w:r>
      <w:r w:rsidR="00610A2A">
        <w:rPr>
          <w:sz w:val="22"/>
          <w:szCs w:val="22"/>
        </w:rPr>
        <w:t xml:space="preserve"> </w:t>
      </w:r>
      <w:r w:rsidRPr="003C0338">
        <w:rPr>
          <w:sz w:val="22"/>
          <w:szCs w:val="22"/>
        </w:rPr>
        <w:t>O Tribunal, então, ao acolher proposta do relator, decidiu: a) fixar prazo para que a Semar/PI adote as medidas necessárias à anulação da Concorrência n.º 01/2012-Semar/PI; b) determinar à Semar/PI que, em futuros certames, admitida a formação de consórcio quando o objeto do certame “</w:t>
      </w:r>
      <w:r w:rsidRPr="003C0338">
        <w:rPr>
          <w:i/>
          <w:sz w:val="22"/>
          <w:szCs w:val="22"/>
        </w:rPr>
        <w:t>envolver questões de alta complexidade e de relevante vulto, em que empresas, isoladamente, não tenham condições de suprir os requisitos de habilitação do edital, com vistas à ampliação da competitividade e à obtenção da proposta mais vantajosa, em atendimento ao art. 3º, § 1º, inciso I, da Lei 8.666/1993</w:t>
      </w:r>
      <w:r>
        <w:rPr>
          <w:sz w:val="22"/>
          <w:szCs w:val="22"/>
        </w:rPr>
        <w:t>...”</w:t>
      </w:r>
      <w:r w:rsidRPr="003C0338">
        <w:rPr>
          <w:sz w:val="22"/>
          <w:szCs w:val="22"/>
        </w:rPr>
        <w:t>.</w:t>
      </w:r>
      <w:r>
        <w:rPr>
          <w:sz w:val="22"/>
          <w:szCs w:val="22"/>
        </w:rPr>
        <w:t xml:space="preserve"> Precedentes </w:t>
      </w:r>
      <w:r w:rsidRPr="00610A2A">
        <w:rPr>
          <w:sz w:val="22"/>
          <w:szCs w:val="22"/>
        </w:rPr>
        <w:t>mencionados: Acórdãos 22/2003, 1094/2004, 1672/2006 e 1417/2008, todos do Plenário</w:t>
      </w:r>
      <w:r w:rsidR="00610A2A">
        <w:rPr>
          <w:sz w:val="22"/>
          <w:szCs w:val="22"/>
        </w:rPr>
        <w:t xml:space="preserve">. </w:t>
      </w:r>
      <w:r w:rsidRPr="003C0338">
        <w:rPr>
          <w:b/>
          <w:i/>
          <w:sz w:val="22"/>
          <w:szCs w:val="22"/>
        </w:rPr>
        <w:t>Acórdão n.º 2898/2012-Plenário, TC-026.382/2012-1, rel. Min. José Jorge</w:t>
      </w:r>
      <w:r w:rsidR="001652EB">
        <w:rPr>
          <w:b/>
          <w:i/>
          <w:sz w:val="22"/>
          <w:szCs w:val="22"/>
        </w:rPr>
        <w:t>, 24.10.2012.</w:t>
      </w:r>
      <w:r w:rsidR="00656E06">
        <w:rPr>
          <w:b/>
          <w:i/>
          <w:sz w:val="22"/>
          <w:szCs w:val="22"/>
        </w:rPr>
        <w:t xml:space="preserve"> </w:t>
      </w:r>
    </w:p>
    <w:p w:rsidR="00656E06" w:rsidRPr="003C0338" w:rsidRDefault="00656E06" w:rsidP="0066419E">
      <w:pPr>
        <w:pStyle w:val="Default"/>
        <w:jc w:val="both"/>
        <w:rPr>
          <w:b/>
          <w:i/>
          <w:sz w:val="22"/>
          <w:szCs w:val="22"/>
        </w:rPr>
      </w:pPr>
    </w:p>
    <w:p w:rsidR="004F50EE" w:rsidRPr="003C0338" w:rsidRDefault="006F024E" w:rsidP="0023778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F50EE" w:rsidRPr="003C0338">
        <w:rPr>
          <w:b/>
          <w:sz w:val="22"/>
          <w:szCs w:val="22"/>
        </w:rPr>
        <w:t>É indevida a adoção de desconto linear como critérios de aceitabilidade de preços e de julgamento</w:t>
      </w:r>
      <w:r w:rsidR="00237789" w:rsidRPr="003C0338">
        <w:rPr>
          <w:b/>
          <w:sz w:val="22"/>
          <w:szCs w:val="22"/>
        </w:rPr>
        <w:t xml:space="preserve"> das propostas</w:t>
      </w:r>
      <w:r w:rsidR="004F50EE" w:rsidRPr="003C0338">
        <w:rPr>
          <w:b/>
          <w:sz w:val="22"/>
          <w:szCs w:val="22"/>
        </w:rPr>
        <w:t xml:space="preserve">, salvo quando o objeto </w:t>
      </w:r>
      <w:r w:rsidR="0066419E">
        <w:rPr>
          <w:b/>
          <w:sz w:val="22"/>
          <w:szCs w:val="22"/>
        </w:rPr>
        <w:t xml:space="preserve">do certame </w:t>
      </w:r>
      <w:r w:rsidR="004F50EE" w:rsidRPr="003C0338">
        <w:rPr>
          <w:b/>
          <w:sz w:val="22"/>
          <w:szCs w:val="22"/>
        </w:rPr>
        <w:t>abranger itens homogêneos e sujeitos a controle de preços, como os exemplificados no art. 9º, § 1º, do Decreto nº 3.931/2001</w:t>
      </w:r>
    </w:p>
    <w:p w:rsidR="00333005" w:rsidRPr="003C0338" w:rsidRDefault="00AB0EAC" w:rsidP="00333005">
      <w:pPr>
        <w:pStyle w:val="Default"/>
        <w:jc w:val="both"/>
        <w:rPr>
          <w:b/>
          <w:sz w:val="22"/>
          <w:szCs w:val="22"/>
        </w:rPr>
      </w:pPr>
      <w:r w:rsidRPr="003C0338">
        <w:rPr>
          <w:sz w:val="22"/>
          <w:szCs w:val="22"/>
        </w:rPr>
        <w:t>Representação de empresa acusou possíveis irregularidades na condução de pregão presencial pelo Sebrae no Rio de Janeiro (processo licitatório nº 012/2012)</w:t>
      </w:r>
      <w:r w:rsidR="00366735" w:rsidRPr="003C0338">
        <w:rPr>
          <w:sz w:val="22"/>
          <w:szCs w:val="22"/>
        </w:rPr>
        <w:t>,</w:t>
      </w:r>
      <w:r w:rsidRPr="003C0338">
        <w:rPr>
          <w:sz w:val="22"/>
          <w:szCs w:val="22"/>
        </w:rPr>
        <w:t xml:space="preserve"> visando à contratação de empresa para a prestação de serviços relacionados à promoção de eventos</w:t>
      </w:r>
      <w:r w:rsidR="00625B38" w:rsidRPr="003C0338">
        <w:rPr>
          <w:sz w:val="22"/>
          <w:szCs w:val="22"/>
        </w:rPr>
        <w:t xml:space="preserve">. A autora da representação questionou a legalidade da cláusula contida no item </w:t>
      </w:r>
      <w:r w:rsidRPr="003C0338">
        <w:rPr>
          <w:sz w:val="22"/>
          <w:szCs w:val="22"/>
        </w:rPr>
        <w:t xml:space="preserve">7.2 do edital, que </w:t>
      </w:r>
      <w:r w:rsidR="00625B38" w:rsidRPr="003C0338">
        <w:rPr>
          <w:sz w:val="22"/>
          <w:szCs w:val="22"/>
        </w:rPr>
        <w:t xml:space="preserve">estipulou </w:t>
      </w:r>
      <w:r w:rsidRPr="003C0338">
        <w:rPr>
          <w:sz w:val="22"/>
          <w:szCs w:val="22"/>
        </w:rPr>
        <w:t>critério de aceitabilidade dos preços</w:t>
      </w:r>
      <w:r w:rsidR="00625B38" w:rsidRPr="003C0338">
        <w:rPr>
          <w:sz w:val="22"/>
          <w:szCs w:val="22"/>
        </w:rPr>
        <w:t xml:space="preserve">: </w:t>
      </w:r>
      <w:r w:rsidRPr="003C0338">
        <w:rPr>
          <w:sz w:val="22"/>
          <w:szCs w:val="22"/>
        </w:rPr>
        <w:t>“</w:t>
      </w:r>
      <w:r w:rsidRPr="003C0338">
        <w:rPr>
          <w:i/>
          <w:iCs/>
          <w:sz w:val="22"/>
          <w:szCs w:val="22"/>
        </w:rPr>
        <w:t xml:space="preserve">7.2 As empresas participantes deverão aplicar a </w:t>
      </w:r>
      <w:r w:rsidRPr="003C0338">
        <w:rPr>
          <w:i/>
          <w:iCs/>
          <w:sz w:val="22"/>
          <w:szCs w:val="22"/>
          <w:u w:val="single"/>
        </w:rPr>
        <w:t>redução proporcional em todos os itens apresentados em sua Planilha de Preços, exceto nas taxas de administração, que não poderão ser alteradas</w:t>
      </w:r>
      <w:r w:rsidRPr="003C0338">
        <w:rPr>
          <w:i/>
          <w:iCs/>
          <w:sz w:val="22"/>
          <w:szCs w:val="22"/>
        </w:rPr>
        <w:t>.</w:t>
      </w:r>
      <w:r w:rsidRPr="003C0338">
        <w:rPr>
          <w:sz w:val="22"/>
          <w:szCs w:val="22"/>
        </w:rPr>
        <w:t>”</w:t>
      </w:r>
      <w:r w:rsidR="00333005" w:rsidRPr="003C0338">
        <w:rPr>
          <w:sz w:val="22"/>
          <w:szCs w:val="22"/>
        </w:rPr>
        <w:t xml:space="preserve"> </w:t>
      </w:r>
      <w:r w:rsidR="00625B38" w:rsidRPr="003C0338">
        <w:rPr>
          <w:sz w:val="22"/>
          <w:szCs w:val="22"/>
        </w:rPr>
        <w:t>E também da que</w:t>
      </w:r>
      <w:r w:rsidRPr="003C0338">
        <w:rPr>
          <w:sz w:val="22"/>
          <w:szCs w:val="22"/>
        </w:rPr>
        <w:t xml:space="preserve"> </w:t>
      </w:r>
      <w:r w:rsidR="00625B38" w:rsidRPr="003C0338">
        <w:rPr>
          <w:sz w:val="22"/>
          <w:szCs w:val="22"/>
        </w:rPr>
        <w:t xml:space="preserve">estabeleceu critério de </w:t>
      </w:r>
      <w:r w:rsidRPr="003C0338">
        <w:rPr>
          <w:sz w:val="22"/>
          <w:szCs w:val="22"/>
        </w:rPr>
        <w:t>julgamento das propostas</w:t>
      </w:r>
      <w:r w:rsidR="00625B38" w:rsidRPr="003C0338">
        <w:rPr>
          <w:sz w:val="22"/>
          <w:szCs w:val="22"/>
        </w:rPr>
        <w:t>:</w:t>
      </w:r>
      <w:r w:rsidRPr="003C0338">
        <w:rPr>
          <w:sz w:val="22"/>
          <w:szCs w:val="22"/>
        </w:rPr>
        <w:t xml:space="preserve"> “</w:t>
      </w:r>
      <w:r w:rsidRPr="003C0338">
        <w:rPr>
          <w:i/>
          <w:iCs/>
          <w:sz w:val="22"/>
          <w:szCs w:val="22"/>
        </w:rPr>
        <w:t xml:space="preserve">8.15 A licitante vencedora revisará e reapresentará a Proposta de Preço e a Planilha de Preços, em função da oferta de lances por ela realizada, durante a sessão do Pregão Presencial. </w:t>
      </w:r>
      <w:r w:rsidRPr="003C0338">
        <w:rPr>
          <w:i/>
          <w:iCs/>
          <w:sz w:val="22"/>
          <w:szCs w:val="22"/>
          <w:u w:val="single"/>
        </w:rPr>
        <w:t>O mesmo percentual correspondente à redução do valor total deverá ser aplicado a todos os itens, exceto nas taxas de administração, que não poderão ser alteradas</w:t>
      </w:r>
      <w:r w:rsidRPr="003C0338">
        <w:rPr>
          <w:i/>
          <w:iCs/>
          <w:sz w:val="22"/>
          <w:szCs w:val="22"/>
        </w:rPr>
        <w:t>.</w:t>
      </w:r>
      <w:r w:rsidRPr="003C0338">
        <w:rPr>
          <w:sz w:val="22"/>
          <w:szCs w:val="22"/>
        </w:rPr>
        <w:t>”</w:t>
      </w:r>
      <w:r w:rsidR="00A7377A" w:rsidRPr="003C0338">
        <w:rPr>
          <w:sz w:val="22"/>
          <w:szCs w:val="22"/>
        </w:rPr>
        <w:t xml:space="preserve"> – grifos da representante. </w:t>
      </w:r>
      <w:r w:rsidRPr="003C0338">
        <w:rPr>
          <w:sz w:val="22"/>
          <w:szCs w:val="22"/>
        </w:rPr>
        <w:t xml:space="preserve"> </w:t>
      </w:r>
      <w:r w:rsidR="00625B38" w:rsidRPr="003C0338">
        <w:rPr>
          <w:sz w:val="22"/>
          <w:szCs w:val="22"/>
        </w:rPr>
        <w:t xml:space="preserve">Argumentou que </w:t>
      </w:r>
      <w:r w:rsidR="00A7377A" w:rsidRPr="003C0338">
        <w:rPr>
          <w:sz w:val="22"/>
          <w:szCs w:val="22"/>
        </w:rPr>
        <w:t xml:space="preserve">a exigência de </w:t>
      </w:r>
      <w:r w:rsidRPr="003C0338">
        <w:rPr>
          <w:sz w:val="22"/>
          <w:szCs w:val="22"/>
        </w:rPr>
        <w:t>desconto linear</w:t>
      </w:r>
      <w:r w:rsidR="00A7377A" w:rsidRPr="003C0338">
        <w:rPr>
          <w:sz w:val="22"/>
          <w:szCs w:val="22"/>
        </w:rPr>
        <w:t xml:space="preserve"> afronta entendimento do Tribunal revelado por meio do Acórdão nº 1700/2007 – Plenário. O relator</w:t>
      </w:r>
      <w:r w:rsidR="00C904F9" w:rsidRPr="003C0338">
        <w:rPr>
          <w:sz w:val="22"/>
          <w:szCs w:val="22"/>
        </w:rPr>
        <w:t>, ao examinar tal argumento, reconheceu que “</w:t>
      </w:r>
      <w:r w:rsidRPr="003C0338">
        <w:rPr>
          <w:i/>
          <w:sz w:val="22"/>
          <w:szCs w:val="22"/>
        </w:rPr>
        <w:t>o requisito do desconto linear, que seja igual para todo e qualquer item da planilha, peca por compelir as licitantes a comporem seus preços artificialmente, sem que haja correspondência com a indicação do mercado</w:t>
      </w:r>
      <w:r w:rsidR="00C904F9" w:rsidRPr="003C0338">
        <w:rPr>
          <w:sz w:val="22"/>
          <w:szCs w:val="22"/>
        </w:rPr>
        <w:t>”</w:t>
      </w:r>
      <w:r w:rsidRPr="003C0338">
        <w:rPr>
          <w:sz w:val="22"/>
          <w:szCs w:val="22"/>
        </w:rPr>
        <w:t xml:space="preserve">. </w:t>
      </w:r>
      <w:r w:rsidR="00C904F9" w:rsidRPr="003C0338">
        <w:rPr>
          <w:sz w:val="22"/>
          <w:szCs w:val="22"/>
        </w:rPr>
        <w:t>Isso dificulta a</w:t>
      </w:r>
      <w:r w:rsidRPr="003C0338">
        <w:rPr>
          <w:sz w:val="22"/>
          <w:szCs w:val="22"/>
        </w:rPr>
        <w:t xml:space="preserve"> elaboração das propostas, </w:t>
      </w:r>
      <w:r w:rsidR="00C904F9" w:rsidRPr="003C0338">
        <w:rPr>
          <w:sz w:val="22"/>
          <w:szCs w:val="22"/>
        </w:rPr>
        <w:t>“</w:t>
      </w:r>
      <w:r w:rsidRPr="003C0338">
        <w:rPr>
          <w:i/>
          <w:sz w:val="22"/>
          <w:szCs w:val="22"/>
        </w:rPr>
        <w:t>pois as empresas terão que encontrar um desconto médio, que equilibre os itens a serem vendidos abaixo e acima do preço real, ou simplesmente irão fixar o menor desconto entre todos os itens como o máximo a se oferecer</w:t>
      </w:r>
      <w:r w:rsidR="00C904F9" w:rsidRPr="003C0338">
        <w:rPr>
          <w:sz w:val="22"/>
          <w:szCs w:val="22"/>
        </w:rPr>
        <w:t>”</w:t>
      </w:r>
      <w:r w:rsidRPr="003C0338">
        <w:rPr>
          <w:sz w:val="22"/>
          <w:szCs w:val="22"/>
        </w:rPr>
        <w:t>.</w:t>
      </w:r>
      <w:r w:rsidR="00C904F9" w:rsidRPr="003C0338">
        <w:rPr>
          <w:sz w:val="22"/>
          <w:szCs w:val="22"/>
        </w:rPr>
        <w:t xml:space="preserve"> Ressaltou, contudo, que o critério do d</w:t>
      </w:r>
      <w:r w:rsidR="00C904F9" w:rsidRPr="003C0338">
        <w:rPr>
          <w:color w:val="auto"/>
          <w:sz w:val="22"/>
          <w:szCs w:val="22"/>
        </w:rPr>
        <w:t>esconto linear não agride frontalmente nenhuma norma legal</w:t>
      </w:r>
      <w:r w:rsidR="00366735" w:rsidRPr="003C0338">
        <w:rPr>
          <w:color w:val="auto"/>
          <w:sz w:val="22"/>
          <w:szCs w:val="22"/>
        </w:rPr>
        <w:t xml:space="preserve"> e</w:t>
      </w:r>
      <w:r w:rsidR="00691895" w:rsidRPr="003C0338">
        <w:rPr>
          <w:color w:val="auto"/>
          <w:sz w:val="22"/>
          <w:szCs w:val="22"/>
        </w:rPr>
        <w:t xml:space="preserve"> que a censura a tal critério decorre de “</w:t>
      </w:r>
      <w:r w:rsidR="00691895" w:rsidRPr="003C0338">
        <w:rPr>
          <w:i/>
          <w:color w:val="auto"/>
          <w:sz w:val="22"/>
          <w:szCs w:val="22"/>
        </w:rPr>
        <w:t>interpretação sistêmica das leis de licitação em conjunto com o princípio do livre mercado</w:t>
      </w:r>
      <w:r w:rsidR="00691895" w:rsidRPr="003C0338">
        <w:rPr>
          <w:color w:val="auto"/>
          <w:sz w:val="22"/>
          <w:szCs w:val="22"/>
        </w:rPr>
        <w:t xml:space="preserve">, </w:t>
      </w:r>
      <w:r w:rsidR="00691895" w:rsidRPr="003C0338">
        <w:rPr>
          <w:i/>
          <w:color w:val="auto"/>
          <w:sz w:val="22"/>
          <w:szCs w:val="22"/>
        </w:rPr>
        <w:t>conforme se extrai dos poucos acórdãos desta Corte</w:t>
      </w:r>
      <w:r w:rsidR="00691895" w:rsidRPr="003C0338">
        <w:rPr>
          <w:color w:val="auto"/>
          <w:sz w:val="22"/>
          <w:szCs w:val="22"/>
        </w:rPr>
        <w:t>”.</w:t>
      </w:r>
      <w:r w:rsidR="00C904F9" w:rsidRPr="003C0338">
        <w:rPr>
          <w:color w:val="auto"/>
          <w:sz w:val="22"/>
          <w:szCs w:val="22"/>
        </w:rPr>
        <w:t xml:space="preserve"> Observou, inclusive, que a legislação o admite em licitações para aquisição de “</w:t>
      </w:r>
      <w:r w:rsidR="00C904F9" w:rsidRPr="003C0338">
        <w:rPr>
          <w:i/>
          <w:color w:val="auto"/>
          <w:sz w:val="22"/>
          <w:szCs w:val="22"/>
        </w:rPr>
        <w:t>itens homogêneos e sujeitos a controle de preços, como consta do art. 9º, § 1º, do Decreto nº 3.931/2001</w:t>
      </w:r>
      <w:r w:rsidR="00C904F9" w:rsidRPr="003C0338">
        <w:rPr>
          <w:color w:val="auto"/>
          <w:sz w:val="22"/>
          <w:szCs w:val="22"/>
        </w:rPr>
        <w:t>”.</w:t>
      </w:r>
      <w:r w:rsidR="00691895" w:rsidRPr="003C0338">
        <w:rPr>
          <w:color w:val="auto"/>
          <w:sz w:val="22"/>
          <w:szCs w:val="22"/>
        </w:rPr>
        <w:t xml:space="preserve"> Em seguida, a despeito de concluir </w:t>
      </w:r>
      <w:r w:rsidR="00237789" w:rsidRPr="003C0338">
        <w:rPr>
          <w:color w:val="auto"/>
          <w:sz w:val="22"/>
          <w:szCs w:val="22"/>
        </w:rPr>
        <w:t>pela ilegalidade das citadas cláusulas</w:t>
      </w:r>
      <w:r w:rsidR="00691895" w:rsidRPr="003C0338">
        <w:rPr>
          <w:color w:val="auto"/>
          <w:sz w:val="22"/>
          <w:szCs w:val="22"/>
        </w:rPr>
        <w:t xml:space="preserve">, </w:t>
      </w:r>
      <w:r w:rsidR="00366735" w:rsidRPr="003C0338">
        <w:rPr>
          <w:color w:val="auto"/>
          <w:sz w:val="22"/>
          <w:szCs w:val="22"/>
        </w:rPr>
        <w:t xml:space="preserve">registrou </w:t>
      </w:r>
      <w:r w:rsidR="00691895" w:rsidRPr="003C0338">
        <w:rPr>
          <w:color w:val="auto"/>
          <w:sz w:val="22"/>
          <w:szCs w:val="22"/>
        </w:rPr>
        <w:t>que, no caso concreto, d</w:t>
      </w:r>
      <w:r w:rsidR="006F024E">
        <w:rPr>
          <w:color w:val="auto"/>
          <w:sz w:val="22"/>
          <w:szCs w:val="22"/>
        </w:rPr>
        <w:t>el</w:t>
      </w:r>
      <w:r w:rsidR="00237789" w:rsidRPr="003C0338">
        <w:rPr>
          <w:color w:val="auto"/>
          <w:sz w:val="22"/>
          <w:szCs w:val="22"/>
        </w:rPr>
        <w:t>a</w:t>
      </w:r>
      <w:r w:rsidR="00691895" w:rsidRPr="003C0338">
        <w:rPr>
          <w:color w:val="auto"/>
          <w:sz w:val="22"/>
          <w:szCs w:val="22"/>
        </w:rPr>
        <w:t xml:space="preserve"> não resultou restrição à competitividade do certame</w:t>
      </w:r>
      <w:r w:rsidR="002523CF" w:rsidRPr="003C0338">
        <w:rPr>
          <w:color w:val="auto"/>
          <w:sz w:val="22"/>
          <w:szCs w:val="22"/>
        </w:rPr>
        <w:t xml:space="preserve">, nem outro prejuízo sensível. O Tribunal, então, </w:t>
      </w:r>
      <w:r w:rsidR="006057C2" w:rsidRPr="003C0338">
        <w:rPr>
          <w:color w:val="auto"/>
          <w:sz w:val="22"/>
          <w:szCs w:val="22"/>
        </w:rPr>
        <w:t xml:space="preserve">ao acolher proposta do relator, </w:t>
      </w:r>
      <w:r w:rsidR="002523CF" w:rsidRPr="003C0338">
        <w:rPr>
          <w:color w:val="auto"/>
          <w:sz w:val="22"/>
          <w:szCs w:val="22"/>
        </w:rPr>
        <w:t>decidiu</w:t>
      </w:r>
      <w:r w:rsidR="006057C2" w:rsidRPr="003C0338">
        <w:rPr>
          <w:color w:val="auto"/>
          <w:sz w:val="22"/>
          <w:szCs w:val="22"/>
        </w:rPr>
        <w:t>:</w:t>
      </w:r>
      <w:r w:rsidR="002523CF" w:rsidRPr="003C0338">
        <w:rPr>
          <w:color w:val="auto"/>
          <w:sz w:val="22"/>
          <w:szCs w:val="22"/>
        </w:rPr>
        <w:t xml:space="preserve"> </w:t>
      </w:r>
      <w:r w:rsidR="006057C2" w:rsidRPr="003C0338">
        <w:rPr>
          <w:color w:val="auto"/>
          <w:sz w:val="22"/>
          <w:szCs w:val="22"/>
        </w:rPr>
        <w:t xml:space="preserve">a) </w:t>
      </w:r>
      <w:r w:rsidR="002523CF" w:rsidRPr="003C0338">
        <w:rPr>
          <w:sz w:val="22"/>
          <w:szCs w:val="22"/>
        </w:rPr>
        <w:t>conhecer a representação</w:t>
      </w:r>
      <w:r w:rsidR="006057C2" w:rsidRPr="003C0338">
        <w:rPr>
          <w:sz w:val="22"/>
          <w:szCs w:val="22"/>
        </w:rPr>
        <w:t xml:space="preserve">; b) julgá-la parcialmente </w:t>
      </w:r>
      <w:r w:rsidR="002523CF" w:rsidRPr="003C0338">
        <w:rPr>
          <w:sz w:val="22"/>
          <w:szCs w:val="22"/>
        </w:rPr>
        <w:t>procedente</w:t>
      </w:r>
      <w:r w:rsidR="006057C2" w:rsidRPr="003C0338">
        <w:rPr>
          <w:sz w:val="22"/>
          <w:szCs w:val="22"/>
        </w:rPr>
        <w:t xml:space="preserve">; c) indeferir o pedido de </w:t>
      </w:r>
      <w:r w:rsidR="002523CF" w:rsidRPr="003C0338">
        <w:rPr>
          <w:sz w:val="22"/>
          <w:szCs w:val="22"/>
        </w:rPr>
        <w:t xml:space="preserve">anulação do </w:t>
      </w:r>
      <w:r w:rsidR="006057C2" w:rsidRPr="003C0338">
        <w:rPr>
          <w:sz w:val="22"/>
          <w:szCs w:val="22"/>
        </w:rPr>
        <w:t>certame</w:t>
      </w:r>
      <w:r w:rsidR="002523CF" w:rsidRPr="003C0338">
        <w:rPr>
          <w:sz w:val="22"/>
          <w:szCs w:val="22"/>
        </w:rPr>
        <w:t xml:space="preserve">; </w:t>
      </w:r>
      <w:r w:rsidR="006057C2" w:rsidRPr="003C0338">
        <w:rPr>
          <w:sz w:val="22"/>
          <w:szCs w:val="22"/>
        </w:rPr>
        <w:t xml:space="preserve">d) determinar </w:t>
      </w:r>
      <w:r w:rsidR="002523CF" w:rsidRPr="003C0338">
        <w:rPr>
          <w:sz w:val="22"/>
          <w:szCs w:val="22"/>
        </w:rPr>
        <w:t>ao Sebrae/RJ que</w:t>
      </w:r>
      <w:r w:rsidR="006057C2" w:rsidRPr="003C0338">
        <w:rPr>
          <w:sz w:val="22"/>
          <w:szCs w:val="22"/>
        </w:rPr>
        <w:t xml:space="preserve">, em suas </w:t>
      </w:r>
      <w:r w:rsidR="002523CF" w:rsidRPr="003C0338">
        <w:rPr>
          <w:sz w:val="22"/>
          <w:szCs w:val="22"/>
        </w:rPr>
        <w:t>próximas licitações</w:t>
      </w:r>
      <w:r w:rsidR="00366735" w:rsidRPr="003C0338">
        <w:rPr>
          <w:sz w:val="22"/>
          <w:szCs w:val="22"/>
        </w:rPr>
        <w:t>, “</w:t>
      </w:r>
      <w:r w:rsidR="002523CF" w:rsidRPr="003C0338">
        <w:rPr>
          <w:i/>
          <w:sz w:val="22"/>
          <w:szCs w:val="22"/>
        </w:rPr>
        <w:t>não use o desconto linear como critério de aceitabilidade de preços nem de julgamento, salvo quando o objeto abranger itens homogêneos e sujeitos a controle de preços, tais como os exemplificados no art. 9º, § 1º, do Decreto nº 3.931/2001</w:t>
      </w:r>
      <w:r w:rsidR="00333005" w:rsidRPr="003C0338">
        <w:rPr>
          <w:sz w:val="22"/>
          <w:szCs w:val="22"/>
        </w:rPr>
        <w:t xml:space="preserve">”. </w:t>
      </w:r>
      <w:r w:rsidR="00333005" w:rsidRPr="003C0338">
        <w:rPr>
          <w:b/>
          <w:i/>
          <w:sz w:val="22"/>
          <w:szCs w:val="22"/>
        </w:rPr>
        <w:t>Acór</w:t>
      </w:r>
      <w:r w:rsidR="00D37233">
        <w:rPr>
          <w:b/>
          <w:i/>
          <w:sz w:val="22"/>
          <w:szCs w:val="22"/>
        </w:rPr>
        <w:t>dão n.º 2907/2012-Plenário, TC-</w:t>
      </w:r>
      <w:r w:rsidR="00333005" w:rsidRPr="003C0338">
        <w:rPr>
          <w:b/>
          <w:i/>
          <w:sz w:val="22"/>
          <w:szCs w:val="22"/>
        </w:rPr>
        <w:t>020.447/2012-4, rel. Min. José Múcio Monteiro</w:t>
      </w:r>
      <w:r w:rsidR="001652EB">
        <w:rPr>
          <w:b/>
          <w:i/>
          <w:sz w:val="22"/>
          <w:szCs w:val="22"/>
        </w:rPr>
        <w:t>, 24.10.2012.</w:t>
      </w:r>
    </w:p>
    <w:p w:rsidR="000A246C" w:rsidRPr="003C0338" w:rsidRDefault="000A246C" w:rsidP="004930B3">
      <w:pPr>
        <w:pStyle w:val="Default"/>
        <w:jc w:val="both"/>
        <w:rPr>
          <w:sz w:val="22"/>
          <w:szCs w:val="22"/>
        </w:rPr>
      </w:pPr>
    </w:p>
    <w:p w:rsidR="0066419E" w:rsidRPr="003C0338" w:rsidRDefault="006F024E" w:rsidP="0066419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6419E" w:rsidRPr="003C0338">
        <w:rPr>
          <w:b/>
          <w:sz w:val="22"/>
          <w:szCs w:val="22"/>
        </w:rPr>
        <w:t xml:space="preserve">A adoção, em licitação do tipo técnica e preço, de peso excessivamente </w:t>
      </w:r>
      <w:r w:rsidR="00F936B8">
        <w:rPr>
          <w:b/>
          <w:sz w:val="22"/>
          <w:szCs w:val="22"/>
        </w:rPr>
        <w:t>elevado</w:t>
      </w:r>
      <w:r w:rsidR="0066419E" w:rsidRPr="003C0338">
        <w:rPr>
          <w:b/>
          <w:sz w:val="22"/>
          <w:szCs w:val="22"/>
        </w:rPr>
        <w:t xml:space="preserve"> para a pontuação técnica em relação à de </w:t>
      </w:r>
      <w:r w:rsidR="0066419E" w:rsidRPr="003C0338">
        <w:rPr>
          <w:b/>
          <w:color w:val="auto"/>
          <w:sz w:val="22"/>
          <w:szCs w:val="22"/>
        </w:rPr>
        <w:t>preço, sem justificativa plausível, e de</w:t>
      </w:r>
      <w:r w:rsidR="0066419E" w:rsidRPr="003C0338">
        <w:rPr>
          <w:b/>
          <w:sz w:val="22"/>
          <w:szCs w:val="22"/>
        </w:rPr>
        <w:t xml:space="preserve"> critérios subjetivos de julgamento das propostas contraria o disposto nos arts. 3º, 40, inciso VII, 44, § 1º, e 45, da Lei 8.666/1993</w:t>
      </w:r>
    </w:p>
    <w:p w:rsidR="004578EA" w:rsidRDefault="0066419E" w:rsidP="0066419E">
      <w:pPr>
        <w:pStyle w:val="Default"/>
        <w:jc w:val="both"/>
        <w:rPr>
          <w:b/>
          <w:i/>
          <w:sz w:val="22"/>
          <w:szCs w:val="22"/>
        </w:rPr>
      </w:pPr>
      <w:r w:rsidRPr="003C0338">
        <w:rPr>
          <w:sz w:val="22"/>
          <w:szCs w:val="22"/>
        </w:rPr>
        <w:t>Auditoria apontou possíveis irregularidades na Concorrência 12/2010, realizada pela Valec Engenharia, Construções e Ferrovias S.A.</w:t>
      </w:r>
      <w:r w:rsidR="00BF6B8D">
        <w:rPr>
          <w:sz w:val="22"/>
          <w:szCs w:val="22"/>
        </w:rPr>
        <w:t>,</w:t>
      </w:r>
      <w:r w:rsidRPr="003C0338">
        <w:rPr>
          <w:sz w:val="22"/>
          <w:szCs w:val="22"/>
        </w:rPr>
        <w:t xml:space="preserve"> que teve por objeto a contratação de empresa para a execução de serviços técnicos especializados de supervisão das obras de implantação da Ferrovia Norte-Sul, no trecho compreendido entre Rio Verde/GO e Estrela do Oeste/SP, consistentes em: “</w:t>
      </w:r>
      <w:r w:rsidRPr="003C0338">
        <w:rPr>
          <w:i/>
          <w:sz w:val="22"/>
          <w:szCs w:val="22"/>
        </w:rPr>
        <w:t xml:space="preserve">a) aprovação do termo de referência do Edital 12/2010 sem critérios objetivos para o julgamento das propostas </w:t>
      </w:r>
      <w:r w:rsidRPr="003C0338">
        <w:rPr>
          <w:i/>
          <w:color w:val="auto"/>
          <w:sz w:val="22"/>
          <w:szCs w:val="22"/>
        </w:rPr>
        <w:t>técnicas ...,</w:t>
      </w:r>
      <w:r w:rsidRPr="003C0338">
        <w:rPr>
          <w:i/>
          <w:color w:val="FF0000"/>
          <w:sz w:val="22"/>
          <w:szCs w:val="22"/>
        </w:rPr>
        <w:t xml:space="preserve"> </w:t>
      </w:r>
      <w:r w:rsidRPr="003C0338">
        <w:rPr>
          <w:i/>
          <w:sz w:val="22"/>
          <w:szCs w:val="22"/>
        </w:rPr>
        <w:t xml:space="preserve">notadamente quanto aos itens ‘conhecimento das variáveis envolvidas no trabalho’ e ‘apresentação do Plano de Trabalho’; e </w:t>
      </w:r>
      <w:r w:rsidRPr="003C0338">
        <w:rPr>
          <w:i/>
          <w:sz w:val="22"/>
          <w:szCs w:val="22"/>
        </w:rPr>
        <w:tab/>
        <w:t>b) adoção desproporcional de pesos de pontuação para as propostas técnica e de preços (8x2), sem a apresentação de justificativas para o elevado desequilíbrio nas ponderações</w:t>
      </w:r>
      <w:r w:rsidRPr="003C0338">
        <w:rPr>
          <w:sz w:val="22"/>
          <w:szCs w:val="22"/>
        </w:rPr>
        <w:t>”. O responsável pela aprovação do termo de referência da licitação, em relação ao primeiro desses tópicos, limitou-se a defender, em suas razões de justificativas, a subjetividade no julgamento de propostas; quanto ao segundo, argumentou que “</w:t>
      </w:r>
      <w:r w:rsidRPr="003C0338">
        <w:rPr>
          <w:i/>
          <w:sz w:val="22"/>
          <w:szCs w:val="22"/>
        </w:rPr>
        <w:t>a divisão de pontuação leva em conta a importância de cada item e não tem como torná-la objetiva já que a própria análise técnica embute subjetividade de cada técnico da comissão</w:t>
      </w:r>
      <w:r w:rsidRPr="003C0338">
        <w:rPr>
          <w:sz w:val="22"/>
          <w:szCs w:val="22"/>
        </w:rPr>
        <w:t>”. O relator, em linha de consonância com a unidade técnica, entendeu ser “</w:t>
      </w:r>
      <w:r w:rsidRPr="003C0338">
        <w:rPr>
          <w:i/>
          <w:sz w:val="22"/>
          <w:szCs w:val="22"/>
        </w:rPr>
        <w:t>inaceitável a utilização de critérios subjetivos de julgamento das propostas dos licitantes</w:t>
      </w:r>
      <w:r w:rsidRPr="003C0338">
        <w:rPr>
          <w:sz w:val="22"/>
          <w:szCs w:val="22"/>
        </w:rPr>
        <w:t>”, visto que “</w:t>
      </w:r>
      <w:r w:rsidRPr="003C0338">
        <w:rPr>
          <w:i/>
          <w:sz w:val="22"/>
          <w:szCs w:val="22"/>
        </w:rPr>
        <w:t>o julgamento objetivo do certame licitatório é um dos princípios explicitados no art. 3º da Lei 8.666/1993</w:t>
      </w:r>
      <w:r w:rsidRPr="003C0338">
        <w:rPr>
          <w:sz w:val="22"/>
          <w:szCs w:val="22"/>
        </w:rPr>
        <w:t>”. Acentuou, em face do disposto no art. 40, inciso VII dessa lei, “</w:t>
      </w:r>
      <w:r w:rsidRPr="003C0338">
        <w:rPr>
          <w:i/>
          <w:sz w:val="22"/>
          <w:szCs w:val="22"/>
        </w:rPr>
        <w:t xml:space="preserve">a obrigatoriedade de o edital indicar os critérios para julgamento, com disposições claras e </w:t>
      </w:r>
      <w:r w:rsidRPr="003C0338">
        <w:rPr>
          <w:b/>
          <w:bCs/>
          <w:i/>
          <w:sz w:val="22"/>
          <w:szCs w:val="22"/>
          <w:u w:val="single"/>
        </w:rPr>
        <w:t>parâmetros objetivos</w:t>
      </w:r>
      <w:r w:rsidRPr="003C0338">
        <w:rPr>
          <w:b/>
          <w:bCs/>
          <w:sz w:val="22"/>
          <w:szCs w:val="22"/>
        </w:rPr>
        <w:t xml:space="preserve">”. </w:t>
      </w:r>
      <w:r w:rsidRPr="003C0338">
        <w:rPr>
          <w:bCs/>
          <w:sz w:val="22"/>
          <w:szCs w:val="22"/>
        </w:rPr>
        <w:t xml:space="preserve">E, também, a obrigatoriedade de a </w:t>
      </w:r>
      <w:r w:rsidRPr="003C0338">
        <w:rPr>
          <w:sz w:val="22"/>
          <w:szCs w:val="22"/>
        </w:rPr>
        <w:t>comissão pautar sua atuação por “</w:t>
      </w:r>
      <w:r w:rsidRPr="003C0338">
        <w:rPr>
          <w:b/>
          <w:bCs/>
          <w:i/>
          <w:sz w:val="22"/>
          <w:szCs w:val="22"/>
          <w:u w:val="single"/>
        </w:rPr>
        <w:t>critérios objetivos definidos no edital</w:t>
      </w:r>
      <w:r w:rsidRPr="003C0338">
        <w:rPr>
          <w:b/>
          <w:bCs/>
          <w:sz w:val="22"/>
          <w:szCs w:val="22"/>
        </w:rPr>
        <w:t xml:space="preserve">” </w:t>
      </w:r>
      <w:r w:rsidRPr="003C0338">
        <w:rPr>
          <w:bCs/>
          <w:sz w:val="22"/>
          <w:szCs w:val="22"/>
        </w:rPr>
        <w:t>– art. 44</w:t>
      </w:r>
      <w:r w:rsidRPr="003C0338">
        <w:rPr>
          <w:sz w:val="22"/>
          <w:szCs w:val="22"/>
        </w:rPr>
        <w:t xml:space="preserve">.  Quanto à adoção de pesos desproporcionais de pontuação para as propostas técnica (peso 8) e de preços (peso 2), entendeu que não foram apresentadas justificativas </w:t>
      </w:r>
      <w:r w:rsidRPr="00D035D9">
        <w:rPr>
          <w:color w:val="auto"/>
          <w:sz w:val="22"/>
          <w:szCs w:val="22"/>
        </w:rPr>
        <w:t>adequadas para a “</w:t>
      </w:r>
      <w:r w:rsidRPr="00D035D9">
        <w:rPr>
          <w:i/>
          <w:color w:val="auto"/>
          <w:sz w:val="22"/>
          <w:szCs w:val="22"/>
        </w:rPr>
        <w:t>desproporcionalidade da ponderação da proposta técnica em desfavor da proposta de preço</w:t>
      </w:r>
      <w:r w:rsidRPr="00D035D9">
        <w:rPr>
          <w:color w:val="auto"/>
          <w:sz w:val="22"/>
          <w:szCs w:val="22"/>
        </w:rPr>
        <w:t>”. Acrescentou que, “</w:t>
      </w:r>
      <w:r w:rsidRPr="00D035D9">
        <w:rPr>
          <w:i/>
          <w:color w:val="auto"/>
          <w:sz w:val="22"/>
          <w:szCs w:val="22"/>
        </w:rPr>
        <w:t>Na jurisprudência deste Tribunal, são vários os julgados que determinam a necessidade de justificar a prevalência da proposta técnica em relação à de preço nos critérios de pontuação adotados no edital</w:t>
      </w:r>
      <w:r w:rsidRPr="00D035D9">
        <w:rPr>
          <w:color w:val="auto"/>
          <w:sz w:val="22"/>
          <w:szCs w:val="22"/>
        </w:rPr>
        <w:t>”</w:t>
      </w:r>
      <w:r w:rsidRPr="00D035D9">
        <w:rPr>
          <w:i/>
          <w:color w:val="auto"/>
          <w:sz w:val="22"/>
          <w:szCs w:val="22"/>
        </w:rPr>
        <w:t>.</w:t>
      </w:r>
      <w:r w:rsidRPr="00D035D9">
        <w:rPr>
          <w:color w:val="auto"/>
          <w:sz w:val="22"/>
          <w:szCs w:val="22"/>
        </w:rPr>
        <w:t xml:space="preserve"> E mais: “</w:t>
      </w:r>
      <w:r w:rsidRPr="00D035D9">
        <w:rPr>
          <w:i/>
          <w:color w:val="auto"/>
          <w:sz w:val="22"/>
          <w:szCs w:val="22"/>
        </w:rPr>
        <w:t>A valoração injustificada da proposta técnica em detrimento da proposta de preço pode resultar na restrição à</w:t>
      </w:r>
      <w:r w:rsidRPr="003C0338">
        <w:rPr>
          <w:i/>
          <w:sz w:val="22"/>
          <w:szCs w:val="22"/>
        </w:rPr>
        <w:t xml:space="preserve"> competitividade e no favorecimento de proposta que não seja a mais vantajosa para a Administração, prejudicando, assim, um dos objetivos básicos da licitação</w:t>
      </w:r>
      <w:r w:rsidRPr="003C0338">
        <w:rPr>
          <w:sz w:val="22"/>
          <w:szCs w:val="22"/>
        </w:rPr>
        <w:t>”. O Tribunal, então, decidiu</w:t>
      </w:r>
      <w:r w:rsidR="00BF6B8D">
        <w:rPr>
          <w:sz w:val="22"/>
          <w:szCs w:val="22"/>
        </w:rPr>
        <w:t>:</w:t>
      </w:r>
      <w:r w:rsidRPr="003C0338">
        <w:rPr>
          <w:sz w:val="22"/>
          <w:szCs w:val="22"/>
        </w:rPr>
        <w:t xml:space="preserve"> a) aplicar ao referido gestor multa do art. 58, inciso II, da Lei 8.443/1992, no valor de R$ 3.000,00; b) determinar à Valec que </w:t>
      </w:r>
      <w:r w:rsidR="00D035D9">
        <w:rPr>
          <w:sz w:val="22"/>
          <w:szCs w:val="22"/>
        </w:rPr>
        <w:t>se a</w:t>
      </w:r>
      <w:r w:rsidRPr="003C0338">
        <w:rPr>
          <w:sz w:val="22"/>
          <w:szCs w:val="22"/>
        </w:rPr>
        <w:t xml:space="preserve">bstenha de: b.1)  incluir, em futuros editais de licitação, itens de pontuação técnica que não atendam ao princípio do julgamento objetivo das propostas, a exemplo do ocorrido na  Concorrência 12/2010, por contrariar as disposições dos arts. 3º, 40, inciso VII, 44, § 1º, e 45, da Lei 8.666/1993; b.2) prever excessiva valoração para a proposta técnica, em detrimento da proposta de preços. Precedentes mencionados: </w:t>
      </w:r>
      <w:r w:rsidR="00BF6B8D">
        <w:rPr>
          <w:sz w:val="22"/>
          <w:szCs w:val="22"/>
        </w:rPr>
        <w:t xml:space="preserve">Acórdãos nºs. </w:t>
      </w:r>
      <w:r w:rsidRPr="003C0338">
        <w:rPr>
          <w:sz w:val="22"/>
          <w:szCs w:val="22"/>
        </w:rPr>
        <w:t xml:space="preserve">1782/2007, 1100/2007, 828/2007 e 2017/2009, todos do Plenário. </w:t>
      </w:r>
      <w:r w:rsidRPr="003C0338">
        <w:rPr>
          <w:b/>
          <w:i/>
          <w:sz w:val="22"/>
          <w:szCs w:val="22"/>
        </w:rPr>
        <w:t xml:space="preserve">Acórdão n.º 2909/2012-Plenário, TC-010.098/2010-0, rel. </w:t>
      </w:r>
      <w:r w:rsidR="00D37233" w:rsidRPr="00312355">
        <w:rPr>
          <w:b/>
          <w:i/>
          <w:sz w:val="22"/>
          <w:szCs w:val="22"/>
        </w:rPr>
        <w:t>Min-Subst</w:t>
      </w:r>
      <w:r w:rsidRPr="003C0338">
        <w:rPr>
          <w:b/>
          <w:i/>
          <w:sz w:val="22"/>
          <w:szCs w:val="22"/>
        </w:rPr>
        <w:t>. Augusto Sherman Cavalcanti</w:t>
      </w:r>
      <w:r w:rsidR="001652EB">
        <w:rPr>
          <w:b/>
          <w:i/>
          <w:sz w:val="22"/>
          <w:szCs w:val="22"/>
        </w:rPr>
        <w:t>, 24.10.2012.</w:t>
      </w:r>
    </w:p>
    <w:p w:rsidR="0066419E" w:rsidRPr="003C0338" w:rsidRDefault="0066419E" w:rsidP="0066419E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3C0338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3C0338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338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3C0338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338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3C0338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3C0338" w:rsidRDefault="00F3058F" w:rsidP="0016510E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3C0338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75" w:rsidRDefault="00653F75" w:rsidP="008B0547">
      <w:pPr>
        <w:spacing w:after="0"/>
      </w:pPr>
      <w:r>
        <w:separator/>
      </w:r>
    </w:p>
  </w:endnote>
  <w:endnote w:type="continuationSeparator" w:id="0">
    <w:p w:rsidR="00653F75" w:rsidRDefault="00653F7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005E0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C6232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75" w:rsidRDefault="00653F75" w:rsidP="008B0547">
      <w:pPr>
        <w:spacing w:after="0"/>
      </w:pPr>
      <w:r>
        <w:separator/>
      </w:r>
    </w:p>
  </w:footnote>
  <w:footnote w:type="continuationSeparator" w:id="0">
    <w:p w:rsidR="00653F75" w:rsidRDefault="00653F7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BD502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BD5023" w:rsidP="00080148">
    <w:pPr>
      <w:spacing w:after="0"/>
      <w:rPr>
        <w:rFonts w:ascii="Arial" w:hAnsi="Arial" w:cs="Arial"/>
        <w:b/>
      </w:rPr>
    </w:pPr>
    <w:r w:rsidRPr="00005E0E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6C84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</w:t>
    </w:r>
    <w:r w:rsidR="00A85B90">
      <w:rPr>
        <w:rFonts w:ascii="Arial" w:hAnsi="Arial" w:cs="Arial"/>
        <w:noProof/>
        <w:lang w:eastAsia="pt-BR"/>
      </w:rPr>
      <w:t>9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4C7083"/>
    <w:multiLevelType w:val="hybridMultilevel"/>
    <w:tmpl w:val="E26E54FC"/>
    <w:lvl w:ilvl="0" w:tplc="C37E3A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9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2">
    <w:nsid w:val="7911457F"/>
    <w:multiLevelType w:val="multilevel"/>
    <w:tmpl w:val="F9F0F1EA"/>
    <w:lvl w:ilvl="0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43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9"/>
  </w:num>
  <w:num w:numId="8">
    <w:abstractNumId w:val="35"/>
  </w:num>
  <w:num w:numId="9">
    <w:abstractNumId w:val="30"/>
  </w:num>
  <w:num w:numId="10">
    <w:abstractNumId w:val="9"/>
  </w:num>
  <w:num w:numId="11">
    <w:abstractNumId w:val="44"/>
  </w:num>
  <w:num w:numId="12">
    <w:abstractNumId w:val="5"/>
  </w:num>
  <w:num w:numId="13">
    <w:abstractNumId w:val="20"/>
  </w:num>
  <w:num w:numId="14">
    <w:abstractNumId w:val="38"/>
  </w:num>
  <w:num w:numId="15">
    <w:abstractNumId w:val="18"/>
  </w:num>
  <w:num w:numId="16">
    <w:abstractNumId w:val="3"/>
  </w:num>
  <w:num w:numId="17">
    <w:abstractNumId w:val="16"/>
  </w:num>
  <w:num w:numId="18">
    <w:abstractNumId w:val="40"/>
    <w:lvlOverride w:ilvl="0">
      <w:startOverride w:val="1"/>
    </w:lvlOverride>
  </w:num>
  <w:num w:numId="19">
    <w:abstractNumId w:val="33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26"/>
  </w:num>
  <w:num w:numId="33">
    <w:abstractNumId w:val="36"/>
  </w:num>
  <w:num w:numId="34">
    <w:abstractNumId w:val="27"/>
  </w:num>
  <w:num w:numId="35">
    <w:abstractNumId w:val="25"/>
  </w:num>
  <w:num w:numId="36">
    <w:abstractNumId w:val="22"/>
  </w:num>
  <w:num w:numId="37">
    <w:abstractNumId w:val="41"/>
  </w:num>
  <w:num w:numId="38">
    <w:abstractNumId w:val="7"/>
  </w:num>
  <w:num w:numId="39">
    <w:abstractNumId w:val="28"/>
  </w:num>
  <w:num w:numId="40">
    <w:abstractNumId w:val="32"/>
  </w:num>
  <w:num w:numId="41">
    <w:abstractNumId w:val="29"/>
  </w:num>
  <w:num w:numId="42">
    <w:abstractNumId w:val="0"/>
  </w:num>
  <w:num w:numId="43">
    <w:abstractNumId w:val="6"/>
  </w:num>
  <w:num w:numId="44">
    <w:abstractNumId w:val="43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9EE"/>
    <w:rsid w:val="00003CEA"/>
    <w:rsid w:val="00004614"/>
    <w:rsid w:val="00004D04"/>
    <w:rsid w:val="00005435"/>
    <w:rsid w:val="00005BA5"/>
    <w:rsid w:val="00005E0E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60F1"/>
    <w:rsid w:val="000371C1"/>
    <w:rsid w:val="00037DCE"/>
    <w:rsid w:val="00041450"/>
    <w:rsid w:val="000431BD"/>
    <w:rsid w:val="000436B0"/>
    <w:rsid w:val="000438FC"/>
    <w:rsid w:val="000447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A56"/>
    <w:rsid w:val="00061C2E"/>
    <w:rsid w:val="000622E0"/>
    <w:rsid w:val="00062B46"/>
    <w:rsid w:val="00063C6E"/>
    <w:rsid w:val="000647B1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245"/>
    <w:rsid w:val="000807D4"/>
    <w:rsid w:val="00080B82"/>
    <w:rsid w:val="00081635"/>
    <w:rsid w:val="00081DFB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40A9"/>
    <w:rsid w:val="00094A7D"/>
    <w:rsid w:val="00094C5B"/>
    <w:rsid w:val="00094EEC"/>
    <w:rsid w:val="00095069"/>
    <w:rsid w:val="00095D98"/>
    <w:rsid w:val="0009649A"/>
    <w:rsid w:val="0009655D"/>
    <w:rsid w:val="000971B8"/>
    <w:rsid w:val="0009748C"/>
    <w:rsid w:val="0009780B"/>
    <w:rsid w:val="00097863"/>
    <w:rsid w:val="00097ABD"/>
    <w:rsid w:val="00097BF6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1AFC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B31"/>
    <w:rsid w:val="000E3C6D"/>
    <w:rsid w:val="000E45B0"/>
    <w:rsid w:val="000E504D"/>
    <w:rsid w:val="000E5EAB"/>
    <w:rsid w:val="000E730B"/>
    <w:rsid w:val="000E78A6"/>
    <w:rsid w:val="000E7FD4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6272"/>
    <w:rsid w:val="0013735A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660"/>
    <w:rsid w:val="00151F92"/>
    <w:rsid w:val="0015258E"/>
    <w:rsid w:val="00152ECC"/>
    <w:rsid w:val="001532E4"/>
    <w:rsid w:val="00155D65"/>
    <w:rsid w:val="0015648A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1AFB"/>
    <w:rsid w:val="001634AE"/>
    <w:rsid w:val="0016352E"/>
    <w:rsid w:val="0016510E"/>
    <w:rsid w:val="001652EB"/>
    <w:rsid w:val="001658D6"/>
    <w:rsid w:val="001665B9"/>
    <w:rsid w:val="001667C0"/>
    <w:rsid w:val="00166C60"/>
    <w:rsid w:val="00170A9D"/>
    <w:rsid w:val="00171E89"/>
    <w:rsid w:val="001737F7"/>
    <w:rsid w:val="001744B4"/>
    <w:rsid w:val="001744E7"/>
    <w:rsid w:val="0017459B"/>
    <w:rsid w:val="00174E4D"/>
    <w:rsid w:val="00175B3C"/>
    <w:rsid w:val="00176024"/>
    <w:rsid w:val="00176287"/>
    <w:rsid w:val="00176375"/>
    <w:rsid w:val="001766A9"/>
    <w:rsid w:val="001777EF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5E1"/>
    <w:rsid w:val="001858EA"/>
    <w:rsid w:val="0018776F"/>
    <w:rsid w:val="00190FE2"/>
    <w:rsid w:val="00191CF7"/>
    <w:rsid w:val="00191FCE"/>
    <w:rsid w:val="00192052"/>
    <w:rsid w:val="00192483"/>
    <w:rsid w:val="0019284D"/>
    <w:rsid w:val="00194053"/>
    <w:rsid w:val="00194EDA"/>
    <w:rsid w:val="00195023"/>
    <w:rsid w:val="001956E2"/>
    <w:rsid w:val="00195F77"/>
    <w:rsid w:val="00196098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6A80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950"/>
    <w:rsid w:val="001C2CD1"/>
    <w:rsid w:val="001C437E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DC4"/>
    <w:rsid w:val="001C7FD4"/>
    <w:rsid w:val="001D03C7"/>
    <w:rsid w:val="001D0FAF"/>
    <w:rsid w:val="001D1478"/>
    <w:rsid w:val="001D1E52"/>
    <w:rsid w:val="001D35B4"/>
    <w:rsid w:val="001D5190"/>
    <w:rsid w:val="001D5339"/>
    <w:rsid w:val="001D559E"/>
    <w:rsid w:val="001D56C3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2B05"/>
    <w:rsid w:val="001F4DA1"/>
    <w:rsid w:val="001F553C"/>
    <w:rsid w:val="001F5E50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C2E"/>
    <w:rsid w:val="00207BF8"/>
    <w:rsid w:val="0021001C"/>
    <w:rsid w:val="00211194"/>
    <w:rsid w:val="0021149E"/>
    <w:rsid w:val="00211816"/>
    <w:rsid w:val="00212E42"/>
    <w:rsid w:val="002139A2"/>
    <w:rsid w:val="002157BF"/>
    <w:rsid w:val="00217566"/>
    <w:rsid w:val="00217B1B"/>
    <w:rsid w:val="00220452"/>
    <w:rsid w:val="002204A9"/>
    <w:rsid w:val="00220D43"/>
    <w:rsid w:val="0022160D"/>
    <w:rsid w:val="00221C99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37789"/>
    <w:rsid w:val="002401FC"/>
    <w:rsid w:val="00240D9D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D3A"/>
    <w:rsid w:val="00254590"/>
    <w:rsid w:val="002549FC"/>
    <w:rsid w:val="00254B75"/>
    <w:rsid w:val="002551C8"/>
    <w:rsid w:val="002556B1"/>
    <w:rsid w:val="0025663C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E72"/>
    <w:rsid w:val="00274068"/>
    <w:rsid w:val="0027498E"/>
    <w:rsid w:val="00274EFE"/>
    <w:rsid w:val="0027686D"/>
    <w:rsid w:val="00276B43"/>
    <w:rsid w:val="00276DC0"/>
    <w:rsid w:val="00277F47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442"/>
    <w:rsid w:val="00284CE8"/>
    <w:rsid w:val="00285F7B"/>
    <w:rsid w:val="002864FC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5D5"/>
    <w:rsid w:val="002C208E"/>
    <w:rsid w:val="002C2F67"/>
    <w:rsid w:val="002C3A60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47FA9"/>
    <w:rsid w:val="003506E7"/>
    <w:rsid w:val="00350BE7"/>
    <w:rsid w:val="00350CDA"/>
    <w:rsid w:val="00350E87"/>
    <w:rsid w:val="00351286"/>
    <w:rsid w:val="00351609"/>
    <w:rsid w:val="00352C98"/>
    <w:rsid w:val="00353018"/>
    <w:rsid w:val="00353B7C"/>
    <w:rsid w:val="00353BE4"/>
    <w:rsid w:val="0035402B"/>
    <w:rsid w:val="0035438E"/>
    <w:rsid w:val="003547C0"/>
    <w:rsid w:val="003557D3"/>
    <w:rsid w:val="00355828"/>
    <w:rsid w:val="00355872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54A7"/>
    <w:rsid w:val="0036610E"/>
    <w:rsid w:val="00366735"/>
    <w:rsid w:val="0036772F"/>
    <w:rsid w:val="00370BC7"/>
    <w:rsid w:val="003717C6"/>
    <w:rsid w:val="003719DE"/>
    <w:rsid w:val="00371A33"/>
    <w:rsid w:val="00372E83"/>
    <w:rsid w:val="00373860"/>
    <w:rsid w:val="00374226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C76"/>
    <w:rsid w:val="00393FCC"/>
    <w:rsid w:val="003943E5"/>
    <w:rsid w:val="00394793"/>
    <w:rsid w:val="003947BD"/>
    <w:rsid w:val="00394BEA"/>
    <w:rsid w:val="00394D47"/>
    <w:rsid w:val="00395950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B7F"/>
    <w:rsid w:val="00412CEF"/>
    <w:rsid w:val="004141A8"/>
    <w:rsid w:val="00414E59"/>
    <w:rsid w:val="00415F59"/>
    <w:rsid w:val="004165B8"/>
    <w:rsid w:val="004169D8"/>
    <w:rsid w:val="00417048"/>
    <w:rsid w:val="00420098"/>
    <w:rsid w:val="004201AF"/>
    <w:rsid w:val="00420B07"/>
    <w:rsid w:val="00420C22"/>
    <w:rsid w:val="00420DF0"/>
    <w:rsid w:val="004217F1"/>
    <w:rsid w:val="00421E70"/>
    <w:rsid w:val="00422BF5"/>
    <w:rsid w:val="0042327F"/>
    <w:rsid w:val="00425FF9"/>
    <w:rsid w:val="00426328"/>
    <w:rsid w:val="004266DC"/>
    <w:rsid w:val="0042706F"/>
    <w:rsid w:val="004279C7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434A"/>
    <w:rsid w:val="0044437F"/>
    <w:rsid w:val="004446ED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515"/>
    <w:rsid w:val="00450AD8"/>
    <w:rsid w:val="00450F0D"/>
    <w:rsid w:val="00451450"/>
    <w:rsid w:val="00451471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682"/>
    <w:rsid w:val="00460E6C"/>
    <w:rsid w:val="004617A9"/>
    <w:rsid w:val="00461B70"/>
    <w:rsid w:val="0046258E"/>
    <w:rsid w:val="0046291A"/>
    <w:rsid w:val="00462BD5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509"/>
    <w:rsid w:val="00467815"/>
    <w:rsid w:val="00467D9B"/>
    <w:rsid w:val="00471284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716"/>
    <w:rsid w:val="00477DE9"/>
    <w:rsid w:val="00480439"/>
    <w:rsid w:val="0048086E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248"/>
    <w:rsid w:val="004B176A"/>
    <w:rsid w:val="004B1DC3"/>
    <w:rsid w:val="004B2835"/>
    <w:rsid w:val="004B28C5"/>
    <w:rsid w:val="004B326B"/>
    <w:rsid w:val="004B32F8"/>
    <w:rsid w:val="004B36AE"/>
    <w:rsid w:val="004B4672"/>
    <w:rsid w:val="004B58F5"/>
    <w:rsid w:val="004B67A4"/>
    <w:rsid w:val="004C109F"/>
    <w:rsid w:val="004C14B1"/>
    <w:rsid w:val="004C289A"/>
    <w:rsid w:val="004C2ADF"/>
    <w:rsid w:val="004C3427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62"/>
    <w:rsid w:val="004D7C91"/>
    <w:rsid w:val="004E01D4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560"/>
    <w:rsid w:val="00504655"/>
    <w:rsid w:val="00504A31"/>
    <w:rsid w:val="00504F8B"/>
    <w:rsid w:val="005055B5"/>
    <w:rsid w:val="00506280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8B3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07A"/>
    <w:rsid w:val="005474C7"/>
    <w:rsid w:val="00547B37"/>
    <w:rsid w:val="00550490"/>
    <w:rsid w:val="00550F71"/>
    <w:rsid w:val="005512D3"/>
    <w:rsid w:val="00551C0E"/>
    <w:rsid w:val="00551F46"/>
    <w:rsid w:val="00552561"/>
    <w:rsid w:val="00552840"/>
    <w:rsid w:val="00553290"/>
    <w:rsid w:val="00553C45"/>
    <w:rsid w:val="005544FA"/>
    <w:rsid w:val="00554A33"/>
    <w:rsid w:val="00554F2F"/>
    <w:rsid w:val="0055525E"/>
    <w:rsid w:val="0055588A"/>
    <w:rsid w:val="0055597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AEE"/>
    <w:rsid w:val="00567CEE"/>
    <w:rsid w:val="0057040F"/>
    <w:rsid w:val="0057096F"/>
    <w:rsid w:val="00570D57"/>
    <w:rsid w:val="005713EC"/>
    <w:rsid w:val="005713F4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87C5F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15D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4DEF"/>
    <w:rsid w:val="005B5458"/>
    <w:rsid w:val="005B5B3D"/>
    <w:rsid w:val="005B5CEE"/>
    <w:rsid w:val="005B6B1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566"/>
    <w:rsid w:val="005E72FB"/>
    <w:rsid w:val="005F01CE"/>
    <w:rsid w:val="005F135B"/>
    <w:rsid w:val="005F1942"/>
    <w:rsid w:val="005F2426"/>
    <w:rsid w:val="005F3709"/>
    <w:rsid w:val="005F3EAB"/>
    <w:rsid w:val="005F4027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57C2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C9"/>
    <w:rsid w:val="00613DA3"/>
    <w:rsid w:val="00614026"/>
    <w:rsid w:val="006140E8"/>
    <w:rsid w:val="00614490"/>
    <w:rsid w:val="00614786"/>
    <w:rsid w:val="00614EDE"/>
    <w:rsid w:val="00615808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73D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F76"/>
    <w:rsid w:val="00635E34"/>
    <w:rsid w:val="00637056"/>
    <w:rsid w:val="00637E9B"/>
    <w:rsid w:val="00637FDD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3F75"/>
    <w:rsid w:val="00654C9C"/>
    <w:rsid w:val="00654ED9"/>
    <w:rsid w:val="0065528E"/>
    <w:rsid w:val="00655390"/>
    <w:rsid w:val="006553D9"/>
    <w:rsid w:val="00655858"/>
    <w:rsid w:val="0065606D"/>
    <w:rsid w:val="006564F2"/>
    <w:rsid w:val="00656E06"/>
    <w:rsid w:val="0065716D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F1B"/>
    <w:rsid w:val="0066419E"/>
    <w:rsid w:val="00664AB8"/>
    <w:rsid w:val="0066571F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BE6"/>
    <w:rsid w:val="00676163"/>
    <w:rsid w:val="006764C4"/>
    <w:rsid w:val="006777E4"/>
    <w:rsid w:val="00677C1A"/>
    <w:rsid w:val="00677C22"/>
    <w:rsid w:val="00677FB0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895"/>
    <w:rsid w:val="00691932"/>
    <w:rsid w:val="006919FB"/>
    <w:rsid w:val="0069213E"/>
    <w:rsid w:val="0069246E"/>
    <w:rsid w:val="00692D30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803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C0449"/>
    <w:rsid w:val="006C0D0F"/>
    <w:rsid w:val="006C0E39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A93"/>
    <w:rsid w:val="006E1B15"/>
    <w:rsid w:val="006E4064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1E12"/>
    <w:rsid w:val="007224C2"/>
    <w:rsid w:val="00722C19"/>
    <w:rsid w:val="00722DD1"/>
    <w:rsid w:val="00723840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7424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580D"/>
    <w:rsid w:val="00755956"/>
    <w:rsid w:val="00756142"/>
    <w:rsid w:val="007561B4"/>
    <w:rsid w:val="007562B3"/>
    <w:rsid w:val="00756AA0"/>
    <w:rsid w:val="0075785E"/>
    <w:rsid w:val="00757CE6"/>
    <w:rsid w:val="007607F3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BB8"/>
    <w:rsid w:val="00772FA8"/>
    <w:rsid w:val="00773149"/>
    <w:rsid w:val="007737D3"/>
    <w:rsid w:val="00773CAE"/>
    <w:rsid w:val="00774593"/>
    <w:rsid w:val="00774C88"/>
    <w:rsid w:val="00774D02"/>
    <w:rsid w:val="007753B5"/>
    <w:rsid w:val="00776EDA"/>
    <w:rsid w:val="00777599"/>
    <w:rsid w:val="00777A2C"/>
    <w:rsid w:val="0078165D"/>
    <w:rsid w:val="00782B59"/>
    <w:rsid w:val="00783603"/>
    <w:rsid w:val="00783786"/>
    <w:rsid w:val="00783D34"/>
    <w:rsid w:val="00785646"/>
    <w:rsid w:val="00785CF8"/>
    <w:rsid w:val="0078734E"/>
    <w:rsid w:val="00787700"/>
    <w:rsid w:val="00790BBC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97ACF"/>
    <w:rsid w:val="007A17A6"/>
    <w:rsid w:val="007A1970"/>
    <w:rsid w:val="007A19BC"/>
    <w:rsid w:val="007A1A35"/>
    <w:rsid w:val="007A2166"/>
    <w:rsid w:val="007A2B7F"/>
    <w:rsid w:val="007A3059"/>
    <w:rsid w:val="007A33FA"/>
    <w:rsid w:val="007A45A6"/>
    <w:rsid w:val="007A536B"/>
    <w:rsid w:val="007A5922"/>
    <w:rsid w:val="007A5969"/>
    <w:rsid w:val="007A63D4"/>
    <w:rsid w:val="007A77BF"/>
    <w:rsid w:val="007A7AA2"/>
    <w:rsid w:val="007A7C23"/>
    <w:rsid w:val="007B07A6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6017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413A"/>
    <w:rsid w:val="007F421D"/>
    <w:rsid w:val="007F5240"/>
    <w:rsid w:val="007F532E"/>
    <w:rsid w:val="007F5688"/>
    <w:rsid w:val="007F588F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DA0"/>
    <w:rsid w:val="00803139"/>
    <w:rsid w:val="008043A4"/>
    <w:rsid w:val="00804983"/>
    <w:rsid w:val="008051DE"/>
    <w:rsid w:val="00805594"/>
    <w:rsid w:val="00805659"/>
    <w:rsid w:val="0080593E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209BC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17E1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6833"/>
    <w:rsid w:val="00847B37"/>
    <w:rsid w:val="008501A4"/>
    <w:rsid w:val="008502F2"/>
    <w:rsid w:val="008505A1"/>
    <w:rsid w:val="00850817"/>
    <w:rsid w:val="00850D6A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6084"/>
    <w:rsid w:val="00866992"/>
    <w:rsid w:val="00866CA9"/>
    <w:rsid w:val="00867E32"/>
    <w:rsid w:val="0087057E"/>
    <w:rsid w:val="00870AAD"/>
    <w:rsid w:val="00872942"/>
    <w:rsid w:val="0087361A"/>
    <w:rsid w:val="00873B76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815"/>
    <w:rsid w:val="00880FED"/>
    <w:rsid w:val="00881415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871"/>
    <w:rsid w:val="00885989"/>
    <w:rsid w:val="00887082"/>
    <w:rsid w:val="0088722F"/>
    <w:rsid w:val="00887C8D"/>
    <w:rsid w:val="00887DC7"/>
    <w:rsid w:val="00890D3C"/>
    <w:rsid w:val="00891434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B55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75C"/>
    <w:rsid w:val="008D6F5D"/>
    <w:rsid w:val="008D7CB3"/>
    <w:rsid w:val="008D7CB8"/>
    <w:rsid w:val="008E003A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5FB"/>
    <w:rsid w:val="008F0B17"/>
    <w:rsid w:val="008F0F1C"/>
    <w:rsid w:val="008F136C"/>
    <w:rsid w:val="008F2619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159F"/>
    <w:rsid w:val="00912C43"/>
    <w:rsid w:val="0091308F"/>
    <w:rsid w:val="009134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84"/>
    <w:rsid w:val="009269E3"/>
    <w:rsid w:val="00932814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7905"/>
    <w:rsid w:val="00997B80"/>
    <w:rsid w:val="00997C8A"/>
    <w:rsid w:val="009A019F"/>
    <w:rsid w:val="009A0493"/>
    <w:rsid w:val="009A0547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0E76"/>
    <w:rsid w:val="009B0F4A"/>
    <w:rsid w:val="009B1B10"/>
    <w:rsid w:val="009B2107"/>
    <w:rsid w:val="009B23FD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3407"/>
    <w:rsid w:val="009D3B41"/>
    <w:rsid w:val="009D45C8"/>
    <w:rsid w:val="009D4D44"/>
    <w:rsid w:val="009D5393"/>
    <w:rsid w:val="009D5445"/>
    <w:rsid w:val="009D565F"/>
    <w:rsid w:val="009D6026"/>
    <w:rsid w:val="009D65B9"/>
    <w:rsid w:val="009D70EE"/>
    <w:rsid w:val="009D733B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37BF"/>
    <w:rsid w:val="009F4326"/>
    <w:rsid w:val="009F4D5E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20252"/>
    <w:rsid w:val="00A203C2"/>
    <w:rsid w:val="00A2062A"/>
    <w:rsid w:val="00A2066E"/>
    <w:rsid w:val="00A20765"/>
    <w:rsid w:val="00A21E19"/>
    <w:rsid w:val="00A22796"/>
    <w:rsid w:val="00A22B7C"/>
    <w:rsid w:val="00A2348F"/>
    <w:rsid w:val="00A236A1"/>
    <w:rsid w:val="00A239A8"/>
    <w:rsid w:val="00A24599"/>
    <w:rsid w:val="00A24FBC"/>
    <w:rsid w:val="00A25B79"/>
    <w:rsid w:val="00A260A0"/>
    <w:rsid w:val="00A27FF0"/>
    <w:rsid w:val="00A300CB"/>
    <w:rsid w:val="00A30683"/>
    <w:rsid w:val="00A3115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3D01"/>
    <w:rsid w:val="00A43FBD"/>
    <w:rsid w:val="00A43FD4"/>
    <w:rsid w:val="00A44703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377A"/>
    <w:rsid w:val="00A740EA"/>
    <w:rsid w:val="00A74597"/>
    <w:rsid w:val="00A74A7D"/>
    <w:rsid w:val="00A756FE"/>
    <w:rsid w:val="00A759BE"/>
    <w:rsid w:val="00A75C52"/>
    <w:rsid w:val="00A767B2"/>
    <w:rsid w:val="00A7717C"/>
    <w:rsid w:val="00A77CCE"/>
    <w:rsid w:val="00A80549"/>
    <w:rsid w:val="00A80B0C"/>
    <w:rsid w:val="00A81367"/>
    <w:rsid w:val="00A819D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5B90"/>
    <w:rsid w:val="00A875C0"/>
    <w:rsid w:val="00A87C15"/>
    <w:rsid w:val="00A90925"/>
    <w:rsid w:val="00A925D7"/>
    <w:rsid w:val="00A92706"/>
    <w:rsid w:val="00A92939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27AA"/>
    <w:rsid w:val="00AB2A85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232"/>
    <w:rsid w:val="00AC66A0"/>
    <w:rsid w:val="00AC6DE2"/>
    <w:rsid w:val="00AC737D"/>
    <w:rsid w:val="00AC7655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888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474"/>
    <w:rsid w:val="00AF15A7"/>
    <w:rsid w:val="00AF1A40"/>
    <w:rsid w:val="00AF1D86"/>
    <w:rsid w:val="00AF1FDF"/>
    <w:rsid w:val="00AF20FB"/>
    <w:rsid w:val="00AF37F7"/>
    <w:rsid w:val="00AF3A05"/>
    <w:rsid w:val="00AF44C8"/>
    <w:rsid w:val="00AF4BF4"/>
    <w:rsid w:val="00AF551F"/>
    <w:rsid w:val="00AF5706"/>
    <w:rsid w:val="00B0025D"/>
    <w:rsid w:val="00B006D8"/>
    <w:rsid w:val="00B02174"/>
    <w:rsid w:val="00B02238"/>
    <w:rsid w:val="00B02892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FFE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D2"/>
    <w:rsid w:val="00B51A4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0BA"/>
    <w:rsid w:val="00B615CB"/>
    <w:rsid w:val="00B616D8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67E6B"/>
    <w:rsid w:val="00B702CD"/>
    <w:rsid w:val="00B71A1D"/>
    <w:rsid w:val="00B71BBB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7AF"/>
    <w:rsid w:val="00BB4011"/>
    <w:rsid w:val="00BB4769"/>
    <w:rsid w:val="00BB49D4"/>
    <w:rsid w:val="00BB4C08"/>
    <w:rsid w:val="00BB4FDA"/>
    <w:rsid w:val="00BB61BE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4D9"/>
    <w:rsid w:val="00BC65A7"/>
    <w:rsid w:val="00BC6D81"/>
    <w:rsid w:val="00BD0DA1"/>
    <w:rsid w:val="00BD151C"/>
    <w:rsid w:val="00BD1747"/>
    <w:rsid w:val="00BD3A51"/>
    <w:rsid w:val="00BD3C1A"/>
    <w:rsid w:val="00BD3C68"/>
    <w:rsid w:val="00BD421D"/>
    <w:rsid w:val="00BD4493"/>
    <w:rsid w:val="00BD5023"/>
    <w:rsid w:val="00BD5052"/>
    <w:rsid w:val="00BD5413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6676"/>
    <w:rsid w:val="00BF6B8D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78"/>
    <w:rsid w:val="00C2509D"/>
    <w:rsid w:val="00C25769"/>
    <w:rsid w:val="00C25854"/>
    <w:rsid w:val="00C25DA4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5E5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57C"/>
    <w:rsid w:val="00C961CA"/>
    <w:rsid w:val="00C96242"/>
    <w:rsid w:val="00C96454"/>
    <w:rsid w:val="00C96747"/>
    <w:rsid w:val="00C97075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72B"/>
    <w:rsid w:val="00CB0D34"/>
    <w:rsid w:val="00CB10CB"/>
    <w:rsid w:val="00CB1C4E"/>
    <w:rsid w:val="00CB1FD2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39E"/>
    <w:rsid w:val="00D0267B"/>
    <w:rsid w:val="00D02757"/>
    <w:rsid w:val="00D02851"/>
    <w:rsid w:val="00D02A5B"/>
    <w:rsid w:val="00D02B8B"/>
    <w:rsid w:val="00D02FB7"/>
    <w:rsid w:val="00D035D9"/>
    <w:rsid w:val="00D04613"/>
    <w:rsid w:val="00D04AF3"/>
    <w:rsid w:val="00D04C4B"/>
    <w:rsid w:val="00D04D9F"/>
    <w:rsid w:val="00D05C77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4AF6"/>
    <w:rsid w:val="00D35F32"/>
    <w:rsid w:val="00D361DE"/>
    <w:rsid w:val="00D369D6"/>
    <w:rsid w:val="00D36A99"/>
    <w:rsid w:val="00D37233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46E8A"/>
    <w:rsid w:val="00D50F43"/>
    <w:rsid w:val="00D51635"/>
    <w:rsid w:val="00D51B31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71E9"/>
    <w:rsid w:val="00D7771F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BC9"/>
    <w:rsid w:val="00D973C9"/>
    <w:rsid w:val="00D9781A"/>
    <w:rsid w:val="00D97883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CBB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5967"/>
    <w:rsid w:val="00DD645B"/>
    <w:rsid w:val="00DD6667"/>
    <w:rsid w:val="00DD666A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6F2"/>
    <w:rsid w:val="00E06A81"/>
    <w:rsid w:val="00E07901"/>
    <w:rsid w:val="00E079C6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7711"/>
    <w:rsid w:val="00E20504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9D0"/>
    <w:rsid w:val="00E32C08"/>
    <w:rsid w:val="00E330AD"/>
    <w:rsid w:val="00E33746"/>
    <w:rsid w:val="00E33AFF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498"/>
    <w:rsid w:val="00E6177F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5A73"/>
    <w:rsid w:val="00E96897"/>
    <w:rsid w:val="00E969FC"/>
    <w:rsid w:val="00E97045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658"/>
    <w:rsid w:val="00EC195F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A0"/>
    <w:rsid w:val="00ED0CF0"/>
    <w:rsid w:val="00ED21EF"/>
    <w:rsid w:val="00ED34D4"/>
    <w:rsid w:val="00ED3D84"/>
    <w:rsid w:val="00ED3D87"/>
    <w:rsid w:val="00ED42FF"/>
    <w:rsid w:val="00ED5E6C"/>
    <w:rsid w:val="00ED766C"/>
    <w:rsid w:val="00ED76FB"/>
    <w:rsid w:val="00EE05C2"/>
    <w:rsid w:val="00EE06A6"/>
    <w:rsid w:val="00EE0D01"/>
    <w:rsid w:val="00EE296D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2755"/>
    <w:rsid w:val="00EF334E"/>
    <w:rsid w:val="00EF359E"/>
    <w:rsid w:val="00EF4685"/>
    <w:rsid w:val="00EF4FEE"/>
    <w:rsid w:val="00EF542B"/>
    <w:rsid w:val="00EF6873"/>
    <w:rsid w:val="00EF6902"/>
    <w:rsid w:val="00EF6F24"/>
    <w:rsid w:val="00EF7143"/>
    <w:rsid w:val="00F0080B"/>
    <w:rsid w:val="00F00BE1"/>
    <w:rsid w:val="00F015B1"/>
    <w:rsid w:val="00F01B31"/>
    <w:rsid w:val="00F02D9C"/>
    <w:rsid w:val="00F038D5"/>
    <w:rsid w:val="00F03AB6"/>
    <w:rsid w:val="00F03AB9"/>
    <w:rsid w:val="00F03F4E"/>
    <w:rsid w:val="00F0439A"/>
    <w:rsid w:val="00F048EF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570"/>
    <w:rsid w:val="00F23F06"/>
    <w:rsid w:val="00F24232"/>
    <w:rsid w:val="00F24E8D"/>
    <w:rsid w:val="00F2526C"/>
    <w:rsid w:val="00F261F0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9C7"/>
    <w:rsid w:val="00F45D8C"/>
    <w:rsid w:val="00F468CA"/>
    <w:rsid w:val="00F47658"/>
    <w:rsid w:val="00F47C5C"/>
    <w:rsid w:val="00F50173"/>
    <w:rsid w:val="00F50A8A"/>
    <w:rsid w:val="00F510A6"/>
    <w:rsid w:val="00F51D20"/>
    <w:rsid w:val="00F53166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5D5"/>
    <w:rsid w:val="00F666FD"/>
    <w:rsid w:val="00F66EC1"/>
    <w:rsid w:val="00F67099"/>
    <w:rsid w:val="00F672F1"/>
    <w:rsid w:val="00F67302"/>
    <w:rsid w:val="00F67A35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EAE"/>
    <w:rsid w:val="00F928CE"/>
    <w:rsid w:val="00F92EAE"/>
    <w:rsid w:val="00F92EEE"/>
    <w:rsid w:val="00F936B8"/>
    <w:rsid w:val="00F945B2"/>
    <w:rsid w:val="00F9473C"/>
    <w:rsid w:val="00F947A1"/>
    <w:rsid w:val="00F9721B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9E9"/>
    <w:rsid w:val="00FD2E55"/>
    <w:rsid w:val="00FD2FA9"/>
    <w:rsid w:val="00FD31D2"/>
    <w:rsid w:val="00FD3572"/>
    <w:rsid w:val="00FD36D4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1CB"/>
    <w:rsid w:val="00FE79EF"/>
    <w:rsid w:val="00FF025A"/>
    <w:rsid w:val="00FF088B"/>
    <w:rsid w:val="00FF0AC4"/>
    <w:rsid w:val="00FF0D1C"/>
    <w:rsid w:val="00FF10AF"/>
    <w:rsid w:val="00FF1304"/>
    <w:rsid w:val="00FF140F"/>
    <w:rsid w:val="00FF18BB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9B82CEB-9974-4E8B-9127-CA15E617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6574-3833-413D-8D80-4622F67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2616</Words>
  <Characters>14127</Characters>
  <Application>Microsoft Office Word</Application>
  <DocSecurity>4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16710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2012-10-30T11:22:00Z</cp:lastPrinted>
  <dcterms:created xsi:type="dcterms:W3CDTF">2015-05-07T12:58:00Z</dcterms:created>
  <dcterms:modified xsi:type="dcterms:W3CDTF">2015-05-07T12:58:00Z</dcterms:modified>
</cp:coreProperties>
</file>