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E1075B" w:rsidRDefault="009444E6" w:rsidP="006564F2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E1075B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3D0153" w:rsidRPr="00E1075B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E1075B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385E54" w:rsidRPr="00E1075B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  <w:r w:rsidR="00531C5C" w:rsidRPr="00E1075B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  <w:r w:rsidR="00E64D8F" w:rsidRPr="00E1075B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531C5C" w:rsidRPr="00E1075B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385E54" w:rsidRPr="00E1075B">
        <w:rPr>
          <w:rFonts w:ascii="Times New Roman" w:hAnsi="Times New Roman"/>
          <w:b/>
          <w:i w:val="0"/>
          <w:color w:val="000000"/>
          <w:sz w:val="22"/>
          <w:szCs w:val="22"/>
        </w:rPr>
        <w:t>22</w:t>
      </w:r>
      <w:r w:rsidR="00531C5C" w:rsidRPr="00E1075B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E64D8F" w:rsidRPr="00E1075B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de agosto </w:t>
      </w:r>
      <w:r w:rsidRPr="00E1075B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E1075B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E1075B" w:rsidRDefault="002D35F5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E1075B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E1075B">
        <w:rPr>
          <w:sz w:val="22"/>
          <w:szCs w:val="22"/>
        </w:rPr>
        <w:t>s</w:t>
      </w:r>
      <w:r w:rsidRPr="00E1075B">
        <w:rPr>
          <w:sz w:val="22"/>
          <w:szCs w:val="22"/>
        </w:rPr>
        <w:t xml:space="preserve"> data</w:t>
      </w:r>
      <w:r w:rsidR="003D0153" w:rsidRPr="00E1075B">
        <w:rPr>
          <w:sz w:val="22"/>
          <w:szCs w:val="22"/>
        </w:rPr>
        <w:t>s</w:t>
      </w:r>
      <w:r w:rsidRPr="00E1075B">
        <w:rPr>
          <w:sz w:val="22"/>
          <w:szCs w:val="22"/>
        </w:rPr>
        <w:t xml:space="preserve"> acima indicada</w:t>
      </w:r>
      <w:r w:rsidR="003D0153" w:rsidRPr="00E1075B">
        <w:rPr>
          <w:sz w:val="22"/>
          <w:szCs w:val="22"/>
        </w:rPr>
        <w:t>s</w:t>
      </w:r>
      <w:r w:rsidRPr="00E1075B">
        <w:rPr>
          <w:sz w:val="22"/>
          <w:szCs w:val="22"/>
        </w:rPr>
        <w:t>, relativas a licitações e contratos, e tem por finalidade facilitar o acompanhamento, pelo leitor, d</w:t>
      </w:r>
      <w:r w:rsidR="000E5EAB" w:rsidRPr="00E1075B">
        <w:rPr>
          <w:sz w:val="22"/>
          <w:szCs w:val="22"/>
        </w:rPr>
        <w:t>o</w:t>
      </w:r>
      <w:r w:rsidRPr="00E1075B">
        <w:rPr>
          <w:sz w:val="22"/>
          <w:szCs w:val="22"/>
        </w:rPr>
        <w:t xml:space="preserve">s aspectos relevantes que envolvem o tema. </w:t>
      </w:r>
      <w:r w:rsidR="000E5EAB" w:rsidRPr="00E1075B">
        <w:rPr>
          <w:sz w:val="22"/>
          <w:szCs w:val="22"/>
        </w:rPr>
        <w:t>A</w:t>
      </w:r>
      <w:r w:rsidRPr="00E1075B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9C5EDE" w:rsidRPr="00E1075B" w:rsidRDefault="002D35F5" w:rsidP="00EE4F8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E1075B">
        <w:rPr>
          <w:b/>
          <w:bCs/>
          <w:smallCaps/>
          <w:sz w:val="22"/>
          <w:szCs w:val="22"/>
        </w:rPr>
        <w:t>S</w:t>
      </w:r>
      <w:r w:rsidR="00FF7C62" w:rsidRPr="00E1075B">
        <w:rPr>
          <w:b/>
          <w:bCs/>
          <w:smallCaps/>
          <w:sz w:val="22"/>
          <w:szCs w:val="22"/>
        </w:rPr>
        <w:t>UMÁRIO</w:t>
      </w:r>
    </w:p>
    <w:p w:rsidR="0084005B" w:rsidRPr="00E1075B" w:rsidRDefault="0084005B" w:rsidP="00EA7698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E1075B">
        <w:rPr>
          <w:b/>
          <w:sz w:val="22"/>
          <w:szCs w:val="22"/>
          <w:lang w:eastAsia="pt-BR"/>
        </w:rPr>
        <w:t>Plenário</w:t>
      </w:r>
    </w:p>
    <w:p w:rsidR="00385E54" w:rsidRPr="00E1075B" w:rsidRDefault="00E8475C" w:rsidP="00EA7698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E1075B">
        <w:rPr>
          <w:color w:val="auto"/>
          <w:sz w:val="22"/>
          <w:szCs w:val="22"/>
        </w:rPr>
        <w:t>1.</w:t>
      </w:r>
      <w:r w:rsidR="00EA7698" w:rsidRPr="00E1075B">
        <w:rPr>
          <w:color w:val="auto"/>
          <w:sz w:val="22"/>
          <w:szCs w:val="22"/>
        </w:rPr>
        <w:t xml:space="preserve"> </w:t>
      </w:r>
      <w:r w:rsidR="00E1075B" w:rsidRPr="00E1075B">
        <w:rPr>
          <w:color w:val="auto"/>
          <w:sz w:val="22"/>
          <w:szCs w:val="22"/>
        </w:rPr>
        <w:t xml:space="preserve">A natureza dos serviços de engenharia consultiva pode afastar a vinculação entre os valores dos salários indicados nas propostas das licitantes, </w:t>
      </w:r>
      <w:r w:rsidR="00E1075B">
        <w:rPr>
          <w:color w:val="auto"/>
          <w:sz w:val="22"/>
          <w:szCs w:val="22"/>
        </w:rPr>
        <w:t xml:space="preserve">os </w:t>
      </w:r>
      <w:r w:rsidR="00E1075B" w:rsidRPr="00E1075B">
        <w:rPr>
          <w:color w:val="auto"/>
          <w:sz w:val="22"/>
          <w:szCs w:val="22"/>
        </w:rPr>
        <w:t>qu</w:t>
      </w:r>
      <w:r w:rsidR="00E1075B">
        <w:rPr>
          <w:color w:val="auto"/>
          <w:sz w:val="22"/>
          <w:szCs w:val="22"/>
        </w:rPr>
        <w:t>ais</w:t>
      </w:r>
      <w:r w:rsidR="00E1075B" w:rsidRPr="00E1075B">
        <w:rPr>
          <w:color w:val="auto"/>
          <w:sz w:val="22"/>
          <w:szCs w:val="22"/>
        </w:rPr>
        <w:t xml:space="preserve"> passaram a con</w:t>
      </w:r>
      <w:r w:rsidR="00E1075B">
        <w:rPr>
          <w:color w:val="auto"/>
          <w:sz w:val="22"/>
          <w:szCs w:val="22"/>
        </w:rPr>
        <w:t>star d</w:t>
      </w:r>
      <w:r w:rsidR="00E1075B" w:rsidRPr="00E1075B">
        <w:rPr>
          <w:color w:val="auto"/>
          <w:sz w:val="22"/>
          <w:szCs w:val="22"/>
        </w:rPr>
        <w:t>o contrato, e os efetivamente pagos aos seus trabalhadores</w:t>
      </w:r>
      <w:r w:rsidR="00EA7698" w:rsidRPr="00E1075B">
        <w:rPr>
          <w:color w:val="auto"/>
          <w:sz w:val="22"/>
          <w:szCs w:val="22"/>
        </w:rPr>
        <w:t>.</w:t>
      </w:r>
    </w:p>
    <w:p w:rsidR="00EA7698" w:rsidRPr="00E1075B" w:rsidRDefault="00EA7698" w:rsidP="00EA7698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E1075B">
        <w:rPr>
          <w:color w:val="auto"/>
          <w:sz w:val="22"/>
          <w:szCs w:val="22"/>
        </w:rPr>
        <w:t>2. A exigência simultânea de capital social mínimo e de garantia em montante correspondente a percentual do valor do contrato a ser celebrado, como condições de qualificação econômico-financeira, afronta o disposto no §2º, art. 31, da Lei 8.666/1993.</w:t>
      </w:r>
    </w:p>
    <w:p w:rsidR="00EA7698" w:rsidRPr="00E1075B" w:rsidRDefault="00EA7698" w:rsidP="00EA7698">
      <w:pPr>
        <w:pStyle w:val="Default"/>
        <w:tabs>
          <w:tab w:val="left" w:pos="2640"/>
        </w:tabs>
        <w:spacing w:before="60"/>
        <w:jc w:val="both"/>
        <w:rPr>
          <w:color w:val="auto"/>
          <w:sz w:val="22"/>
          <w:szCs w:val="22"/>
        </w:rPr>
      </w:pPr>
      <w:r w:rsidRPr="00E1075B">
        <w:rPr>
          <w:iCs/>
          <w:color w:val="auto"/>
          <w:sz w:val="22"/>
          <w:szCs w:val="22"/>
        </w:rPr>
        <w:t xml:space="preserve">3. O registro ou visto </w:t>
      </w:r>
      <w:r w:rsidR="00DD6A64" w:rsidRPr="00E1075B">
        <w:rPr>
          <w:iCs/>
          <w:color w:val="auto"/>
          <w:sz w:val="22"/>
          <w:szCs w:val="22"/>
        </w:rPr>
        <w:t>em conselho regional de engenharia e arquitetura d</w:t>
      </w:r>
      <w:r w:rsidRPr="00E1075B">
        <w:rPr>
          <w:iCs/>
          <w:color w:val="auto"/>
          <w:sz w:val="22"/>
          <w:szCs w:val="22"/>
        </w:rPr>
        <w:t xml:space="preserve">o local de realização de obra é condição para celebração do contrato, mas não para participação </w:t>
      </w:r>
      <w:r w:rsidR="00DD6A64" w:rsidRPr="00E1075B">
        <w:rPr>
          <w:iCs/>
          <w:color w:val="auto"/>
          <w:sz w:val="22"/>
          <w:szCs w:val="22"/>
        </w:rPr>
        <w:t xml:space="preserve">de empresa </w:t>
      </w:r>
      <w:r w:rsidRPr="00E1075B">
        <w:rPr>
          <w:iCs/>
          <w:color w:val="auto"/>
          <w:sz w:val="22"/>
          <w:szCs w:val="22"/>
        </w:rPr>
        <w:t>na respectiva licitação.</w:t>
      </w:r>
    </w:p>
    <w:p w:rsidR="00EA7698" w:rsidRPr="00E1075B" w:rsidRDefault="00EA7698" w:rsidP="00EA7698">
      <w:pPr>
        <w:pStyle w:val="Default"/>
        <w:spacing w:before="60"/>
        <w:jc w:val="both"/>
        <w:rPr>
          <w:sz w:val="22"/>
          <w:szCs w:val="22"/>
        </w:rPr>
      </w:pPr>
      <w:r w:rsidRPr="00E1075B">
        <w:rPr>
          <w:sz w:val="22"/>
          <w:szCs w:val="22"/>
        </w:rPr>
        <w:t xml:space="preserve">4. A </w:t>
      </w:r>
      <w:r w:rsidR="008E53BF" w:rsidRPr="00E1075B">
        <w:rPr>
          <w:sz w:val="22"/>
          <w:szCs w:val="22"/>
        </w:rPr>
        <w:t>estipulação</w:t>
      </w:r>
      <w:r w:rsidRPr="00E1075B">
        <w:rPr>
          <w:sz w:val="22"/>
          <w:szCs w:val="22"/>
        </w:rPr>
        <w:t xml:space="preserve">, em edital de licitação, de </w:t>
      </w:r>
      <w:r w:rsidR="008E53BF" w:rsidRPr="00E1075B">
        <w:rPr>
          <w:sz w:val="22"/>
          <w:szCs w:val="22"/>
        </w:rPr>
        <w:t>requisito de h</w:t>
      </w:r>
      <w:r w:rsidRPr="00E1075B">
        <w:rPr>
          <w:sz w:val="22"/>
          <w:szCs w:val="22"/>
        </w:rPr>
        <w:t>abilitação indevid</w:t>
      </w:r>
      <w:r w:rsidR="008E53BF" w:rsidRPr="00E1075B">
        <w:rPr>
          <w:sz w:val="22"/>
          <w:szCs w:val="22"/>
        </w:rPr>
        <w:t>o</w:t>
      </w:r>
      <w:r w:rsidRPr="00E1075B">
        <w:rPr>
          <w:sz w:val="22"/>
          <w:szCs w:val="22"/>
        </w:rPr>
        <w:t xml:space="preserve"> - como a existência </w:t>
      </w:r>
      <w:r w:rsidRPr="00E1075B">
        <w:rPr>
          <w:iCs/>
          <w:sz w:val="22"/>
          <w:szCs w:val="22"/>
        </w:rPr>
        <w:t xml:space="preserve">de profissionais no quadro permanente da empresa </w:t>
      </w:r>
      <w:r w:rsidR="008E53BF" w:rsidRPr="00E1075B">
        <w:rPr>
          <w:iCs/>
          <w:sz w:val="22"/>
          <w:szCs w:val="22"/>
        </w:rPr>
        <w:t xml:space="preserve">no curso da </w:t>
      </w:r>
      <w:r w:rsidRPr="00E1075B">
        <w:rPr>
          <w:iCs/>
          <w:sz w:val="22"/>
          <w:szCs w:val="22"/>
        </w:rPr>
        <w:t>licita</w:t>
      </w:r>
      <w:r w:rsidR="008E53BF" w:rsidRPr="00E1075B">
        <w:rPr>
          <w:iCs/>
          <w:sz w:val="22"/>
          <w:szCs w:val="22"/>
        </w:rPr>
        <w:t>ção</w:t>
      </w:r>
      <w:r w:rsidRPr="00E1075B">
        <w:rPr>
          <w:iCs/>
          <w:sz w:val="22"/>
          <w:szCs w:val="22"/>
        </w:rPr>
        <w:t xml:space="preserve"> -</w:t>
      </w:r>
      <w:r w:rsidRPr="00E1075B">
        <w:rPr>
          <w:sz w:val="22"/>
          <w:szCs w:val="22"/>
        </w:rPr>
        <w:t xml:space="preserve"> pode ser relevada, em face da verificação</w:t>
      </w:r>
      <w:r w:rsidR="008E53BF" w:rsidRPr="00E1075B">
        <w:rPr>
          <w:sz w:val="22"/>
          <w:szCs w:val="22"/>
        </w:rPr>
        <w:t xml:space="preserve"> </w:t>
      </w:r>
      <w:r w:rsidRPr="00E1075B">
        <w:rPr>
          <w:sz w:val="22"/>
          <w:szCs w:val="22"/>
        </w:rPr>
        <w:t>de não ter</w:t>
      </w:r>
      <w:r w:rsidR="00DD6A64" w:rsidRPr="00E1075B">
        <w:rPr>
          <w:sz w:val="22"/>
          <w:szCs w:val="22"/>
        </w:rPr>
        <w:t xml:space="preserve"> efetivamente</w:t>
      </w:r>
      <w:r w:rsidRPr="00E1075B">
        <w:rPr>
          <w:sz w:val="22"/>
          <w:szCs w:val="22"/>
        </w:rPr>
        <w:t xml:space="preserve"> comprometido o caráter competitivo do certame</w:t>
      </w:r>
      <w:r w:rsidR="008E53BF" w:rsidRPr="00E1075B">
        <w:rPr>
          <w:sz w:val="22"/>
          <w:szCs w:val="22"/>
        </w:rPr>
        <w:t>.</w:t>
      </w:r>
      <w:r w:rsidRPr="00E1075B">
        <w:rPr>
          <w:sz w:val="22"/>
          <w:szCs w:val="22"/>
        </w:rPr>
        <w:t xml:space="preserve"> </w:t>
      </w:r>
    </w:p>
    <w:p w:rsidR="008E53BF" w:rsidRPr="00E1075B" w:rsidRDefault="008E53BF" w:rsidP="00EA7698">
      <w:pPr>
        <w:pStyle w:val="Default"/>
        <w:spacing w:before="60"/>
        <w:jc w:val="both"/>
        <w:rPr>
          <w:sz w:val="22"/>
          <w:szCs w:val="22"/>
        </w:rPr>
      </w:pPr>
    </w:p>
    <w:p w:rsidR="00EE4F89" w:rsidRPr="00E1075B" w:rsidRDefault="004D357C" w:rsidP="00830537">
      <w:pPr>
        <w:pBdr>
          <w:top w:val="threeDEmboss" w:sz="24" w:space="6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E1075B">
        <w:rPr>
          <w:b/>
          <w:bCs/>
          <w:smallCaps/>
          <w:sz w:val="22"/>
          <w:szCs w:val="22"/>
        </w:rPr>
        <w:t>PLENÁRIO</w:t>
      </w:r>
    </w:p>
    <w:p w:rsidR="00A96195" w:rsidRPr="00E1075B" w:rsidRDefault="00A96195" w:rsidP="0034659F">
      <w:pPr>
        <w:pStyle w:val="Default"/>
        <w:jc w:val="both"/>
        <w:rPr>
          <w:b/>
          <w:color w:val="auto"/>
          <w:sz w:val="22"/>
          <w:szCs w:val="22"/>
        </w:rPr>
      </w:pPr>
    </w:p>
    <w:p w:rsidR="00422FE4" w:rsidRPr="00E1075B" w:rsidRDefault="00EA7698" w:rsidP="00EA7698">
      <w:pPr>
        <w:pStyle w:val="Default"/>
        <w:jc w:val="both"/>
        <w:rPr>
          <w:b/>
          <w:color w:val="auto"/>
          <w:sz w:val="22"/>
          <w:szCs w:val="22"/>
        </w:rPr>
      </w:pPr>
      <w:r w:rsidRPr="00E1075B">
        <w:rPr>
          <w:b/>
          <w:color w:val="auto"/>
          <w:sz w:val="22"/>
          <w:szCs w:val="22"/>
        </w:rPr>
        <w:t xml:space="preserve">1. </w:t>
      </w:r>
      <w:r w:rsidR="00E1075B" w:rsidRPr="00E1075B">
        <w:rPr>
          <w:b/>
          <w:color w:val="auto"/>
          <w:sz w:val="22"/>
          <w:szCs w:val="22"/>
        </w:rPr>
        <w:t>A natureza dos serviços de engenharia consultiva pode afastar a vinculação entre os valores dos salários indicados nas propostas das licitantes, os quais passaram a constar do contrato, e os efetivamente pagos aos seus trabalhadores.</w:t>
      </w:r>
    </w:p>
    <w:p w:rsidR="00EA7698" w:rsidRPr="00E1075B" w:rsidRDefault="00EA7698" w:rsidP="00EA7698">
      <w:pPr>
        <w:pStyle w:val="Default"/>
        <w:jc w:val="both"/>
        <w:rPr>
          <w:b/>
          <w:vanish/>
          <w:color w:val="auto"/>
          <w:sz w:val="22"/>
          <w:szCs w:val="22"/>
          <w:specVanish/>
        </w:rPr>
      </w:pPr>
    </w:p>
    <w:p w:rsidR="00EA7698" w:rsidRPr="00E1075B" w:rsidRDefault="00EA7698" w:rsidP="00EA7698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E1075B">
        <w:rPr>
          <w:color w:val="auto"/>
          <w:sz w:val="22"/>
          <w:szCs w:val="22"/>
        </w:rPr>
        <w:t>Pedidos de Reexame interpostos por Enger Engenharia S/A e Sondotécnica Engenharia de Solos S/A, contra o Acórdão nº 446/2011 – Plenário, requereram a reforma de decisão do Tribunal, por meio da qual, ao avaliar a execução de contratos de “</w:t>
      </w:r>
      <w:r w:rsidRPr="00E1075B">
        <w:rPr>
          <w:i/>
          <w:color w:val="auto"/>
          <w:sz w:val="22"/>
          <w:szCs w:val="22"/>
        </w:rPr>
        <w:t>supervisão, acompanhamento técnico e controle tecnológico das obras civis, do projeto executivo, do fornecimento e montagem de equipamentos mecânicos e elétricos</w:t>
      </w:r>
      <w:r w:rsidRPr="00E1075B">
        <w:rPr>
          <w:color w:val="auto"/>
          <w:sz w:val="22"/>
          <w:szCs w:val="22"/>
        </w:rPr>
        <w:t>” do Projeto de integração do rio São Francisco com as bacias hidrográficas do Nordeste setentrional (PISF), havia determinado ao Ministério da Integração Nacional que, entre outras providências: a) efetuasse glosa de valores correspondentes à diferença “</w:t>
      </w:r>
      <w:r w:rsidRPr="00E1075B">
        <w:rPr>
          <w:i/>
          <w:color w:val="auto"/>
          <w:sz w:val="22"/>
          <w:szCs w:val="22"/>
        </w:rPr>
        <w:t>entre os salários que as empresas declararam que pagariam e os que efetivamente pagaram a seus empregados</w:t>
      </w:r>
      <w:r w:rsidRPr="00E1075B">
        <w:rPr>
          <w:color w:val="auto"/>
          <w:sz w:val="22"/>
          <w:szCs w:val="22"/>
        </w:rPr>
        <w:t>” e b) estendesse essa mesma providência aos demais contratos de supervisão, acompanhamento técnico e controle tecnológico não avaliados na auditoria. Alegaram as recorrentes que os serviços por elas prestados têm natureza de contrato de gerenciamento de obra pública e não de simples fornecimento de mão de obra especializada. E também que a estrutura de custos das citadas atividades não está associada apenas à alocação de mão de obra, mas também à expertise da empresa contratada. O relator, ao examinar esses argumentos, destacou que tais atividades “</w:t>
      </w:r>
      <w:r w:rsidRPr="00E1075B">
        <w:rPr>
          <w:i/>
          <w:color w:val="auto"/>
          <w:sz w:val="22"/>
          <w:szCs w:val="22"/>
        </w:rPr>
        <w:t>amoldam-se àquelas típicas da engenharia consultiva, em especial a assistência técnica, o gerenciamento de obras e a assessoria especializada</w:t>
      </w:r>
      <w:r w:rsidRPr="00E1075B">
        <w:rPr>
          <w:color w:val="auto"/>
          <w:sz w:val="22"/>
          <w:szCs w:val="22"/>
        </w:rPr>
        <w:t>”.  Registrou, após citar a literatura especializada, “</w:t>
      </w:r>
      <w:r w:rsidRPr="00E1075B">
        <w:rPr>
          <w:i/>
          <w:color w:val="auto"/>
          <w:sz w:val="22"/>
          <w:szCs w:val="22"/>
        </w:rPr>
        <w:t>a dificuldade em se elaborar orçamentos de serviços de engenharia, em face das incertezas que envolvem a prestação dos serviços</w:t>
      </w:r>
      <w:r w:rsidRPr="00E1075B">
        <w:rPr>
          <w:color w:val="auto"/>
          <w:sz w:val="22"/>
          <w:szCs w:val="22"/>
        </w:rPr>
        <w:t>”. Fez menção aos métodos de orçamentação de serviços dessa natureza e lembrou que o Ministério valeu-se do método da “</w:t>
      </w:r>
      <w:r w:rsidRPr="00E1075B">
        <w:rPr>
          <w:i/>
          <w:color w:val="auto"/>
          <w:sz w:val="22"/>
          <w:szCs w:val="22"/>
        </w:rPr>
        <w:t>listagem de atividade e determinação das quantidades de horas</w:t>
      </w:r>
      <w:r w:rsidRPr="00E1075B">
        <w:rPr>
          <w:color w:val="auto"/>
          <w:sz w:val="22"/>
          <w:szCs w:val="22"/>
        </w:rPr>
        <w:t xml:space="preserve">”. Tal método, esclareceu, demanda o dimensionamento do custo direto de mão de obra (salários dos profissionais alocados ao contrato), dos encargos sociais, outros custos diretos (gastos com viagens, consultores especiais, comunicações, serviços de campo e de laboratório, por exemplo), custos </w:t>
      </w:r>
      <w:r w:rsidR="00422FE4" w:rsidRPr="00E1075B">
        <w:rPr>
          <w:color w:val="auto"/>
          <w:sz w:val="22"/>
          <w:szCs w:val="22"/>
        </w:rPr>
        <w:t>i</w:t>
      </w:r>
      <w:r w:rsidRPr="00E1075B">
        <w:rPr>
          <w:color w:val="auto"/>
          <w:sz w:val="22"/>
          <w:szCs w:val="22"/>
        </w:rPr>
        <w:t>ndiretos (entre os quais administração central), encargos financeiros, despesas fiscais e contingências. Em seguida, a despeito de reconhecer que</w:t>
      </w:r>
      <w:r w:rsidRPr="00E1075B">
        <w:rPr>
          <w:i/>
          <w:color w:val="auto"/>
          <w:sz w:val="22"/>
          <w:szCs w:val="22"/>
        </w:rPr>
        <w:t xml:space="preserve"> </w:t>
      </w:r>
      <w:r w:rsidRPr="00E1075B">
        <w:rPr>
          <w:color w:val="auto"/>
          <w:sz w:val="22"/>
          <w:szCs w:val="22"/>
        </w:rPr>
        <w:t>“</w:t>
      </w:r>
      <w:r w:rsidRPr="00E1075B">
        <w:rPr>
          <w:i/>
          <w:color w:val="auto"/>
          <w:sz w:val="22"/>
          <w:szCs w:val="22"/>
        </w:rPr>
        <w:t>a remuneração das contratadas decorre do efetivo labor dos profissionais indicados na planilha de composição de serviços</w:t>
      </w:r>
      <w:r w:rsidRPr="00E1075B">
        <w:rPr>
          <w:color w:val="auto"/>
          <w:sz w:val="22"/>
          <w:szCs w:val="22"/>
        </w:rPr>
        <w:t>”</w:t>
      </w:r>
      <w:r w:rsidRPr="00E1075B">
        <w:rPr>
          <w:i/>
          <w:color w:val="auto"/>
          <w:sz w:val="22"/>
          <w:szCs w:val="22"/>
        </w:rPr>
        <w:t xml:space="preserve">, </w:t>
      </w:r>
      <w:r w:rsidR="003832E8" w:rsidRPr="00E1075B">
        <w:rPr>
          <w:color w:val="auto"/>
          <w:sz w:val="22"/>
          <w:szCs w:val="22"/>
        </w:rPr>
        <w:t>posicionou-se:</w:t>
      </w:r>
      <w:r w:rsidRPr="00E1075B">
        <w:rPr>
          <w:color w:val="auto"/>
          <w:sz w:val="22"/>
          <w:szCs w:val="22"/>
        </w:rPr>
        <w:t xml:space="preserve"> “</w:t>
      </w:r>
      <w:r w:rsidRPr="00E1075B">
        <w:rPr>
          <w:i/>
          <w:color w:val="auto"/>
          <w:sz w:val="22"/>
          <w:szCs w:val="22"/>
        </w:rPr>
        <w:t>Peculiaridades relativas ao método da listagem de atividade e determinação das quantidades de horas, utilizado na elaboração do orçamento estimativo e nas propostas de preços, associadas à ausência de campos específicos para apropriação de todos os custos a que estão sujeitas as prestadoras desses serviços, retiram, no caso concreto, o vínculo entre os salários indicados nas propostas por elas ofertadas e os efetivamente pagos aos seus trabalhadores</w:t>
      </w:r>
      <w:r w:rsidRPr="00E1075B">
        <w:rPr>
          <w:color w:val="auto"/>
          <w:sz w:val="22"/>
          <w:szCs w:val="22"/>
        </w:rPr>
        <w:t>”. Acrescentou que os contratos de engenharia consultiva “</w:t>
      </w:r>
      <w:r w:rsidRPr="00E1075B">
        <w:rPr>
          <w:i/>
          <w:color w:val="auto"/>
          <w:sz w:val="22"/>
          <w:szCs w:val="22"/>
        </w:rPr>
        <w:t>submetem-se a reajustamento anual de preços, considerado o índice setorial eleito pela Administração</w:t>
      </w:r>
      <w:r w:rsidRPr="00E1075B">
        <w:rPr>
          <w:color w:val="auto"/>
          <w:sz w:val="22"/>
          <w:szCs w:val="22"/>
        </w:rPr>
        <w:t>”, e que, por isso, é de se esperar que “</w:t>
      </w:r>
      <w:r w:rsidRPr="00E1075B">
        <w:rPr>
          <w:i/>
          <w:color w:val="auto"/>
          <w:sz w:val="22"/>
          <w:szCs w:val="22"/>
        </w:rPr>
        <w:t>os salários indicados na proposta de preços das licitantes não expressem o exato valor pago aos seus trabalhadores, no início da execução do contrato, mas a média ponderada dos salários pagos, a cada categoria profissional</w:t>
      </w:r>
      <w:r w:rsidRPr="00E1075B">
        <w:rPr>
          <w:color w:val="auto"/>
          <w:sz w:val="22"/>
          <w:szCs w:val="22"/>
        </w:rPr>
        <w:t>”. Distinta seria a situação dos contratos de “</w:t>
      </w:r>
      <w:r w:rsidRPr="00E1075B">
        <w:rPr>
          <w:i/>
          <w:color w:val="auto"/>
          <w:sz w:val="22"/>
          <w:szCs w:val="22"/>
        </w:rPr>
        <w:t>simples alocação de mão de obra, em que o advento de reajustamento salarial é objeto de imediata revisão do preço contratual</w:t>
      </w:r>
      <w:r w:rsidRPr="00E1075B">
        <w:rPr>
          <w:color w:val="auto"/>
          <w:sz w:val="22"/>
          <w:szCs w:val="22"/>
        </w:rPr>
        <w:t xml:space="preserve"> ...”. Fez referência, também, às contingências desses contratos, quanto </w:t>
      </w:r>
      <w:r w:rsidR="003832E8" w:rsidRPr="00E1075B">
        <w:rPr>
          <w:color w:val="auto"/>
          <w:sz w:val="22"/>
          <w:szCs w:val="22"/>
        </w:rPr>
        <w:t>à</w:t>
      </w:r>
      <w:r w:rsidRPr="00E1075B">
        <w:rPr>
          <w:color w:val="auto"/>
          <w:sz w:val="22"/>
          <w:szCs w:val="22"/>
        </w:rPr>
        <w:t xml:space="preserve"> grande variação das cargas horárias contratadas, o que pode impor à empresa custos decorrentes de ociosidade dos profissionais, ou custos excessivos por extrapolação do número de horas exigidas para atuação de determinado profissional. </w:t>
      </w:r>
      <w:r w:rsidR="008D38E0" w:rsidRPr="00E1075B">
        <w:rPr>
          <w:color w:val="auto"/>
          <w:sz w:val="22"/>
          <w:szCs w:val="22"/>
        </w:rPr>
        <w:t xml:space="preserve">Por esses </w:t>
      </w:r>
      <w:r w:rsidR="003832E8" w:rsidRPr="00E1075B">
        <w:rPr>
          <w:color w:val="auto"/>
          <w:sz w:val="22"/>
          <w:szCs w:val="22"/>
        </w:rPr>
        <w:t xml:space="preserve">motivos </w:t>
      </w:r>
      <w:r w:rsidR="008D38E0" w:rsidRPr="00E1075B">
        <w:rPr>
          <w:color w:val="auto"/>
          <w:sz w:val="22"/>
          <w:szCs w:val="22"/>
        </w:rPr>
        <w:t>concluiu que “</w:t>
      </w:r>
      <w:r w:rsidR="008D38E0" w:rsidRPr="00E1075B">
        <w:rPr>
          <w:i/>
          <w:sz w:val="22"/>
          <w:szCs w:val="22"/>
        </w:rPr>
        <w:t>O cenário descrito é suficiente para, no caso concreto, afastar a vinculação entre os salários declarados nas propostas de preços e os efetivamente pagos</w:t>
      </w:r>
      <w:r w:rsidR="008D38E0" w:rsidRPr="00E1075B">
        <w:rPr>
          <w:sz w:val="22"/>
          <w:szCs w:val="22"/>
        </w:rPr>
        <w:t>”</w:t>
      </w:r>
      <w:r w:rsidR="008D38E0" w:rsidRPr="00E1075B">
        <w:rPr>
          <w:color w:val="auto"/>
          <w:sz w:val="22"/>
          <w:szCs w:val="22"/>
        </w:rPr>
        <w:t xml:space="preserve">. </w:t>
      </w:r>
      <w:r w:rsidR="008E53BF" w:rsidRPr="00E1075B">
        <w:rPr>
          <w:color w:val="auto"/>
          <w:sz w:val="22"/>
          <w:szCs w:val="22"/>
        </w:rPr>
        <w:t xml:space="preserve">Por último, com o intuito de delimitar o alcance de seu entendimento, </w:t>
      </w:r>
      <w:r w:rsidR="008D38E0" w:rsidRPr="00E1075B">
        <w:rPr>
          <w:color w:val="auto"/>
          <w:sz w:val="22"/>
          <w:szCs w:val="22"/>
        </w:rPr>
        <w:t>registrou a seguinte ressalva</w:t>
      </w:r>
      <w:r w:rsidR="008E53BF" w:rsidRPr="00E1075B">
        <w:rPr>
          <w:color w:val="auto"/>
          <w:sz w:val="22"/>
          <w:szCs w:val="22"/>
        </w:rPr>
        <w:t>: “</w:t>
      </w:r>
      <w:r w:rsidR="008D38E0" w:rsidRPr="00E1075B">
        <w:rPr>
          <w:i/>
          <w:color w:val="auto"/>
          <w:sz w:val="22"/>
          <w:szCs w:val="22"/>
        </w:rPr>
        <w:t xml:space="preserve">Tal conclusão não se aplica </w:t>
      </w:r>
      <w:r w:rsidR="008E53BF" w:rsidRPr="00E1075B">
        <w:rPr>
          <w:i/>
          <w:sz w:val="22"/>
          <w:szCs w:val="22"/>
        </w:rPr>
        <w:t>a todos os contratos de engenharia consultiva. Necessário, em cada contratação, avaliar o método orçamentário, a composição do orçamento estimativo de preços e os critérios de medição e pagamento eleitos pela Administração, entre outros, para concluir pela ocorrência ou inocorrência do vínculo entre os salários declarados e os efetivamente pagos pela consultora</w:t>
      </w:r>
      <w:r w:rsidR="008D38E0" w:rsidRPr="00E1075B">
        <w:rPr>
          <w:sz w:val="22"/>
          <w:szCs w:val="22"/>
        </w:rPr>
        <w:t>”</w:t>
      </w:r>
      <w:r w:rsidR="008E53BF" w:rsidRPr="00E1075B">
        <w:rPr>
          <w:sz w:val="22"/>
          <w:szCs w:val="22"/>
        </w:rPr>
        <w:t>.</w:t>
      </w:r>
      <w:r w:rsidR="008E53BF" w:rsidRPr="00E1075B">
        <w:rPr>
          <w:color w:val="auto"/>
          <w:sz w:val="22"/>
          <w:szCs w:val="22"/>
        </w:rPr>
        <w:t xml:space="preserve"> </w:t>
      </w:r>
      <w:r w:rsidRPr="00E1075B">
        <w:rPr>
          <w:color w:val="auto"/>
          <w:sz w:val="22"/>
          <w:szCs w:val="22"/>
        </w:rPr>
        <w:t xml:space="preserve">O Tribunal, então, ao acolher a proposta do Relator, decidiu </w:t>
      </w:r>
      <w:r w:rsidR="003832E8" w:rsidRPr="00E1075B">
        <w:rPr>
          <w:color w:val="auto"/>
          <w:sz w:val="22"/>
          <w:szCs w:val="22"/>
        </w:rPr>
        <w:t xml:space="preserve">dar provimento ao recurso das citadas empresas e </w:t>
      </w:r>
      <w:r w:rsidRPr="00E1075B">
        <w:rPr>
          <w:color w:val="auto"/>
          <w:sz w:val="22"/>
          <w:szCs w:val="22"/>
        </w:rPr>
        <w:t xml:space="preserve">tornar insubsistentes as determinações acima enunciadas.  </w:t>
      </w:r>
      <w:r w:rsidRPr="00E1075B">
        <w:rPr>
          <w:b/>
          <w:i/>
          <w:color w:val="auto"/>
          <w:sz w:val="22"/>
          <w:szCs w:val="22"/>
        </w:rPr>
        <w:t>Acórdão n.º 2215/2012-Plenário, TC-010.327/2009-8, rel. Min. Walton Alencar Rodrigues, 22.8.2012.</w:t>
      </w:r>
    </w:p>
    <w:p w:rsidR="00EA7698" w:rsidRPr="00E1075B" w:rsidRDefault="00EA7698" w:rsidP="00EA7698">
      <w:pPr>
        <w:pStyle w:val="Default"/>
        <w:jc w:val="both"/>
        <w:rPr>
          <w:b/>
          <w:color w:val="auto"/>
          <w:sz w:val="22"/>
          <w:szCs w:val="22"/>
        </w:rPr>
      </w:pPr>
    </w:p>
    <w:p w:rsidR="00EA7698" w:rsidRPr="00E1075B" w:rsidRDefault="00422FE4" w:rsidP="00EA7698">
      <w:pPr>
        <w:pStyle w:val="Default"/>
        <w:jc w:val="both"/>
        <w:rPr>
          <w:b/>
          <w:color w:val="auto"/>
          <w:sz w:val="22"/>
          <w:szCs w:val="22"/>
        </w:rPr>
      </w:pPr>
      <w:r w:rsidRPr="00E1075B">
        <w:rPr>
          <w:b/>
          <w:color w:val="auto"/>
          <w:sz w:val="22"/>
          <w:szCs w:val="22"/>
        </w:rPr>
        <w:t xml:space="preserve">2. </w:t>
      </w:r>
      <w:r w:rsidR="00EA7698" w:rsidRPr="00E1075B">
        <w:rPr>
          <w:b/>
          <w:color w:val="auto"/>
          <w:sz w:val="22"/>
          <w:szCs w:val="22"/>
        </w:rPr>
        <w:t>A exigência simultânea de capital social mínimo e de garantia em montante correspondente a percentual do valor do contrato a ser celebrado, como condições de qualificação econômico-financeira, afronta o disposto no §2º, art. 31, da Lei 8.666/1993</w:t>
      </w:r>
    </w:p>
    <w:p w:rsidR="00EA7698" w:rsidRPr="00E1075B" w:rsidRDefault="00EA7698" w:rsidP="00EA7698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E1075B">
        <w:rPr>
          <w:color w:val="auto"/>
          <w:sz w:val="22"/>
          <w:szCs w:val="22"/>
        </w:rPr>
        <w:t xml:space="preserve">Representação formulada por empresa apontou supostas irregularidades cometidas pela Fundação Universidade de Brasília/Centro de Planejamento Oscar Niemeyer (FUB/Ceplan), na condução da Concorrência 175/2012, que tinha por objetivo a contratação de empresa especializada em engenharia e/ou arquitetura para a prestação de serviços técnicos profissionais de elaboração de projetos de fundações e estruturas, arquitetura, acústica, sonorização, luminotécnica, cenotecnia, paisagismo, pavimentação, sistema viário e instalações prediais da Praça Maior do Campus Universitário Darcy Ribeiro. Entres as supostas ilicitudes, destaque-se a </w:t>
      </w:r>
      <w:r w:rsidRPr="00E1075B">
        <w:rPr>
          <w:color w:val="auto"/>
          <w:sz w:val="22"/>
          <w:szCs w:val="22"/>
          <w:u w:val="single"/>
        </w:rPr>
        <w:t>exigência simultânea de  capital social mínimo e de garantia no montante correspondente a 1% do valor do contrato a ser celebrado</w:t>
      </w:r>
      <w:r w:rsidRPr="00E1075B">
        <w:rPr>
          <w:color w:val="auto"/>
          <w:sz w:val="22"/>
          <w:szCs w:val="22"/>
        </w:rPr>
        <w:t>,  como condições de qualificação econômico-financeira.</w:t>
      </w:r>
      <w:r w:rsidRPr="00E1075B">
        <w:rPr>
          <w:b/>
          <w:color w:val="auto"/>
          <w:sz w:val="22"/>
          <w:szCs w:val="22"/>
        </w:rPr>
        <w:t xml:space="preserve"> </w:t>
      </w:r>
      <w:r w:rsidRPr="00E1075B">
        <w:rPr>
          <w:color w:val="auto"/>
          <w:sz w:val="22"/>
          <w:szCs w:val="22"/>
        </w:rPr>
        <w:t xml:space="preserve"> O relator, em linha de consonância com a unidade técnica, ressaltou que a cumulação desses quesitos afronta o disposto no §2º, art. 31, da Lei 8.666, de 1993 e a orientação jurisprudencial consolidada no enunciado nº 275 das Súmulas do Tribunal, a seguir transcrito: “</w:t>
      </w:r>
      <w:r w:rsidRPr="00E1075B">
        <w:rPr>
          <w:i/>
          <w:color w:val="auto"/>
          <w:sz w:val="22"/>
          <w:szCs w:val="22"/>
        </w:rPr>
        <w:t>Para fins de qualificação econômico-financeira, a Administração pode exigir das licitantes, de forma não cumulativa, capital social mínimo, patrimônio líquido mínimo ou garantias que assegurem o adimplemento do contrato a ser celebrado, no caso de compras para entrega futura e de execução de obras e serviços</w:t>
      </w:r>
      <w:r w:rsidRPr="00E1075B">
        <w:rPr>
          <w:color w:val="auto"/>
          <w:sz w:val="22"/>
          <w:szCs w:val="22"/>
        </w:rPr>
        <w:t xml:space="preserve">”. Anotou, ainda, que somente uma empresa apresentou documentação e proposta nessa concorrência. O Tribunal, em face dessa e de outras irregularidades identificadas nesse certame, decidiu: a) estipular prazo para que a FUB/Ceplan anule sua  Concorrência 175/2012; b) informar àquela Fundação que a exigência simultânea de capital mínimo e de garantia correspondente a 1% do valor estimado do objeto da contratação afronta o disposto no parágrafo §2º do art. 31 da Lei 8.666/1993. </w:t>
      </w:r>
      <w:r w:rsidRPr="00E1075B">
        <w:rPr>
          <w:b/>
          <w:i/>
          <w:color w:val="auto"/>
          <w:sz w:val="22"/>
          <w:szCs w:val="22"/>
        </w:rPr>
        <w:t>Acórdão n.º 2239/2012-Plenário, TC-019.357/2012-5, rel. Min. José Jorge, 22.8.2012.</w:t>
      </w:r>
    </w:p>
    <w:p w:rsidR="00EA7698" w:rsidRPr="00E1075B" w:rsidRDefault="00EA7698" w:rsidP="00EA7698">
      <w:pPr>
        <w:pStyle w:val="Default"/>
        <w:jc w:val="both"/>
        <w:rPr>
          <w:color w:val="auto"/>
          <w:sz w:val="22"/>
          <w:szCs w:val="22"/>
        </w:rPr>
      </w:pPr>
    </w:p>
    <w:p w:rsidR="00EA7698" w:rsidRPr="00E1075B" w:rsidRDefault="00422FE4" w:rsidP="00EA7698">
      <w:pPr>
        <w:pStyle w:val="Default"/>
        <w:tabs>
          <w:tab w:val="left" w:pos="2640"/>
        </w:tabs>
        <w:jc w:val="both"/>
        <w:rPr>
          <w:b/>
          <w:color w:val="auto"/>
          <w:sz w:val="22"/>
          <w:szCs w:val="22"/>
        </w:rPr>
      </w:pPr>
      <w:r w:rsidRPr="00E1075B">
        <w:rPr>
          <w:b/>
          <w:iCs/>
          <w:color w:val="auto"/>
          <w:sz w:val="22"/>
          <w:szCs w:val="22"/>
        </w:rPr>
        <w:t xml:space="preserve">3. </w:t>
      </w:r>
      <w:r w:rsidR="00DD6A64" w:rsidRPr="00E1075B">
        <w:rPr>
          <w:b/>
          <w:iCs/>
          <w:color w:val="auto"/>
          <w:sz w:val="22"/>
          <w:szCs w:val="22"/>
        </w:rPr>
        <w:t>O registro ou visto em conselho regional de engenharia e arquitetura do local de realização de obra é condição para celebração do contrato, mas não para participação de empresa na respectiva licitação</w:t>
      </w:r>
    </w:p>
    <w:p w:rsidR="00EA7698" w:rsidRPr="00E1075B" w:rsidRDefault="00EA7698" w:rsidP="00EA7698">
      <w:pPr>
        <w:pStyle w:val="Default"/>
        <w:jc w:val="both"/>
        <w:rPr>
          <w:b/>
          <w:color w:val="auto"/>
          <w:sz w:val="22"/>
          <w:szCs w:val="22"/>
        </w:rPr>
      </w:pPr>
      <w:r w:rsidRPr="00E1075B">
        <w:rPr>
          <w:iCs/>
          <w:color w:val="auto"/>
          <w:sz w:val="22"/>
          <w:szCs w:val="22"/>
        </w:rPr>
        <w:t xml:space="preserve">Ainda no âmbito da representação sobre supostas irregularidades na concorrência conduzida pela </w:t>
      </w:r>
      <w:r w:rsidRPr="00E1075B">
        <w:rPr>
          <w:color w:val="auto"/>
          <w:sz w:val="22"/>
          <w:szCs w:val="22"/>
        </w:rPr>
        <w:t xml:space="preserve">FUB/Ceplan, apontou-se também como excessiva a exigência de que </w:t>
      </w:r>
      <w:r w:rsidRPr="00E1075B">
        <w:rPr>
          <w:iCs/>
          <w:color w:val="auto"/>
          <w:sz w:val="22"/>
          <w:szCs w:val="22"/>
        </w:rPr>
        <w:t xml:space="preserve">as certidões de registro de pessoa jurídica emitidas por conselhos regionais de classe de outros estados sejam, como requisito de qualificação técnica, visadas pelo Conselho Regional de Engenharia e Agronomia do Distrito Federal (Crea/DF). Chamada a se pronunciar sobre tal ocorrência, a </w:t>
      </w:r>
      <w:r w:rsidRPr="00E1075B">
        <w:rPr>
          <w:color w:val="auto"/>
          <w:sz w:val="22"/>
          <w:szCs w:val="22"/>
        </w:rPr>
        <w:t xml:space="preserve">FUB/Ceplan asseverou que essa imposição encontraria amparo no comando do </w:t>
      </w:r>
      <w:r w:rsidRPr="00E1075B">
        <w:rPr>
          <w:iCs/>
          <w:color w:val="auto"/>
          <w:sz w:val="22"/>
          <w:szCs w:val="22"/>
        </w:rPr>
        <w:t>art. 69 da Lei nº 5.194/1966, segundo o qual: ”</w:t>
      </w:r>
      <w:r w:rsidRPr="00E1075B">
        <w:rPr>
          <w:i/>
          <w:iCs/>
          <w:color w:val="auto"/>
          <w:sz w:val="22"/>
          <w:szCs w:val="22"/>
        </w:rPr>
        <w:t>Só poderão ser admitidos nas concorrências públicas para obras ou serviços técnicos e para concursos de projetos, profissionais e pessoas jurídicas que apresentarem prova de quitação de débito ou visto do Conselho Regional da jurisdição onde a obra, o serviço técnico ou projeto deva ser executado</w:t>
      </w:r>
      <w:r w:rsidRPr="00E1075B">
        <w:rPr>
          <w:iCs/>
          <w:color w:val="auto"/>
          <w:sz w:val="22"/>
          <w:szCs w:val="22"/>
        </w:rPr>
        <w:t xml:space="preserve">”. A unidade técnica, ao examinar as justificativas apresentadas pela FUB/Ceplan, lembrou que tal argumento já havia sido submetido ao exame do Tribunal e enfrentado pelo Ministro Aroldo Cedraz, no Voto condutor do Acórdão </w:t>
      </w:r>
      <w:r w:rsidR="003832E8" w:rsidRPr="00E1075B">
        <w:rPr>
          <w:iCs/>
          <w:color w:val="auto"/>
          <w:sz w:val="22"/>
          <w:szCs w:val="22"/>
        </w:rPr>
        <w:t xml:space="preserve">nº </w:t>
      </w:r>
      <w:r w:rsidRPr="00E1075B">
        <w:rPr>
          <w:iCs/>
          <w:color w:val="auto"/>
          <w:sz w:val="22"/>
          <w:szCs w:val="22"/>
        </w:rPr>
        <w:t xml:space="preserve">772/2009/Plenário. </w:t>
      </w:r>
      <w:r w:rsidR="003832E8" w:rsidRPr="00E1075B">
        <w:rPr>
          <w:iCs/>
          <w:color w:val="auto"/>
          <w:sz w:val="22"/>
          <w:szCs w:val="22"/>
        </w:rPr>
        <w:t>Nesse Voto</w:t>
      </w:r>
      <w:r w:rsidRPr="00E1075B">
        <w:rPr>
          <w:iCs/>
          <w:color w:val="auto"/>
          <w:sz w:val="22"/>
          <w:szCs w:val="22"/>
        </w:rPr>
        <w:t xml:space="preserve">, </w:t>
      </w:r>
      <w:r w:rsidR="003832E8" w:rsidRPr="00E1075B">
        <w:rPr>
          <w:iCs/>
          <w:color w:val="auto"/>
          <w:sz w:val="22"/>
          <w:szCs w:val="22"/>
        </w:rPr>
        <w:t xml:space="preserve">foi </w:t>
      </w:r>
      <w:r w:rsidRPr="00E1075B">
        <w:rPr>
          <w:iCs/>
          <w:color w:val="auto"/>
          <w:sz w:val="22"/>
          <w:szCs w:val="22"/>
        </w:rPr>
        <w:t>destac</w:t>
      </w:r>
      <w:r w:rsidR="003832E8" w:rsidRPr="00E1075B">
        <w:rPr>
          <w:iCs/>
          <w:color w:val="auto"/>
          <w:sz w:val="22"/>
          <w:szCs w:val="22"/>
        </w:rPr>
        <w:t>ada</w:t>
      </w:r>
      <w:r w:rsidRPr="00E1075B">
        <w:rPr>
          <w:iCs/>
          <w:color w:val="auto"/>
          <w:sz w:val="22"/>
          <w:szCs w:val="22"/>
        </w:rPr>
        <w:t xml:space="preserve"> a “</w:t>
      </w:r>
      <w:r w:rsidRPr="00E1075B">
        <w:rPr>
          <w:i/>
          <w:iCs/>
          <w:color w:val="auto"/>
          <w:sz w:val="22"/>
          <w:szCs w:val="22"/>
        </w:rPr>
        <w:t>firme</w:t>
      </w:r>
      <w:r w:rsidRPr="00E1075B">
        <w:rPr>
          <w:iCs/>
          <w:color w:val="auto"/>
          <w:sz w:val="22"/>
          <w:szCs w:val="22"/>
        </w:rPr>
        <w:t>” jurisprudência do Tribunal,</w:t>
      </w:r>
      <w:r w:rsidRPr="00E1075B">
        <w:rPr>
          <w:i/>
          <w:iCs/>
          <w:color w:val="auto"/>
          <w:sz w:val="22"/>
          <w:szCs w:val="22"/>
        </w:rPr>
        <w:t xml:space="preserve"> “no sentido de que a exigência de registro ou visto no CREA do local de realização da obra licitada somente dar-se-á no momento da contratação</w:t>
      </w:r>
      <w:r w:rsidRPr="00E1075B">
        <w:rPr>
          <w:iCs/>
          <w:color w:val="auto"/>
          <w:sz w:val="22"/>
          <w:szCs w:val="22"/>
        </w:rPr>
        <w:t>”, consoante se pode verificar a partir do exame das Decisões Plenárias 279/1998 e 348/1999, o Acórdão 979/2005-Plenário e o Acórdão 992/2007-Primeira Câmara</w:t>
      </w:r>
      <w:r w:rsidRPr="00E1075B">
        <w:rPr>
          <w:i/>
          <w:iCs/>
          <w:color w:val="auto"/>
          <w:sz w:val="22"/>
          <w:szCs w:val="22"/>
        </w:rPr>
        <w:t>.</w:t>
      </w:r>
      <w:r w:rsidRPr="00E1075B">
        <w:rPr>
          <w:iCs/>
          <w:color w:val="auto"/>
          <w:sz w:val="22"/>
          <w:szCs w:val="22"/>
        </w:rPr>
        <w:t xml:space="preserve"> </w:t>
      </w:r>
      <w:r w:rsidR="003832E8" w:rsidRPr="00E1075B">
        <w:rPr>
          <w:iCs/>
          <w:color w:val="auto"/>
          <w:sz w:val="22"/>
          <w:szCs w:val="22"/>
        </w:rPr>
        <w:t xml:space="preserve">Naquela oportunidade restou assente, também, que: </w:t>
      </w:r>
      <w:r w:rsidRPr="00E1075B">
        <w:rPr>
          <w:iCs/>
          <w:color w:val="auto"/>
          <w:sz w:val="22"/>
          <w:szCs w:val="22"/>
        </w:rPr>
        <w:t>“</w:t>
      </w:r>
      <w:r w:rsidRPr="00E1075B">
        <w:rPr>
          <w:i/>
          <w:iCs/>
          <w:color w:val="auto"/>
          <w:sz w:val="22"/>
          <w:szCs w:val="22"/>
        </w:rPr>
        <w:t>O entendimento do Tribunal fundamenta-se no princípio constitucional da universalidade de participação em licitações, impondo-se ao ato convocatório o estabelecimento de regras que garantam a seleção da proposta mais vantajosa para a Administração, vedadas cláusulas desnecessárias ou inadequadas que restrinjam o caráter competitivo do certame</w:t>
      </w:r>
      <w:r w:rsidRPr="00E1075B">
        <w:rPr>
          <w:iCs/>
          <w:color w:val="auto"/>
          <w:sz w:val="22"/>
          <w:szCs w:val="22"/>
        </w:rPr>
        <w:t>”</w:t>
      </w:r>
      <w:r w:rsidRPr="00E1075B">
        <w:rPr>
          <w:i/>
          <w:iCs/>
          <w:color w:val="auto"/>
          <w:sz w:val="22"/>
          <w:szCs w:val="22"/>
        </w:rPr>
        <w:t xml:space="preserve">. </w:t>
      </w:r>
      <w:r w:rsidRPr="00E1075B">
        <w:rPr>
          <w:iCs/>
          <w:color w:val="auto"/>
          <w:sz w:val="22"/>
          <w:szCs w:val="22"/>
        </w:rPr>
        <w:t>Por esses motivos “...</w:t>
      </w:r>
      <w:r w:rsidRPr="00E1075B">
        <w:rPr>
          <w:i/>
          <w:iCs/>
          <w:color w:val="auto"/>
          <w:sz w:val="22"/>
          <w:szCs w:val="22"/>
        </w:rPr>
        <w:t xml:space="preserve"> o dispositivo contido na Lei 5.194/66 não pode prevalecer diante do texto constitucional, em especial o art. 37, inciso XXI, e da Lei 8.666/1993 (art. 30, inciso I)</w:t>
      </w:r>
      <w:r w:rsidRPr="00E1075B">
        <w:rPr>
          <w:iCs/>
          <w:color w:val="auto"/>
          <w:sz w:val="22"/>
          <w:szCs w:val="22"/>
        </w:rPr>
        <w:t xml:space="preserve">”. O relator da representação </w:t>
      </w:r>
      <w:r w:rsidR="006F7FF1" w:rsidRPr="00E1075B">
        <w:rPr>
          <w:iCs/>
          <w:color w:val="auto"/>
          <w:sz w:val="22"/>
          <w:szCs w:val="22"/>
        </w:rPr>
        <w:t xml:space="preserve">ora em foco </w:t>
      </w:r>
      <w:r w:rsidRPr="00E1075B">
        <w:rPr>
          <w:iCs/>
          <w:color w:val="auto"/>
          <w:sz w:val="22"/>
          <w:szCs w:val="22"/>
        </w:rPr>
        <w:t xml:space="preserve">endossou, sem ressalvas, o exame realizado pela unidade técnica. O Tribunal, então, em face dessa e das outras irregularidades identificadas na auditoria, decidiu: </w:t>
      </w:r>
      <w:r w:rsidRPr="00E1075B">
        <w:rPr>
          <w:color w:val="auto"/>
          <w:sz w:val="22"/>
          <w:szCs w:val="22"/>
        </w:rPr>
        <w:t>a) estipular prazo para que a FUB/Ceplan anule a Concorrência 175/2012; b)</w:t>
      </w:r>
      <w:r w:rsidRPr="00E1075B">
        <w:rPr>
          <w:iCs/>
          <w:color w:val="auto"/>
          <w:sz w:val="22"/>
          <w:szCs w:val="22"/>
        </w:rPr>
        <w:t xml:space="preserve"> informar a essa Fundação que a </w:t>
      </w:r>
      <w:r w:rsidRPr="00E1075B">
        <w:rPr>
          <w:color w:val="auto"/>
          <w:sz w:val="22"/>
          <w:szCs w:val="22"/>
        </w:rPr>
        <w:t xml:space="preserve">exigência imposta a empresas registradas em Conselho de outra região de visto </w:t>
      </w:r>
      <w:r w:rsidR="006F7FF1" w:rsidRPr="00E1075B">
        <w:rPr>
          <w:color w:val="auto"/>
          <w:sz w:val="22"/>
          <w:szCs w:val="22"/>
        </w:rPr>
        <w:t xml:space="preserve">ou registro </w:t>
      </w:r>
      <w:r w:rsidRPr="00E1075B">
        <w:rPr>
          <w:color w:val="auto"/>
          <w:sz w:val="22"/>
          <w:szCs w:val="22"/>
        </w:rPr>
        <w:t xml:space="preserve">no Crea/DF, </w:t>
      </w:r>
      <w:r w:rsidRPr="00E1075B">
        <w:rPr>
          <w:color w:val="auto"/>
          <w:sz w:val="22"/>
          <w:szCs w:val="22"/>
          <w:u w:val="single"/>
        </w:rPr>
        <w:t>para efeitos de habilitação</w:t>
      </w:r>
      <w:r w:rsidRPr="00E1075B">
        <w:rPr>
          <w:color w:val="auto"/>
          <w:sz w:val="22"/>
          <w:szCs w:val="22"/>
        </w:rPr>
        <w:t xml:space="preserve">, afigura-se irregular e contraria a jurisprudência do Tribunal. Precedentes mencionados: Decisões nº </w:t>
      </w:r>
      <w:r w:rsidRPr="00E1075B">
        <w:rPr>
          <w:iCs/>
          <w:color w:val="auto"/>
          <w:sz w:val="22"/>
          <w:szCs w:val="22"/>
        </w:rPr>
        <w:t xml:space="preserve">279/1998 e 348/1999, ambas do Plenário e Acórdãos nº 979/2005-Plenário e nº 992/2007-Primeira Câmara. </w:t>
      </w:r>
      <w:r w:rsidRPr="00E1075B">
        <w:rPr>
          <w:b/>
          <w:i/>
          <w:color w:val="auto"/>
          <w:sz w:val="22"/>
          <w:szCs w:val="22"/>
        </w:rPr>
        <w:t>Acórdão n.º 2239/2012-Plenário, TC-019.357/2012-5, rel. Min. José Jorge, 22.8.2012.</w:t>
      </w:r>
    </w:p>
    <w:p w:rsidR="00EA7698" w:rsidRPr="00E1075B" w:rsidRDefault="00EA7698" w:rsidP="0034659F">
      <w:pPr>
        <w:pStyle w:val="Default"/>
        <w:jc w:val="both"/>
        <w:rPr>
          <w:b/>
          <w:color w:val="auto"/>
          <w:sz w:val="22"/>
          <w:szCs w:val="22"/>
        </w:rPr>
      </w:pPr>
    </w:p>
    <w:p w:rsidR="00D966E1" w:rsidRPr="00E1075B" w:rsidRDefault="00422FE4" w:rsidP="0034659F">
      <w:pPr>
        <w:pStyle w:val="Default"/>
        <w:jc w:val="both"/>
        <w:rPr>
          <w:b/>
          <w:sz w:val="22"/>
          <w:szCs w:val="22"/>
        </w:rPr>
      </w:pPr>
      <w:r w:rsidRPr="00E1075B">
        <w:rPr>
          <w:b/>
          <w:sz w:val="22"/>
          <w:szCs w:val="22"/>
        </w:rPr>
        <w:t xml:space="preserve">4. </w:t>
      </w:r>
      <w:r w:rsidR="00DD6A64" w:rsidRPr="00E1075B">
        <w:rPr>
          <w:b/>
          <w:sz w:val="22"/>
          <w:szCs w:val="22"/>
        </w:rPr>
        <w:t xml:space="preserve">A estipulação, em edital de licitação, de requisito de habilitação indevido - como a existência </w:t>
      </w:r>
      <w:r w:rsidR="00DD6A64" w:rsidRPr="00E1075B">
        <w:rPr>
          <w:b/>
          <w:iCs/>
          <w:sz w:val="22"/>
          <w:szCs w:val="22"/>
        </w:rPr>
        <w:t>de profissionais no quadro permanente da empresa no curso da licitação -</w:t>
      </w:r>
      <w:r w:rsidR="00DD6A64" w:rsidRPr="00E1075B">
        <w:rPr>
          <w:b/>
          <w:sz w:val="22"/>
          <w:szCs w:val="22"/>
        </w:rPr>
        <w:t xml:space="preserve"> pode ser relevada, em face da verificação de não ter efetivamente comprometido o caráter competitivo do certame</w:t>
      </w:r>
      <w:r w:rsidR="00DE2D48" w:rsidRPr="00E1075B">
        <w:rPr>
          <w:b/>
          <w:sz w:val="22"/>
          <w:szCs w:val="22"/>
        </w:rPr>
        <w:t xml:space="preserve"> </w:t>
      </w:r>
    </w:p>
    <w:p w:rsidR="004D5A3C" w:rsidRDefault="00BB30EA" w:rsidP="003832E8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E1075B">
        <w:rPr>
          <w:sz w:val="22"/>
          <w:szCs w:val="22"/>
        </w:rPr>
        <w:t>Representação formulada por empresa apontou possíve</w:t>
      </w:r>
      <w:r w:rsidR="00B1041F" w:rsidRPr="00E1075B">
        <w:rPr>
          <w:sz w:val="22"/>
          <w:szCs w:val="22"/>
        </w:rPr>
        <w:t>l</w:t>
      </w:r>
      <w:r w:rsidRPr="00E1075B">
        <w:rPr>
          <w:sz w:val="22"/>
          <w:szCs w:val="22"/>
        </w:rPr>
        <w:t xml:space="preserve"> restriç</w:t>
      </w:r>
      <w:r w:rsidR="00B1041F" w:rsidRPr="00E1075B">
        <w:rPr>
          <w:sz w:val="22"/>
          <w:szCs w:val="22"/>
        </w:rPr>
        <w:t xml:space="preserve">ão </w:t>
      </w:r>
      <w:r w:rsidRPr="00E1075B">
        <w:rPr>
          <w:sz w:val="22"/>
          <w:szCs w:val="22"/>
        </w:rPr>
        <w:t xml:space="preserve">ao caráter competitivo do Pregão Eletrônico para Registro de Preço 02/2012, </w:t>
      </w:r>
      <w:r w:rsidR="00B1041F" w:rsidRPr="00E1075B">
        <w:rPr>
          <w:sz w:val="22"/>
          <w:szCs w:val="22"/>
        </w:rPr>
        <w:t>visando a</w:t>
      </w:r>
      <w:r w:rsidRPr="00E1075B">
        <w:rPr>
          <w:sz w:val="22"/>
          <w:szCs w:val="22"/>
        </w:rPr>
        <w:t xml:space="preserve"> contratação de empresa especializada para implementação de processos de governança de TI (tecnologia da informação) e gerenciamento de serviços de TI, para o ambiente da Coordenação Geral de Tecnologia da Informação Ministério da Agricultura, Pecuária e Abastecimento (MAPA).  </w:t>
      </w:r>
      <w:r w:rsidR="00D369D6" w:rsidRPr="00E1075B">
        <w:rPr>
          <w:sz w:val="22"/>
          <w:szCs w:val="22"/>
        </w:rPr>
        <w:t>Após examinar a</w:t>
      </w:r>
      <w:r w:rsidR="006F7FF1" w:rsidRPr="00E1075B">
        <w:rPr>
          <w:sz w:val="22"/>
          <w:szCs w:val="22"/>
        </w:rPr>
        <w:t>s</w:t>
      </w:r>
      <w:r w:rsidR="00D369D6" w:rsidRPr="00E1075B">
        <w:rPr>
          <w:sz w:val="22"/>
          <w:szCs w:val="22"/>
        </w:rPr>
        <w:t xml:space="preserve"> </w:t>
      </w:r>
      <w:r w:rsidR="006F7FF1" w:rsidRPr="00E1075B">
        <w:rPr>
          <w:sz w:val="22"/>
          <w:szCs w:val="22"/>
        </w:rPr>
        <w:t xml:space="preserve">respostas às </w:t>
      </w:r>
      <w:r w:rsidR="00D369D6" w:rsidRPr="00E1075B">
        <w:rPr>
          <w:sz w:val="22"/>
          <w:szCs w:val="22"/>
        </w:rPr>
        <w:t>oitiva</w:t>
      </w:r>
      <w:r w:rsidR="006F7FF1" w:rsidRPr="00E1075B">
        <w:rPr>
          <w:sz w:val="22"/>
          <w:szCs w:val="22"/>
        </w:rPr>
        <w:t>s</w:t>
      </w:r>
      <w:r w:rsidR="00D369D6" w:rsidRPr="00E1075B">
        <w:rPr>
          <w:sz w:val="22"/>
          <w:szCs w:val="22"/>
        </w:rPr>
        <w:t xml:space="preserve"> do MAPA e da empresa declarada vencedora </w:t>
      </w:r>
      <w:r w:rsidR="006F7FF1" w:rsidRPr="00E1075B">
        <w:rPr>
          <w:sz w:val="22"/>
          <w:szCs w:val="22"/>
        </w:rPr>
        <w:t>d</w:t>
      </w:r>
      <w:r w:rsidR="00D369D6" w:rsidRPr="00E1075B">
        <w:rPr>
          <w:sz w:val="22"/>
          <w:szCs w:val="22"/>
        </w:rPr>
        <w:t xml:space="preserve">o certame acerca dos indícios de irregularidades apurados, </w:t>
      </w:r>
      <w:r w:rsidRPr="00E1075B">
        <w:rPr>
          <w:sz w:val="22"/>
          <w:szCs w:val="22"/>
        </w:rPr>
        <w:t xml:space="preserve">a unidade técnica considerou </w:t>
      </w:r>
      <w:r w:rsidR="00D369D6" w:rsidRPr="00E1075B">
        <w:rPr>
          <w:sz w:val="22"/>
          <w:szCs w:val="22"/>
        </w:rPr>
        <w:t xml:space="preserve">ter sido </w:t>
      </w:r>
      <w:r w:rsidR="00B1041F" w:rsidRPr="00E1075B">
        <w:rPr>
          <w:sz w:val="22"/>
          <w:szCs w:val="22"/>
        </w:rPr>
        <w:t xml:space="preserve">indevida apenas </w:t>
      </w:r>
      <w:r w:rsidRPr="00E1075B">
        <w:rPr>
          <w:sz w:val="22"/>
          <w:szCs w:val="22"/>
        </w:rPr>
        <w:t xml:space="preserve">a exigência imposta aos licitantes de possuírem, em seu quadro permanente, quantitativo mínimo de profissionais com as certificações requeridas, como condição de habilitação. Registrou a unidade técnica que o </w:t>
      </w:r>
      <w:r w:rsidRPr="00E1075B">
        <w:rPr>
          <w:iCs/>
          <w:sz w:val="22"/>
          <w:szCs w:val="22"/>
        </w:rPr>
        <w:t>“</w:t>
      </w:r>
      <w:r w:rsidRPr="00E1075B">
        <w:rPr>
          <w:i/>
          <w:iCs/>
          <w:sz w:val="22"/>
          <w:szCs w:val="22"/>
        </w:rPr>
        <w:t>TCU tem rechaçado a exigência prévia de profissionais de cunho técnico operacional no quadro permanente da empresa licitante</w:t>
      </w:r>
      <w:r w:rsidRPr="00E1075B">
        <w:rPr>
          <w:iCs/>
          <w:sz w:val="22"/>
          <w:szCs w:val="22"/>
        </w:rPr>
        <w:t xml:space="preserve">”.  A despeito disso, anotou, que </w:t>
      </w:r>
      <w:r w:rsidR="00B1041F" w:rsidRPr="00E1075B">
        <w:rPr>
          <w:iCs/>
          <w:sz w:val="22"/>
          <w:szCs w:val="22"/>
        </w:rPr>
        <w:t xml:space="preserve">tal </w:t>
      </w:r>
      <w:r w:rsidR="00F67302" w:rsidRPr="00E1075B">
        <w:rPr>
          <w:iCs/>
          <w:sz w:val="22"/>
          <w:szCs w:val="22"/>
        </w:rPr>
        <w:t>restrição não</w:t>
      </w:r>
      <w:r w:rsidR="00B1041F" w:rsidRPr="00E1075B">
        <w:rPr>
          <w:iCs/>
          <w:sz w:val="22"/>
          <w:szCs w:val="22"/>
        </w:rPr>
        <w:t xml:space="preserve"> seria s</w:t>
      </w:r>
      <w:r w:rsidR="00F67302" w:rsidRPr="00E1075B">
        <w:rPr>
          <w:iCs/>
          <w:sz w:val="22"/>
          <w:szCs w:val="22"/>
        </w:rPr>
        <w:t>uficiente pa</w:t>
      </w:r>
      <w:r w:rsidR="00F67302" w:rsidRPr="00E1075B">
        <w:rPr>
          <w:iCs/>
          <w:color w:val="auto"/>
          <w:sz w:val="22"/>
          <w:szCs w:val="22"/>
        </w:rPr>
        <w:t xml:space="preserve">ra </w:t>
      </w:r>
      <w:r w:rsidR="00B1041F" w:rsidRPr="00E1075B">
        <w:rPr>
          <w:iCs/>
          <w:color w:val="auto"/>
          <w:sz w:val="22"/>
          <w:szCs w:val="22"/>
        </w:rPr>
        <w:t xml:space="preserve">justificar </w:t>
      </w:r>
      <w:r w:rsidR="00F67302" w:rsidRPr="00E1075B">
        <w:rPr>
          <w:iCs/>
          <w:color w:val="auto"/>
          <w:sz w:val="22"/>
          <w:szCs w:val="22"/>
        </w:rPr>
        <w:t>a anulação do certame,</w:t>
      </w:r>
      <w:r w:rsidR="00F67302" w:rsidRPr="00E1075B">
        <w:rPr>
          <w:i/>
          <w:iCs/>
          <w:color w:val="auto"/>
          <w:sz w:val="22"/>
          <w:szCs w:val="22"/>
        </w:rPr>
        <w:t xml:space="preserve"> </w:t>
      </w:r>
      <w:r w:rsidR="00B1041F" w:rsidRPr="00E1075B">
        <w:rPr>
          <w:iCs/>
          <w:color w:val="auto"/>
          <w:sz w:val="22"/>
          <w:szCs w:val="22"/>
        </w:rPr>
        <w:t>“</w:t>
      </w:r>
      <w:r w:rsidR="00F67302" w:rsidRPr="00E1075B">
        <w:rPr>
          <w:i/>
          <w:iCs/>
          <w:color w:val="auto"/>
          <w:sz w:val="22"/>
          <w:szCs w:val="22"/>
        </w:rPr>
        <w:t>pois a principal razão para o inabilitação das concorrentes foi a apresentação de atestados de capacidade técnica em desacordo com o exigido no edital</w:t>
      </w:r>
      <w:r w:rsidR="00F67302" w:rsidRPr="00E1075B">
        <w:rPr>
          <w:iCs/>
          <w:color w:val="auto"/>
          <w:sz w:val="22"/>
          <w:szCs w:val="22"/>
        </w:rPr>
        <w:t>”</w:t>
      </w:r>
      <w:r w:rsidR="00B1041F" w:rsidRPr="00E1075B">
        <w:rPr>
          <w:iCs/>
          <w:color w:val="auto"/>
          <w:sz w:val="22"/>
          <w:szCs w:val="22"/>
        </w:rPr>
        <w:t>, e não a falta de cumprimento da referida exigência</w:t>
      </w:r>
      <w:r w:rsidR="00F67302" w:rsidRPr="00E1075B">
        <w:rPr>
          <w:i/>
          <w:iCs/>
          <w:color w:val="auto"/>
          <w:sz w:val="22"/>
          <w:szCs w:val="22"/>
        </w:rPr>
        <w:t>.</w:t>
      </w:r>
      <w:r w:rsidR="00F67302" w:rsidRPr="00E1075B">
        <w:rPr>
          <w:iCs/>
          <w:color w:val="auto"/>
          <w:sz w:val="22"/>
          <w:szCs w:val="22"/>
        </w:rPr>
        <w:t xml:space="preserve"> O relator, por sua vez, na mesma linha de raciocínio da unidade técnica, endossou</w:t>
      </w:r>
      <w:r w:rsidR="00D369D6" w:rsidRPr="00E1075B">
        <w:rPr>
          <w:iCs/>
          <w:color w:val="auto"/>
          <w:sz w:val="22"/>
          <w:szCs w:val="22"/>
        </w:rPr>
        <w:t xml:space="preserve"> tais conclusões. </w:t>
      </w:r>
      <w:r w:rsidR="00F67302" w:rsidRPr="00E1075B">
        <w:rPr>
          <w:iCs/>
          <w:color w:val="auto"/>
          <w:sz w:val="22"/>
          <w:szCs w:val="22"/>
        </w:rPr>
        <w:t xml:space="preserve">Invocou, </w:t>
      </w:r>
      <w:r w:rsidR="00D369D6" w:rsidRPr="00E1075B">
        <w:rPr>
          <w:iCs/>
          <w:color w:val="auto"/>
          <w:sz w:val="22"/>
          <w:szCs w:val="22"/>
        </w:rPr>
        <w:t>adicionalmente</w:t>
      </w:r>
      <w:r w:rsidR="00F67302" w:rsidRPr="00E1075B">
        <w:rPr>
          <w:iCs/>
          <w:color w:val="auto"/>
          <w:sz w:val="22"/>
          <w:szCs w:val="22"/>
        </w:rPr>
        <w:t>, a recente Súmula 272 do TCU, que revela a seguinte orientação: “</w:t>
      </w:r>
      <w:r w:rsidR="00F67302" w:rsidRPr="00E1075B">
        <w:rPr>
          <w:i/>
          <w:iCs/>
          <w:color w:val="auto"/>
          <w:sz w:val="22"/>
          <w:szCs w:val="22"/>
        </w:rPr>
        <w:t>No edital de licitação, é vedada a inclusão de exigências de habilitação e de quesitos de pontuação técnica para cujo atendimento os licitantes tenham de incorrer em custos que não sejam necessários anteriormente à celebração do contrato.</w:t>
      </w:r>
      <w:r w:rsidR="00F67302" w:rsidRPr="00E1075B">
        <w:rPr>
          <w:color w:val="auto"/>
          <w:sz w:val="22"/>
          <w:szCs w:val="22"/>
        </w:rPr>
        <w:t xml:space="preserve">” A despeito disso, </w:t>
      </w:r>
      <w:r w:rsidR="00D369D6" w:rsidRPr="00E1075B">
        <w:rPr>
          <w:color w:val="auto"/>
          <w:sz w:val="22"/>
          <w:szCs w:val="22"/>
        </w:rPr>
        <w:t xml:space="preserve">assim como a unidade técnica, </w:t>
      </w:r>
      <w:r w:rsidR="00F67302" w:rsidRPr="00E1075B">
        <w:rPr>
          <w:color w:val="auto"/>
          <w:sz w:val="22"/>
          <w:szCs w:val="22"/>
        </w:rPr>
        <w:t>pugnou pela convalidação dess</w:t>
      </w:r>
      <w:r w:rsidR="00D369D6" w:rsidRPr="00E1075B">
        <w:rPr>
          <w:color w:val="auto"/>
          <w:sz w:val="22"/>
          <w:szCs w:val="22"/>
        </w:rPr>
        <w:t>e</w:t>
      </w:r>
      <w:r w:rsidR="00F67302" w:rsidRPr="00E1075B">
        <w:rPr>
          <w:color w:val="auto"/>
          <w:sz w:val="22"/>
          <w:szCs w:val="22"/>
        </w:rPr>
        <w:t xml:space="preserve"> </w:t>
      </w:r>
      <w:r w:rsidR="00B1041F" w:rsidRPr="00E1075B">
        <w:rPr>
          <w:color w:val="auto"/>
          <w:sz w:val="22"/>
          <w:szCs w:val="22"/>
        </w:rPr>
        <w:t>vício</w:t>
      </w:r>
      <w:r w:rsidR="00F67302" w:rsidRPr="00E1075B">
        <w:rPr>
          <w:color w:val="auto"/>
          <w:sz w:val="22"/>
          <w:szCs w:val="22"/>
        </w:rPr>
        <w:t>. Isso por ter havido “</w:t>
      </w:r>
      <w:r w:rsidR="00F67302" w:rsidRPr="00E1075B">
        <w:rPr>
          <w:i/>
          <w:color w:val="auto"/>
          <w:sz w:val="22"/>
          <w:szCs w:val="22"/>
        </w:rPr>
        <w:t>participação de um número razoável de empresas na licitação</w:t>
      </w:r>
      <w:r w:rsidR="00F67302" w:rsidRPr="00E1075B">
        <w:rPr>
          <w:color w:val="auto"/>
          <w:sz w:val="22"/>
          <w:szCs w:val="22"/>
        </w:rPr>
        <w:t>”, n</w:t>
      </w:r>
      <w:r w:rsidR="00B1041F" w:rsidRPr="00E1075B">
        <w:rPr>
          <w:color w:val="auto"/>
          <w:sz w:val="22"/>
          <w:szCs w:val="22"/>
        </w:rPr>
        <w:t xml:space="preserve">ão </w:t>
      </w:r>
      <w:r w:rsidR="00F67302" w:rsidRPr="00E1075B">
        <w:rPr>
          <w:color w:val="auto"/>
          <w:sz w:val="22"/>
          <w:szCs w:val="22"/>
        </w:rPr>
        <w:t>terem sido identificados indícios de dano ao erário</w:t>
      </w:r>
      <w:r w:rsidR="006F7FF1" w:rsidRPr="00E1075B">
        <w:rPr>
          <w:color w:val="auto"/>
          <w:sz w:val="22"/>
          <w:szCs w:val="22"/>
        </w:rPr>
        <w:t>,</w:t>
      </w:r>
      <w:r w:rsidR="00B1041F" w:rsidRPr="00E1075B">
        <w:rPr>
          <w:color w:val="auto"/>
          <w:sz w:val="22"/>
          <w:szCs w:val="22"/>
        </w:rPr>
        <w:t xml:space="preserve"> nem de </w:t>
      </w:r>
      <w:r w:rsidR="00F67302" w:rsidRPr="00E1075B">
        <w:rPr>
          <w:color w:val="auto"/>
          <w:sz w:val="22"/>
          <w:szCs w:val="22"/>
        </w:rPr>
        <w:t>má-fé</w:t>
      </w:r>
      <w:r w:rsidR="00B1041F" w:rsidRPr="00E1075B">
        <w:rPr>
          <w:color w:val="auto"/>
          <w:sz w:val="22"/>
          <w:szCs w:val="22"/>
        </w:rPr>
        <w:t xml:space="preserve"> dos agentes envolvidos</w:t>
      </w:r>
      <w:r w:rsidR="00D369D6" w:rsidRPr="00E1075B">
        <w:rPr>
          <w:color w:val="auto"/>
          <w:sz w:val="22"/>
          <w:szCs w:val="22"/>
        </w:rPr>
        <w:t>.</w:t>
      </w:r>
      <w:r w:rsidR="00421E70" w:rsidRPr="00E1075B">
        <w:rPr>
          <w:color w:val="auto"/>
          <w:sz w:val="22"/>
          <w:szCs w:val="22"/>
        </w:rPr>
        <w:t xml:space="preserve"> </w:t>
      </w:r>
      <w:r w:rsidR="0034659F" w:rsidRPr="00E1075B">
        <w:rPr>
          <w:color w:val="auto"/>
          <w:sz w:val="22"/>
          <w:szCs w:val="22"/>
        </w:rPr>
        <w:t xml:space="preserve">Levou em conta, também, o fato de </w:t>
      </w:r>
      <w:r w:rsidR="00421E70" w:rsidRPr="00E1075B">
        <w:rPr>
          <w:color w:val="auto"/>
          <w:sz w:val="22"/>
          <w:szCs w:val="22"/>
        </w:rPr>
        <w:t xml:space="preserve">a </w:t>
      </w:r>
      <w:r w:rsidR="002E0020" w:rsidRPr="00E1075B">
        <w:rPr>
          <w:color w:val="auto"/>
          <w:sz w:val="22"/>
          <w:szCs w:val="22"/>
        </w:rPr>
        <w:t xml:space="preserve">autora da </w:t>
      </w:r>
      <w:r w:rsidR="00421E70" w:rsidRPr="00E1075B">
        <w:rPr>
          <w:color w:val="auto"/>
          <w:sz w:val="22"/>
          <w:szCs w:val="22"/>
        </w:rPr>
        <w:t>represent</w:t>
      </w:r>
      <w:r w:rsidR="002E0020" w:rsidRPr="00E1075B">
        <w:rPr>
          <w:color w:val="auto"/>
          <w:sz w:val="22"/>
          <w:szCs w:val="22"/>
        </w:rPr>
        <w:t xml:space="preserve">ação </w:t>
      </w:r>
      <w:r w:rsidR="0034659F" w:rsidRPr="00E1075B">
        <w:rPr>
          <w:color w:val="auto"/>
          <w:sz w:val="22"/>
          <w:szCs w:val="22"/>
        </w:rPr>
        <w:t>n</w:t>
      </w:r>
      <w:r w:rsidR="002E0020" w:rsidRPr="00E1075B">
        <w:rPr>
          <w:color w:val="auto"/>
          <w:sz w:val="22"/>
          <w:szCs w:val="22"/>
        </w:rPr>
        <w:t xml:space="preserve">ão </w:t>
      </w:r>
      <w:r w:rsidR="0034659F" w:rsidRPr="00E1075B">
        <w:rPr>
          <w:color w:val="auto"/>
          <w:sz w:val="22"/>
          <w:szCs w:val="22"/>
        </w:rPr>
        <w:t>ter</w:t>
      </w:r>
      <w:r w:rsidR="002E0020" w:rsidRPr="00E1075B">
        <w:rPr>
          <w:color w:val="auto"/>
          <w:sz w:val="22"/>
          <w:szCs w:val="22"/>
        </w:rPr>
        <w:t xml:space="preserve"> </w:t>
      </w:r>
      <w:r w:rsidR="00421E70" w:rsidRPr="00E1075B">
        <w:rPr>
          <w:color w:val="auto"/>
          <w:sz w:val="22"/>
          <w:szCs w:val="22"/>
        </w:rPr>
        <w:t>comprov</w:t>
      </w:r>
      <w:r w:rsidR="002E0020" w:rsidRPr="00E1075B">
        <w:rPr>
          <w:color w:val="auto"/>
          <w:sz w:val="22"/>
          <w:szCs w:val="22"/>
        </w:rPr>
        <w:t>ado a</w:t>
      </w:r>
      <w:r w:rsidR="00421E70" w:rsidRPr="00E1075B">
        <w:rPr>
          <w:color w:val="auto"/>
          <w:sz w:val="22"/>
          <w:szCs w:val="22"/>
        </w:rPr>
        <w:t xml:space="preserve"> compatibilidade da solução </w:t>
      </w:r>
      <w:r w:rsidR="002E0020" w:rsidRPr="00E1075B">
        <w:rPr>
          <w:color w:val="auto"/>
          <w:sz w:val="22"/>
          <w:szCs w:val="22"/>
        </w:rPr>
        <w:t xml:space="preserve">por ela </w:t>
      </w:r>
      <w:r w:rsidR="00421E70" w:rsidRPr="00E1075B">
        <w:rPr>
          <w:color w:val="auto"/>
          <w:sz w:val="22"/>
          <w:szCs w:val="22"/>
        </w:rPr>
        <w:t>ofer</w:t>
      </w:r>
      <w:r w:rsidR="002E0020" w:rsidRPr="00E1075B">
        <w:rPr>
          <w:color w:val="auto"/>
          <w:sz w:val="22"/>
          <w:szCs w:val="22"/>
        </w:rPr>
        <w:t>ecida</w:t>
      </w:r>
      <w:r w:rsidR="00421E70" w:rsidRPr="00E1075B">
        <w:rPr>
          <w:color w:val="auto"/>
          <w:sz w:val="22"/>
          <w:szCs w:val="22"/>
        </w:rPr>
        <w:t xml:space="preserve"> com os requisitos do edital. O Tribunal, então, ao endossar </w:t>
      </w:r>
      <w:r w:rsidR="006F7FF1" w:rsidRPr="00E1075B">
        <w:rPr>
          <w:color w:val="auto"/>
          <w:sz w:val="22"/>
          <w:szCs w:val="22"/>
        </w:rPr>
        <w:t xml:space="preserve">a </w:t>
      </w:r>
      <w:r w:rsidR="00421E70" w:rsidRPr="00E1075B">
        <w:rPr>
          <w:color w:val="auto"/>
          <w:sz w:val="22"/>
          <w:szCs w:val="22"/>
        </w:rPr>
        <w:t xml:space="preserve">proposta do relator, </w:t>
      </w:r>
      <w:r w:rsidR="0034659F" w:rsidRPr="00E1075B">
        <w:rPr>
          <w:color w:val="auto"/>
          <w:sz w:val="22"/>
          <w:szCs w:val="22"/>
        </w:rPr>
        <w:t xml:space="preserve">entre outras providências, </w:t>
      </w:r>
      <w:r w:rsidR="00421E70" w:rsidRPr="00E1075B">
        <w:rPr>
          <w:color w:val="auto"/>
          <w:sz w:val="22"/>
          <w:szCs w:val="22"/>
        </w:rPr>
        <w:t>decidiu</w:t>
      </w:r>
      <w:r w:rsidR="0034659F" w:rsidRPr="00E1075B">
        <w:rPr>
          <w:color w:val="auto"/>
          <w:sz w:val="22"/>
          <w:szCs w:val="22"/>
        </w:rPr>
        <w:t>, apenas d</w:t>
      </w:r>
      <w:r w:rsidR="00421E70" w:rsidRPr="00E1075B">
        <w:rPr>
          <w:color w:val="auto"/>
          <w:sz w:val="22"/>
          <w:szCs w:val="22"/>
        </w:rPr>
        <w:t xml:space="preserve">eterminar ao MAPA que, </w:t>
      </w:r>
      <w:r w:rsidR="0034659F" w:rsidRPr="00E1075B">
        <w:rPr>
          <w:color w:val="auto"/>
          <w:sz w:val="22"/>
          <w:szCs w:val="22"/>
          <w:u w:val="single"/>
        </w:rPr>
        <w:t>em licitações futuras</w:t>
      </w:r>
      <w:r w:rsidR="00421E70" w:rsidRPr="00E1075B">
        <w:rPr>
          <w:color w:val="auto"/>
          <w:sz w:val="22"/>
          <w:szCs w:val="22"/>
        </w:rPr>
        <w:t>, “</w:t>
      </w:r>
      <w:r w:rsidR="00421E70" w:rsidRPr="00E1075B">
        <w:rPr>
          <w:i/>
          <w:color w:val="auto"/>
          <w:sz w:val="22"/>
          <w:szCs w:val="22"/>
        </w:rPr>
        <w:t>se abstenha de exigir, como condição de qualificação técnica na fase de habilitação, que os licitantes possuam em seu quadro permanente os profissionais com as certificações requeridas</w:t>
      </w:r>
      <w:r w:rsidR="00421E70" w:rsidRPr="00E1075B">
        <w:rPr>
          <w:color w:val="auto"/>
          <w:sz w:val="22"/>
          <w:szCs w:val="22"/>
        </w:rPr>
        <w:t xml:space="preserve">”. </w:t>
      </w:r>
      <w:r w:rsidR="0025663C" w:rsidRPr="00E1075B">
        <w:rPr>
          <w:b/>
          <w:i/>
          <w:color w:val="auto"/>
          <w:sz w:val="22"/>
          <w:szCs w:val="22"/>
        </w:rPr>
        <w:t>Acórdão n.º 2</w:t>
      </w:r>
      <w:r w:rsidR="0034659F" w:rsidRPr="00E1075B">
        <w:rPr>
          <w:b/>
          <w:i/>
          <w:color w:val="auto"/>
          <w:sz w:val="22"/>
          <w:szCs w:val="22"/>
        </w:rPr>
        <w:t>241</w:t>
      </w:r>
      <w:r w:rsidR="0025663C" w:rsidRPr="00E1075B">
        <w:rPr>
          <w:b/>
          <w:i/>
          <w:color w:val="auto"/>
          <w:sz w:val="22"/>
          <w:szCs w:val="22"/>
        </w:rPr>
        <w:t>/2012-Plenário, TC-</w:t>
      </w:r>
      <w:r w:rsidR="0034659F" w:rsidRPr="00E1075B">
        <w:rPr>
          <w:b/>
          <w:i/>
          <w:sz w:val="22"/>
          <w:szCs w:val="22"/>
        </w:rPr>
        <w:t xml:space="preserve"> 007.497/2012-1</w:t>
      </w:r>
      <w:r w:rsidR="0025663C" w:rsidRPr="00E1075B">
        <w:rPr>
          <w:b/>
          <w:i/>
          <w:color w:val="auto"/>
          <w:sz w:val="22"/>
          <w:szCs w:val="22"/>
        </w:rPr>
        <w:t xml:space="preserve">, rel. Min. José Múcio, </w:t>
      </w:r>
      <w:r w:rsidR="00BC6D81" w:rsidRPr="00E1075B">
        <w:rPr>
          <w:b/>
          <w:i/>
          <w:color w:val="auto"/>
          <w:sz w:val="22"/>
          <w:szCs w:val="22"/>
        </w:rPr>
        <w:t>22</w:t>
      </w:r>
      <w:r w:rsidR="0025663C" w:rsidRPr="00E1075B">
        <w:rPr>
          <w:b/>
          <w:i/>
          <w:color w:val="auto"/>
          <w:sz w:val="22"/>
          <w:szCs w:val="22"/>
        </w:rPr>
        <w:t>.8.2012.</w:t>
      </w:r>
    </w:p>
    <w:p w:rsidR="00E1075B" w:rsidRPr="00E1075B" w:rsidRDefault="00E1075B" w:rsidP="003832E8">
      <w:pPr>
        <w:pStyle w:val="Default"/>
        <w:jc w:val="both"/>
        <w:rPr>
          <w:b/>
          <w:i/>
          <w:color w:val="auto"/>
          <w:sz w:val="22"/>
          <w:szCs w:val="22"/>
        </w:rPr>
      </w:pPr>
    </w:p>
    <w:p w:rsidR="006F7FF1" w:rsidRPr="00E1075B" w:rsidRDefault="006F7FF1" w:rsidP="003832E8">
      <w:pPr>
        <w:pStyle w:val="Default"/>
        <w:jc w:val="both"/>
        <w:rPr>
          <w:b/>
          <w:i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E1075B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E1075B" w:rsidRDefault="00C10DD5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E1075B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E1075B" w:rsidRDefault="007334B1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E1075B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E1075B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E1075B" w:rsidRDefault="00F3058F" w:rsidP="00703F00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  <w:sz w:val="22"/>
        </w:rPr>
      </w:pPr>
    </w:p>
    <w:sectPr w:rsidR="00F3058F" w:rsidRPr="00E1075B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A6" w:rsidRDefault="00EA61A6" w:rsidP="008B0547">
      <w:pPr>
        <w:spacing w:after="0"/>
      </w:pPr>
      <w:r>
        <w:separator/>
      </w:r>
    </w:p>
  </w:endnote>
  <w:endnote w:type="continuationSeparator" w:id="0">
    <w:p w:rsidR="00EA61A6" w:rsidRDefault="00EA61A6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Pr="00C906CD" w:rsidRDefault="00565960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8B6640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525941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A6" w:rsidRDefault="00EA61A6" w:rsidP="008B0547">
      <w:pPr>
        <w:spacing w:after="0"/>
      </w:pPr>
      <w:r>
        <w:separator/>
      </w:r>
    </w:p>
  </w:footnote>
  <w:footnote w:type="continuationSeparator" w:id="0">
    <w:p w:rsidR="00EA61A6" w:rsidRDefault="00EA61A6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Default="007B5768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640">
      <w:rPr>
        <w:rFonts w:ascii="Arial" w:hAnsi="Arial" w:cs="Arial"/>
        <w:b/>
      </w:rPr>
      <w:t>TRIBUNAL DE CONTAS DA UNIÃO</w:t>
    </w:r>
  </w:p>
  <w:p w:rsidR="008B6640" w:rsidRPr="00515E7B" w:rsidRDefault="007B5768" w:rsidP="00080148">
    <w:pPr>
      <w:spacing w:after="0"/>
      <w:rPr>
        <w:rFonts w:ascii="Arial" w:hAnsi="Arial" w:cs="Arial"/>
        <w:b/>
      </w:rPr>
    </w:pPr>
    <w:r w:rsidRPr="00565960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69FDB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8B6640" w:rsidRPr="00515E7B">
      <w:rPr>
        <w:rFonts w:ascii="Arial" w:hAnsi="Arial" w:cs="Arial"/>
        <w:noProof/>
        <w:lang w:eastAsia="pt-BR"/>
      </w:rPr>
      <w:t>Info</w:t>
    </w:r>
    <w:r w:rsidR="008B6640">
      <w:rPr>
        <w:rFonts w:ascii="Arial" w:hAnsi="Arial" w:cs="Arial"/>
        <w:noProof/>
        <w:lang w:eastAsia="pt-BR"/>
      </w:rPr>
      <w:t>rmativo de L</w:t>
    </w:r>
    <w:r w:rsidR="008B6640" w:rsidRPr="00515E7B">
      <w:rPr>
        <w:rFonts w:ascii="Arial" w:hAnsi="Arial" w:cs="Arial"/>
        <w:noProof/>
        <w:lang w:eastAsia="pt-BR"/>
      </w:rPr>
      <w:t xml:space="preserve">icitações e </w:t>
    </w:r>
    <w:r w:rsidR="008B6640">
      <w:rPr>
        <w:rFonts w:ascii="Arial" w:hAnsi="Arial" w:cs="Arial"/>
        <w:noProof/>
        <w:lang w:eastAsia="pt-BR"/>
      </w:rPr>
      <w:t>C</w:t>
    </w:r>
    <w:r w:rsidR="008B6640" w:rsidRPr="00515E7B">
      <w:rPr>
        <w:rFonts w:ascii="Arial" w:hAnsi="Arial" w:cs="Arial"/>
        <w:noProof/>
        <w:lang w:eastAsia="pt-BR"/>
      </w:rPr>
      <w:t>ontratos</w:t>
    </w:r>
    <w:r w:rsidR="008B6640">
      <w:rPr>
        <w:rFonts w:ascii="Arial" w:hAnsi="Arial" w:cs="Arial"/>
        <w:noProof/>
        <w:lang w:eastAsia="pt-BR"/>
      </w:rPr>
      <w:t xml:space="preserve"> nº 1</w:t>
    </w:r>
    <w:r w:rsidR="00385E54">
      <w:rPr>
        <w:rFonts w:ascii="Arial" w:hAnsi="Arial" w:cs="Arial"/>
        <w:noProof/>
        <w:lang w:eastAsia="pt-BR"/>
      </w:rPr>
      <w:t>20</w:t>
    </w:r>
  </w:p>
  <w:p w:rsidR="008B6640" w:rsidRDefault="008B6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91D"/>
    <w:multiLevelType w:val="hybridMultilevel"/>
    <w:tmpl w:val="4F26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4BC2CEB"/>
    <w:multiLevelType w:val="hybridMultilevel"/>
    <w:tmpl w:val="05A4DDE8"/>
    <w:lvl w:ilvl="0" w:tplc="343C6A6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4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6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7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9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20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EC6694A"/>
    <w:multiLevelType w:val="hybridMultilevel"/>
    <w:tmpl w:val="928A5542"/>
    <w:lvl w:ilvl="0" w:tplc="504E1654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3746DBD"/>
    <w:multiLevelType w:val="hybridMultilevel"/>
    <w:tmpl w:val="4FEA49F2"/>
    <w:lvl w:ilvl="0" w:tplc="A182A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87A7F"/>
    <w:multiLevelType w:val="hybridMultilevel"/>
    <w:tmpl w:val="5B0683B2"/>
    <w:lvl w:ilvl="0" w:tplc="98989728">
      <w:start w:val="2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1C11C1"/>
    <w:multiLevelType w:val="hybridMultilevel"/>
    <w:tmpl w:val="7A36F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28">
    <w:nsid w:val="49E51CCF"/>
    <w:multiLevelType w:val="hybridMultilevel"/>
    <w:tmpl w:val="8A3EF2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E8D4AB8"/>
    <w:multiLevelType w:val="hybridMultilevel"/>
    <w:tmpl w:val="753889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2E610C"/>
    <w:multiLevelType w:val="hybridMultilevel"/>
    <w:tmpl w:val="FD82F6DC"/>
    <w:lvl w:ilvl="0" w:tplc="0576C4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0BF56F5"/>
    <w:multiLevelType w:val="hybridMultilevel"/>
    <w:tmpl w:val="464A0018"/>
    <w:lvl w:ilvl="0" w:tplc="ABBE07C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6684430"/>
    <w:multiLevelType w:val="multilevel"/>
    <w:tmpl w:val="CD805612"/>
    <w:lvl w:ilvl="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689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cs="Times New Roman" w:hint="default"/>
      </w:rPr>
    </w:lvl>
  </w:abstractNum>
  <w:abstractNum w:abstractNumId="41">
    <w:nsid w:val="7CFB0349"/>
    <w:multiLevelType w:val="hybridMultilevel"/>
    <w:tmpl w:val="6C6CD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11"/>
  </w:num>
  <w:num w:numId="4">
    <w:abstractNumId w:val="1"/>
  </w:num>
  <w:num w:numId="5">
    <w:abstractNumId w:val="14"/>
  </w:num>
  <w:num w:numId="6">
    <w:abstractNumId w:val="21"/>
  </w:num>
  <w:num w:numId="7">
    <w:abstractNumId w:val="38"/>
  </w:num>
  <w:num w:numId="8">
    <w:abstractNumId w:val="34"/>
  </w:num>
  <w:num w:numId="9">
    <w:abstractNumId w:val="29"/>
  </w:num>
  <w:num w:numId="10">
    <w:abstractNumId w:val="9"/>
  </w:num>
  <w:num w:numId="11">
    <w:abstractNumId w:val="42"/>
  </w:num>
  <w:num w:numId="12">
    <w:abstractNumId w:val="5"/>
  </w:num>
  <w:num w:numId="13">
    <w:abstractNumId w:val="20"/>
  </w:num>
  <w:num w:numId="14">
    <w:abstractNumId w:val="37"/>
  </w:num>
  <w:num w:numId="15">
    <w:abstractNumId w:val="18"/>
  </w:num>
  <w:num w:numId="16">
    <w:abstractNumId w:val="3"/>
  </w:num>
  <w:num w:numId="17">
    <w:abstractNumId w:val="16"/>
  </w:num>
  <w:num w:numId="18">
    <w:abstractNumId w:val="39"/>
    <w:lvlOverride w:ilvl="0">
      <w:startOverride w:val="1"/>
    </w:lvlOverride>
  </w:num>
  <w:num w:numId="19">
    <w:abstractNumId w:val="32"/>
  </w:num>
  <w:num w:numId="20">
    <w:abstractNumId w:val="15"/>
  </w:num>
  <w:num w:numId="21">
    <w:abstractNumId w:val="10"/>
  </w:num>
  <w:num w:numId="22">
    <w:abstractNumId w:val="13"/>
  </w:num>
  <w:num w:numId="23">
    <w:abstractNumId w:val="2"/>
  </w:num>
  <w:num w:numId="24">
    <w:abstractNumId w:val="4"/>
  </w:num>
  <w:num w:numId="25">
    <w:abstractNumId w:val="8"/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7"/>
  </w:num>
  <w:num w:numId="2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12"/>
  </w:num>
  <w:num w:numId="31">
    <w:abstractNumId w:val="30"/>
  </w:num>
  <w:num w:numId="32">
    <w:abstractNumId w:val="25"/>
  </w:num>
  <w:num w:numId="33">
    <w:abstractNumId w:val="35"/>
  </w:num>
  <w:num w:numId="34">
    <w:abstractNumId w:val="26"/>
  </w:num>
  <w:num w:numId="35">
    <w:abstractNumId w:val="24"/>
  </w:num>
  <w:num w:numId="36">
    <w:abstractNumId w:val="22"/>
  </w:num>
  <w:num w:numId="37">
    <w:abstractNumId w:val="40"/>
  </w:num>
  <w:num w:numId="38">
    <w:abstractNumId w:val="7"/>
  </w:num>
  <w:num w:numId="39">
    <w:abstractNumId w:val="27"/>
  </w:num>
  <w:num w:numId="40">
    <w:abstractNumId w:val="31"/>
  </w:num>
  <w:num w:numId="41">
    <w:abstractNumId w:val="28"/>
  </w:num>
  <w:num w:numId="42">
    <w:abstractNumId w:val="0"/>
  </w:num>
  <w:num w:numId="43">
    <w:abstractNumId w:val="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3CEA"/>
    <w:rsid w:val="00004614"/>
    <w:rsid w:val="00004D04"/>
    <w:rsid w:val="00005435"/>
    <w:rsid w:val="00005BA5"/>
    <w:rsid w:val="00005E1E"/>
    <w:rsid w:val="00005F57"/>
    <w:rsid w:val="0000636F"/>
    <w:rsid w:val="000069F3"/>
    <w:rsid w:val="00007FA6"/>
    <w:rsid w:val="0001037C"/>
    <w:rsid w:val="00011892"/>
    <w:rsid w:val="000118BC"/>
    <w:rsid w:val="000118CC"/>
    <w:rsid w:val="00011BA0"/>
    <w:rsid w:val="00011D5A"/>
    <w:rsid w:val="00012287"/>
    <w:rsid w:val="00012468"/>
    <w:rsid w:val="00013851"/>
    <w:rsid w:val="00013A1F"/>
    <w:rsid w:val="000145F8"/>
    <w:rsid w:val="000161F7"/>
    <w:rsid w:val="0001636D"/>
    <w:rsid w:val="00016A5D"/>
    <w:rsid w:val="0001776E"/>
    <w:rsid w:val="000179E2"/>
    <w:rsid w:val="00020C27"/>
    <w:rsid w:val="00020C75"/>
    <w:rsid w:val="00020FC8"/>
    <w:rsid w:val="00021532"/>
    <w:rsid w:val="0002237E"/>
    <w:rsid w:val="0002238E"/>
    <w:rsid w:val="000227F4"/>
    <w:rsid w:val="0002327E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300A2"/>
    <w:rsid w:val="00032198"/>
    <w:rsid w:val="0003282A"/>
    <w:rsid w:val="00032CA1"/>
    <w:rsid w:val="00033551"/>
    <w:rsid w:val="0003422F"/>
    <w:rsid w:val="00035FBF"/>
    <w:rsid w:val="00037DCE"/>
    <w:rsid w:val="00041450"/>
    <w:rsid w:val="000431BD"/>
    <w:rsid w:val="000436B0"/>
    <w:rsid w:val="000438FC"/>
    <w:rsid w:val="00044732"/>
    <w:rsid w:val="000460E4"/>
    <w:rsid w:val="0004660A"/>
    <w:rsid w:val="00046CF7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356E"/>
    <w:rsid w:val="000540FC"/>
    <w:rsid w:val="0005412B"/>
    <w:rsid w:val="00054432"/>
    <w:rsid w:val="0005485B"/>
    <w:rsid w:val="00054C16"/>
    <w:rsid w:val="00054FBE"/>
    <w:rsid w:val="00055D4F"/>
    <w:rsid w:val="000562CD"/>
    <w:rsid w:val="0005656B"/>
    <w:rsid w:val="00056A5A"/>
    <w:rsid w:val="00056D51"/>
    <w:rsid w:val="0006028E"/>
    <w:rsid w:val="00060728"/>
    <w:rsid w:val="00060CE3"/>
    <w:rsid w:val="00061C2E"/>
    <w:rsid w:val="000622E0"/>
    <w:rsid w:val="00062B46"/>
    <w:rsid w:val="00063C6E"/>
    <w:rsid w:val="000647B1"/>
    <w:rsid w:val="00065A8B"/>
    <w:rsid w:val="00065E95"/>
    <w:rsid w:val="00066126"/>
    <w:rsid w:val="00066E66"/>
    <w:rsid w:val="00066F26"/>
    <w:rsid w:val="0006707B"/>
    <w:rsid w:val="000675D5"/>
    <w:rsid w:val="00067E95"/>
    <w:rsid w:val="00070785"/>
    <w:rsid w:val="0007259B"/>
    <w:rsid w:val="000727DB"/>
    <w:rsid w:val="00072916"/>
    <w:rsid w:val="00072F56"/>
    <w:rsid w:val="00073231"/>
    <w:rsid w:val="00074384"/>
    <w:rsid w:val="00074AC5"/>
    <w:rsid w:val="000756E7"/>
    <w:rsid w:val="00077A56"/>
    <w:rsid w:val="00077BA4"/>
    <w:rsid w:val="0008010D"/>
    <w:rsid w:val="00080148"/>
    <w:rsid w:val="00080245"/>
    <w:rsid w:val="000807D4"/>
    <w:rsid w:val="00081635"/>
    <w:rsid w:val="00081DFB"/>
    <w:rsid w:val="00083514"/>
    <w:rsid w:val="000835D8"/>
    <w:rsid w:val="00084282"/>
    <w:rsid w:val="00084727"/>
    <w:rsid w:val="000858EF"/>
    <w:rsid w:val="000867E7"/>
    <w:rsid w:val="00086A39"/>
    <w:rsid w:val="00086BAA"/>
    <w:rsid w:val="00087006"/>
    <w:rsid w:val="00087894"/>
    <w:rsid w:val="00087C6C"/>
    <w:rsid w:val="0009058C"/>
    <w:rsid w:val="00090D8A"/>
    <w:rsid w:val="0009133A"/>
    <w:rsid w:val="000916AF"/>
    <w:rsid w:val="000919D7"/>
    <w:rsid w:val="000923FB"/>
    <w:rsid w:val="000929ED"/>
    <w:rsid w:val="00092C2E"/>
    <w:rsid w:val="00094A7D"/>
    <w:rsid w:val="00094C5B"/>
    <w:rsid w:val="00094EEC"/>
    <w:rsid w:val="00095069"/>
    <w:rsid w:val="00095D98"/>
    <w:rsid w:val="0009649A"/>
    <w:rsid w:val="0009655D"/>
    <w:rsid w:val="0009748C"/>
    <w:rsid w:val="0009780B"/>
    <w:rsid w:val="00097863"/>
    <w:rsid w:val="00097ABD"/>
    <w:rsid w:val="00097BF6"/>
    <w:rsid w:val="000A0EF8"/>
    <w:rsid w:val="000A152A"/>
    <w:rsid w:val="000A1EBD"/>
    <w:rsid w:val="000A2C56"/>
    <w:rsid w:val="000A402F"/>
    <w:rsid w:val="000A4632"/>
    <w:rsid w:val="000A47EA"/>
    <w:rsid w:val="000A57DA"/>
    <w:rsid w:val="000A599E"/>
    <w:rsid w:val="000A6269"/>
    <w:rsid w:val="000A62BD"/>
    <w:rsid w:val="000A6645"/>
    <w:rsid w:val="000A77BB"/>
    <w:rsid w:val="000B0ECB"/>
    <w:rsid w:val="000B0FEA"/>
    <w:rsid w:val="000B2AFA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C0013"/>
    <w:rsid w:val="000C02AD"/>
    <w:rsid w:val="000C049A"/>
    <w:rsid w:val="000C22BE"/>
    <w:rsid w:val="000C22C0"/>
    <w:rsid w:val="000C28CC"/>
    <w:rsid w:val="000C2CBC"/>
    <w:rsid w:val="000C3DAB"/>
    <w:rsid w:val="000C42A5"/>
    <w:rsid w:val="000C4611"/>
    <w:rsid w:val="000C47F9"/>
    <w:rsid w:val="000C4A10"/>
    <w:rsid w:val="000C4AC9"/>
    <w:rsid w:val="000C5799"/>
    <w:rsid w:val="000C5FDE"/>
    <w:rsid w:val="000C61FA"/>
    <w:rsid w:val="000C7281"/>
    <w:rsid w:val="000C7D11"/>
    <w:rsid w:val="000D14D9"/>
    <w:rsid w:val="000D1878"/>
    <w:rsid w:val="000D1B91"/>
    <w:rsid w:val="000D1C53"/>
    <w:rsid w:val="000D1DC7"/>
    <w:rsid w:val="000D1EF5"/>
    <w:rsid w:val="000D1FD7"/>
    <w:rsid w:val="000D359B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8AC"/>
    <w:rsid w:val="000E2D47"/>
    <w:rsid w:val="000E3B31"/>
    <w:rsid w:val="000E3C6D"/>
    <w:rsid w:val="000E45B0"/>
    <w:rsid w:val="000E504D"/>
    <w:rsid w:val="000E5EAB"/>
    <w:rsid w:val="000E730B"/>
    <w:rsid w:val="000E78A6"/>
    <w:rsid w:val="000E7FD4"/>
    <w:rsid w:val="000F1450"/>
    <w:rsid w:val="000F1786"/>
    <w:rsid w:val="000F2133"/>
    <w:rsid w:val="000F28E9"/>
    <w:rsid w:val="000F2975"/>
    <w:rsid w:val="000F2D05"/>
    <w:rsid w:val="000F2F92"/>
    <w:rsid w:val="000F2FD9"/>
    <w:rsid w:val="000F48B1"/>
    <w:rsid w:val="000F495D"/>
    <w:rsid w:val="000F4B18"/>
    <w:rsid w:val="000F6986"/>
    <w:rsid w:val="000F6A43"/>
    <w:rsid w:val="000F6D85"/>
    <w:rsid w:val="000F73F1"/>
    <w:rsid w:val="000F7B66"/>
    <w:rsid w:val="000F7CEE"/>
    <w:rsid w:val="000F7D84"/>
    <w:rsid w:val="001005A8"/>
    <w:rsid w:val="00101707"/>
    <w:rsid w:val="00101EE1"/>
    <w:rsid w:val="00101F01"/>
    <w:rsid w:val="00102D37"/>
    <w:rsid w:val="001041ED"/>
    <w:rsid w:val="00104AAD"/>
    <w:rsid w:val="0011038F"/>
    <w:rsid w:val="001104BA"/>
    <w:rsid w:val="00111A71"/>
    <w:rsid w:val="001125A2"/>
    <w:rsid w:val="00112676"/>
    <w:rsid w:val="00112A5F"/>
    <w:rsid w:val="0011373A"/>
    <w:rsid w:val="00113A1F"/>
    <w:rsid w:val="0011429C"/>
    <w:rsid w:val="00114511"/>
    <w:rsid w:val="00115305"/>
    <w:rsid w:val="001156BA"/>
    <w:rsid w:val="0011582E"/>
    <w:rsid w:val="00115911"/>
    <w:rsid w:val="00116706"/>
    <w:rsid w:val="0011691F"/>
    <w:rsid w:val="00116BAB"/>
    <w:rsid w:val="00117E95"/>
    <w:rsid w:val="001203BE"/>
    <w:rsid w:val="00121782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A9F"/>
    <w:rsid w:val="00130032"/>
    <w:rsid w:val="00130A0C"/>
    <w:rsid w:val="00130EF3"/>
    <w:rsid w:val="001316FC"/>
    <w:rsid w:val="0013322B"/>
    <w:rsid w:val="0013393F"/>
    <w:rsid w:val="00133EA9"/>
    <w:rsid w:val="00133FBC"/>
    <w:rsid w:val="00133FE5"/>
    <w:rsid w:val="00134175"/>
    <w:rsid w:val="0013476D"/>
    <w:rsid w:val="001351D5"/>
    <w:rsid w:val="00135D01"/>
    <w:rsid w:val="00135EDA"/>
    <w:rsid w:val="0013735A"/>
    <w:rsid w:val="001378A3"/>
    <w:rsid w:val="00137B22"/>
    <w:rsid w:val="00137FE3"/>
    <w:rsid w:val="00140FED"/>
    <w:rsid w:val="00141D7A"/>
    <w:rsid w:val="001420D1"/>
    <w:rsid w:val="001420FE"/>
    <w:rsid w:val="00142621"/>
    <w:rsid w:val="00142C16"/>
    <w:rsid w:val="001444A2"/>
    <w:rsid w:val="00144987"/>
    <w:rsid w:val="00146C4A"/>
    <w:rsid w:val="00151F92"/>
    <w:rsid w:val="0015258E"/>
    <w:rsid w:val="00152ECC"/>
    <w:rsid w:val="001532E4"/>
    <w:rsid w:val="00155D65"/>
    <w:rsid w:val="00156851"/>
    <w:rsid w:val="0015699C"/>
    <w:rsid w:val="00156A48"/>
    <w:rsid w:val="00156C90"/>
    <w:rsid w:val="00156DDB"/>
    <w:rsid w:val="00157614"/>
    <w:rsid w:val="001576E2"/>
    <w:rsid w:val="00157AFE"/>
    <w:rsid w:val="00157C0F"/>
    <w:rsid w:val="001600FC"/>
    <w:rsid w:val="001612C0"/>
    <w:rsid w:val="001614AF"/>
    <w:rsid w:val="0016160E"/>
    <w:rsid w:val="0016352E"/>
    <w:rsid w:val="001658D6"/>
    <w:rsid w:val="001665B9"/>
    <w:rsid w:val="001667C0"/>
    <w:rsid w:val="00166C60"/>
    <w:rsid w:val="00171E89"/>
    <w:rsid w:val="001737F7"/>
    <w:rsid w:val="001744B4"/>
    <w:rsid w:val="001744E7"/>
    <w:rsid w:val="0017459B"/>
    <w:rsid w:val="00174E4D"/>
    <w:rsid w:val="00176287"/>
    <w:rsid w:val="00176375"/>
    <w:rsid w:val="001766A9"/>
    <w:rsid w:val="00180774"/>
    <w:rsid w:val="00181339"/>
    <w:rsid w:val="00181680"/>
    <w:rsid w:val="00181848"/>
    <w:rsid w:val="00183A7D"/>
    <w:rsid w:val="001841C2"/>
    <w:rsid w:val="00184259"/>
    <w:rsid w:val="001847D6"/>
    <w:rsid w:val="00184DD0"/>
    <w:rsid w:val="001855E1"/>
    <w:rsid w:val="001858EA"/>
    <w:rsid w:val="0018776F"/>
    <w:rsid w:val="00190FE2"/>
    <w:rsid w:val="00192052"/>
    <w:rsid w:val="00192483"/>
    <w:rsid w:val="0019284D"/>
    <w:rsid w:val="00194053"/>
    <w:rsid w:val="00194EDA"/>
    <w:rsid w:val="001956E2"/>
    <w:rsid w:val="00195F77"/>
    <w:rsid w:val="00196098"/>
    <w:rsid w:val="001A0B42"/>
    <w:rsid w:val="001A0CC1"/>
    <w:rsid w:val="001A204B"/>
    <w:rsid w:val="001A2A67"/>
    <w:rsid w:val="001A2B80"/>
    <w:rsid w:val="001A3198"/>
    <w:rsid w:val="001A31E4"/>
    <w:rsid w:val="001A330B"/>
    <w:rsid w:val="001A335E"/>
    <w:rsid w:val="001A37F4"/>
    <w:rsid w:val="001A4C6F"/>
    <w:rsid w:val="001A58D8"/>
    <w:rsid w:val="001A5C45"/>
    <w:rsid w:val="001A60A2"/>
    <w:rsid w:val="001A75FE"/>
    <w:rsid w:val="001A79D3"/>
    <w:rsid w:val="001A7BF5"/>
    <w:rsid w:val="001B08E7"/>
    <w:rsid w:val="001B1669"/>
    <w:rsid w:val="001B19FF"/>
    <w:rsid w:val="001B2580"/>
    <w:rsid w:val="001B2931"/>
    <w:rsid w:val="001B2A46"/>
    <w:rsid w:val="001B3729"/>
    <w:rsid w:val="001B3B42"/>
    <w:rsid w:val="001B3BEF"/>
    <w:rsid w:val="001B3E8E"/>
    <w:rsid w:val="001B4316"/>
    <w:rsid w:val="001B4F90"/>
    <w:rsid w:val="001B5333"/>
    <w:rsid w:val="001B5426"/>
    <w:rsid w:val="001B6823"/>
    <w:rsid w:val="001B7F4F"/>
    <w:rsid w:val="001C0575"/>
    <w:rsid w:val="001C08D8"/>
    <w:rsid w:val="001C0A66"/>
    <w:rsid w:val="001C1568"/>
    <w:rsid w:val="001C17A8"/>
    <w:rsid w:val="001C1903"/>
    <w:rsid w:val="001C2397"/>
    <w:rsid w:val="001C23B5"/>
    <w:rsid w:val="001C2492"/>
    <w:rsid w:val="001C2950"/>
    <w:rsid w:val="001C437E"/>
    <w:rsid w:val="001C5C51"/>
    <w:rsid w:val="001C5CDF"/>
    <w:rsid w:val="001C6A2C"/>
    <w:rsid w:val="001C6E55"/>
    <w:rsid w:val="001C71E3"/>
    <w:rsid w:val="001C72D6"/>
    <w:rsid w:val="001C7DC4"/>
    <w:rsid w:val="001C7FD4"/>
    <w:rsid w:val="001D03C7"/>
    <w:rsid w:val="001D0FAF"/>
    <w:rsid w:val="001D1478"/>
    <w:rsid w:val="001D1E52"/>
    <w:rsid w:val="001D35B4"/>
    <w:rsid w:val="001D5190"/>
    <w:rsid w:val="001D559E"/>
    <w:rsid w:val="001D56C3"/>
    <w:rsid w:val="001D670F"/>
    <w:rsid w:val="001D73B6"/>
    <w:rsid w:val="001D74CE"/>
    <w:rsid w:val="001D7622"/>
    <w:rsid w:val="001D79D0"/>
    <w:rsid w:val="001E0BF1"/>
    <w:rsid w:val="001E1E28"/>
    <w:rsid w:val="001E2620"/>
    <w:rsid w:val="001E3D51"/>
    <w:rsid w:val="001E4147"/>
    <w:rsid w:val="001E4CBA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182A"/>
    <w:rsid w:val="001F1E8F"/>
    <w:rsid w:val="001F4DA1"/>
    <w:rsid w:val="001F553C"/>
    <w:rsid w:val="001F64D1"/>
    <w:rsid w:val="001F6BB0"/>
    <w:rsid w:val="00200260"/>
    <w:rsid w:val="002002CE"/>
    <w:rsid w:val="0020066F"/>
    <w:rsid w:val="0020107A"/>
    <w:rsid w:val="0020135D"/>
    <w:rsid w:val="00201BA3"/>
    <w:rsid w:val="00201FED"/>
    <w:rsid w:val="00202061"/>
    <w:rsid w:val="00202EAD"/>
    <w:rsid w:val="0020328F"/>
    <w:rsid w:val="00203A6F"/>
    <w:rsid w:val="00206C2E"/>
    <w:rsid w:val="00207BF8"/>
    <w:rsid w:val="0021001C"/>
    <w:rsid w:val="00211194"/>
    <w:rsid w:val="00211816"/>
    <w:rsid w:val="00212E42"/>
    <w:rsid w:val="002139A2"/>
    <w:rsid w:val="002157BF"/>
    <w:rsid w:val="00217566"/>
    <w:rsid w:val="00217B1B"/>
    <w:rsid w:val="002204A9"/>
    <w:rsid w:val="00220D43"/>
    <w:rsid w:val="0022160D"/>
    <w:rsid w:val="00221D51"/>
    <w:rsid w:val="00223BB9"/>
    <w:rsid w:val="00224F04"/>
    <w:rsid w:val="00225D42"/>
    <w:rsid w:val="00226AEF"/>
    <w:rsid w:val="00226D9D"/>
    <w:rsid w:val="00227776"/>
    <w:rsid w:val="002308C7"/>
    <w:rsid w:val="00232158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F05"/>
    <w:rsid w:val="002371E3"/>
    <w:rsid w:val="002401FC"/>
    <w:rsid w:val="002415A6"/>
    <w:rsid w:val="00242061"/>
    <w:rsid w:val="002424C4"/>
    <w:rsid w:val="00243011"/>
    <w:rsid w:val="002435FC"/>
    <w:rsid w:val="002442D9"/>
    <w:rsid w:val="00244BA7"/>
    <w:rsid w:val="00245351"/>
    <w:rsid w:val="00245432"/>
    <w:rsid w:val="0024593F"/>
    <w:rsid w:val="00246C03"/>
    <w:rsid w:val="002476B6"/>
    <w:rsid w:val="00247E76"/>
    <w:rsid w:val="00247E8F"/>
    <w:rsid w:val="002510D5"/>
    <w:rsid w:val="00252BB0"/>
    <w:rsid w:val="00253242"/>
    <w:rsid w:val="00253D3A"/>
    <w:rsid w:val="00254590"/>
    <w:rsid w:val="002549FC"/>
    <w:rsid w:val="00254B75"/>
    <w:rsid w:val="002551C8"/>
    <w:rsid w:val="0025663C"/>
    <w:rsid w:val="00257D8A"/>
    <w:rsid w:val="00261488"/>
    <w:rsid w:val="0026195C"/>
    <w:rsid w:val="00261DAC"/>
    <w:rsid w:val="002621BD"/>
    <w:rsid w:val="0026222C"/>
    <w:rsid w:val="00262359"/>
    <w:rsid w:val="0026283B"/>
    <w:rsid w:val="002633D9"/>
    <w:rsid w:val="0026340E"/>
    <w:rsid w:val="0026362E"/>
    <w:rsid w:val="002639CA"/>
    <w:rsid w:val="002642F2"/>
    <w:rsid w:val="002649A7"/>
    <w:rsid w:val="00264FC3"/>
    <w:rsid w:val="002657B3"/>
    <w:rsid w:val="0026589B"/>
    <w:rsid w:val="002663B7"/>
    <w:rsid w:val="002666C5"/>
    <w:rsid w:val="00266B83"/>
    <w:rsid w:val="00266C8A"/>
    <w:rsid w:val="00267E01"/>
    <w:rsid w:val="00270EAC"/>
    <w:rsid w:val="00271CD7"/>
    <w:rsid w:val="00271CF2"/>
    <w:rsid w:val="00271D81"/>
    <w:rsid w:val="0027213F"/>
    <w:rsid w:val="0027267D"/>
    <w:rsid w:val="00272D1C"/>
    <w:rsid w:val="00273058"/>
    <w:rsid w:val="00273E72"/>
    <w:rsid w:val="00274068"/>
    <w:rsid w:val="0027498E"/>
    <w:rsid w:val="0027686D"/>
    <w:rsid w:val="00276B43"/>
    <w:rsid w:val="00276DC0"/>
    <w:rsid w:val="00277F47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F64"/>
    <w:rsid w:val="00284442"/>
    <w:rsid w:val="00284CE8"/>
    <w:rsid w:val="002864FC"/>
    <w:rsid w:val="00287326"/>
    <w:rsid w:val="00287723"/>
    <w:rsid w:val="0029043B"/>
    <w:rsid w:val="00290A06"/>
    <w:rsid w:val="00290CF7"/>
    <w:rsid w:val="00291703"/>
    <w:rsid w:val="00291766"/>
    <w:rsid w:val="002920C1"/>
    <w:rsid w:val="0029211E"/>
    <w:rsid w:val="00293198"/>
    <w:rsid w:val="0029450E"/>
    <w:rsid w:val="00294B1A"/>
    <w:rsid w:val="00294C0F"/>
    <w:rsid w:val="00294F77"/>
    <w:rsid w:val="0029551E"/>
    <w:rsid w:val="00297A00"/>
    <w:rsid w:val="00297BFE"/>
    <w:rsid w:val="00297F8C"/>
    <w:rsid w:val="002A03ED"/>
    <w:rsid w:val="002A040F"/>
    <w:rsid w:val="002A190F"/>
    <w:rsid w:val="002A1B25"/>
    <w:rsid w:val="002A2129"/>
    <w:rsid w:val="002A2FA2"/>
    <w:rsid w:val="002A3215"/>
    <w:rsid w:val="002A33F4"/>
    <w:rsid w:val="002A3796"/>
    <w:rsid w:val="002A3B3F"/>
    <w:rsid w:val="002A5A02"/>
    <w:rsid w:val="002A5F01"/>
    <w:rsid w:val="002A5FBE"/>
    <w:rsid w:val="002A6CE6"/>
    <w:rsid w:val="002A7DBA"/>
    <w:rsid w:val="002B059A"/>
    <w:rsid w:val="002B1293"/>
    <w:rsid w:val="002B1AD6"/>
    <w:rsid w:val="002B2414"/>
    <w:rsid w:val="002B2B16"/>
    <w:rsid w:val="002B3035"/>
    <w:rsid w:val="002B32DD"/>
    <w:rsid w:val="002B3968"/>
    <w:rsid w:val="002B4001"/>
    <w:rsid w:val="002B409B"/>
    <w:rsid w:val="002B4392"/>
    <w:rsid w:val="002B56C3"/>
    <w:rsid w:val="002B5AD5"/>
    <w:rsid w:val="002B5C5A"/>
    <w:rsid w:val="002B6038"/>
    <w:rsid w:val="002B6422"/>
    <w:rsid w:val="002B71BA"/>
    <w:rsid w:val="002B742B"/>
    <w:rsid w:val="002B7843"/>
    <w:rsid w:val="002B7B4D"/>
    <w:rsid w:val="002C15D5"/>
    <w:rsid w:val="002C208E"/>
    <w:rsid w:val="002C2F67"/>
    <w:rsid w:val="002C45B6"/>
    <w:rsid w:val="002C4633"/>
    <w:rsid w:val="002C47A5"/>
    <w:rsid w:val="002C506F"/>
    <w:rsid w:val="002C5912"/>
    <w:rsid w:val="002C662D"/>
    <w:rsid w:val="002C78D8"/>
    <w:rsid w:val="002C7B61"/>
    <w:rsid w:val="002C7B6D"/>
    <w:rsid w:val="002C7C2B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3043"/>
    <w:rsid w:val="002D35F5"/>
    <w:rsid w:val="002D3E5B"/>
    <w:rsid w:val="002D47FE"/>
    <w:rsid w:val="002D532D"/>
    <w:rsid w:val="002D5D7D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F104B"/>
    <w:rsid w:val="002F1C09"/>
    <w:rsid w:val="002F1E70"/>
    <w:rsid w:val="002F28F1"/>
    <w:rsid w:val="002F35DF"/>
    <w:rsid w:val="002F3839"/>
    <w:rsid w:val="002F3866"/>
    <w:rsid w:val="002F4613"/>
    <w:rsid w:val="002F4696"/>
    <w:rsid w:val="002F5678"/>
    <w:rsid w:val="002F5F3B"/>
    <w:rsid w:val="002F693C"/>
    <w:rsid w:val="002F69BB"/>
    <w:rsid w:val="002F6FAD"/>
    <w:rsid w:val="002F797B"/>
    <w:rsid w:val="002F7C6D"/>
    <w:rsid w:val="003020F4"/>
    <w:rsid w:val="003023A1"/>
    <w:rsid w:val="003025C7"/>
    <w:rsid w:val="0030360F"/>
    <w:rsid w:val="00303790"/>
    <w:rsid w:val="00303984"/>
    <w:rsid w:val="00304161"/>
    <w:rsid w:val="00304618"/>
    <w:rsid w:val="00304643"/>
    <w:rsid w:val="003047D2"/>
    <w:rsid w:val="00304A73"/>
    <w:rsid w:val="00304DFD"/>
    <w:rsid w:val="003057F7"/>
    <w:rsid w:val="003063A5"/>
    <w:rsid w:val="00306864"/>
    <w:rsid w:val="003069F9"/>
    <w:rsid w:val="00307669"/>
    <w:rsid w:val="00307A75"/>
    <w:rsid w:val="00307DB7"/>
    <w:rsid w:val="00307E64"/>
    <w:rsid w:val="00310208"/>
    <w:rsid w:val="0031058F"/>
    <w:rsid w:val="0031089E"/>
    <w:rsid w:val="00310D69"/>
    <w:rsid w:val="00311663"/>
    <w:rsid w:val="00311668"/>
    <w:rsid w:val="0031257A"/>
    <w:rsid w:val="003129EE"/>
    <w:rsid w:val="0031472E"/>
    <w:rsid w:val="003147B7"/>
    <w:rsid w:val="00314844"/>
    <w:rsid w:val="003149A9"/>
    <w:rsid w:val="0031528D"/>
    <w:rsid w:val="00315535"/>
    <w:rsid w:val="003161E0"/>
    <w:rsid w:val="00317E59"/>
    <w:rsid w:val="00320465"/>
    <w:rsid w:val="00320B02"/>
    <w:rsid w:val="00322065"/>
    <w:rsid w:val="00322440"/>
    <w:rsid w:val="00322496"/>
    <w:rsid w:val="00322AE7"/>
    <w:rsid w:val="00322D91"/>
    <w:rsid w:val="00322EEA"/>
    <w:rsid w:val="0032320A"/>
    <w:rsid w:val="003240EC"/>
    <w:rsid w:val="003250C3"/>
    <w:rsid w:val="00325246"/>
    <w:rsid w:val="00325869"/>
    <w:rsid w:val="00325D35"/>
    <w:rsid w:val="00326448"/>
    <w:rsid w:val="0032650F"/>
    <w:rsid w:val="0032662E"/>
    <w:rsid w:val="00326854"/>
    <w:rsid w:val="003275E4"/>
    <w:rsid w:val="00330069"/>
    <w:rsid w:val="00330144"/>
    <w:rsid w:val="003302D8"/>
    <w:rsid w:val="003304A1"/>
    <w:rsid w:val="00331864"/>
    <w:rsid w:val="0033244F"/>
    <w:rsid w:val="00332EF9"/>
    <w:rsid w:val="00335707"/>
    <w:rsid w:val="00337743"/>
    <w:rsid w:val="00337E16"/>
    <w:rsid w:val="00340E66"/>
    <w:rsid w:val="00340F10"/>
    <w:rsid w:val="00341D56"/>
    <w:rsid w:val="00342A44"/>
    <w:rsid w:val="003436D7"/>
    <w:rsid w:val="00343FC9"/>
    <w:rsid w:val="00344520"/>
    <w:rsid w:val="0034481B"/>
    <w:rsid w:val="0034486B"/>
    <w:rsid w:val="003449A9"/>
    <w:rsid w:val="00344D92"/>
    <w:rsid w:val="003455A2"/>
    <w:rsid w:val="00345760"/>
    <w:rsid w:val="00345BD4"/>
    <w:rsid w:val="0034659F"/>
    <w:rsid w:val="0034675B"/>
    <w:rsid w:val="0034796E"/>
    <w:rsid w:val="00347B56"/>
    <w:rsid w:val="00347E1A"/>
    <w:rsid w:val="003506E7"/>
    <w:rsid w:val="00350BE7"/>
    <w:rsid w:val="00350CDA"/>
    <w:rsid w:val="00350E87"/>
    <w:rsid w:val="00351286"/>
    <w:rsid w:val="00353018"/>
    <w:rsid w:val="00353B7C"/>
    <w:rsid w:val="00353BE4"/>
    <w:rsid w:val="0035402B"/>
    <w:rsid w:val="0035438E"/>
    <w:rsid w:val="003557D3"/>
    <w:rsid w:val="00355828"/>
    <w:rsid w:val="00356418"/>
    <w:rsid w:val="00356D90"/>
    <w:rsid w:val="00356E38"/>
    <w:rsid w:val="003576DA"/>
    <w:rsid w:val="00357CBE"/>
    <w:rsid w:val="003609A7"/>
    <w:rsid w:val="00360C13"/>
    <w:rsid w:val="00361487"/>
    <w:rsid w:val="00361661"/>
    <w:rsid w:val="00362905"/>
    <w:rsid w:val="00363230"/>
    <w:rsid w:val="00364D53"/>
    <w:rsid w:val="003654A7"/>
    <w:rsid w:val="0036772F"/>
    <w:rsid w:val="00370BC7"/>
    <w:rsid w:val="003717C6"/>
    <w:rsid w:val="003719DE"/>
    <w:rsid w:val="00371A33"/>
    <w:rsid w:val="00372E83"/>
    <w:rsid w:val="00373860"/>
    <w:rsid w:val="00374B8C"/>
    <w:rsid w:val="00375080"/>
    <w:rsid w:val="00376C51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FDA"/>
    <w:rsid w:val="003824E4"/>
    <w:rsid w:val="00382610"/>
    <w:rsid w:val="00382B1B"/>
    <w:rsid w:val="003832E8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FCC"/>
    <w:rsid w:val="003943E5"/>
    <w:rsid w:val="00394793"/>
    <w:rsid w:val="00394BEA"/>
    <w:rsid w:val="00394D47"/>
    <w:rsid w:val="00395950"/>
    <w:rsid w:val="00397D8E"/>
    <w:rsid w:val="003A105C"/>
    <w:rsid w:val="003A2222"/>
    <w:rsid w:val="003A3262"/>
    <w:rsid w:val="003A39F5"/>
    <w:rsid w:val="003A434B"/>
    <w:rsid w:val="003A4F18"/>
    <w:rsid w:val="003A5479"/>
    <w:rsid w:val="003A5C1B"/>
    <w:rsid w:val="003A6CF4"/>
    <w:rsid w:val="003A7C7F"/>
    <w:rsid w:val="003A7FDB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3A2C"/>
    <w:rsid w:val="003B416D"/>
    <w:rsid w:val="003B43C3"/>
    <w:rsid w:val="003B4936"/>
    <w:rsid w:val="003B4F8A"/>
    <w:rsid w:val="003B551C"/>
    <w:rsid w:val="003B56D7"/>
    <w:rsid w:val="003B5882"/>
    <w:rsid w:val="003B6508"/>
    <w:rsid w:val="003B7CC1"/>
    <w:rsid w:val="003C0DAF"/>
    <w:rsid w:val="003C123E"/>
    <w:rsid w:val="003C179A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957"/>
    <w:rsid w:val="003C6DEB"/>
    <w:rsid w:val="003C6EFC"/>
    <w:rsid w:val="003C73CA"/>
    <w:rsid w:val="003C748D"/>
    <w:rsid w:val="003C7585"/>
    <w:rsid w:val="003C7A5C"/>
    <w:rsid w:val="003D0153"/>
    <w:rsid w:val="003D095D"/>
    <w:rsid w:val="003D0AAF"/>
    <w:rsid w:val="003D201E"/>
    <w:rsid w:val="003D2665"/>
    <w:rsid w:val="003D3574"/>
    <w:rsid w:val="003D4149"/>
    <w:rsid w:val="003D660C"/>
    <w:rsid w:val="003D73BD"/>
    <w:rsid w:val="003D7CCE"/>
    <w:rsid w:val="003E0864"/>
    <w:rsid w:val="003E0BAC"/>
    <w:rsid w:val="003E0D8C"/>
    <w:rsid w:val="003E154A"/>
    <w:rsid w:val="003E15A3"/>
    <w:rsid w:val="003E1B68"/>
    <w:rsid w:val="003E21AD"/>
    <w:rsid w:val="003E2601"/>
    <w:rsid w:val="003E3D77"/>
    <w:rsid w:val="003E5FC5"/>
    <w:rsid w:val="003E65D7"/>
    <w:rsid w:val="003E7483"/>
    <w:rsid w:val="003F0515"/>
    <w:rsid w:val="003F14AB"/>
    <w:rsid w:val="003F163F"/>
    <w:rsid w:val="003F185F"/>
    <w:rsid w:val="003F1ACE"/>
    <w:rsid w:val="003F1CE1"/>
    <w:rsid w:val="003F1E26"/>
    <w:rsid w:val="003F2D7E"/>
    <w:rsid w:val="003F413A"/>
    <w:rsid w:val="003F5154"/>
    <w:rsid w:val="003F5249"/>
    <w:rsid w:val="003F54FB"/>
    <w:rsid w:val="003F5BB5"/>
    <w:rsid w:val="003F5D3A"/>
    <w:rsid w:val="003F6572"/>
    <w:rsid w:val="003F6BD4"/>
    <w:rsid w:val="003F6C4D"/>
    <w:rsid w:val="003F6D1F"/>
    <w:rsid w:val="00400C90"/>
    <w:rsid w:val="00400F7F"/>
    <w:rsid w:val="004023F7"/>
    <w:rsid w:val="0040363C"/>
    <w:rsid w:val="004036AF"/>
    <w:rsid w:val="00403A0F"/>
    <w:rsid w:val="0040424B"/>
    <w:rsid w:val="0040434E"/>
    <w:rsid w:val="004048E5"/>
    <w:rsid w:val="00404D1E"/>
    <w:rsid w:val="00405316"/>
    <w:rsid w:val="00406623"/>
    <w:rsid w:val="0041153E"/>
    <w:rsid w:val="00412488"/>
    <w:rsid w:val="00412B7F"/>
    <w:rsid w:val="00412CEF"/>
    <w:rsid w:val="004141A8"/>
    <w:rsid w:val="00414E59"/>
    <w:rsid w:val="004165B8"/>
    <w:rsid w:val="004169D8"/>
    <w:rsid w:val="00417048"/>
    <w:rsid w:val="00420098"/>
    <w:rsid w:val="004201AF"/>
    <w:rsid w:val="00420B07"/>
    <w:rsid w:val="00420DF0"/>
    <w:rsid w:val="004217F1"/>
    <w:rsid w:val="00421E70"/>
    <w:rsid w:val="00422BF5"/>
    <w:rsid w:val="00422FE4"/>
    <w:rsid w:val="00425FF9"/>
    <w:rsid w:val="00426328"/>
    <w:rsid w:val="004266DC"/>
    <w:rsid w:val="00427B3B"/>
    <w:rsid w:val="00427EBF"/>
    <w:rsid w:val="0043072D"/>
    <w:rsid w:val="00431085"/>
    <w:rsid w:val="004313B0"/>
    <w:rsid w:val="00431AA2"/>
    <w:rsid w:val="00432278"/>
    <w:rsid w:val="00434EDF"/>
    <w:rsid w:val="00435149"/>
    <w:rsid w:val="00435269"/>
    <w:rsid w:val="00435EC1"/>
    <w:rsid w:val="004362AB"/>
    <w:rsid w:val="004367E0"/>
    <w:rsid w:val="0043763C"/>
    <w:rsid w:val="0044047F"/>
    <w:rsid w:val="004404CD"/>
    <w:rsid w:val="0044060D"/>
    <w:rsid w:val="00440C8D"/>
    <w:rsid w:val="00440FDD"/>
    <w:rsid w:val="00441101"/>
    <w:rsid w:val="00441261"/>
    <w:rsid w:val="004415FB"/>
    <w:rsid w:val="00441CE3"/>
    <w:rsid w:val="00441D69"/>
    <w:rsid w:val="004421F5"/>
    <w:rsid w:val="004425E2"/>
    <w:rsid w:val="0044284D"/>
    <w:rsid w:val="00443050"/>
    <w:rsid w:val="0044434A"/>
    <w:rsid w:val="0044437F"/>
    <w:rsid w:val="004446ED"/>
    <w:rsid w:val="00445A25"/>
    <w:rsid w:val="00445AC4"/>
    <w:rsid w:val="00445E76"/>
    <w:rsid w:val="0044620A"/>
    <w:rsid w:val="0044655B"/>
    <w:rsid w:val="00446606"/>
    <w:rsid w:val="004471BC"/>
    <w:rsid w:val="00447217"/>
    <w:rsid w:val="00447B50"/>
    <w:rsid w:val="00450515"/>
    <w:rsid w:val="00450AD8"/>
    <w:rsid w:val="00450F0D"/>
    <w:rsid w:val="00451471"/>
    <w:rsid w:val="00452756"/>
    <w:rsid w:val="00452C60"/>
    <w:rsid w:val="0045343E"/>
    <w:rsid w:val="00453704"/>
    <w:rsid w:val="00453FC2"/>
    <w:rsid w:val="00454D9A"/>
    <w:rsid w:val="0045665B"/>
    <w:rsid w:val="00457013"/>
    <w:rsid w:val="004573D3"/>
    <w:rsid w:val="00457F93"/>
    <w:rsid w:val="00460682"/>
    <w:rsid w:val="00460E6C"/>
    <w:rsid w:val="004617A9"/>
    <w:rsid w:val="00461B70"/>
    <w:rsid w:val="0046258E"/>
    <w:rsid w:val="00462CEB"/>
    <w:rsid w:val="00462DCA"/>
    <w:rsid w:val="00462EA8"/>
    <w:rsid w:val="0046384E"/>
    <w:rsid w:val="00464CF4"/>
    <w:rsid w:val="00465562"/>
    <w:rsid w:val="004666C7"/>
    <w:rsid w:val="00466E73"/>
    <w:rsid w:val="0046706B"/>
    <w:rsid w:val="00467815"/>
    <w:rsid w:val="00467D9B"/>
    <w:rsid w:val="00471284"/>
    <w:rsid w:val="00472FB0"/>
    <w:rsid w:val="00473696"/>
    <w:rsid w:val="00473721"/>
    <w:rsid w:val="00473A4B"/>
    <w:rsid w:val="0047491E"/>
    <w:rsid w:val="00474986"/>
    <w:rsid w:val="00474A6A"/>
    <w:rsid w:val="0047658E"/>
    <w:rsid w:val="00477716"/>
    <w:rsid w:val="00477DE9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E4C"/>
    <w:rsid w:val="00485154"/>
    <w:rsid w:val="004862BE"/>
    <w:rsid w:val="00486ABE"/>
    <w:rsid w:val="00486F3A"/>
    <w:rsid w:val="00487033"/>
    <w:rsid w:val="004873C2"/>
    <w:rsid w:val="004878ED"/>
    <w:rsid w:val="00487B7C"/>
    <w:rsid w:val="0049004B"/>
    <w:rsid w:val="00490C52"/>
    <w:rsid w:val="00491039"/>
    <w:rsid w:val="00491438"/>
    <w:rsid w:val="00491B1C"/>
    <w:rsid w:val="004923BD"/>
    <w:rsid w:val="00492E3F"/>
    <w:rsid w:val="00493F5C"/>
    <w:rsid w:val="0049412A"/>
    <w:rsid w:val="004945E3"/>
    <w:rsid w:val="00494EB3"/>
    <w:rsid w:val="00495DB3"/>
    <w:rsid w:val="00495F43"/>
    <w:rsid w:val="00497F5E"/>
    <w:rsid w:val="004A00B0"/>
    <w:rsid w:val="004A171B"/>
    <w:rsid w:val="004A207E"/>
    <w:rsid w:val="004A2385"/>
    <w:rsid w:val="004A2C49"/>
    <w:rsid w:val="004A2D91"/>
    <w:rsid w:val="004A3B95"/>
    <w:rsid w:val="004A3C91"/>
    <w:rsid w:val="004A69D0"/>
    <w:rsid w:val="004A7912"/>
    <w:rsid w:val="004B0194"/>
    <w:rsid w:val="004B0B94"/>
    <w:rsid w:val="004B1113"/>
    <w:rsid w:val="004B176A"/>
    <w:rsid w:val="004B1DC3"/>
    <w:rsid w:val="004B2835"/>
    <w:rsid w:val="004B28C5"/>
    <w:rsid w:val="004B326B"/>
    <w:rsid w:val="004B36AE"/>
    <w:rsid w:val="004B4672"/>
    <w:rsid w:val="004B58F5"/>
    <w:rsid w:val="004B67A4"/>
    <w:rsid w:val="004C14B1"/>
    <w:rsid w:val="004C289A"/>
    <w:rsid w:val="004C3427"/>
    <w:rsid w:val="004C61A3"/>
    <w:rsid w:val="004C6E03"/>
    <w:rsid w:val="004C780C"/>
    <w:rsid w:val="004D03BA"/>
    <w:rsid w:val="004D118A"/>
    <w:rsid w:val="004D3100"/>
    <w:rsid w:val="004D3441"/>
    <w:rsid w:val="004D349D"/>
    <w:rsid w:val="004D357C"/>
    <w:rsid w:val="004D3E0B"/>
    <w:rsid w:val="004D42B9"/>
    <w:rsid w:val="004D45C8"/>
    <w:rsid w:val="004D4ED8"/>
    <w:rsid w:val="004D5A3C"/>
    <w:rsid w:val="004D6A38"/>
    <w:rsid w:val="004D6C65"/>
    <w:rsid w:val="004D708E"/>
    <w:rsid w:val="004D760C"/>
    <w:rsid w:val="004D7C91"/>
    <w:rsid w:val="004E01D4"/>
    <w:rsid w:val="004E1E98"/>
    <w:rsid w:val="004E26E4"/>
    <w:rsid w:val="004E357A"/>
    <w:rsid w:val="004E3800"/>
    <w:rsid w:val="004E3861"/>
    <w:rsid w:val="004E5000"/>
    <w:rsid w:val="004E530F"/>
    <w:rsid w:val="004E5599"/>
    <w:rsid w:val="004E586B"/>
    <w:rsid w:val="004E65EB"/>
    <w:rsid w:val="004E7114"/>
    <w:rsid w:val="004E7341"/>
    <w:rsid w:val="004E7E7E"/>
    <w:rsid w:val="004F0244"/>
    <w:rsid w:val="004F09A1"/>
    <w:rsid w:val="004F0A27"/>
    <w:rsid w:val="004F282C"/>
    <w:rsid w:val="004F379F"/>
    <w:rsid w:val="004F3D4A"/>
    <w:rsid w:val="004F3E0F"/>
    <w:rsid w:val="004F401E"/>
    <w:rsid w:val="004F43AB"/>
    <w:rsid w:val="004F58BE"/>
    <w:rsid w:val="004F7174"/>
    <w:rsid w:val="004F7AF1"/>
    <w:rsid w:val="004F7E98"/>
    <w:rsid w:val="00500DD0"/>
    <w:rsid w:val="00500EDC"/>
    <w:rsid w:val="005010BA"/>
    <w:rsid w:val="005012AA"/>
    <w:rsid w:val="005012CF"/>
    <w:rsid w:val="005013A1"/>
    <w:rsid w:val="00502352"/>
    <w:rsid w:val="0050278D"/>
    <w:rsid w:val="00502C10"/>
    <w:rsid w:val="0050355D"/>
    <w:rsid w:val="00504188"/>
    <w:rsid w:val="00504560"/>
    <w:rsid w:val="00504655"/>
    <w:rsid w:val="00504A31"/>
    <w:rsid w:val="00504F8B"/>
    <w:rsid w:val="005055B5"/>
    <w:rsid w:val="005063A0"/>
    <w:rsid w:val="00506619"/>
    <w:rsid w:val="0050690E"/>
    <w:rsid w:val="00507E53"/>
    <w:rsid w:val="00510257"/>
    <w:rsid w:val="00510D1D"/>
    <w:rsid w:val="00510E99"/>
    <w:rsid w:val="00511033"/>
    <w:rsid w:val="00511BBF"/>
    <w:rsid w:val="00511BDC"/>
    <w:rsid w:val="00512E62"/>
    <w:rsid w:val="0051373C"/>
    <w:rsid w:val="005138B3"/>
    <w:rsid w:val="00513EBA"/>
    <w:rsid w:val="00513F43"/>
    <w:rsid w:val="00514E64"/>
    <w:rsid w:val="00515E7B"/>
    <w:rsid w:val="005165B0"/>
    <w:rsid w:val="00516F04"/>
    <w:rsid w:val="00517005"/>
    <w:rsid w:val="005171D1"/>
    <w:rsid w:val="005174C6"/>
    <w:rsid w:val="00517868"/>
    <w:rsid w:val="00520894"/>
    <w:rsid w:val="00520BC0"/>
    <w:rsid w:val="00520BF7"/>
    <w:rsid w:val="005215A2"/>
    <w:rsid w:val="005217F8"/>
    <w:rsid w:val="005219E0"/>
    <w:rsid w:val="0052267A"/>
    <w:rsid w:val="005226D4"/>
    <w:rsid w:val="005239DD"/>
    <w:rsid w:val="00523CA1"/>
    <w:rsid w:val="00523EB9"/>
    <w:rsid w:val="00524A9C"/>
    <w:rsid w:val="00525941"/>
    <w:rsid w:val="00525956"/>
    <w:rsid w:val="00525BED"/>
    <w:rsid w:val="005266F4"/>
    <w:rsid w:val="0052675C"/>
    <w:rsid w:val="00526931"/>
    <w:rsid w:val="00526D46"/>
    <w:rsid w:val="005303B5"/>
    <w:rsid w:val="005303E3"/>
    <w:rsid w:val="00530D4E"/>
    <w:rsid w:val="00531094"/>
    <w:rsid w:val="00531143"/>
    <w:rsid w:val="0053186B"/>
    <w:rsid w:val="00531C5C"/>
    <w:rsid w:val="00532A23"/>
    <w:rsid w:val="005331E8"/>
    <w:rsid w:val="0053337C"/>
    <w:rsid w:val="005340EA"/>
    <w:rsid w:val="00534A44"/>
    <w:rsid w:val="00535F4E"/>
    <w:rsid w:val="00536332"/>
    <w:rsid w:val="0053655B"/>
    <w:rsid w:val="005373DF"/>
    <w:rsid w:val="00537A19"/>
    <w:rsid w:val="00540D81"/>
    <w:rsid w:val="00542821"/>
    <w:rsid w:val="00543514"/>
    <w:rsid w:val="005438A1"/>
    <w:rsid w:val="00543B81"/>
    <w:rsid w:val="00543C00"/>
    <w:rsid w:val="00543EB8"/>
    <w:rsid w:val="00543F41"/>
    <w:rsid w:val="00544550"/>
    <w:rsid w:val="0054482E"/>
    <w:rsid w:val="00544FCF"/>
    <w:rsid w:val="005450DC"/>
    <w:rsid w:val="005455FC"/>
    <w:rsid w:val="00545A47"/>
    <w:rsid w:val="00545FC7"/>
    <w:rsid w:val="0054634E"/>
    <w:rsid w:val="00546B67"/>
    <w:rsid w:val="005474C7"/>
    <w:rsid w:val="00547B37"/>
    <w:rsid w:val="00550490"/>
    <w:rsid w:val="00550F71"/>
    <w:rsid w:val="005512D3"/>
    <w:rsid w:val="00551C0E"/>
    <w:rsid w:val="00551F46"/>
    <w:rsid w:val="00553290"/>
    <w:rsid w:val="00553C45"/>
    <w:rsid w:val="005544FA"/>
    <w:rsid w:val="00554A33"/>
    <w:rsid w:val="00554F2F"/>
    <w:rsid w:val="0055525E"/>
    <w:rsid w:val="0055588A"/>
    <w:rsid w:val="00555A7F"/>
    <w:rsid w:val="0055716D"/>
    <w:rsid w:val="005571A6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5960"/>
    <w:rsid w:val="00566E81"/>
    <w:rsid w:val="005670FC"/>
    <w:rsid w:val="00567CEE"/>
    <w:rsid w:val="0057040F"/>
    <w:rsid w:val="005713F4"/>
    <w:rsid w:val="00571E64"/>
    <w:rsid w:val="00573ADD"/>
    <w:rsid w:val="00573D3B"/>
    <w:rsid w:val="00573EE2"/>
    <w:rsid w:val="00573F6A"/>
    <w:rsid w:val="0057432C"/>
    <w:rsid w:val="00574676"/>
    <w:rsid w:val="00575314"/>
    <w:rsid w:val="00575CC3"/>
    <w:rsid w:val="00575D10"/>
    <w:rsid w:val="00576018"/>
    <w:rsid w:val="00576D6B"/>
    <w:rsid w:val="005800F7"/>
    <w:rsid w:val="005808CA"/>
    <w:rsid w:val="00580F26"/>
    <w:rsid w:val="005810A9"/>
    <w:rsid w:val="00581A7C"/>
    <w:rsid w:val="00582376"/>
    <w:rsid w:val="00583C0E"/>
    <w:rsid w:val="00583FDB"/>
    <w:rsid w:val="0058427E"/>
    <w:rsid w:val="00584FEF"/>
    <w:rsid w:val="005864FA"/>
    <w:rsid w:val="00586848"/>
    <w:rsid w:val="005875A3"/>
    <w:rsid w:val="00587652"/>
    <w:rsid w:val="0058773A"/>
    <w:rsid w:val="00590750"/>
    <w:rsid w:val="00590907"/>
    <w:rsid w:val="00592491"/>
    <w:rsid w:val="0059346F"/>
    <w:rsid w:val="00593875"/>
    <w:rsid w:val="00593E2F"/>
    <w:rsid w:val="005943C5"/>
    <w:rsid w:val="00594A7B"/>
    <w:rsid w:val="005963CE"/>
    <w:rsid w:val="00596C07"/>
    <w:rsid w:val="005976DB"/>
    <w:rsid w:val="00597AA7"/>
    <w:rsid w:val="005A1EAB"/>
    <w:rsid w:val="005A270C"/>
    <w:rsid w:val="005A2D82"/>
    <w:rsid w:val="005A323A"/>
    <w:rsid w:val="005A3789"/>
    <w:rsid w:val="005A3835"/>
    <w:rsid w:val="005A389E"/>
    <w:rsid w:val="005A3AEC"/>
    <w:rsid w:val="005A40C0"/>
    <w:rsid w:val="005A47FE"/>
    <w:rsid w:val="005A626B"/>
    <w:rsid w:val="005A6858"/>
    <w:rsid w:val="005A72F2"/>
    <w:rsid w:val="005A7E22"/>
    <w:rsid w:val="005B0096"/>
    <w:rsid w:val="005B2194"/>
    <w:rsid w:val="005B2BC3"/>
    <w:rsid w:val="005B4350"/>
    <w:rsid w:val="005B4621"/>
    <w:rsid w:val="005B4812"/>
    <w:rsid w:val="005B4CFA"/>
    <w:rsid w:val="005B4DEF"/>
    <w:rsid w:val="005B5B3D"/>
    <w:rsid w:val="005B5CEE"/>
    <w:rsid w:val="005B6D53"/>
    <w:rsid w:val="005B6D64"/>
    <w:rsid w:val="005B7112"/>
    <w:rsid w:val="005B7166"/>
    <w:rsid w:val="005B74D2"/>
    <w:rsid w:val="005C01D1"/>
    <w:rsid w:val="005C04FD"/>
    <w:rsid w:val="005C18EE"/>
    <w:rsid w:val="005C1A79"/>
    <w:rsid w:val="005C239B"/>
    <w:rsid w:val="005C303E"/>
    <w:rsid w:val="005C39AD"/>
    <w:rsid w:val="005C3B26"/>
    <w:rsid w:val="005C3EDF"/>
    <w:rsid w:val="005C4397"/>
    <w:rsid w:val="005C48CC"/>
    <w:rsid w:val="005C4C42"/>
    <w:rsid w:val="005C63B5"/>
    <w:rsid w:val="005C674D"/>
    <w:rsid w:val="005C7644"/>
    <w:rsid w:val="005C77FD"/>
    <w:rsid w:val="005C791C"/>
    <w:rsid w:val="005C7B31"/>
    <w:rsid w:val="005C7BF4"/>
    <w:rsid w:val="005D029E"/>
    <w:rsid w:val="005D0745"/>
    <w:rsid w:val="005D1B66"/>
    <w:rsid w:val="005D1FDF"/>
    <w:rsid w:val="005D2B0F"/>
    <w:rsid w:val="005D30FC"/>
    <w:rsid w:val="005D323E"/>
    <w:rsid w:val="005D3352"/>
    <w:rsid w:val="005D3A17"/>
    <w:rsid w:val="005D3ACE"/>
    <w:rsid w:val="005D3D1E"/>
    <w:rsid w:val="005D50D9"/>
    <w:rsid w:val="005D6A61"/>
    <w:rsid w:val="005D7724"/>
    <w:rsid w:val="005E063B"/>
    <w:rsid w:val="005E06AE"/>
    <w:rsid w:val="005E111B"/>
    <w:rsid w:val="005E12DD"/>
    <w:rsid w:val="005E1771"/>
    <w:rsid w:val="005E269C"/>
    <w:rsid w:val="005E2A11"/>
    <w:rsid w:val="005E2C16"/>
    <w:rsid w:val="005E34F4"/>
    <w:rsid w:val="005E3586"/>
    <w:rsid w:val="005E386D"/>
    <w:rsid w:val="005E3EC0"/>
    <w:rsid w:val="005E4DEE"/>
    <w:rsid w:val="005E5130"/>
    <w:rsid w:val="005E5F15"/>
    <w:rsid w:val="005E5FF1"/>
    <w:rsid w:val="005E6001"/>
    <w:rsid w:val="005E6566"/>
    <w:rsid w:val="005E72FB"/>
    <w:rsid w:val="005F01CE"/>
    <w:rsid w:val="005F135B"/>
    <w:rsid w:val="005F1942"/>
    <w:rsid w:val="005F2426"/>
    <w:rsid w:val="005F3709"/>
    <w:rsid w:val="005F3EAB"/>
    <w:rsid w:val="005F42BB"/>
    <w:rsid w:val="005F4E54"/>
    <w:rsid w:val="005F4EAE"/>
    <w:rsid w:val="005F574A"/>
    <w:rsid w:val="005F676C"/>
    <w:rsid w:val="005F70B6"/>
    <w:rsid w:val="005F7518"/>
    <w:rsid w:val="005F778D"/>
    <w:rsid w:val="005F7A87"/>
    <w:rsid w:val="005F7BA0"/>
    <w:rsid w:val="005F7F41"/>
    <w:rsid w:val="006009D3"/>
    <w:rsid w:val="006010E6"/>
    <w:rsid w:val="006011A3"/>
    <w:rsid w:val="006017DF"/>
    <w:rsid w:val="00601F0A"/>
    <w:rsid w:val="006030B5"/>
    <w:rsid w:val="00603630"/>
    <w:rsid w:val="0060382E"/>
    <w:rsid w:val="00603CFA"/>
    <w:rsid w:val="00603D1C"/>
    <w:rsid w:val="00604DBE"/>
    <w:rsid w:val="006061B0"/>
    <w:rsid w:val="006062EA"/>
    <w:rsid w:val="006063E1"/>
    <w:rsid w:val="006065E4"/>
    <w:rsid w:val="006066C2"/>
    <w:rsid w:val="006066D1"/>
    <w:rsid w:val="00606F56"/>
    <w:rsid w:val="00607D48"/>
    <w:rsid w:val="00610039"/>
    <w:rsid w:val="00610381"/>
    <w:rsid w:val="00610917"/>
    <w:rsid w:val="006109E3"/>
    <w:rsid w:val="00611B68"/>
    <w:rsid w:val="00611C07"/>
    <w:rsid w:val="00611E07"/>
    <w:rsid w:val="00612045"/>
    <w:rsid w:val="006120C3"/>
    <w:rsid w:val="0061286E"/>
    <w:rsid w:val="00612F12"/>
    <w:rsid w:val="00612F99"/>
    <w:rsid w:val="006136FF"/>
    <w:rsid w:val="00613AC9"/>
    <w:rsid w:val="00613DA3"/>
    <w:rsid w:val="00614026"/>
    <w:rsid w:val="006140E8"/>
    <w:rsid w:val="00614490"/>
    <w:rsid w:val="00614786"/>
    <w:rsid w:val="00614EDE"/>
    <w:rsid w:val="00615808"/>
    <w:rsid w:val="00617982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24C"/>
    <w:rsid w:val="00626AB6"/>
    <w:rsid w:val="00631B1E"/>
    <w:rsid w:val="00631FE7"/>
    <w:rsid w:val="006321EA"/>
    <w:rsid w:val="006324E6"/>
    <w:rsid w:val="00632ACC"/>
    <w:rsid w:val="006335C9"/>
    <w:rsid w:val="00633FF2"/>
    <w:rsid w:val="00634207"/>
    <w:rsid w:val="006345C1"/>
    <w:rsid w:val="00634F76"/>
    <w:rsid w:val="00635E34"/>
    <w:rsid w:val="00637056"/>
    <w:rsid w:val="00637E9B"/>
    <w:rsid w:val="00637FD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6D0E"/>
    <w:rsid w:val="006478E6"/>
    <w:rsid w:val="00650306"/>
    <w:rsid w:val="006503A5"/>
    <w:rsid w:val="00650463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FFB"/>
    <w:rsid w:val="00653133"/>
    <w:rsid w:val="006532C3"/>
    <w:rsid w:val="00653E05"/>
    <w:rsid w:val="00654C9C"/>
    <w:rsid w:val="0065528E"/>
    <w:rsid w:val="00655390"/>
    <w:rsid w:val="006553D9"/>
    <w:rsid w:val="00655858"/>
    <w:rsid w:val="0065606D"/>
    <w:rsid w:val="006564F2"/>
    <w:rsid w:val="0065716D"/>
    <w:rsid w:val="00661A2E"/>
    <w:rsid w:val="00661BD2"/>
    <w:rsid w:val="006625C0"/>
    <w:rsid w:val="00662B7A"/>
    <w:rsid w:val="00663175"/>
    <w:rsid w:val="0066326A"/>
    <w:rsid w:val="006632D0"/>
    <w:rsid w:val="006635FA"/>
    <w:rsid w:val="00663B35"/>
    <w:rsid w:val="00663F1B"/>
    <w:rsid w:val="00664AB8"/>
    <w:rsid w:val="0066571F"/>
    <w:rsid w:val="00666285"/>
    <w:rsid w:val="00666443"/>
    <w:rsid w:val="0066731A"/>
    <w:rsid w:val="00670BE7"/>
    <w:rsid w:val="00670FEA"/>
    <w:rsid w:val="00671DC9"/>
    <w:rsid w:val="0067252D"/>
    <w:rsid w:val="00672C31"/>
    <w:rsid w:val="006730AC"/>
    <w:rsid w:val="006734AA"/>
    <w:rsid w:val="006734B3"/>
    <w:rsid w:val="0067353C"/>
    <w:rsid w:val="00673735"/>
    <w:rsid w:val="00674093"/>
    <w:rsid w:val="00675BE6"/>
    <w:rsid w:val="00676163"/>
    <w:rsid w:val="006764C4"/>
    <w:rsid w:val="006777E4"/>
    <w:rsid w:val="00677C1A"/>
    <w:rsid w:val="00677C22"/>
    <w:rsid w:val="006808CC"/>
    <w:rsid w:val="00680AF4"/>
    <w:rsid w:val="00681495"/>
    <w:rsid w:val="0068171A"/>
    <w:rsid w:val="00681F18"/>
    <w:rsid w:val="0068281F"/>
    <w:rsid w:val="00682C7C"/>
    <w:rsid w:val="00682F4C"/>
    <w:rsid w:val="006838D8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80B"/>
    <w:rsid w:val="00690CBB"/>
    <w:rsid w:val="00691611"/>
    <w:rsid w:val="00691932"/>
    <w:rsid w:val="006919FB"/>
    <w:rsid w:val="0069213E"/>
    <w:rsid w:val="00692D30"/>
    <w:rsid w:val="006941DC"/>
    <w:rsid w:val="00695597"/>
    <w:rsid w:val="00696A89"/>
    <w:rsid w:val="00696F75"/>
    <w:rsid w:val="00696FEC"/>
    <w:rsid w:val="00697165"/>
    <w:rsid w:val="00697477"/>
    <w:rsid w:val="006A037E"/>
    <w:rsid w:val="006A1E12"/>
    <w:rsid w:val="006A2019"/>
    <w:rsid w:val="006A21CC"/>
    <w:rsid w:val="006A30E6"/>
    <w:rsid w:val="006A3D41"/>
    <w:rsid w:val="006A5833"/>
    <w:rsid w:val="006A72F8"/>
    <w:rsid w:val="006A7796"/>
    <w:rsid w:val="006A7C96"/>
    <w:rsid w:val="006B0495"/>
    <w:rsid w:val="006B0DCB"/>
    <w:rsid w:val="006B0EAB"/>
    <w:rsid w:val="006B2408"/>
    <w:rsid w:val="006B299D"/>
    <w:rsid w:val="006B33F7"/>
    <w:rsid w:val="006B3AF9"/>
    <w:rsid w:val="006B3C91"/>
    <w:rsid w:val="006B414C"/>
    <w:rsid w:val="006B4B0F"/>
    <w:rsid w:val="006B5474"/>
    <w:rsid w:val="006B62A0"/>
    <w:rsid w:val="006B650F"/>
    <w:rsid w:val="006C0E39"/>
    <w:rsid w:val="006C1394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DE0"/>
    <w:rsid w:val="006D024B"/>
    <w:rsid w:val="006D1314"/>
    <w:rsid w:val="006D16CA"/>
    <w:rsid w:val="006D1D06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68AC"/>
    <w:rsid w:val="006D6DF7"/>
    <w:rsid w:val="006D7E18"/>
    <w:rsid w:val="006E0A93"/>
    <w:rsid w:val="006E2433"/>
    <w:rsid w:val="006E4064"/>
    <w:rsid w:val="006E58EA"/>
    <w:rsid w:val="006E5BF8"/>
    <w:rsid w:val="006E6B01"/>
    <w:rsid w:val="006E6D16"/>
    <w:rsid w:val="006F0036"/>
    <w:rsid w:val="006F10D4"/>
    <w:rsid w:val="006F1233"/>
    <w:rsid w:val="006F1244"/>
    <w:rsid w:val="006F27E0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6F7FF1"/>
    <w:rsid w:val="00700B08"/>
    <w:rsid w:val="007025BA"/>
    <w:rsid w:val="00702BB8"/>
    <w:rsid w:val="0070385B"/>
    <w:rsid w:val="00703981"/>
    <w:rsid w:val="00703A33"/>
    <w:rsid w:val="00703A74"/>
    <w:rsid w:val="00703F00"/>
    <w:rsid w:val="0070407E"/>
    <w:rsid w:val="00704530"/>
    <w:rsid w:val="0070494F"/>
    <w:rsid w:val="00704969"/>
    <w:rsid w:val="00704BB0"/>
    <w:rsid w:val="00705423"/>
    <w:rsid w:val="00705758"/>
    <w:rsid w:val="00705E4A"/>
    <w:rsid w:val="0070688B"/>
    <w:rsid w:val="00706997"/>
    <w:rsid w:val="0070707A"/>
    <w:rsid w:val="0070717A"/>
    <w:rsid w:val="00707244"/>
    <w:rsid w:val="00712B2B"/>
    <w:rsid w:val="00712CCC"/>
    <w:rsid w:val="007136E9"/>
    <w:rsid w:val="00713B78"/>
    <w:rsid w:val="00713DE5"/>
    <w:rsid w:val="00714569"/>
    <w:rsid w:val="007153A5"/>
    <w:rsid w:val="007155D9"/>
    <w:rsid w:val="007157A0"/>
    <w:rsid w:val="0071623B"/>
    <w:rsid w:val="007174DA"/>
    <w:rsid w:val="007178AF"/>
    <w:rsid w:val="00720910"/>
    <w:rsid w:val="00720F29"/>
    <w:rsid w:val="00721038"/>
    <w:rsid w:val="007213A5"/>
    <w:rsid w:val="007224C2"/>
    <w:rsid w:val="00722C19"/>
    <w:rsid w:val="00722DD1"/>
    <w:rsid w:val="00726000"/>
    <w:rsid w:val="0072603B"/>
    <w:rsid w:val="00726756"/>
    <w:rsid w:val="00726C1E"/>
    <w:rsid w:val="00726FEB"/>
    <w:rsid w:val="0072771B"/>
    <w:rsid w:val="00727910"/>
    <w:rsid w:val="00727DC2"/>
    <w:rsid w:val="00731117"/>
    <w:rsid w:val="00731409"/>
    <w:rsid w:val="00731555"/>
    <w:rsid w:val="00731EDD"/>
    <w:rsid w:val="00732F41"/>
    <w:rsid w:val="007332C1"/>
    <w:rsid w:val="007334B1"/>
    <w:rsid w:val="007339F3"/>
    <w:rsid w:val="00733EB2"/>
    <w:rsid w:val="00733EF8"/>
    <w:rsid w:val="00734400"/>
    <w:rsid w:val="00734898"/>
    <w:rsid w:val="00735107"/>
    <w:rsid w:val="00737424"/>
    <w:rsid w:val="00737FEC"/>
    <w:rsid w:val="00740292"/>
    <w:rsid w:val="00740FB1"/>
    <w:rsid w:val="007424E5"/>
    <w:rsid w:val="0074262A"/>
    <w:rsid w:val="0074269A"/>
    <w:rsid w:val="00742B07"/>
    <w:rsid w:val="00742DB5"/>
    <w:rsid w:val="00744619"/>
    <w:rsid w:val="0074462C"/>
    <w:rsid w:val="0075064C"/>
    <w:rsid w:val="00752801"/>
    <w:rsid w:val="00752B96"/>
    <w:rsid w:val="00752E39"/>
    <w:rsid w:val="0075580D"/>
    <w:rsid w:val="00755956"/>
    <w:rsid w:val="00756142"/>
    <w:rsid w:val="007561B4"/>
    <w:rsid w:val="007562B3"/>
    <w:rsid w:val="00756AA0"/>
    <w:rsid w:val="00757CE6"/>
    <w:rsid w:val="0076151C"/>
    <w:rsid w:val="00761E6B"/>
    <w:rsid w:val="007622F8"/>
    <w:rsid w:val="00762D4F"/>
    <w:rsid w:val="00763097"/>
    <w:rsid w:val="00763A41"/>
    <w:rsid w:val="00764CB0"/>
    <w:rsid w:val="007651A7"/>
    <w:rsid w:val="007660A1"/>
    <w:rsid w:val="0076641B"/>
    <w:rsid w:val="0076651A"/>
    <w:rsid w:val="007666D8"/>
    <w:rsid w:val="00766D03"/>
    <w:rsid w:val="007671B6"/>
    <w:rsid w:val="007671DA"/>
    <w:rsid w:val="00767ADE"/>
    <w:rsid w:val="00767C28"/>
    <w:rsid w:val="00770C72"/>
    <w:rsid w:val="007719A8"/>
    <w:rsid w:val="0077228C"/>
    <w:rsid w:val="00772FA8"/>
    <w:rsid w:val="007737D3"/>
    <w:rsid w:val="00773CAE"/>
    <w:rsid w:val="00774593"/>
    <w:rsid w:val="00774C88"/>
    <w:rsid w:val="00774D02"/>
    <w:rsid w:val="00776EDA"/>
    <w:rsid w:val="00777599"/>
    <w:rsid w:val="00777A2C"/>
    <w:rsid w:val="00782B59"/>
    <w:rsid w:val="00783603"/>
    <w:rsid w:val="00783786"/>
    <w:rsid w:val="00785646"/>
    <w:rsid w:val="00785CF8"/>
    <w:rsid w:val="0078734E"/>
    <w:rsid w:val="00787700"/>
    <w:rsid w:val="00792A24"/>
    <w:rsid w:val="00793277"/>
    <w:rsid w:val="0079435F"/>
    <w:rsid w:val="00796068"/>
    <w:rsid w:val="00796163"/>
    <w:rsid w:val="00796CC0"/>
    <w:rsid w:val="00796CF1"/>
    <w:rsid w:val="007974AF"/>
    <w:rsid w:val="007979EA"/>
    <w:rsid w:val="00797A74"/>
    <w:rsid w:val="007A17A6"/>
    <w:rsid w:val="007A1970"/>
    <w:rsid w:val="007A19BC"/>
    <w:rsid w:val="007A1A35"/>
    <w:rsid w:val="007A2166"/>
    <w:rsid w:val="007A2B7F"/>
    <w:rsid w:val="007A3059"/>
    <w:rsid w:val="007A45A6"/>
    <w:rsid w:val="007A536B"/>
    <w:rsid w:val="007A5922"/>
    <w:rsid w:val="007A5969"/>
    <w:rsid w:val="007A63D4"/>
    <w:rsid w:val="007A7AA2"/>
    <w:rsid w:val="007A7C23"/>
    <w:rsid w:val="007B07A6"/>
    <w:rsid w:val="007B1ABA"/>
    <w:rsid w:val="007B2070"/>
    <w:rsid w:val="007B221D"/>
    <w:rsid w:val="007B24B8"/>
    <w:rsid w:val="007B259B"/>
    <w:rsid w:val="007B3F28"/>
    <w:rsid w:val="007B434A"/>
    <w:rsid w:val="007B452C"/>
    <w:rsid w:val="007B471E"/>
    <w:rsid w:val="007B5018"/>
    <w:rsid w:val="007B53E7"/>
    <w:rsid w:val="007B5768"/>
    <w:rsid w:val="007B65B3"/>
    <w:rsid w:val="007B66B8"/>
    <w:rsid w:val="007B6A14"/>
    <w:rsid w:val="007B6DFA"/>
    <w:rsid w:val="007B7287"/>
    <w:rsid w:val="007B753A"/>
    <w:rsid w:val="007B7637"/>
    <w:rsid w:val="007B7677"/>
    <w:rsid w:val="007B7A70"/>
    <w:rsid w:val="007C0033"/>
    <w:rsid w:val="007C08AB"/>
    <w:rsid w:val="007C2208"/>
    <w:rsid w:val="007C3515"/>
    <w:rsid w:val="007C38F7"/>
    <w:rsid w:val="007C3AA6"/>
    <w:rsid w:val="007C4290"/>
    <w:rsid w:val="007C4E99"/>
    <w:rsid w:val="007C5151"/>
    <w:rsid w:val="007C546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4104"/>
    <w:rsid w:val="007D48CF"/>
    <w:rsid w:val="007D4A4A"/>
    <w:rsid w:val="007D4C4B"/>
    <w:rsid w:val="007D560E"/>
    <w:rsid w:val="007D5F85"/>
    <w:rsid w:val="007E018B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4655"/>
    <w:rsid w:val="007E4FD0"/>
    <w:rsid w:val="007E50E4"/>
    <w:rsid w:val="007E50F7"/>
    <w:rsid w:val="007E55E0"/>
    <w:rsid w:val="007E5C50"/>
    <w:rsid w:val="007E5DED"/>
    <w:rsid w:val="007F00D0"/>
    <w:rsid w:val="007F0546"/>
    <w:rsid w:val="007F0754"/>
    <w:rsid w:val="007F1DEB"/>
    <w:rsid w:val="007F22A5"/>
    <w:rsid w:val="007F2A0B"/>
    <w:rsid w:val="007F2DC4"/>
    <w:rsid w:val="007F2E4B"/>
    <w:rsid w:val="007F413A"/>
    <w:rsid w:val="007F421D"/>
    <w:rsid w:val="007F532E"/>
    <w:rsid w:val="007F5688"/>
    <w:rsid w:val="007F588F"/>
    <w:rsid w:val="007F66A5"/>
    <w:rsid w:val="0080038A"/>
    <w:rsid w:val="0080065F"/>
    <w:rsid w:val="008006D9"/>
    <w:rsid w:val="00800BDB"/>
    <w:rsid w:val="008011F2"/>
    <w:rsid w:val="00801588"/>
    <w:rsid w:val="00802807"/>
    <w:rsid w:val="00802DA0"/>
    <w:rsid w:val="00803139"/>
    <w:rsid w:val="00804983"/>
    <w:rsid w:val="008051DE"/>
    <w:rsid w:val="00805594"/>
    <w:rsid w:val="00805659"/>
    <w:rsid w:val="0080593E"/>
    <w:rsid w:val="0080733E"/>
    <w:rsid w:val="0080783D"/>
    <w:rsid w:val="00810B66"/>
    <w:rsid w:val="00810CC2"/>
    <w:rsid w:val="00812C2A"/>
    <w:rsid w:val="00812FCB"/>
    <w:rsid w:val="0081324B"/>
    <w:rsid w:val="00813B80"/>
    <w:rsid w:val="00813DF0"/>
    <w:rsid w:val="0081440E"/>
    <w:rsid w:val="00816193"/>
    <w:rsid w:val="008165E4"/>
    <w:rsid w:val="00816696"/>
    <w:rsid w:val="0081761A"/>
    <w:rsid w:val="00817682"/>
    <w:rsid w:val="008209BC"/>
    <w:rsid w:val="00823472"/>
    <w:rsid w:val="008234BD"/>
    <w:rsid w:val="00823A7E"/>
    <w:rsid w:val="00824A8C"/>
    <w:rsid w:val="00825155"/>
    <w:rsid w:val="00825D4C"/>
    <w:rsid w:val="00825EB9"/>
    <w:rsid w:val="008261E9"/>
    <w:rsid w:val="00827461"/>
    <w:rsid w:val="008301A9"/>
    <w:rsid w:val="008301B7"/>
    <w:rsid w:val="008303E2"/>
    <w:rsid w:val="00830537"/>
    <w:rsid w:val="00830917"/>
    <w:rsid w:val="00830D99"/>
    <w:rsid w:val="0083169F"/>
    <w:rsid w:val="00831B7E"/>
    <w:rsid w:val="00833A8F"/>
    <w:rsid w:val="00833C13"/>
    <w:rsid w:val="00833D53"/>
    <w:rsid w:val="008341F8"/>
    <w:rsid w:val="008359F3"/>
    <w:rsid w:val="00835C7F"/>
    <w:rsid w:val="00835DB6"/>
    <w:rsid w:val="00836AC2"/>
    <w:rsid w:val="00837D13"/>
    <w:rsid w:val="0084005B"/>
    <w:rsid w:val="0084051D"/>
    <w:rsid w:val="008406D5"/>
    <w:rsid w:val="0084289D"/>
    <w:rsid w:val="00843798"/>
    <w:rsid w:val="00843BED"/>
    <w:rsid w:val="00843FB3"/>
    <w:rsid w:val="008444E7"/>
    <w:rsid w:val="008447C8"/>
    <w:rsid w:val="00844C5B"/>
    <w:rsid w:val="008451F5"/>
    <w:rsid w:val="00845856"/>
    <w:rsid w:val="00845944"/>
    <w:rsid w:val="00846833"/>
    <w:rsid w:val="00847B37"/>
    <w:rsid w:val="008501A4"/>
    <w:rsid w:val="008505A1"/>
    <w:rsid w:val="00850817"/>
    <w:rsid w:val="00851D16"/>
    <w:rsid w:val="00851E54"/>
    <w:rsid w:val="0085292E"/>
    <w:rsid w:val="00852B02"/>
    <w:rsid w:val="00852B27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554"/>
    <w:rsid w:val="00857634"/>
    <w:rsid w:val="00857FFB"/>
    <w:rsid w:val="0086124E"/>
    <w:rsid w:val="00861B74"/>
    <w:rsid w:val="00864A10"/>
    <w:rsid w:val="00865089"/>
    <w:rsid w:val="008652C9"/>
    <w:rsid w:val="00866084"/>
    <w:rsid w:val="00866992"/>
    <w:rsid w:val="00866CA9"/>
    <w:rsid w:val="00867E32"/>
    <w:rsid w:val="0087057E"/>
    <w:rsid w:val="00870AAD"/>
    <w:rsid w:val="00872942"/>
    <w:rsid w:val="0087469C"/>
    <w:rsid w:val="00874DB9"/>
    <w:rsid w:val="0087504D"/>
    <w:rsid w:val="00875991"/>
    <w:rsid w:val="00875BB5"/>
    <w:rsid w:val="00876F26"/>
    <w:rsid w:val="008771B6"/>
    <w:rsid w:val="00877865"/>
    <w:rsid w:val="00877FDD"/>
    <w:rsid w:val="00880FED"/>
    <w:rsid w:val="00881415"/>
    <w:rsid w:val="0088186D"/>
    <w:rsid w:val="00881B40"/>
    <w:rsid w:val="00882A96"/>
    <w:rsid w:val="008841C8"/>
    <w:rsid w:val="0088463A"/>
    <w:rsid w:val="0088469F"/>
    <w:rsid w:val="00885367"/>
    <w:rsid w:val="008853CE"/>
    <w:rsid w:val="008855A4"/>
    <w:rsid w:val="00885989"/>
    <w:rsid w:val="00887082"/>
    <w:rsid w:val="0088722F"/>
    <w:rsid w:val="00887C8D"/>
    <w:rsid w:val="00887DC7"/>
    <w:rsid w:val="00891FCC"/>
    <w:rsid w:val="00892702"/>
    <w:rsid w:val="00892BB8"/>
    <w:rsid w:val="00893014"/>
    <w:rsid w:val="008939C2"/>
    <w:rsid w:val="0089513A"/>
    <w:rsid w:val="008961D5"/>
    <w:rsid w:val="008965FF"/>
    <w:rsid w:val="00896755"/>
    <w:rsid w:val="00896F38"/>
    <w:rsid w:val="008A019D"/>
    <w:rsid w:val="008A086B"/>
    <w:rsid w:val="008A0F0E"/>
    <w:rsid w:val="008A2417"/>
    <w:rsid w:val="008A3976"/>
    <w:rsid w:val="008A4D6C"/>
    <w:rsid w:val="008A5034"/>
    <w:rsid w:val="008A5D49"/>
    <w:rsid w:val="008A5D4A"/>
    <w:rsid w:val="008A6952"/>
    <w:rsid w:val="008A69D6"/>
    <w:rsid w:val="008A6BDC"/>
    <w:rsid w:val="008A751E"/>
    <w:rsid w:val="008A756C"/>
    <w:rsid w:val="008B0547"/>
    <w:rsid w:val="008B11A3"/>
    <w:rsid w:val="008B1FE5"/>
    <w:rsid w:val="008B2AD7"/>
    <w:rsid w:val="008B2E7E"/>
    <w:rsid w:val="008B3A74"/>
    <w:rsid w:val="008B3D72"/>
    <w:rsid w:val="008B3DF6"/>
    <w:rsid w:val="008B3ED8"/>
    <w:rsid w:val="008B434A"/>
    <w:rsid w:val="008B50D8"/>
    <w:rsid w:val="008B58F9"/>
    <w:rsid w:val="008B5DA7"/>
    <w:rsid w:val="008B6640"/>
    <w:rsid w:val="008B7B55"/>
    <w:rsid w:val="008C1A4A"/>
    <w:rsid w:val="008C1AFD"/>
    <w:rsid w:val="008C25D0"/>
    <w:rsid w:val="008C26D0"/>
    <w:rsid w:val="008C2ABC"/>
    <w:rsid w:val="008C3730"/>
    <w:rsid w:val="008C39CB"/>
    <w:rsid w:val="008C3A5B"/>
    <w:rsid w:val="008C3D50"/>
    <w:rsid w:val="008C4823"/>
    <w:rsid w:val="008C5B71"/>
    <w:rsid w:val="008C6BCE"/>
    <w:rsid w:val="008C6D01"/>
    <w:rsid w:val="008C7039"/>
    <w:rsid w:val="008C7559"/>
    <w:rsid w:val="008D0E23"/>
    <w:rsid w:val="008D2382"/>
    <w:rsid w:val="008D2EB8"/>
    <w:rsid w:val="008D2F21"/>
    <w:rsid w:val="008D3521"/>
    <w:rsid w:val="008D3570"/>
    <w:rsid w:val="008D38E0"/>
    <w:rsid w:val="008D40B3"/>
    <w:rsid w:val="008D421A"/>
    <w:rsid w:val="008D4846"/>
    <w:rsid w:val="008D5667"/>
    <w:rsid w:val="008D61B7"/>
    <w:rsid w:val="008D675C"/>
    <w:rsid w:val="008D6F5D"/>
    <w:rsid w:val="008D7CB3"/>
    <w:rsid w:val="008E003A"/>
    <w:rsid w:val="008E15E3"/>
    <w:rsid w:val="008E2045"/>
    <w:rsid w:val="008E4027"/>
    <w:rsid w:val="008E4C62"/>
    <w:rsid w:val="008E53BF"/>
    <w:rsid w:val="008E727E"/>
    <w:rsid w:val="008E72E1"/>
    <w:rsid w:val="008E7D97"/>
    <w:rsid w:val="008F03C0"/>
    <w:rsid w:val="008F05FB"/>
    <w:rsid w:val="008F0B17"/>
    <w:rsid w:val="008F0F1C"/>
    <w:rsid w:val="008F136C"/>
    <w:rsid w:val="008F2902"/>
    <w:rsid w:val="008F3912"/>
    <w:rsid w:val="008F4047"/>
    <w:rsid w:val="008F4111"/>
    <w:rsid w:val="008F4593"/>
    <w:rsid w:val="008F5604"/>
    <w:rsid w:val="008F660B"/>
    <w:rsid w:val="008F695F"/>
    <w:rsid w:val="00900516"/>
    <w:rsid w:val="009005CE"/>
    <w:rsid w:val="00900C17"/>
    <w:rsid w:val="00900CF2"/>
    <w:rsid w:val="00901376"/>
    <w:rsid w:val="0090188B"/>
    <w:rsid w:val="00901EE5"/>
    <w:rsid w:val="00901F83"/>
    <w:rsid w:val="009021A4"/>
    <w:rsid w:val="00902A54"/>
    <w:rsid w:val="00903309"/>
    <w:rsid w:val="00904305"/>
    <w:rsid w:val="00904362"/>
    <w:rsid w:val="0090441C"/>
    <w:rsid w:val="009045D3"/>
    <w:rsid w:val="00904986"/>
    <w:rsid w:val="00904EC5"/>
    <w:rsid w:val="00910C0D"/>
    <w:rsid w:val="0091159F"/>
    <w:rsid w:val="00912C43"/>
    <w:rsid w:val="0091308F"/>
    <w:rsid w:val="00913571"/>
    <w:rsid w:val="0091389B"/>
    <w:rsid w:val="0091406E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E08"/>
    <w:rsid w:val="00917E84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78D"/>
    <w:rsid w:val="00925EF2"/>
    <w:rsid w:val="00925F3C"/>
    <w:rsid w:val="00926204"/>
    <w:rsid w:val="009269E3"/>
    <w:rsid w:val="00932814"/>
    <w:rsid w:val="009332F5"/>
    <w:rsid w:val="00933A1D"/>
    <w:rsid w:val="00934BAF"/>
    <w:rsid w:val="00934F64"/>
    <w:rsid w:val="00934F6D"/>
    <w:rsid w:val="00935493"/>
    <w:rsid w:val="009355A2"/>
    <w:rsid w:val="00935C40"/>
    <w:rsid w:val="00935C79"/>
    <w:rsid w:val="00935F4D"/>
    <w:rsid w:val="009361D3"/>
    <w:rsid w:val="009373EF"/>
    <w:rsid w:val="009377EA"/>
    <w:rsid w:val="0093795C"/>
    <w:rsid w:val="00937DCB"/>
    <w:rsid w:val="00937EC9"/>
    <w:rsid w:val="00937F7E"/>
    <w:rsid w:val="0094001E"/>
    <w:rsid w:val="00940576"/>
    <w:rsid w:val="009440DE"/>
    <w:rsid w:val="00944198"/>
    <w:rsid w:val="0094429F"/>
    <w:rsid w:val="009444E6"/>
    <w:rsid w:val="009449E0"/>
    <w:rsid w:val="00944A8E"/>
    <w:rsid w:val="0094541F"/>
    <w:rsid w:val="009455E6"/>
    <w:rsid w:val="0094589B"/>
    <w:rsid w:val="00947AEE"/>
    <w:rsid w:val="00950775"/>
    <w:rsid w:val="009509C0"/>
    <w:rsid w:val="00952B9C"/>
    <w:rsid w:val="009530DC"/>
    <w:rsid w:val="00953B70"/>
    <w:rsid w:val="00954978"/>
    <w:rsid w:val="0095562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69A"/>
    <w:rsid w:val="00961A86"/>
    <w:rsid w:val="009624DE"/>
    <w:rsid w:val="00962F11"/>
    <w:rsid w:val="009642CA"/>
    <w:rsid w:val="00964559"/>
    <w:rsid w:val="00964BE5"/>
    <w:rsid w:val="00964F2B"/>
    <w:rsid w:val="009652B6"/>
    <w:rsid w:val="0096655D"/>
    <w:rsid w:val="009671A7"/>
    <w:rsid w:val="009707B6"/>
    <w:rsid w:val="00970E8A"/>
    <w:rsid w:val="00971139"/>
    <w:rsid w:val="009712B4"/>
    <w:rsid w:val="00971F5D"/>
    <w:rsid w:val="00972B10"/>
    <w:rsid w:val="00973F4A"/>
    <w:rsid w:val="0097401F"/>
    <w:rsid w:val="0097465C"/>
    <w:rsid w:val="00974E53"/>
    <w:rsid w:val="00975E28"/>
    <w:rsid w:val="00976F32"/>
    <w:rsid w:val="00980C3D"/>
    <w:rsid w:val="00981234"/>
    <w:rsid w:val="00981FA0"/>
    <w:rsid w:val="0098263A"/>
    <w:rsid w:val="00983541"/>
    <w:rsid w:val="00984366"/>
    <w:rsid w:val="009848A7"/>
    <w:rsid w:val="00984E80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1CD8"/>
    <w:rsid w:val="00991EBE"/>
    <w:rsid w:val="009928B3"/>
    <w:rsid w:val="00992B6B"/>
    <w:rsid w:val="00992C88"/>
    <w:rsid w:val="00993C2E"/>
    <w:rsid w:val="00993D33"/>
    <w:rsid w:val="00994618"/>
    <w:rsid w:val="00994F60"/>
    <w:rsid w:val="00995DF2"/>
    <w:rsid w:val="00997905"/>
    <w:rsid w:val="00997B80"/>
    <w:rsid w:val="00997C8A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4241"/>
    <w:rsid w:val="009A532D"/>
    <w:rsid w:val="009A59FF"/>
    <w:rsid w:val="009B03E8"/>
    <w:rsid w:val="009B09BF"/>
    <w:rsid w:val="009B1B10"/>
    <w:rsid w:val="009B2107"/>
    <w:rsid w:val="009B23FD"/>
    <w:rsid w:val="009B2FB9"/>
    <w:rsid w:val="009B3134"/>
    <w:rsid w:val="009B436E"/>
    <w:rsid w:val="009B4598"/>
    <w:rsid w:val="009B4E58"/>
    <w:rsid w:val="009B57F6"/>
    <w:rsid w:val="009B5B0F"/>
    <w:rsid w:val="009B5D6F"/>
    <w:rsid w:val="009B62AF"/>
    <w:rsid w:val="009B6745"/>
    <w:rsid w:val="009B68AF"/>
    <w:rsid w:val="009B74EA"/>
    <w:rsid w:val="009B7AB9"/>
    <w:rsid w:val="009C33CA"/>
    <w:rsid w:val="009C4B6D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928"/>
    <w:rsid w:val="009D1B99"/>
    <w:rsid w:val="009D1DD8"/>
    <w:rsid w:val="009D2884"/>
    <w:rsid w:val="009D2A4F"/>
    <w:rsid w:val="009D3407"/>
    <w:rsid w:val="009D3B41"/>
    <w:rsid w:val="009D5393"/>
    <w:rsid w:val="009D5445"/>
    <w:rsid w:val="009D565F"/>
    <w:rsid w:val="009D6026"/>
    <w:rsid w:val="009D65B9"/>
    <w:rsid w:val="009D70EE"/>
    <w:rsid w:val="009D733B"/>
    <w:rsid w:val="009E04DC"/>
    <w:rsid w:val="009E0931"/>
    <w:rsid w:val="009E0FB3"/>
    <w:rsid w:val="009E106E"/>
    <w:rsid w:val="009E1605"/>
    <w:rsid w:val="009E1C20"/>
    <w:rsid w:val="009E3B5A"/>
    <w:rsid w:val="009E3E85"/>
    <w:rsid w:val="009E4562"/>
    <w:rsid w:val="009E46D3"/>
    <w:rsid w:val="009E488C"/>
    <w:rsid w:val="009E5105"/>
    <w:rsid w:val="009E593F"/>
    <w:rsid w:val="009E59A1"/>
    <w:rsid w:val="009E66EE"/>
    <w:rsid w:val="009F015D"/>
    <w:rsid w:val="009F01DB"/>
    <w:rsid w:val="009F1041"/>
    <w:rsid w:val="009F20C6"/>
    <w:rsid w:val="009F37BF"/>
    <w:rsid w:val="009F4326"/>
    <w:rsid w:val="009F7078"/>
    <w:rsid w:val="009F7BB2"/>
    <w:rsid w:val="009F7FA6"/>
    <w:rsid w:val="00A00028"/>
    <w:rsid w:val="00A0082F"/>
    <w:rsid w:val="00A00AE7"/>
    <w:rsid w:val="00A01593"/>
    <w:rsid w:val="00A016AA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BFE"/>
    <w:rsid w:val="00A122A9"/>
    <w:rsid w:val="00A123F2"/>
    <w:rsid w:val="00A131A1"/>
    <w:rsid w:val="00A1329C"/>
    <w:rsid w:val="00A138CF"/>
    <w:rsid w:val="00A14503"/>
    <w:rsid w:val="00A14E25"/>
    <w:rsid w:val="00A14E81"/>
    <w:rsid w:val="00A16331"/>
    <w:rsid w:val="00A16896"/>
    <w:rsid w:val="00A16A60"/>
    <w:rsid w:val="00A17A3D"/>
    <w:rsid w:val="00A203C2"/>
    <w:rsid w:val="00A2062A"/>
    <w:rsid w:val="00A2066E"/>
    <w:rsid w:val="00A20765"/>
    <w:rsid w:val="00A21E19"/>
    <w:rsid w:val="00A22796"/>
    <w:rsid w:val="00A22B7C"/>
    <w:rsid w:val="00A236A1"/>
    <w:rsid w:val="00A239A8"/>
    <w:rsid w:val="00A24599"/>
    <w:rsid w:val="00A25B79"/>
    <w:rsid w:val="00A260A0"/>
    <w:rsid w:val="00A27FF0"/>
    <w:rsid w:val="00A300CB"/>
    <w:rsid w:val="00A30683"/>
    <w:rsid w:val="00A3115F"/>
    <w:rsid w:val="00A31BFC"/>
    <w:rsid w:val="00A32209"/>
    <w:rsid w:val="00A32BA0"/>
    <w:rsid w:val="00A32D77"/>
    <w:rsid w:val="00A32DFD"/>
    <w:rsid w:val="00A32F2C"/>
    <w:rsid w:val="00A33030"/>
    <w:rsid w:val="00A34307"/>
    <w:rsid w:val="00A35A7A"/>
    <w:rsid w:val="00A378A2"/>
    <w:rsid w:val="00A37CAC"/>
    <w:rsid w:val="00A4076B"/>
    <w:rsid w:val="00A407B6"/>
    <w:rsid w:val="00A40CDE"/>
    <w:rsid w:val="00A417D4"/>
    <w:rsid w:val="00A418FF"/>
    <w:rsid w:val="00A41D00"/>
    <w:rsid w:val="00A422EE"/>
    <w:rsid w:val="00A43FBD"/>
    <w:rsid w:val="00A43FD4"/>
    <w:rsid w:val="00A44703"/>
    <w:rsid w:val="00A4679A"/>
    <w:rsid w:val="00A473D7"/>
    <w:rsid w:val="00A5219C"/>
    <w:rsid w:val="00A52D8E"/>
    <w:rsid w:val="00A52DA1"/>
    <w:rsid w:val="00A53AA9"/>
    <w:rsid w:val="00A54367"/>
    <w:rsid w:val="00A5485E"/>
    <w:rsid w:val="00A54CCB"/>
    <w:rsid w:val="00A560D5"/>
    <w:rsid w:val="00A57301"/>
    <w:rsid w:val="00A574DE"/>
    <w:rsid w:val="00A5757E"/>
    <w:rsid w:val="00A60F52"/>
    <w:rsid w:val="00A61DFE"/>
    <w:rsid w:val="00A62AA8"/>
    <w:rsid w:val="00A63062"/>
    <w:rsid w:val="00A630D8"/>
    <w:rsid w:val="00A637A4"/>
    <w:rsid w:val="00A63B4C"/>
    <w:rsid w:val="00A63F67"/>
    <w:rsid w:val="00A640B1"/>
    <w:rsid w:val="00A6508F"/>
    <w:rsid w:val="00A6526F"/>
    <w:rsid w:val="00A65373"/>
    <w:rsid w:val="00A6604B"/>
    <w:rsid w:val="00A664AD"/>
    <w:rsid w:val="00A664E7"/>
    <w:rsid w:val="00A66E7F"/>
    <w:rsid w:val="00A66F54"/>
    <w:rsid w:val="00A673A7"/>
    <w:rsid w:val="00A6786C"/>
    <w:rsid w:val="00A678AB"/>
    <w:rsid w:val="00A67917"/>
    <w:rsid w:val="00A679B0"/>
    <w:rsid w:val="00A67F19"/>
    <w:rsid w:val="00A70225"/>
    <w:rsid w:val="00A70517"/>
    <w:rsid w:val="00A70904"/>
    <w:rsid w:val="00A709BB"/>
    <w:rsid w:val="00A72239"/>
    <w:rsid w:val="00A740EA"/>
    <w:rsid w:val="00A74597"/>
    <w:rsid w:val="00A74A7D"/>
    <w:rsid w:val="00A756FE"/>
    <w:rsid w:val="00A759BE"/>
    <w:rsid w:val="00A75C52"/>
    <w:rsid w:val="00A767B2"/>
    <w:rsid w:val="00A7717C"/>
    <w:rsid w:val="00A77CCE"/>
    <w:rsid w:val="00A80549"/>
    <w:rsid w:val="00A80B0C"/>
    <w:rsid w:val="00A81367"/>
    <w:rsid w:val="00A81B11"/>
    <w:rsid w:val="00A82229"/>
    <w:rsid w:val="00A8244E"/>
    <w:rsid w:val="00A82B9E"/>
    <w:rsid w:val="00A82D16"/>
    <w:rsid w:val="00A82F78"/>
    <w:rsid w:val="00A831FB"/>
    <w:rsid w:val="00A84186"/>
    <w:rsid w:val="00A846F1"/>
    <w:rsid w:val="00A857B4"/>
    <w:rsid w:val="00A85B14"/>
    <w:rsid w:val="00A875C0"/>
    <w:rsid w:val="00A87C15"/>
    <w:rsid w:val="00A90925"/>
    <w:rsid w:val="00A925D7"/>
    <w:rsid w:val="00A92706"/>
    <w:rsid w:val="00A92CF1"/>
    <w:rsid w:val="00A93E6F"/>
    <w:rsid w:val="00A9439C"/>
    <w:rsid w:val="00A943F8"/>
    <w:rsid w:val="00A96195"/>
    <w:rsid w:val="00A962D6"/>
    <w:rsid w:val="00A9668E"/>
    <w:rsid w:val="00A9704A"/>
    <w:rsid w:val="00A9741A"/>
    <w:rsid w:val="00A97AD0"/>
    <w:rsid w:val="00AA0776"/>
    <w:rsid w:val="00AA0874"/>
    <w:rsid w:val="00AA0C5B"/>
    <w:rsid w:val="00AA1110"/>
    <w:rsid w:val="00AA1377"/>
    <w:rsid w:val="00AA1D1B"/>
    <w:rsid w:val="00AA2167"/>
    <w:rsid w:val="00AA34B8"/>
    <w:rsid w:val="00AA421C"/>
    <w:rsid w:val="00AA4590"/>
    <w:rsid w:val="00AA49AF"/>
    <w:rsid w:val="00AA4F2F"/>
    <w:rsid w:val="00AA57CE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12C8"/>
    <w:rsid w:val="00AB1BB4"/>
    <w:rsid w:val="00AB27AA"/>
    <w:rsid w:val="00AB2A85"/>
    <w:rsid w:val="00AB38AD"/>
    <w:rsid w:val="00AB3E6B"/>
    <w:rsid w:val="00AB4D0B"/>
    <w:rsid w:val="00AB51C8"/>
    <w:rsid w:val="00AB5586"/>
    <w:rsid w:val="00AB6406"/>
    <w:rsid w:val="00AB65B4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26D"/>
    <w:rsid w:val="00AC43D2"/>
    <w:rsid w:val="00AC4A94"/>
    <w:rsid w:val="00AC4B34"/>
    <w:rsid w:val="00AC4F91"/>
    <w:rsid w:val="00AC66A0"/>
    <w:rsid w:val="00AC6DE2"/>
    <w:rsid w:val="00AC737D"/>
    <w:rsid w:val="00AD0007"/>
    <w:rsid w:val="00AD05A6"/>
    <w:rsid w:val="00AD2262"/>
    <w:rsid w:val="00AD22C5"/>
    <w:rsid w:val="00AD283D"/>
    <w:rsid w:val="00AD3920"/>
    <w:rsid w:val="00AD4D66"/>
    <w:rsid w:val="00AD5922"/>
    <w:rsid w:val="00AD5F80"/>
    <w:rsid w:val="00AD6555"/>
    <w:rsid w:val="00AD6F4A"/>
    <w:rsid w:val="00AD791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8E1"/>
    <w:rsid w:val="00AF09C7"/>
    <w:rsid w:val="00AF0E62"/>
    <w:rsid w:val="00AF1474"/>
    <w:rsid w:val="00AF15A7"/>
    <w:rsid w:val="00AF1A40"/>
    <w:rsid w:val="00AF1D86"/>
    <w:rsid w:val="00AF20FB"/>
    <w:rsid w:val="00AF37F7"/>
    <w:rsid w:val="00AF3A05"/>
    <w:rsid w:val="00AF44C8"/>
    <w:rsid w:val="00AF4BF4"/>
    <w:rsid w:val="00AF551F"/>
    <w:rsid w:val="00AF5706"/>
    <w:rsid w:val="00B0025D"/>
    <w:rsid w:val="00B006D8"/>
    <w:rsid w:val="00B02238"/>
    <w:rsid w:val="00B02892"/>
    <w:rsid w:val="00B03337"/>
    <w:rsid w:val="00B035B0"/>
    <w:rsid w:val="00B03D35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74B3"/>
    <w:rsid w:val="00B103C5"/>
    <w:rsid w:val="00B1041F"/>
    <w:rsid w:val="00B10AD8"/>
    <w:rsid w:val="00B1231B"/>
    <w:rsid w:val="00B12904"/>
    <w:rsid w:val="00B12B44"/>
    <w:rsid w:val="00B12B95"/>
    <w:rsid w:val="00B13DA6"/>
    <w:rsid w:val="00B149B2"/>
    <w:rsid w:val="00B14F7F"/>
    <w:rsid w:val="00B154B5"/>
    <w:rsid w:val="00B1664E"/>
    <w:rsid w:val="00B17074"/>
    <w:rsid w:val="00B17303"/>
    <w:rsid w:val="00B1744E"/>
    <w:rsid w:val="00B17CA4"/>
    <w:rsid w:val="00B20833"/>
    <w:rsid w:val="00B21343"/>
    <w:rsid w:val="00B219AA"/>
    <w:rsid w:val="00B21A5B"/>
    <w:rsid w:val="00B221C7"/>
    <w:rsid w:val="00B22D6E"/>
    <w:rsid w:val="00B23135"/>
    <w:rsid w:val="00B23FFE"/>
    <w:rsid w:val="00B24FB1"/>
    <w:rsid w:val="00B25143"/>
    <w:rsid w:val="00B25825"/>
    <w:rsid w:val="00B2585D"/>
    <w:rsid w:val="00B25962"/>
    <w:rsid w:val="00B266FA"/>
    <w:rsid w:val="00B269DB"/>
    <w:rsid w:val="00B26A9C"/>
    <w:rsid w:val="00B26C40"/>
    <w:rsid w:val="00B26D82"/>
    <w:rsid w:val="00B27359"/>
    <w:rsid w:val="00B30B4B"/>
    <w:rsid w:val="00B30BA2"/>
    <w:rsid w:val="00B30E29"/>
    <w:rsid w:val="00B30F71"/>
    <w:rsid w:val="00B3172B"/>
    <w:rsid w:val="00B3194F"/>
    <w:rsid w:val="00B31C49"/>
    <w:rsid w:val="00B31DDF"/>
    <w:rsid w:val="00B32EB9"/>
    <w:rsid w:val="00B33B47"/>
    <w:rsid w:val="00B33D16"/>
    <w:rsid w:val="00B33F57"/>
    <w:rsid w:val="00B33FC2"/>
    <w:rsid w:val="00B3423E"/>
    <w:rsid w:val="00B347F1"/>
    <w:rsid w:val="00B34A99"/>
    <w:rsid w:val="00B34CFF"/>
    <w:rsid w:val="00B3502B"/>
    <w:rsid w:val="00B3537B"/>
    <w:rsid w:val="00B35755"/>
    <w:rsid w:val="00B35774"/>
    <w:rsid w:val="00B3599F"/>
    <w:rsid w:val="00B35C3E"/>
    <w:rsid w:val="00B36473"/>
    <w:rsid w:val="00B3656D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CD"/>
    <w:rsid w:val="00B43B2D"/>
    <w:rsid w:val="00B44029"/>
    <w:rsid w:val="00B44FFA"/>
    <w:rsid w:val="00B45428"/>
    <w:rsid w:val="00B461F8"/>
    <w:rsid w:val="00B475CB"/>
    <w:rsid w:val="00B47943"/>
    <w:rsid w:val="00B47959"/>
    <w:rsid w:val="00B47DE3"/>
    <w:rsid w:val="00B50446"/>
    <w:rsid w:val="00B506FA"/>
    <w:rsid w:val="00B50A6E"/>
    <w:rsid w:val="00B512D2"/>
    <w:rsid w:val="00B527BF"/>
    <w:rsid w:val="00B52AF7"/>
    <w:rsid w:val="00B52C0E"/>
    <w:rsid w:val="00B52DC6"/>
    <w:rsid w:val="00B530FD"/>
    <w:rsid w:val="00B53905"/>
    <w:rsid w:val="00B53920"/>
    <w:rsid w:val="00B53C03"/>
    <w:rsid w:val="00B53C9C"/>
    <w:rsid w:val="00B54B68"/>
    <w:rsid w:val="00B55219"/>
    <w:rsid w:val="00B558FE"/>
    <w:rsid w:val="00B55D1A"/>
    <w:rsid w:val="00B55D4A"/>
    <w:rsid w:val="00B56396"/>
    <w:rsid w:val="00B5639B"/>
    <w:rsid w:val="00B563B5"/>
    <w:rsid w:val="00B5676B"/>
    <w:rsid w:val="00B56DFF"/>
    <w:rsid w:val="00B60C3E"/>
    <w:rsid w:val="00B615CB"/>
    <w:rsid w:val="00B616D8"/>
    <w:rsid w:val="00B61E41"/>
    <w:rsid w:val="00B62AE0"/>
    <w:rsid w:val="00B63E30"/>
    <w:rsid w:val="00B645FA"/>
    <w:rsid w:val="00B64775"/>
    <w:rsid w:val="00B64F04"/>
    <w:rsid w:val="00B657AB"/>
    <w:rsid w:val="00B65AF9"/>
    <w:rsid w:val="00B663CD"/>
    <w:rsid w:val="00B67AB1"/>
    <w:rsid w:val="00B67B4F"/>
    <w:rsid w:val="00B702CD"/>
    <w:rsid w:val="00B71A1D"/>
    <w:rsid w:val="00B72EBB"/>
    <w:rsid w:val="00B73288"/>
    <w:rsid w:val="00B73B28"/>
    <w:rsid w:val="00B74FE2"/>
    <w:rsid w:val="00B763BE"/>
    <w:rsid w:val="00B7749A"/>
    <w:rsid w:val="00B779BB"/>
    <w:rsid w:val="00B77B07"/>
    <w:rsid w:val="00B77BB8"/>
    <w:rsid w:val="00B800EC"/>
    <w:rsid w:val="00B80E3C"/>
    <w:rsid w:val="00B8103D"/>
    <w:rsid w:val="00B81718"/>
    <w:rsid w:val="00B855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2BC7"/>
    <w:rsid w:val="00B9307F"/>
    <w:rsid w:val="00B9389E"/>
    <w:rsid w:val="00B946A8"/>
    <w:rsid w:val="00B94EB5"/>
    <w:rsid w:val="00B95F6F"/>
    <w:rsid w:val="00B95FC8"/>
    <w:rsid w:val="00B966FB"/>
    <w:rsid w:val="00B96EA4"/>
    <w:rsid w:val="00B97282"/>
    <w:rsid w:val="00B97A3E"/>
    <w:rsid w:val="00B97A65"/>
    <w:rsid w:val="00B97D3D"/>
    <w:rsid w:val="00B97DE9"/>
    <w:rsid w:val="00BA07B1"/>
    <w:rsid w:val="00BA101D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62AD"/>
    <w:rsid w:val="00BA6DBD"/>
    <w:rsid w:val="00BB0267"/>
    <w:rsid w:val="00BB078B"/>
    <w:rsid w:val="00BB0DE7"/>
    <w:rsid w:val="00BB0E0C"/>
    <w:rsid w:val="00BB2B25"/>
    <w:rsid w:val="00BB30EA"/>
    <w:rsid w:val="00BB37AF"/>
    <w:rsid w:val="00BB4011"/>
    <w:rsid w:val="00BB4769"/>
    <w:rsid w:val="00BB49D4"/>
    <w:rsid w:val="00BB4C08"/>
    <w:rsid w:val="00BB4FDA"/>
    <w:rsid w:val="00BB61BE"/>
    <w:rsid w:val="00BB6AC3"/>
    <w:rsid w:val="00BB779D"/>
    <w:rsid w:val="00BC050A"/>
    <w:rsid w:val="00BC066A"/>
    <w:rsid w:val="00BC122C"/>
    <w:rsid w:val="00BC17A9"/>
    <w:rsid w:val="00BC1866"/>
    <w:rsid w:val="00BC1DBD"/>
    <w:rsid w:val="00BC2414"/>
    <w:rsid w:val="00BC322A"/>
    <w:rsid w:val="00BC4A4E"/>
    <w:rsid w:val="00BC5092"/>
    <w:rsid w:val="00BC526B"/>
    <w:rsid w:val="00BC5737"/>
    <w:rsid w:val="00BC5EB0"/>
    <w:rsid w:val="00BC65A7"/>
    <w:rsid w:val="00BC6D81"/>
    <w:rsid w:val="00BD0DA1"/>
    <w:rsid w:val="00BD1747"/>
    <w:rsid w:val="00BD3A51"/>
    <w:rsid w:val="00BD3C1A"/>
    <w:rsid w:val="00BD3C68"/>
    <w:rsid w:val="00BD421D"/>
    <w:rsid w:val="00BD4493"/>
    <w:rsid w:val="00BD5052"/>
    <w:rsid w:val="00BD6B87"/>
    <w:rsid w:val="00BD6CFA"/>
    <w:rsid w:val="00BD73FC"/>
    <w:rsid w:val="00BD79B1"/>
    <w:rsid w:val="00BE00E2"/>
    <w:rsid w:val="00BE03D0"/>
    <w:rsid w:val="00BE04D9"/>
    <w:rsid w:val="00BE08EF"/>
    <w:rsid w:val="00BE0BCC"/>
    <w:rsid w:val="00BE1722"/>
    <w:rsid w:val="00BE29B0"/>
    <w:rsid w:val="00BE348F"/>
    <w:rsid w:val="00BE4614"/>
    <w:rsid w:val="00BE4E6F"/>
    <w:rsid w:val="00BE5100"/>
    <w:rsid w:val="00BE529D"/>
    <w:rsid w:val="00BE53DD"/>
    <w:rsid w:val="00BE573E"/>
    <w:rsid w:val="00BE59E2"/>
    <w:rsid w:val="00BE6584"/>
    <w:rsid w:val="00BE6637"/>
    <w:rsid w:val="00BE6F2B"/>
    <w:rsid w:val="00BE749B"/>
    <w:rsid w:val="00BE7D8D"/>
    <w:rsid w:val="00BF10E8"/>
    <w:rsid w:val="00BF1376"/>
    <w:rsid w:val="00BF2033"/>
    <w:rsid w:val="00BF3158"/>
    <w:rsid w:val="00BF3169"/>
    <w:rsid w:val="00BF34E0"/>
    <w:rsid w:val="00BF3911"/>
    <w:rsid w:val="00BF51B7"/>
    <w:rsid w:val="00BF5491"/>
    <w:rsid w:val="00BF56BE"/>
    <w:rsid w:val="00BF6676"/>
    <w:rsid w:val="00BF7BD9"/>
    <w:rsid w:val="00C004DD"/>
    <w:rsid w:val="00C00953"/>
    <w:rsid w:val="00C00F38"/>
    <w:rsid w:val="00C021B2"/>
    <w:rsid w:val="00C0314D"/>
    <w:rsid w:val="00C03312"/>
    <w:rsid w:val="00C03532"/>
    <w:rsid w:val="00C03605"/>
    <w:rsid w:val="00C039A5"/>
    <w:rsid w:val="00C03A04"/>
    <w:rsid w:val="00C03C67"/>
    <w:rsid w:val="00C046F7"/>
    <w:rsid w:val="00C06374"/>
    <w:rsid w:val="00C064FE"/>
    <w:rsid w:val="00C066AB"/>
    <w:rsid w:val="00C06EA1"/>
    <w:rsid w:val="00C071E1"/>
    <w:rsid w:val="00C10C0B"/>
    <w:rsid w:val="00C10DD5"/>
    <w:rsid w:val="00C10F51"/>
    <w:rsid w:val="00C1122F"/>
    <w:rsid w:val="00C11A6C"/>
    <w:rsid w:val="00C11F76"/>
    <w:rsid w:val="00C12989"/>
    <w:rsid w:val="00C13567"/>
    <w:rsid w:val="00C13C61"/>
    <w:rsid w:val="00C14D9F"/>
    <w:rsid w:val="00C15A27"/>
    <w:rsid w:val="00C15FEF"/>
    <w:rsid w:val="00C165A1"/>
    <w:rsid w:val="00C16F1F"/>
    <w:rsid w:val="00C176A9"/>
    <w:rsid w:val="00C1776A"/>
    <w:rsid w:val="00C20301"/>
    <w:rsid w:val="00C20BBA"/>
    <w:rsid w:val="00C20FFB"/>
    <w:rsid w:val="00C22519"/>
    <w:rsid w:val="00C22725"/>
    <w:rsid w:val="00C22C7B"/>
    <w:rsid w:val="00C22F12"/>
    <w:rsid w:val="00C2305C"/>
    <w:rsid w:val="00C233D0"/>
    <w:rsid w:val="00C234A2"/>
    <w:rsid w:val="00C2380D"/>
    <w:rsid w:val="00C24162"/>
    <w:rsid w:val="00C24E78"/>
    <w:rsid w:val="00C2509D"/>
    <w:rsid w:val="00C25854"/>
    <w:rsid w:val="00C25DA4"/>
    <w:rsid w:val="00C26C06"/>
    <w:rsid w:val="00C2796E"/>
    <w:rsid w:val="00C27A2E"/>
    <w:rsid w:val="00C302BD"/>
    <w:rsid w:val="00C3217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316"/>
    <w:rsid w:val="00C408C2"/>
    <w:rsid w:val="00C408D5"/>
    <w:rsid w:val="00C40B77"/>
    <w:rsid w:val="00C41401"/>
    <w:rsid w:val="00C41D3C"/>
    <w:rsid w:val="00C430EE"/>
    <w:rsid w:val="00C43801"/>
    <w:rsid w:val="00C44A07"/>
    <w:rsid w:val="00C44BDC"/>
    <w:rsid w:val="00C45BFB"/>
    <w:rsid w:val="00C45DCE"/>
    <w:rsid w:val="00C46085"/>
    <w:rsid w:val="00C460FC"/>
    <w:rsid w:val="00C46D15"/>
    <w:rsid w:val="00C47127"/>
    <w:rsid w:val="00C50C7D"/>
    <w:rsid w:val="00C50FF9"/>
    <w:rsid w:val="00C511CC"/>
    <w:rsid w:val="00C52889"/>
    <w:rsid w:val="00C528D2"/>
    <w:rsid w:val="00C52D5A"/>
    <w:rsid w:val="00C52E8B"/>
    <w:rsid w:val="00C53DE5"/>
    <w:rsid w:val="00C54B14"/>
    <w:rsid w:val="00C56C58"/>
    <w:rsid w:val="00C56CCC"/>
    <w:rsid w:val="00C60320"/>
    <w:rsid w:val="00C60A94"/>
    <w:rsid w:val="00C6352A"/>
    <w:rsid w:val="00C635CC"/>
    <w:rsid w:val="00C63D29"/>
    <w:rsid w:val="00C64538"/>
    <w:rsid w:val="00C65B2D"/>
    <w:rsid w:val="00C65C5D"/>
    <w:rsid w:val="00C65DA0"/>
    <w:rsid w:val="00C6656A"/>
    <w:rsid w:val="00C66C03"/>
    <w:rsid w:val="00C67057"/>
    <w:rsid w:val="00C67158"/>
    <w:rsid w:val="00C71104"/>
    <w:rsid w:val="00C711E5"/>
    <w:rsid w:val="00C716F1"/>
    <w:rsid w:val="00C72816"/>
    <w:rsid w:val="00C730CB"/>
    <w:rsid w:val="00C731FC"/>
    <w:rsid w:val="00C73586"/>
    <w:rsid w:val="00C73782"/>
    <w:rsid w:val="00C73F9C"/>
    <w:rsid w:val="00C74107"/>
    <w:rsid w:val="00C80D90"/>
    <w:rsid w:val="00C81245"/>
    <w:rsid w:val="00C81B05"/>
    <w:rsid w:val="00C82179"/>
    <w:rsid w:val="00C83607"/>
    <w:rsid w:val="00C836EE"/>
    <w:rsid w:val="00C83ADF"/>
    <w:rsid w:val="00C83AEE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61CA"/>
    <w:rsid w:val="00C96242"/>
    <w:rsid w:val="00C96454"/>
    <w:rsid w:val="00C96747"/>
    <w:rsid w:val="00CA08DA"/>
    <w:rsid w:val="00CA0FB8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483"/>
    <w:rsid w:val="00CA7FB2"/>
    <w:rsid w:val="00CB036A"/>
    <w:rsid w:val="00CB072B"/>
    <w:rsid w:val="00CB0D34"/>
    <w:rsid w:val="00CB10CB"/>
    <w:rsid w:val="00CB1C4E"/>
    <w:rsid w:val="00CB1FD2"/>
    <w:rsid w:val="00CB2A98"/>
    <w:rsid w:val="00CB3818"/>
    <w:rsid w:val="00CB43AC"/>
    <w:rsid w:val="00CB4B6E"/>
    <w:rsid w:val="00CB5197"/>
    <w:rsid w:val="00CB6164"/>
    <w:rsid w:val="00CB6570"/>
    <w:rsid w:val="00CB6930"/>
    <w:rsid w:val="00CB79F7"/>
    <w:rsid w:val="00CB7CCD"/>
    <w:rsid w:val="00CC18C0"/>
    <w:rsid w:val="00CC1939"/>
    <w:rsid w:val="00CC23EB"/>
    <w:rsid w:val="00CC42D4"/>
    <w:rsid w:val="00CC4364"/>
    <w:rsid w:val="00CC5628"/>
    <w:rsid w:val="00CC5ABF"/>
    <w:rsid w:val="00CC64E3"/>
    <w:rsid w:val="00CC7712"/>
    <w:rsid w:val="00CC774A"/>
    <w:rsid w:val="00CD179A"/>
    <w:rsid w:val="00CD2030"/>
    <w:rsid w:val="00CD2536"/>
    <w:rsid w:val="00CD3DB8"/>
    <w:rsid w:val="00CD3F00"/>
    <w:rsid w:val="00CD407F"/>
    <w:rsid w:val="00CD4ED2"/>
    <w:rsid w:val="00CD548B"/>
    <w:rsid w:val="00CD5740"/>
    <w:rsid w:val="00CD6E49"/>
    <w:rsid w:val="00CD704E"/>
    <w:rsid w:val="00CD7420"/>
    <w:rsid w:val="00CD799F"/>
    <w:rsid w:val="00CD7A68"/>
    <w:rsid w:val="00CE0137"/>
    <w:rsid w:val="00CE0BA7"/>
    <w:rsid w:val="00CE16B9"/>
    <w:rsid w:val="00CE19D0"/>
    <w:rsid w:val="00CE1D09"/>
    <w:rsid w:val="00CE27DA"/>
    <w:rsid w:val="00CE2942"/>
    <w:rsid w:val="00CE2FAA"/>
    <w:rsid w:val="00CE36EF"/>
    <w:rsid w:val="00CE3B18"/>
    <w:rsid w:val="00CE3FC3"/>
    <w:rsid w:val="00CE4C13"/>
    <w:rsid w:val="00CE552B"/>
    <w:rsid w:val="00CE6822"/>
    <w:rsid w:val="00CE6ACB"/>
    <w:rsid w:val="00CE6D09"/>
    <w:rsid w:val="00CE72DC"/>
    <w:rsid w:val="00CF0105"/>
    <w:rsid w:val="00CF0E4D"/>
    <w:rsid w:val="00CF1081"/>
    <w:rsid w:val="00CF19C6"/>
    <w:rsid w:val="00CF230D"/>
    <w:rsid w:val="00CF2A98"/>
    <w:rsid w:val="00CF43C6"/>
    <w:rsid w:val="00CF5489"/>
    <w:rsid w:val="00CF7111"/>
    <w:rsid w:val="00CF7615"/>
    <w:rsid w:val="00CF7796"/>
    <w:rsid w:val="00CF7823"/>
    <w:rsid w:val="00CF78DA"/>
    <w:rsid w:val="00D003F8"/>
    <w:rsid w:val="00D0052C"/>
    <w:rsid w:val="00D01540"/>
    <w:rsid w:val="00D018DB"/>
    <w:rsid w:val="00D01AFE"/>
    <w:rsid w:val="00D01B9F"/>
    <w:rsid w:val="00D0267B"/>
    <w:rsid w:val="00D02757"/>
    <w:rsid w:val="00D02851"/>
    <w:rsid w:val="00D02A5B"/>
    <w:rsid w:val="00D02B8B"/>
    <w:rsid w:val="00D02FB7"/>
    <w:rsid w:val="00D04613"/>
    <w:rsid w:val="00D04AF3"/>
    <w:rsid w:val="00D04D9F"/>
    <w:rsid w:val="00D05C77"/>
    <w:rsid w:val="00D06D80"/>
    <w:rsid w:val="00D07581"/>
    <w:rsid w:val="00D07739"/>
    <w:rsid w:val="00D078A1"/>
    <w:rsid w:val="00D10769"/>
    <w:rsid w:val="00D1152B"/>
    <w:rsid w:val="00D11642"/>
    <w:rsid w:val="00D116C7"/>
    <w:rsid w:val="00D13AC5"/>
    <w:rsid w:val="00D13C39"/>
    <w:rsid w:val="00D142C5"/>
    <w:rsid w:val="00D149CF"/>
    <w:rsid w:val="00D14A15"/>
    <w:rsid w:val="00D14C59"/>
    <w:rsid w:val="00D14E5F"/>
    <w:rsid w:val="00D14F7D"/>
    <w:rsid w:val="00D14FB2"/>
    <w:rsid w:val="00D15B6C"/>
    <w:rsid w:val="00D164EA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D10"/>
    <w:rsid w:val="00D2153B"/>
    <w:rsid w:val="00D23801"/>
    <w:rsid w:val="00D2516D"/>
    <w:rsid w:val="00D25AEC"/>
    <w:rsid w:val="00D25B2F"/>
    <w:rsid w:val="00D2608B"/>
    <w:rsid w:val="00D27D36"/>
    <w:rsid w:val="00D27E10"/>
    <w:rsid w:val="00D27E9B"/>
    <w:rsid w:val="00D3037E"/>
    <w:rsid w:val="00D305AC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E91"/>
    <w:rsid w:val="00D33DBD"/>
    <w:rsid w:val="00D341C9"/>
    <w:rsid w:val="00D3447D"/>
    <w:rsid w:val="00D3488B"/>
    <w:rsid w:val="00D34A8C"/>
    <w:rsid w:val="00D35F32"/>
    <w:rsid w:val="00D361DE"/>
    <w:rsid w:val="00D369D6"/>
    <w:rsid w:val="00D37427"/>
    <w:rsid w:val="00D3793E"/>
    <w:rsid w:val="00D37E78"/>
    <w:rsid w:val="00D37FB2"/>
    <w:rsid w:val="00D404C7"/>
    <w:rsid w:val="00D41A6A"/>
    <w:rsid w:val="00D420E0"/>
    <w:rsid w:val="00D4233A"/>
    <w:rsid w:val="00D42A1E"/>
    <w:rsid w:val="00D43B76"/>
    <w:rsid w:val="00D43E3F"/>
    <w:rsid w:val="00D44B3D"/>
    <w:rsid w:val="00D45047"/>
    <w:rsid w:val="00D453A0"/>
    <w:rsid w:val="00D46787"/>
    <w:rsid w:val="00D4691A"/>
    <w:rsid w:val="00D46C4C"/>
    <w:rsid w:val="00D50F43"/>
    <w:rsid w:val="00D51635"/>
    <w:rsid w:val="00D51F18"/>
    <w:rsid w:val="00D52DA3"/>
    <w:rsid w:val="00D52E5A"/>
    <w:rsid w:val="00D53537"/>
    <w:rsid w:val="00D5360E"/>
    <w:rsid w:val="00D54E49"/>
    <w:rsid w:val="00D54E9E"/>
    <w:rsid w:val="00D551C8"/>
    <w:rsid w:val="00D55972"/>
    <w:rsid w:val="00D564BB"/>
    <w:rsid w:val="00D565FA"/>
    <w:rsid w:val="00D5674B"/>
    <w:rsid w:val="00D568ED"/>
    <w:rsid w:val="00D56BF9"/>
    <w:rsid w:val="00D56E3F"/>
    <w:rsid w:val="00D571B4"/>
    <w:rsid w:val="00D57BD9"/>
    <w:rsid w:val="00D6014E"/>
    <w:rsid w:val="00D6063B"/>
    <w:rsid w:val="00D60BB3"/>
    <w:rsid w:val="00D61F15"/>
    <w:rsid w:val="00D624A9"/>
    <w:rsid w:val="00D6289E"/>
    <w:rsid w:val="00D630E7"/>
    <w:rsid w:val="00D640BA"/>
    <w:rsid w:val="00D6444B"/>
    <w:rsid w:val="00D64C56"/>
    <w:rsid w:val="00D65A49"/>
    <w:rsid w:val="00D66008"/>
    <w:rsid w:val="00D66410"/>
    <w:rsid w:val="00D66472"/>
    <w:rsid w:val="00D6679A"/>
    <w:rsid w:val="00D66D20"/>
    <w:rsid w:val="00D66F17"/>
    <w:rsid w:val="00D700E5"/>
    <w:rsid w:val="00D70900"/>
    <w:rsid w:val="00D71B77"/>
    <w:rsid w:val="00D725CA"/>
    <w:rsid w:val="00D7374B"/>
    <w:rsid w:val="00D74A87"/>
    <w:rsid w:val="00D755DE"/>
    <w:rsid w:val="00D7587B"/>
    <w:rsid w:val="00D75CE3"/>
    <w:rsid w:val="00D76186"/>
    <w:rsid w:val="00D771E9"/>
    <w:rsid w:val="00D7771F"/>
    <w:rsid w:val="00D817F1"/>
    <w:rsid w:val="00D825BC"/>
    <w:rsid w:val="00D82706"/>
    <w:rsid w:val="00D8312E"/>
    <w:rsid w:val="00D8414C"/>
    <w:rsid w:val="00D844B1"/>
    <w:rsid w:val="00D86C20"/>
    <w:rsid w:val="00D86DD4"/>
    <w:rsid w:val="00D90898"/>
    <w:rsid w:val="00D90998"/>
    <w:rsid w:val="00D909BB"/>
    <w:rsid w:val="00D91D92"/>
    <w:rsid w:val="00D92529"/>
    <w:rsid w:val="00D92870"/>
    <w:rsid w:val="00D92B67"/>
    <w:rsid w:val="00D94BD0"/>
    <w:rsid w:val="00D9558B"/>
    <w:rsid w:val="00D966E1"/>
    <w:rsid w:val="00D973C9"/>
    <w:rsid w:val="00D9781A"/>
    <w:rsid w:val="00DA041C"/>
    <w:rsid w:val="00DA1613"/>
    <w:rsid w:val="00DA29C5"/>
    <w:rsid w:val="00DA2AEB"/>
    <w:rsid w:val="00DA330A"/>
    <w:rsid w:val="00DA4300"/>
    <w:rsid w:val="00DA453C"/>
    <w:rsid w:val="00DA5AAB"/>
    <w:rsid w:val="00DA5B18"/>
    <w:rsid w:val="00DA5F70"/>
    <w:rsid w:val="00DA671A"/>
    <w:rsid w:val="00DA6858"/>
    <w:rsid w:val="00DA7233"/>
    <w:rsid w:val="00DA7CBB"/>
    <w:rsid w:val="00DB08FA"/>
    <w:rsid w:val="00DB1637"/>
    <w:rsid w:val="00DB1CD7"/>
    <w:rsid w:val="00DB2086"/>
    <w:rsid w:val="00DB2651"/>
    <w:rsid w:val="00DB28B4"/>
    <w:rsid w:val="00DB2A1C"/>
    <w:rsid w:val="00DB30B1"/>
    <w:rsid w:val="00DB31FF"/>
    <w:rsid w:val="00DB3ECD"/>
    <w:rsid w:val="00DB4717"/>
    <w:rsid w:val="00DB60A0"/>
    <w:rsid w:val="00DB7320"/>
    <w:rsid w:val="00DB75E7"/>
    <w:rsid w:val="00DB79D5"/>
    <w:rsid w:val="00DB7F8E"/>
    <w:rsid w:val="00DC00E8"/>
    <w:rsid w:val="00DC0CC3"/>
    <w:rsid w:val="00DC0F8C"/>
    <w:rsid w:val="00DC12C8"/>
    <w:rsid w:val="00DC1C61"/>
    <w:rsid w:val="00DC36E8"/>
    <w:rsid w:val="00DC570A"/>
    <w:rsid w:val="00DC5C68"/>
    <w:rsid w:val="00DC5D8F"/>
    <w:rsid w:val="00DC6AB5"/>
    <w:rsid w:val="00DC6F31"/>
    <w:rsid w:val="00DC7004"/>
    <w:rsid w:val="00DC7FFD"/>
    <w:rsid w:val="00DD0277"/>
    <w:rsid w:val="00DD1129"/>
    <w:rsid w:val="00DD15C7"/>
    <w:rsid w:val="00DD1B11"/>
    <w:rsid w:val="00DD1B33"/>
    <w:rsid w:val="00DD1CE2"/>
    <w:rsid w:val="00DD645B"/>
    <w:rsid w:val="00DD6667"/>
    <w:rsid w:val="00DD6A64"/>
    <w:rsid w:val="00DD6D82"/>
    <w:rsid w:val="00DD7594"/>
    <w:rsid w:val="00DD786C"/>
    <w:rsid w:val="00DD7E6D"/>
    <w:rsid w:val="00DE045E"/>
    <w:rsid w:val="00DE0772"/>
    <w:rsid w:val="00DE1240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95F"/>
    <w:rsid w:val="00DE423F"/>
    <w:rsid w:val="00DE4978"/>
    <w:rsid w:val="00DE4A0A"/>
    <w:rsid w:val="00DE5039"/>
    <w:rsid w:val="00DE5414"/>
    <w:rsid w:val="00DE5BAE"/>
    <w:rsid w:val="00DE7566"/>
    <w:rsid w:val="00DE7E46"/>
    <w:rsid w:val="00DF066D"/>
    <w:rsid w:val="00DF0C37"/>
    <w:rsid w:val="00DF135C"/>
    <w:rsid w:val="00DF24FD"/>
    <w:rsid w:val="00DF2506"/>
    <w:rsid w:val="00DF2F26"/>
    <w:rsid w:val="00DF301A"/>
    <w:rsid w:val="00DF3469"/>
    <w:rsid w:val="00DF3BE2"/>
    <w:rsid w:val="00DF4E2C"/>
    <w:rsid w:val="00DF4E34"/>
    <w:rsid w:val="00DF4F1B"/>
    <w:rsid w:val="00DF51A8"/>
    <w:rsid w:val="00DF5ACC"/>
    <w:rsid w:val="00DF5CAC"/>
    <w:rsid w:val="00DF5CF7"/>
    <w:rsid w:val="00DF5DC3"/>
    <w:rsid w:val="00DF6A93"/>
    <w:rsid w:val="00DF75EC"/>
    <w:rsid w:val="00DF7D56"/>
    <w:rsid w:val="00DF7DBE"/>
    <w:rsid w:val="00E002D6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C48"/>
    <w:rsid w:val="00E05C97"/>
    <w:rsid w:val="00E05DA6"/>
    <w:rsid w:val="00E06065"/>
    <w:rsid w:val="00E06A81"/>
    <w:rsid w:val="00E07901"/>
    <w:rsid w:val="00E079C6"/>
    <w:rsid w:val="00E1075B"/>
    <w:rsid w:val="00E10BFA"/>
    <w:rsid w:val="00E1262D"/>
    <w:rsid w:val="00E1273C"/>
    <w:rsid w:val="00E128A2"/>
    <w:rsid w:val="00E134FE"/>
    <w:rsid w:val="00E1434A"/>
    <w:rsid w:val="00E14600"/>
    <w:rsid w:val="00E146CF"/>
    <w:rsid w:val="00E14BED"/>
    <w:rsid w:val="00E15ACE"/>
    <w:rsid w:val="00E15BA6"/>
    <w:rsid w:val="00E15C2B"/>
    <w:rsid w:val="00E17711"/>
    <w:rsid w:val="00E211F7"/>
    <w:rsid w:val="00E21B26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F9"/>
    <w:rsid w:val="00E27927"/>
    <w:rsid w:val="00E27F00"/>
    <w:rsid w:val="00E301A0"/>
    <w:rsid w:val="00E3021E"/>
    <w:rsid w:val="00E302AD"/>
    <w:rsid w:val="00E30431"/>
    <w:rsid w:val="00E304EB"/>
    <w:rsid w:val="00E3187A"/>
    <w:rsid w:val="00E329D0"/>
    <w:rsid w:val="00E32C08"/>
    <w:rsid w:val="00E330AD"/>
    <w:rsid w:val="00E33746"/>
    <w:rsid w:val="00E342B3"/>
    <w:rsid w:val="00E3451F"/>
    <w:rsid w:val="00E3469B"/>
    <w:rsid w:val="00E34B80"/>
    <w:rsid w:val="00E34EE9"/>
    <w:rsid w:val="00E3590B"/>
    <w:rsid w:val="00E36ADF"/>
    <w:rsid w:val="00E36B53"/>
    <w:rsid w:val="00E37585"/>
    <w:rsid w:val="00E40652"/>
    <w:rsid w:val="00E419F3"/>
    <w:rsid w:val="00E41B64"/>
    <w:rsid w:val="00E41F4B"/>
    <w:rsid w:val="00E4203F"/>
    <w:rsid w:val="00E422B5"/>
    <w:rsid w:val="00E42C35"/>
    <w:rsid w:val="00E42EE0"/>
    <w:rsid w:val="00E43ACE"/>
    <w:rsid w:val="00E43E70"/>
    <w:rsid w:val="00E447D5"/>
    <w:rsid w:val="00E44995"/>
    <w:rsid w:val="00E4557B"/>
    <w:rsid w:val="00E460C8"/>
    <w:rsid w:val="00E469D5"/>
    <w:rsid w:val="00E46B25"/>
    <w:rsid w:val="00E46CD5"/>
    <w:rsid w:val="00E500D9"/>
    <w:rsid w:val="00E505FC"/>
    <w:rsid w:val="00E51AB5"/>
    <w:rsid w:val="00E51DFD"/>
    <w:rsid w:val="00E52345"/>
    <w:rsid w:val="00E52763"/>
    <w:rsid w:val="00E53948"/>
    <w:rsid w:val="00E53DED"/>
    <w:rsid w:val="00E5411A"/>
    <w:rsid w:val="00E55509"/>
    <w:rsid w:val="00E5619A"/>
    <w:rsid w:val="00E563AE"/>
    <w:rsid w:val="00E565F4"/>
    <w:rsid w:val="00E568D9"/>
    <w:rsid w:val="00E56E35"/>
    <w:rsid w:val="00E57005"/>
    <w:rsid w:val="00E60B3B"/>
    <w:rsid w:val="00E61029"/>
    <w:rsid w:val="00E6177F"/>
    <w:rsid w:val="00E62BF6"/>
    <w:rsid w:val="00E62F89"/>
    <w:rsid w:val="00E6376A"/>
    <w:rsid w:val="00E638B2"/>
    <w:rsid w:val="00E64A96"/>
    <w:rsid w:val="00E64D8F"/>
    <w:rsid w:val="00E6575A"/>
    <w:rsid w:val="00E65B70"/>
    <w:rsid w:val="00E66288"/>
    <w:rsid w:val="00E662CD"/>
    <w:rsid w:val="00E66827"/>
    <w:rsid w:val="00E66FCC"/>
    <w:rsid w:val="00E67427"/>
    <w:rsid w:val="00E676F1"/>
    <w:rsid w:val="00E70088"/>
    <w:rsid w:val="00E705FE"/>
    <w:rsid w:val="00E70C7F"/>
    <w:rsid w:val="00E73271"/>
    <w:rsid w:val="00E735DA"/>
    <w:rsid w:val="00E73F5C"/>
    <w:rsid w:val="00E74214"/>
    <w:rsid w:val="00E74762"/>
    <w:rsid w:val="00E74D52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3809"/>
    <w:rsid w:val="00E83A40"/>
    <w:rsid w:val="00E84688"/>
    <w:rsid w:val="00E8475C"/>
    <w:rsid w:val="00E85288"/>
    <w:rsid w:val="00E859B8"/>
    <w:rsid w:val="00E85CBE"/>
    <w:rsid w:val="00E85F06"/>
    <w:rsid w:val="00E86566"/>
    <w:rsid w:val="00E866C4"/>
    <w:rsid w:val="00E875F5"/>
    <w:rsid w:val="00E903F5"/>
    <w:rsid w:val="00E905D8"/>
    <w:rsid w:val="00E906F6"/>
    <w:rsid w:val="00E90A23"/>
    <w:rsid w:val="00E91BC3"/>
    <w:rsid w:val="00E92527"/>
    <w:rsid w:val="00E92A93"/>
    <w:rsid w:val="00E93620"/>
    <w:rsid w:val="00E93ACF"/>
    <w:rsid w:val="00E951D5"/>
    <w:rsid w:val="00E9567F"/>
    <w:rsid w:val="00E95761"/>
    <w:rsid w:val="00E959A0"/>
    <w:rsid w:val="00E96897"/>
    <w:rsid w:val="00E969FC"/>
    <w:rsid w:val="00E97045"/>
    <w:rsid w:val="00E97B8E"/>
    <w:rsid w:val="00E97DA3"/>
    <w:rsid w:val="00E97E70"/>
    <w:rsid w:val="00EA0CE1"/>
    <w:rsid w:val="00EA1086"/>
    <w:rsid w:val="00EA270C"/>
    <w:rsid w:val="00EA2ECB"/>
    <w:rsid w:val="00EA3185"/>
    <w:rsid w:val="00EA36EA"/>
    <w:rsid w:val="00EA443F"/>
    <w:rsid w:val="00EA466B"/>
    <w:rsid w:val="00EA5CB5"/>
    <w:rsid w:val="00EA5CF4"/>
    <w:rsid w:val="00EA61A6"/>
    <w:rsid w:val="00EA67AD"/>
    <w:rsid w:val="00EA72FC"/>
    <w:rsid w:val="00EA7303"/>
    <w:rsid w:val="00EA7698"/>
    <w:rsid w:val="00EA7E45"/>
    <w:rsid w:val="00EB09B9"/>
    <w:rsid w:val="00EB30BE"/>
    <w:rsid w:val="00EB3404"/>
    <w:rsid w:val="00EB3599"/>
    <w:rsid w:val="00EB3C52"/>
    <w:rsid w:val="00EB5799"/>
    <w:rsid w:val="00EB76F7"/>
    <w:rsid w:val="00EB793B"/>
    <w:rsid w:val="00EB7CB1"/>
    <w:rsid w:val="00EC01B9"/>
    <w:rsid w:val="00EC04E1"/>
    <w:rsid w:val="00EC0569"/>
    <w:rsid w:val="00EC084D"/>
    <w:rsid w:val="00EC0C7B"/>
    <w:rsid w:val="00EC1C35"/>
    <w:rsid w:val="00EC1F63"/>
    <w:rsid w:val="00EC358F"/>
    <w:rsid w:val="00EC3F0C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34D4"/>
    <w:rsid w:val="00ED3D84"/>
    <w:rsid w:val="00ED42FF"/>
    <w:rsid w:val="00ED5E6C"/>
    <w:rsid w:val="00ED766C"/>
    <w:rsid w:val="00ED76FB"/>
    <w:rsid w:val="00EE05C2"/>
    <w:rsid w:val="00EE0D01"/>
    <w:rsid w:val="00EE30EE"/>
    <w:rsid w:val="00EE3C6D"/>
    <w:rsid w:val="00EE4028"/>
    <w:rsid w:val="00EE4C6E"/>
    <w:rsid w:val="00EE4F89"/>
    <w:rsid w:val="00EE5135"/>
    <w:rsid w:val="00EE558C"/>
    <w:rsid w:val="00EE61BE"/>
    <w:rsid w:val="00EE6DE6"/>
    <w:rsid w:val="00EE790F"/>
    <w:rsid w:val="00EF057C"/>
    <w:rsid w:val="00EF1D14"/>
    <w:rsid w:val="00EF334E"/>
    <w:rsid w:val="00EF4685"/>
    <w:rsid w:val="00EF4FEE"/>
    <w:rsid w:val="00EF6873"/>
    <w:rsid w:val="00EF6902"/>
    <w:rsid w:val="00EF6F24"/>
    <w:rsid w:val="00EF7143"/>
    <w:rsid w:val="00F0080B"/>
    <w:rsid w:val="00F00BE1"/>
    <w:rsid w:val="00F01B31"/>
    <w:rsid w:val="00F02D9C"/>
    <w:rsid w:val="00F038D5"/>
    <w:rsid w:val="00F03AB9"/>
    <w:rsid w:val="00F03F4E"/>
    <w:rsid w:val="00F0439A"/>
    <w:rsid w:val="00F06479"/>
    <w:rsid w:val="00F06958"/>
    <w:rsid w:val="00F076C5"/>
    <w:rsid w:val="00F10B0A"/>
    <w:rsid w:val="00F120D9"/>
    <w:rsid w:val="00F124BE"/>
    <w:rsid w:val="00F125DE"/>
    <w:rsid w:val="00F12638"/>
    <w:rsid w:val="00F12A9F"/>
    <w:rsid w:val="00F13137"/>
    <w:rsid w:val="00F14C13"/>
    <w:rsid w:val="00F211DE"/>
    <w:rsid w:val="00F21D2A"/>
    <w:rsid w:val="00F2254A"/>
    <w:rsid w:val="00F2276D"/>
    <w:rsid w:val="00F22B7B"/>
    <w:rsid w:val="00F22C15"/>
    <w:rsid w:val="00F22EDB"/>
    <w:rsid w:val="00F23570"/>
    <w:rsid w:val="00F24232"/>
    <w:rsid w:val="00F24E8D"/>
    <w:rsid w:val="00F2526C"/>
    <w:rsid w:val="00F261F0"/>
    <w:rsid w:val="00F27170"/>
    <w:rsid w:val="00F30016"/>
    <w:rsid w:val="00F3058F"/>
    <w:rsid w:val="00F30CE5"/>
    <w:rsid w:val="00F30E85"/>
    <w:rsid w:val="00F3144A"/>
    <w:rsid w:val="00F31C75"/>
    <w:rsid w:val="00F32543"/>
    <w:rsid w:val="00F33050"/>
    <w:rsid w:val="00F33277"/>
    <w:rsid w:val="00F333D8"/>
    <w:rsid w:val="00F339D7"/>
    <w:rsid w:val="00F33CE0"/>
    <w:rsid w:val="00F3402A"/>
    <w:rsid w:val="00F340CD"/>
    <w:rsid w:val="00F341B5"/>
    <w:rsid w:val="00F341CC"/>
    <w:rsid w:val="00F342DC"/>
    <w:rsid w:val="00F34A3B"/>
    <w:rsid w:val="00F34E67"/>
    <w:rsid w:val="00F35664"/>
    <w:rsid w:val="00F35E63"/>
    <w:rsid w:val="00F36AE4"/>
    <w:rsid w:val="00F36B6C"/>
    <w:rsid w:val="00F36D10"/>
    <w:rsid w:val="00F370DC"/>
    <w:rsid w:val="00F37487"/>
    <w:rsid w:val="00F37566"/>
    <w:rsid w:val="00F37C18"/>
    <w:rsid w:val="00F37E5B"/>
    <w:rsid w:val="00F40CAB"/>
    <w:rsid w:val="00F40D09"/>
    <w:rsid w:val="00F4352E"/>
    <w:rsid w:val="00F43960"/>
    <w:rsid w:val="00F43C3C"/>
    <w:rsid w:val="00F44B59"/>
    <w:rsid w:val="00F44BB8"/>
    <w:rsid w:val="00F459C7"/>
    <w:rsid w:val="00F45D8C"/>
    <w:rsid w:val="00F468CA"/>
    <w:rsid w:val="00F47658"/>
    <w:rsid w:val="00F47C5C"/>
    <w:rsid w:val="00F50173"/>
    <w:rsid w:val="00F510A6"/>
    <w:rsid w:val="00F53166"/>
    <w:rsid w:val="00F53A12"/>
    <w:rsid w:val="00F54856"/>
    <w:rsid w:val="00F54FE1"/>
    <w:rsid w:val="00F5525D"/>
    <w:rsid w:val="00F55337"/>
    <w:rsid w:val="00F5539B"/>
    <w:rsid w:val="00F5565E"/>
    <w:rsid w:val="00F557CB"/>
    <w:rsid w:val="00F55D35"/>
    <w:rsid w:val="00F5608A"/>
    <w:rsid w:val="00F56AF3"/>
    <w:rsid w:val="00F56CB9"/>
    <w:rsid w:val="00F57650"/>
    <w:rsid w:val="00F579FC"/>
    <w:rsid w:val="00F57FD9"/>
    <w:rsid w:val="00F6089D"/>
    <w:rsid w:val="00F60C74"/>
    <w:rsid w:val="00F61841"/>
    <w:rsid w:val="00F61E93"/>
    <w:rsid w:val="00F62773"/>
    <w:rsid w:val="00F62FE5"/>
    <w:rsid w:val="00F637C9"/>
    <w:rsid w:val="00F64243"/>
    <w:rsid w:val="00F64CF8"/>
    <w:rsid w:val="00F64DD3"/>
    <w:rsid w:val="00F64F51"/>
    <w:rsid w:val="00F66122"/>
    <w:rsid w:val="00F666FD"/>
    <w:rsid w:val="00F67099"/>
    <w:rsid w:val="00F672F1"/>
    <w:rsid w:val="00F67302"/>
    <w:rsid w:val="00F67A35"/>
    <w:rsid w:val="00F72620"/>
    <w:rsid w:val="00F733CC"/>
    <w:rsid w:val="00F73930"/>
    <w:rsid w:val="00F74118"/>
    <w:rsid w:val="00F759AD"/>
    <w:rsid w:val="00F75BDF"/>
    <w:rsid w:val="00F765E8"/>
    <w:rsid w:val="00F76EE1"/>
    <w:rsid w:val="00F7768D"/>
    <w:rsid w:val="00F80F3C"/>
    <w:rsid w:val="00F8200C"/>
    <w:rsid w:val="00F84B88"/>
    <w:rsid w:val="00F85244"/>
    <w:rsid w:val="00F856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28CE"/>
    <w:rsid w:val="00F92EAE"/>
    <w:rsid w:val="00F92EEE"/>
    <w:rsid w:val="00F945B2"/>
    <w:rsid w:val="00F9473C"/>
    <w:rsid w:val="00F947A1"/>
    <w:rsid w:val="00F977CB"/>
    <w:rsid w:val="00F97854"/>
    <w:rsid w:val="00FA0942"/>
    <w:rsid w:val="00FA2910"/>
    <w:rsid w:val="00FA3D8C"/>
    <w:rsid w:val="00FA3E51"/>
    <w:rsid w:val="00FA403D"/>
    <w:rsid w:val="00FA40A3"/>
    <w:rsid w:val="00FA427F"/>
    <w:rsid w:val="00FA45CD"/>
    <w:rsid w:val="00FA52BF"/>
    <w:rsid w:val="00FA5B17"/>
    <w:rsid w:val="00FA6924"/>
    <w:rsid w:val="00FB01CC"/>
    <w:rsid w:val="00FB1350"/>
    <w:rsid w:val="00FB16CA"/>
    <w:rsid w:val="00FB26BD"/>
    <w:rsid w:val="00FB2DE1"/>
    <w:rsid w:val="00FB33FA"/>
    <w:rsid w:val="00FB386A"/>
    <w:rsid w:val="00FB3B56"/>
    <w:rsid w:val="00FB3BA6"/>
    <w:rsid w:val="00FB4D65"/>
    <w:rsid w:val="00FB56CA"/>
    <w:rsid w:val="00FB5954"/>
    <w:rsid w:val="00FB5B4B"/>
    <w:rsid w:val="00FB6695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EA2"/>
    <w:rsid w:val="00FC3D1C"/>
    <w:rsid w:val="00FC51C4"/>
    <w:rsid w:val="00FC5656"/>
    <w:rsid w:val="00FC5661"/>
    <w:rsid w:val="00FC5F90"/>
    <w:rsid w:val="00FC64F3"/>
    <w:rsid w:val="00FC66AD"/>
    <w:rsid w:val="00FC72E0"/>
    <w:rsid w:val="00FD08A7"/>
    <w:rsid w:val="00FD0F43"/>
    <w:rsid w:val="00FD1295"/>
    <w:rsid w:val="00FD29E9"/>
    <w:rsid w:val="00FD2E55"/>
    <w:rsid w:val="00FD2FA9"/>
    <w:rsid w:val="00FD31D2"/>
    <w:rsid w:val="00FD3572"/>
    <w:rsid w:val="00FD36D4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E06A2"/>
    <w:rsid w:val="00FE0CE6"/>
    <w:rsid w:val="00FE0FBC"/>
    <w:rsid w:val="00FE1630"/>
    <w:rsid w:val="00FE169D"/>
    <w:rsid w:val="00FE28C8"/>
    <w:rsid w:val="00FE2C3A"/>
    <w:rsid w:val="00FE4CFC"/>
    <w:rsid w:val="00FE5E92"/>
    <w:rsid w:val="00FE62CD"/>
    <w:rsid w:val="00FE6871"/>
    <w:rsid w:val="00FE79EF"/>
    <w:rsid w:val="00FF025A"/>
    <w:rsid w:val="00FF088B"/>
    <w:rsid w:val="00FF0AC4"/>
    <w:rsid w:val="00FF0D1C"/>
    <w:rsid w:val="00FF10AF"/>
    <w:rsid w:val="00FF1304"/>
    <w:rsid w:val="00FF18BB"/>
    <w:rsid w:val="00FF22C2"/>
    <w:rsid w:val="00FF23FB"/>
    <w:rsid w:val="00FF2C03"/>
    <w:rsid w:val="00FF30BA"/>
    <w:rsid w:val="00FF3298"/>
    <w:rsid w:val="00FF334E"/>
    <w:rsid w:val="00FF394B"/>
    <w:rsid w:val="00FF4EB5"/>
    <w:rsid w:val="00FF636B"/>
    <w:rsid w:val="00FF66B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714AB29-6805-436A-AA93-C36EAB4F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uiPriority w:val="99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38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39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AF63-C18D-4165-AD31-981A62E1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2310</Words>
  <Characters>12479</Characters>
  <Application>Microsoft Office Word</Application>
  <DocSecurity>4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14760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2012-08-28T19:01:00Z</cp:lastPrinted>
  <dcterms:created xsi:type="dcterms:W3CDTF">2015-05-07T12:47:00Z</dcterms:created>
  <dcterms:modified xsi:type="dcterms:W3CDTF">2015-05-07T12:47:00Z</dcterms:modified>
</cp:coreProperties>
</file>