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94541F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4D4ED8">
        <w:rPr>
          <w:rFonts w:ascii="Times New Roman" w:hAnsi="Times New Roman"/>
          <w:b/>
          <w:i w:val="0"/>
          <w:color w:val="000000"/>
          <w:sz w:val="22"/>
          <w:szCs w:val="22"/>
        </w:rPr>
        <w:t>7</w:t>
      </w:r>
      <w:r w:rsidR="00E64D8F"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4D4ED8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="00E64D8F"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agosto </w:t>
      </w:r>
      <w:r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94541F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94541F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94541F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94541F">
        <w:rPr>
          <w:sz w:val="22"/>
          <w:szCs w:val="22"/>
        </w:rPr>
        <w:t>s</w:t>
      </w:r>
      <w:r w:rsidRPr="0094541F">
        <w:rPr>
          <w:sz w:val="22"/>
          <w:szCs w:val="22"/>
        </w:rPr>
        <w:t xml:space="preserve"> data</w:t>
      </w:r>
      <w:r w:rsidR="003D0153" w:rsidRPr="0094541F">
        <w:rPr>
          <w:sz w:val="22"/>
          <w:szCs w:val="22"/>
        </w:rPr>
        <w:t>s</w:t>
      </w:r>
      <w:r w:rsidRPr="0094541F">
        <w:rPr>
          <w:sz w:val="22"/>
          <w:szCs w:val="22"/>
        </w:rPr>
        <w:t xml:space="preserve"> acima indicada</w:t>
      </w:r>
      <w:r w:rsidR="003D0153" w:rsidRPr="0094541F">
        <w:rPr>
          <w:sz w:val="22"/>
          <w:szCs w:val="22"/>
        </w:rPr>
        <w:t>s</w:t>
      </w:r>
      <w:r w:rsidRPr="0094541F">
        <w:rPr>
          <w:sz w:val="22"/>
          <w:szCs w:val="22"/>
        </w:rPr>
        <w:t>, relativas a licitações e contratos, e tem por finalidade facilitar o acompanhamento, pelo leitor, d</w:t>
      </w:r>
      <w:r w:rsidR="000E5EAB" w:rsidRPr="0094541F">
        <w:rPr>
          <w:sz w:val="22"/>
          <w:szCs w:val="22"/>
        </w:rPr>
        <w:t>o</w:t>
      </w:r>
      <w:r w:rsidRPr="0094541F">
        <w:rPr>
          <w:sz w:val="22"/>
          <w:szCs w:val="22"/>
        </w:rPr>
        <w:t xml:space="preserve">s aspectos relevantes que envolvem o tema. </w:t>
      </w:r>
      <w:r w:rsidR="000E5EAB" w:rsidRPr="0094541F">
        <w:rPr>
          <w:sz w:val="22"/>
          <w:szCs w:val="22"/>
        </w:rPr>
        <w:t>A</w:t>
      </w:r>
      <w:r w:rsidRPr="0094541F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94541F" w:rsidRDefault="002D35F5" w:rsidP="00EE4F8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94541F">
        <w:rPr>
          <w:b/>
          <w:bCs/>
          <w:smallCaps/>
          <w:sz w:val="22"/>
          <w:szCs w:val="22"/>
        </w:rPr>
        <w:t>S</w:t>
      </w:r>
      <w:r w:rsidR="00FF7C62" w:rsidRPr="0094541F">
        <w:rPr>
          <w:b/>
          <w:bCs/>
          <w:smallCaps/>
          <w:sz w:val="22"/>
          <w:szCs w:val="22"/>
        </w:rPr>
        <w:t>UMÁRIO</w:t>
      </w:r>
    </w:p>
    <w:p w:rsidR="0084005B" w:rsidRDefault="0084005B" w:rsidP="00643D90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94541F">
        <w:rPr>
          <w:b/>
          <w:sz w:val="22"/>
          <w:szCs w:val="22"/>
          <w:lang w:eastAsia="pt-BR"/>
        </w:rPr>
        <w:t>Plenário</w:t>
      </w:r>
    </w:p>
    <w:p w:rsidR="004B186B" w:rsidRPr="004B186B" w:rsidRDefault="004B186B" w:rsidP="004B186B">
      <w:pPr>
        <w:pStyle w:val="Default"/>
        <w:spacing w:before="60"/>
        <w:jc w:val="both"/>
        <w:rPr>
          <w:color w:val="auto"/>
          <w:sz w:val="22"/>
          <w:szCs w:val="22"/>
        </w:rPr>
      </w:pPr>
      <w:r w:rsidRPr="004B186B">
        <w:rPr>
          <w:sz w:val="22"/>
          <w:szCs w:val="22"/>
        </w:rPr>
        <w:t xml:space="preserve">1. A </w:t>
      </w:r>
      <w:r w:rsidRPr="004B186B">
        <w:rPr>
          <w:color w:val="auto"/>
          <w:sz w:val="22"/>
          <w:szCs w:val="22"/>
        </w:rPr>
        <w:t>exigência de apresentação de garantias anteriormente à data prevista para entrega dos documentos de habilitação e da proposta de preços afronta o disposto no inciso I do art. 43 da Lei nº 8.666/1993.</w:t>
      </w:r>
    </w:p>
    <w:p w:rsidR="004B186B" w:rsidRPr="004B186B" w:rsidRDefault="004B186B" w:rsidP="004B186B">
      <w:pPr>
        <w:pStyle w:val="Default"/>
        <w:spacing w:before="60"/>
        <w:jc w:val="both"/>
        <w:rPr>
          <w:sz w:val="22"/>
          <w:szCs w:val="22"/>
        </w:rPr>
      </w:pPr>
      <w:r w:rsidRPr="004B186B">
        <w:rPr>
          <w:sz w:val="22"/>
          <w:szCs w:val="22"/>
        </w:rPr>
        <w:t>2. Exigências de qualificação técnica de pessoal de apoio, de número mínimo de computadores interligados em impressora e de veículo para deslocamentos impostas a escritório de advocacia configuram interferência desnecessária na organização administrativa da licitante e implicam violação ao disposto nos comandos contidos nos §§ 5º e 6º do art. 30 da Lei nº 8.666/1993.</w:t>
      </w:r>
    </w:p>
    <w:p w:rsidR="00617982" w:rsidRPr="004B186B" w:rsidRDefault="004B186B" w:rsidP="00B31C49">
      <w:pPr>
        <w:pStyle w:val="Default"/>
        <w:spacing w:before="60"/>
        <w:jc w:val="both"/>
        <w:rPr>
          <w:sz w:val="22"/>
          <w:szCs w:val="22"/>
        </w:rPr>
      </w:pPr>
      <w:r w:rsidRPr="004B186B">
        <w:rPr>
          <w:sz w:val="22"/>
          <w:szCs w:val="22"/>
        </w:rPr>
        <w:t>3</w:t>
      </w:r>
      <w:r w:rsidR="00617982" w:rsidRPr="004B186B">
        <w:rPr>
          <w:sz w:val="22"/>
          <w:szCs w:val="22"/>
        </w:rPr>
        <w:t>. A disponibilização</w:t>
      </w:r>
      <w:r w:rsidR="00AA7779" w:rsidRPr="004B186B">
        <w:rPr>
          <w:sz w:val="22"/>
          <w:szCs w:val="22"/>
        </w:rPr>
        <w:t>, em pregão eletrônico, d</w:t>
      </w:r>
      <w:r w:rsidR="00617982" w:rsidRPr="004B186B">
        <w:rPr>
          <w:sz w:val="22"/>
          <w:szCs w:val="22"/>
        </w:rPr>
        <w:t xml:space="preserve">os preços unitários </w:t>
      </w:r>
      <w:r w:rsidR="00AA7779" w:rsidRPr="004B186B">
        <w:rPr>
          <w:sz w:val="22"/>
          <w:szCs w:val="22"/>
        </w:rPr>
        <w:t xml:space="preserve">e global </w:t>
      </w:r>
      <w:r w:rsidR="00617982" w:rsidRPr="004B186B">
        <w:rPr>
          <w:sz w:val="22"/>
          <w:szCs w:val="22"/>
        </w:rPr>
        <w:t>estimados apenas após a fase de lances</w:t>
      </w:r>
      <w:r w:rsidR="00AA7779" w:rsidRPr="004B186B">
        <w:rPr>
          <w:sz w:val="22"/>
          <w:szCs w:val="22"/>
        </w:rPr>
        <w:t xml:space="preserve"> </w:t>
      </w:r>
      <w:r w:rsidR="00A00028" w:rsidRPr="004B186B">
        <w:rPr>
          <w:sz w:val="22"/>
          <w:szCs w:val="22"/>
        </w:rPr>
        <w:t>-</w:t>
      </w:r>
      <w:r w:rsidR="00AA7779" w:rsidRPr="004B186B">
        <w:rPr>
          <w:sz w:val="22"/>
          <w:szCs w:val="22"/>
        </w:rPr>
        <w:t xml:space="preserve"> </w:t>
      </w:r>
      <w:r w:rsidR="00617982" w:rsidRPr="004B186B">
        <w:rPr>
          <w:sz w:val="22"/>
          <w:szCs w:val="22"/>
        </w:rPr>
        <w:t>e não no edital d</w:t>
      </w:r>
      <w:r w:rsidR="00AA7779" w:rsidRPr="004B186B">
        <w:rPr>
          <w:sz w:val="22"/>
          <w:szCs w:val="22"/>
        </w:rPr>
        <w:t xml:space="preserve">o certame - </w:t>
      </w:r>
      <w:r w:rsidR="00617982" w:rsidRPr="004B186B">
        <w:rPr>
          <w:sz w:val="22"/>
          <w:szCs w:val="22"/>
        </w:rPr>
        <w:t>encontra amparo na legislação vigente</w:t>
      </w:r>
      <w:r w:rsidR="004D4ED8" w:rsidRPr="004B186B">
        <w:rPr>
          <w:sz w:val="22"/>
          <w:szCs w:val="22"/>
        </w:rPr>
        <w:t>.</w:t>
      </w:r>
    </w:p>
    <w:p w:rsidR="00B31C49" w:rsidRPr="004B186B" w:rsidRDefault="004B186B" w:rsidP="00B31C49">
      <w:pPr>
        <w:pStyle w:val="Default"/>
        <w:spacing w:before="60"/>
        <w:jc w:val="both"/>
        <w:rPr>
          <w:sz w:val="22"/>
          <w:szCs w:val="22"/>
        </w:rPr>
      </w:pPr>
      <w:r w:rsidRPr="004B186B">
        <w:rPr>
          <w:sz w:val="22"/>
          <w:szCs w:val="22"/>
        </w:rPr>
        <w:t>4</w:t>
      </w:r>
      <w:r w:rsidR="00B31C49" w:rsidRPr="004B186B">
        <w:rPr>
          <w:sz w:val="22"/>
          <w:szCs w:val="22"/>
        </w:rPr>
        <w:t xml:space="preserve">. </w:t>
      </w:r>
      <w:r w:rsidR="00874DB9" w:rsidRPr="004B186B">
        <w:rPr>
          <w:sz w:val="22"/>
          <w:szCs w:val="22"/>
        </w:rPr>
        <w:t>A verificação dos preços unitários de orçamento base para licitação de obra pública sob o regime de execução de empreitada por preço unitário não admite compensações entre sobrepreços e subpreços de seus itens</w:t>
      </w:r>
      <w:r w:rsidR="00996716" w:rsidRPr="004B186B">
        <w:rPr>
          <w:sz w:val="22"/>
          <w:szCs w:val="22"/>
        </w:rPr>
        <w:t>.</w:t>
      </w:r>
    </w:p>
    <w:p w:rsidR="004B186B" w:rsidRPr="00874DB9" w:rsidRDefault="004B186B" w:rsidP="004B186B">
      <w:pPr>
        <w:pStyle w:val="Default"/>
        <w:spacing w:before="60"/>
        <w:jc w:val="both"/>
        <w:rPr>
          <w:sz w:val="22"/>
          <w:szCs w:val="22"/>
        </w:rPr>
      </w:pPr>
      <w:r w:rsidRPr="004B186B">
        <w:rPr>
          <w:sz w:val="22"/>
          <w:szCs w:val="22"/>
        </w:rPr>
        <w:t>5. A defesa de entidade de fiscalização do exercício profissional, em causa trabalhista, não pode ser contratada diretamente, sob o fundamento de inexigibilidade de licitação, visto que tal objeto não possui natureza singular.</w:t>
      </w:r>
      <w:r w:rsidRPr="00874DB9">
        <w:rPr>
          <w:sz w:val="22"/>
          <w:szCs w:val="22"/>
        </w:rPr>
        <w:t xml:space="preserve">  </w:t>
      </w:r>
    </w:p>
    <w:p w:rsidR="00C06374" w:rsidRDefault="00C06374" w:rsidP="00B31C49">
      <w:pPr>
        <w:pStyle w:val="Default"/>
        <w:spacing w:before="60"/>
        <w:jc w:val="both"/>
        <w:rPr>
          <w:b/>
          <w:sz w:val="22"/>
          <w:szCs w:val="22"/>
        </w:rPr>
      </w:pPr>
      <w:r w:rsidRPr="00C06374">
        <w:rPr>
          <w:b/>
          <w:sz w:val="22"/>
          <w:szCs w:val="22"/>
        </w:rPr>
        <w:t>Inovação Legislativa</w:t>
      </w:r>
    </w:p>
    <w:p w:rsidR="00C06374" w:rsidRPr="00C06374" w:rsidRDefault="00C06374" w:rsidP="00B31C49">
      <w:pPr>
        <w:pStyle w:val="Default"/>
        <w:spacing w:before="60"/>
        <w:jc w:val="both"/>
        <w:rPr>
          <w:sz w:val="22"/>
          <w:szCs w:val="22"/>
        </w:rPr>
      </w:pPr>
      <w:r w:rsidRPr="00C06374">
        <w:rPr>
          <w:rFonts w:eastAsia="Times New Roman"/>
          <w:color w:val="auto"/>
          <w:sz w:val="22"/>
          <w:szCs w:val="22"/>
        </w:rPr>
        <w:t>Medida Provisória nº 575, de 7/8/2012</w:t>
      </w:r>
      <w:r>
        <w:rPr>
          <w:rFonts w:eastAsia="Times New Roman"/>
          <w:color w:val="auto"/>
          <w:sz w:val="22"/>
          <w:szCs w:val="22"/>
        </w:rPr>
        <w:t>.</w:t>
      </w:r>
    </w:p>
    <w:p w:rsidR="00EE4F89" w:rsidRDefault="004D357C" w:rsidP="0083053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94541F">
        <w:rPr>
          <w:b/>
          <w:bCs/>
          <w:smallCaps/>
          <w:sz w:val="22"/>
          <w:szCs w:val="22"/>
        </w:rPr>
        <w:t>PLENÁRIO</w:t>
      </w:r>
    </w:p>
    <w:p w:rsidR="00996716" w:rsidRDefault="00996716" w:rsidP="00EB793B">
      <w:pPr>
        <w:pStyle w:val="Default"/>
        <w:jc w:val="both"/>
        <w:rPr>
          <w:b/>
          <w:sz w:val="22"/>
          <w:szCs w:val="22"/>
        </w:rPr>
      </w:pPr>
    </w:p>
    <w:p w:rsidR="00996716" w:rsidRPr="00A00028" w:rsidRDefault="00996716" w:rsidP="00996716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>1</w:t>
      </w:r>
      <w:r w:rsidRPr="00A00028">
        <w:rPr>
          <w:b/>
          <w:sz w:val="22"/>
          <w:szCs w:val="22"/>
        </w:rPr>
        <w:t xml:space="preserve">. A </w:t>
      </w:r>
      <w:r w:rsidRPr="00A00028">
        <w:rPr>
          <w:b/>
          <w:color w:val="auto"/>
          <w:sz w:val="22"/>
          <w:szCs w:val="22"/>
        </w:rPr>
        <w:t>exigência de apresentação de garantias anteriormente à data prevista para entrega dos documentos de habilitação e da proposta de preços afronta o disposto no inciso I do art. 43 da Lei nº 8.666/1993</w:t>
      </w:r>
    </w:p>
    <w:p w:rsidR="00996716" w:rsidRDefault="00996716" w:rsidP="00996716">
      <w:pPr>
        <w:pStyle w:val="Default"/>
        <w:jc w:val="both"/>
        <w:rPr>
          <w:b/>
          <w:sz w:val="22"/>
          <w:szCs w:val="22"/>
        </w:rPr>
      </w:pPr>
      <w:r w:rsidRPr="0094541F">
        <w:rPr>
          <w:color w:val="auto"/>
          <w:sz w:val="22"/>
          <w:szCs w:val="22"/>
        </w:rPr>
        <w:t xml:space="preserve">Representação </w:t>
      </w:r>
      <w:r>
        <w:rPr>
          <w:color w:val="auto"/>
          <w:sz w:val="22"/>
          <w:szCs w:val="22"/>
        </w:rPr>
        <w:t xml:space="preserve">de empresa </w:t>
      </w:r>
      <w:r w:rsidRPr="0094541F">
        <w:rPr>
          <w:color w:val="auto"/>
          <w:sz w:val="22"/>
          <w:szCs w:val="22"/>
        </w:rPr>
        <w:t xml:space="preserve">acusou possíveis irregularidades no </w:t>
      </w:r>
      <w:r>
        <w:rPr>
          <w:color w:val="auto"/>
          <w:sz w:val="22"/>
          <w:szCs w:val="22"/>
        </w:rPr>
        <w:t>e</w:t>
      </w:r>
      <w:r w:rsidRPr="0094541F">
        <w:rPr>
          <w:color w:val="auto"/>
          <w:sz w:val="22"/>
          <w:szCs w:val="22"/>
        </w:rPr>
        <w:t>dital da Concorrência nº 2/2012 promovida pela Prefeitura Municipal da Estância Turística de Embu das Artes/SP, cujo objeto consiste na contratação de empresa especializada para execução de obras de contenção de encostas em áreas de risco naquela localidade. Entre os supostos vícios apontados, destaque-se a exigência de apresentação de garantia da proposta até o 3º dia útil anterior à data prevista de entrega dos documentos de habilitação e proposta de preços. Instada a se pronunciar acerca desse quesito, o município assinalou que buscava evitar que empresas sem reais condições de executar o contrato participassem do certame. A unidade técnica, no entanto, ressaltou que, consoante disposto no art. 31, III, da Lei nº 8.666/93,</w:t>
      </w:r>
      <w:r w:rsidRPr="0094541F">
        <w:rPr>
          <w:i/>
          <w:color w:val="auto"/>
          <w:sz w:val="22"/>
          <w:szCs w:val="22"/>
        </w:rPr>
        <w:t xml:space="preserve"> </w:t>
      </w:r>
      <w:r w:rsidRPr="0094541F">
        <w:rPr>
          <w:color w:val="auto"/>
          <w:sz w:val="22"/>
          <w:szCs w:val="22"/>
        </w:rPr>
        <w:t>“</w:t>
      </w:r>
      <w:r w:rsidRPr="0094541F">
        <w:rPr>
          <w:i/>
          <w:color w:val="auto"/>
          <w:sz w:val="22"/>
          <w:szCs w:val="22"/>
        </w:rPr>
        <w:t>a apresentação de comprovante de garantia faz parte da documentação relativa à qualificação econômico-financeira das licitantes, exigida como requisito de habilitação do certame</w:t>
      </w:r>
      <w:r w:rsidRPr="0094541F">
        <w:rPr>
          <w:color w:val="auto"/>
          <w:sz w:val="22"/>
          <w:szCs w:val="22"/>
        </w:rPr>
        <w:t>”</w:t>
      </w:r>
      <w:r w:rsidRPr="0094541F">
        <w:rPr>
          <w:i/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 xml:space="preserve"> E que, por isso, “</w:t>
      </w:r>
      <w:r w:rsidRPr="0094541F">
        <w:rPr>
          <w:i/>
          <w:color w:val="auto"/>
          <w:sz w:val="22"/>
          <w:szCs w:val="22"/>
        </w:rPr>
        <w:t>deve acompanhar o restante da documentação relativa à fase de habilitação, exigível tão somente a partir do dia de entrega da respectiva documentação, a qual deve ser entregue em envelope lacrado à comissão de licitação na data marcada para recebimento e abertura de documentos de habilitação e propostas</w:t>
      </w:r>
      <w:r w:rsidRPr="0094541F">
        <w:rPr>
          <w:color w:val="auto"/>
          <w:sz w:val="22"/>
          <w:szCs w:val="22"/>
        </w:rPr>
        <w:t>”</w:t>
      </w:r>
      <w:r w:rsidRPr="00D60BB3">
        <w:rPr>
          <w:color w:val="auto"/>
          <w:sz w:val="22"/>
          <w:szCs w:val="22"/>
        </w:rPr>
        <w:t xml:space="preserve">. Não haveria, pois, amparo legal para a exigência de apresentação de documento referente à fase de habilitação </w:t>
      </w:r>
      <w:r w:rsidRPr="0094541F">
        <w:rPr>
          <w:color w:val="auto"/>
          <w:sz w:val="22"/>
          <w:szCs w:val="22"/>
        </w:rPr>
        <w:t>“</w:t>
      </w:r>
      <w:r w:rsidRPr="0094541F">
        <w:rPr>
          <w:i/>
          <w:color w:val="auto"/>
          <w:sz w:val="22"/>
          <w:szCs w:val="22"/>
        </w:rPr>
        <w:t>previamente à data marcada para o recebimento e a abertura dos envelopes</w:t>
      </w:r>
      <w:r w:rsidRPr="0094541F">
        <w:rPr>
          <w:color w:val="auto"/>
          <w:sz w:val="22"/>
          <w:szCs w:val="22"/>
        </w:rPr>
        <w:t>”, consoante já decidido pelo Tribunal nos Acórdãos n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>º</w:t>
      </w:r>
      <w:r>
        <w:rPr>
          <w:color w:val="auto"/>
          <w:sz w:val="22"/>
          <w:szCs w:val="22"/>
        </w:rPr>
        <w:t>s</w:t>
      </w:r>
      <w:r w:rsidRPr="0094541F">
        <w:rPr>
          <w:color w:val="auto"/>
          <w:sz w:val="22"/>
          <w:szCs w:val="22"/>
        </w:rPr>
        <w:t xml:space="preserve"> 2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>095/2005 e 2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 xml:space="preserve">993/2009, ambos do Plenário. O </w:t>
      </w:r>
      <w:r>
        <w:rPr>
          <w:color w:val="auto"/>
          <w:sz w:val="22"/>
          <w:szCs w:val="22"/>
        </w:rPr>
        <w:t>r</w:t>
      </w:r>
      <w:r w:rsidRPr="0094541F">
        <w:rPr>
          <w:color w:val="auto"/>
          <w:sz w:val="22"/>
          <w:szCs w:val="22"/>
        </w:rPr>
        <w:t xml:space="preserve">elator, em linha de consonância com tal manifestação, ponderou que </w:t>
      </w:r>
      <w:r>
        <w:rPr>
          <w:color w:val="auto"/>
          <w:sz w:val="22"/>
          <w:szCs w:val="22"/>
        </w:rPr>
        <w:t>a</w:t>
      </w:r>
      <w:r w:rsidRPr="0094541F">
        <w:rPr>
          <w:color w:val="auto"/>
          <w:sz w:val="22"/>
          <w:szCs w:val="22"/>
        </w:rPr>
        <w:t xml:space="preserve"> garantia financeira para a execução da obra</w:t>
      </w:r>
      <w:r w:rsidRPr="0094541F">
        <w:rPr>
          <w:i/>
          <w:color w:val="auto"/>
          <w:sz w:val="22"/>
          <w:szCs w:val="22"/>
        </w:rPr>
        <w:t xml:space="preserve"> </w:t>
      </w:r>
      <w:r w:rsidRPr="0094541F">
        <w:rPr>
          <w:color w:val="auto"/>
          <w:sz w:val="22"/>
          <w:szCs w:val="22"/>
        </w:rPr>
        <w:t>“</w:t>
      </w:r>
      <w:r w:rsidRPr="0094541F">
        <w:rPr>
          <w:i/>
          <w:color w:val="auto"/>
          <w:sz w:val="22"/>
          <w:szCs w:val="22"/>
        </w:rPr>
        <w:t>é um dos requisitos de habilitação do certame e é parte integrante da documentação relativa à qualificação econômico-financeira das licitantes enumerada no citado artigo da Lei nº 8.666/93</w:t>
      </w:r>
      <w:r w:rsidRPr="0094541F">
        <w:rPr>
          <w:color w:val="auto"/>
          <w:sz w:val="22"/>
          <w:szCs w:val="22"/>
        </w:rPr>
        <w:t>”. Deve, portanto, “</w:t>
      </w:r>
      <w:r w:rsidRPr="0094541F">
        <w:rPr>
          <w:i/>
          <w:color w:val="auto"/>
          <w:sz w:val="22"/>
          <w:szCs w:val="22"/>
        </w:rPr>
        <w:t>acompanhar o restante da documentação relativa à fase de habilitação</w:t>
      </w:r>
      <w:r w:rsidRPr="0094541F">
        <w:rPr>
          <w:color w:val="auto"/>
          <w:sz w:val="22"/>
          <w:szCs w:val="22"/>
        </w:rPr>
        <w:t>”</w:t>
      </w:r>
      <w:r w:rsidRPr="0094541F">
        <w:rPr>
          <w:i/>
          <w:color w:val="auto"/>
          <w:sz w:val="22"/>
          <w:szCs w:val="22"/>
        </w:rPr>
        <w:t>.</w:t>
      </w:r>
      <w:r>
        <w:rPr>
          <w:i/>
          <w:color w:val="auto"/>
          <w:sz w:val="22"/>
          <w:szCs w:val="22"/>
        </w:rPr>
        <w:t xml:space="preserve"> </w:t>
      </w:r>
      <w:r w:rsidRPr="0094541F">
        <w:rPr>
          <w:color w:val="auto"/>
          <w:sz w:val="22"/>
          <w:szCs w:val="22"/>
        </w:rPr>
        <w:t>E arrematou: “</w:t>
      </w:r>
      <w:r w:rsidRPr="0094541F">
        <w:rPr>
          <w:i/>
          <w:color w:val="auto"/>
          <w:sz w:val="22"/>
          <w:szCs w:val="22"/>
        </w:rPr>
        <w:t>Exigi-la previamente à data marcada para o recebimento restante da documentação relativa a essa fase contraria o art. 43, inciso I, da Lei nº 8.666/1993, e permitiria à Prefeitura de Embu das Artes conhecer de antemão as empresas interessadas na licitação, o que poderia, em certas circunstâncias, comprometer a lisura do certame</w:t>
      </w:r>
      <w:r w:rsidRPr="0094541F">
        <w:rPr>
          <w:color w:val="auto"/>
          <w:sz w:val="22"/>
          <w:szCs w:val="22"/>
        </w:rPr>
        <w:t xml:space="preserve"> ...”. O Tribunal, em face desse e de outros vícios, decidiu: I) assinar prazo para a anulação da referida Concorrência nº 2/2012; II) alertar a entidade com o intuito de evitar a reincidência de vícios</w:t>
      </w:r>
      <w:r>
        <w:rPr>
          <w:color w:val="auto"/>
          <w:sz w:val="22"/>
          <w:szCs w:val="22"/>
        </w:rPr>
        <w:t>,</w:t>
      </w:r>
      <w:r w:rsidRPr="0094541F">
        <w:rPr>
          <w:color w:val="auto"/>
          <w:sz w:val="22"/>
          <w:szCs w:val="22"/>
        </w:rPr>
        <w:t xml:space="preserve">  quando da republicação de edital que tenha por objeto a realização das citadas obras.</w:t>
      </w:r>
      <w:r>
        <w:rPr>
          <w:color w:val="auto"/>
          <w:sz w:val="22"/>
          <w:szCs w:val="22"/>
        </w:rPr>
        <w:t xml:space="preserve"> Precedentes mencionados: </w:t>
      </w:r>
      <w:r w:rsidRPr="0094541F">
        <w:rPr>
          <w:color w:val="auto"/>
          <w:sz w:val="22"/>
          <w:szCs w:val="22"/>
        </w:rPr>
        <w:t>Acórdãos n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>º</w:t>
      </w:r>
      <w:r>
        <w:rPr>
          <w:color w:val="auto"/>
          <w:sz w:val="22"/>
          <w:szCs w:val="22"/>
        </w:rPr>
        <w:t>s</w:t>
      </w:r>
      <w:r w:rsidRPr="0094541F">
        <w:rPr>
          <w:color w:val="auto"/>
          <w:sz w:val="22"/>
          <w:szCs w:val="22"/>
        </w:rPr>
        <w:t xml:space="preserve"> 2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>095/2005 e 2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>993/2009, ambos do Plenário</w:t>
      </w:r>
      <w:r>
        <w:rPr>
          <w:color w:val="auto"/>
          <w:sz w:val="22"/>
          <w:szCs w:val="22"/>
        </w:rPr>
        <w:t>.</w:t>
      </w:r>
      <w:r w:rsidRPr="0094541F">
        <w:rPr>
          <w:color w:val="auto"/>
          <w:sz w:val="22"/>
          <w:szCs w:val="22"/>
        </w:rPr>
        <w:t xml:space="preserve"> </w:t>
      </w:r>
      <w:r w:rsidRPr="00617982">
        <w:rPr>
          <w:b/>
          <w:i/>
          <w:color w:val="auto"/>
          <w:sz w:val="22"/>
          <w:szCs w:val="22"/>
        </w:rPr>
        <w:t>Acórdão n.º 2074/2012-Plenário, TC-018.726/2012-7, rel. Min. Raimundo Carreiro, 8.8.2012</w:t>
      </w:r>
    </w:p>
    <w:p w:rsidR="00996716" w:rsidRDefault="00996716" w:rsidP="00EB793B">
      <w:pPr>
        <w:pStyle w:val="Default"/>
        <w:jc w:val="both"/>
        <w:rPr>
          <w:b/>
          <w:sz w:val="22"/>
          <w:szCs w:val="22"/>
        </w:rPr>
      </w:pPr>
    </w:p>
    <w:p w:rsidR="00996716" w:rsidRPr="00A00028" w:rsidRDefault="004B186B" w:rsidP="0099671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716" w:rsidRPr="00A00028">
        <w:rPr>
          <w:b/>
          <w:sz w:val="22"/>
          <w:szCs w:val="22"/>
        </w:rPr>
        <w:t xml:space="preserve">. </w:t>
      </w:r>
      <w:r w:rsidR="00996716" w:rsidRPr="002864FC">
        <w:rPr>
          <w:b/>
          <w:sz w:val="22"/>
          <w:szCs w:val="22"/>
        </w:rPr>
        <w:t>Exigências de qualificação técnica de pessoal de apoio, de número mínimo de computadores interligados em impressora e de veículo para deslocamentos impostas a escritório de advocacia configuram interferência desnecessária na organização administrativa da licitante e implicam violação ao disposto nos comandos contidos nos §§ 5º e 6º do art. 30 da Lei nº 8.666/1993</w:t>
      </w:r>
      <w:r w:rsidR="00996716" w:rsidRPr="00A00028">
        <w:rPr>
          <w:b/>
          <w:sz w:val="22"/>
          <w:szCs w:val="22"/>
        </w:rPr>
        <w:t xml:space="preserve"> </w:t>
      </w:r>
    </w:p>
    <w:p w:rsidR="00996716" w:rsidRDefault="00996716" w:rsidP="00996716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94541F">
        <w:rPr>
          <w:sz w:val="22"/>
          <w:szCs w:val="22"/>
        </w:rPr>
        <w:t xml:space="preserve">Representação acusou possíveis irregularidades no edital da Concorrência Pública 006/2012-Serviços, conduzida pela Eletrobrás Distribuição Piauí - EDP (antiga Cepisa), visando </w:t>
      </w:r>
      <w:r>
        <w:rPr>
          <w:sz w:val="22"/>
          <w:szCs w:val="22"/>
        </w:rPr>
        <w:t>à</w:t>
      </w:r>
      <w:r w:rsidRPr="0094541F">
        <w:rPr>
          <w:sz w:val="22"/>
          <w:szCs w:val="22"/>
        </w:rPr>
        <w:t xml:space="preserve"> contratação de escritório de advocacia para prestação de serviços jurídicos especializados, consistente no patrocínio de ações judiciais na Justiça Federal (JFDF e TRF 1ª Região – 2ª instância), T</w:t>
      </w:r>
      <w:r>
        <w:rPr>
          <w:sz w:val="22"/>
          <w:szCs w:val="22"/>
        </w:rPr>
        <w:t>ST</w:t>
      </w:r>
      <w:r w:rsidRPr="0094541F">
        <w:rPr>
          <w:sz w:val="22"/>
          <w:szCs w:val="22"/>
        </w:rPr>
        <w:t>, S</w:t>
      </w:r>
      <w:r>
        <w:rPr>
          <w:sz w:val="22"/>
          <w:szCs w:val="22"/>
        </w:rPr>
        <w:t>TJ</w:t>
      </w:r>
      <w:r w:rsidRPr="0094541F">
        <w:rPr>
          <w:sz w:val="22"/>
          <w:szCs w:val="22"/>
        </w:rPr>
        <w:t xml:space="preserve"> e S</w:t>
      </w:r>
      <w:r>
        <w:rPr>
          <w:sz w:val="22"/>
          <w:szCs w:val="22"/>
        </w:rPr>
        <w:t>TF</w:t>
      </w:r>
      <w:r w:rsidRPr="0094541F">
        <w:rPr>
          <w:sz w:val="22"/>
          <w:szCs w:val="22"/>
        </w:rPr>
        <w:t>. Entre os quesitos impugnados, destaquem-se as exigências de infraestrutura do escritório a ser contratado e de quantidades mínimas de cada tipo de profissional: I) “</w:t>
      </w:r>
      <w:r w:rsidRPr="00EC61FC">
        <w:rPr>
          <w:i/>
          <w:sz w:val="22"/>
          <w:szCs w:val="22"/>
        </w:rPr>
        <w:t>t</w:t>
      </w:r>
      <w:r w:rsidRPr="0094541F">
        <w:rPr>
          <w:i/>
          <w:sz w:val="22"/>
          <w:szCs w:val="22"/>
        </w:rPr>
        <w:t>reze computadores com conexão na internet banda larga, interligados em impressora padrão, aparelho de fax, scanner, telefone, copiadora, sala de reunião para, no mínimo, dez pessoas, veículo para deslocamentos</w:t>
      </w:r>
      <w:r w:rsidRPr="0094541F">
        <w:rPr>
          <w:sz w:val="22"/>
          <w:szCs w:val="22"/>
        </w:rPr>
        <w:t>”;</w:t>
      </w:r>
      <w:r w:rsidRPr="0094541F">
        <w:rPr>
          <w:i/>
          <w:sz w:val="22"/>
          <w:szCs w:val="22"/>
        </w:rPr>
        <w:t xml:space="preserve"> II) </w:t>
      </w:r>
      <w:r w:rsidRPr="0094541F">
        <w:rPr>
          <w:sz w:val="22"/>
          <w:szCs w:val="22"/>
        </w:rPr>
        <w:t>“</w:t>
      </w:r>
      <w:r w:rsidRPr="0094541F">
        <w:rPr>
          <w:i/>
          <w:sz w:val="22"/>
          <w:szCs w:val="22"/>
        </w:rPr>
        <w:t>dez advogados, 1 secretária, 1 mensageiro, 2 auxiliares de escritório</w:t>
      </w:r>
      <w:r w:rsidRPr="0094541F">
        <w:rPr>
          <w:sz w:val="22"/>
          <w:szCs w:val="22"/>
        </w:rPr>
        <w:t>”.  O relator, ao examinar tal questionamento, ponderou que: “</w:t>
      </w:r>
      <w:r w:rsidRPr="0094541F">
        <w:rPr>
          <w:i/>
          <w:sz w:val="22"/>
          <w:szCs w:val="22"/>
        </w:rPr>
        <w:t>... embora o art. 30, inciso II, da Lei 8.666/93 autorize exigir das licitantes, para fins qualificação técnica, requisitos mínimos de infraestrutura e de pessoal técnico adequados e disponíveis para a realização do objeto, tais exigências não podem extrapolar as condições mínimas necessárias à boa execução do contrato. Essa limitação é posta nos §§ 5º e 6º do mesmo artigo</w:t>
      </w:r>
      <w:r w:rsidRPr="0094541F">
        <w:rPr>
          <w:sz w:val="22"/>
          <w:szCs w:val="22"/>
        </w:rPr>
        <w:t>”. Anotou que parte daquelas exigências configuraria “</w:t>
      </w:r>
      <w:r w:rsidRPr="0094541F">
        <w:rPr>
          <w:i/>
          <w:sz w:val="22"/>
          <w:szCs w:val="22"/>
        </w:rPr>
        <w:t>interferência desnecessária e não justificada na organização administrativa da empresa licitante</w:t>
      </w:r>
      <w:r w:rsidRPr="0094541F">
        <w:rPr>
          <w:sz w:val="22"/>
          <w:szCs w:val="22"/>
        </w:rPr>
        <w:t>”, o que afrontaria os citados comandos normativos. Isso teria ocorrido com as exigências de pessoal de apoio, uma vez que deve ser preservada a liberdade de auto-organização dos escritórios de advocacia, que poderiam simplesmente “</w:t>
      </w:r>
      <w:r w:rsidRPr="0094541F">
        <w:rPr>
          <w:i/>
          <w:sz w:val="22"/>
          <w:szCs w:val="22"/>
        </w:rPr>
        <w:t>optar pela terceirização de parte de suas atividades, a exemplo do serviço de mensageiro ...</w:t>
      </w:r>
      <w:r w:rsidRPr="0094541F">
        <w:rPr>
          <w:sz w:val="22"/>
          <w:szCs w:val="22"/>
        </w:rPr>
        <w:t>”. Utilizou o mesmo raciocínio para avaliar a exigência de treze computadores interligados em impressora padrão: “</w:t>
      </w:r>
      <w:r w:rsidRPr="0094541F">
        <w:rPr>
          <w:i/>
          <w:sz w:val="22"/>
          <w:szCs w:val="22"/>
        </w:rPr>
        <w:t>Não restou evidenciado, no autos, que os serviços só possam ser feitos com a alocação, no escritório, de ‘treze’ computadores nem que eles devam ser ‘interligados em impressora padrão’. Podem-se utilizar, por exemplo, computadores portáteis pessoais (notebooks), para cada advogado, ou impressoras individuais e com características de impressão distintas</w:t>
      </w:r>
      <w:r w:rsidRPr="0094541F">
        <w:rPr>
          <w:sz w:val="22"/>
          <w:szCs w:val="22"/>
        </w:rPr>
        <w:t>”. Quanto ao veículo próprio, ressaltou que as demandas poderiam ser supridas por “</w:t>
      </w:r>
      <w:r w:rsidRPr="00D04D9F">
        <w:rPr>
          <w:i/>
          <w:sz w:val="22"/>
          <w:szCs w:val="22"/>
        </w:rPr>
        <w:t>serviço terceirizado de motoboys e a contratação de táxis</w:t>
      </w:r>
      <w:r w:rsidRPr="0094541F">
        <w:rPr>
          <w:sz w:val="22"/>
          <w:szCs w:val="22"/>
        </w:rPr>
        <w:t>”. Reputou, entretanto, razoável a</w:t>
      </w:r>
      <w:r>
        <w:rPr>
          <w:sz w:val="22"/>
          <w:szCs w:val="22"/>
        </w:rPr>
        <w:t xml:space="preserve"> </w:t>
      </w:r>
      <w:r w:rsidRPr="0094541F">
        <w:rPr>
          <w:sz w:val="22"/>
          <w:szCs w:val="22"/>
        </w:rPr>
        <w:t>estipulação de número mínimo de advogados alocados no escritório a ser contratado , “</w:t>
      </w:r>
      <w:r w:rsidRPr="0094541F">
        <w:rPr>
          <w:i/>
          <w:sz w:val="22"/>
          <w:szCs w:val="22"/>
        </w:rPr>
        <w:t xml:space="preserve"> pois isso se relaciona diretamente com a capacidade operacional necessária ao cumprimento do objeto</w:t>
      </w:r>
      <w:r w:rsidRPr="0094541F">
        <w:rPr>
          <w:sz w:val="22"/>
          <w:szCs w:val="22"/>
        </w:rPr>
        <w:t>”. A despeito disso, em face de possíveis prejuízos advindos de atraso na contratação dos serviços e por não vislumbrar “</w:t>
      </w:r>
      <w:r w:rsidRPr="0094541F">
        <w:rPr>
          <w:i/>
          <w:sz w:val="22"/>
          <w:szCs w:val="22"/>
        </w:rPr>
        <w:t>antieconomicidade do certame</w:t>
      </w:r>
      <w:r w:rsidRPr="0094541F">
        <w:rPr>
          <w:sz w:val="22"/>
          <w:szCs w:val="22"/>
        </w:rPr>
        <w:t xml:space="preserve">”, </w:t>
      </w:r>
      <w:r>
        <w:rPr>
          <w:sz w:val="22"/>
          <w:szCs w:val="22"/>
        </w:rPr>
        <w:t>considerou</w:t>
      </w:r>
      <w:r w:rsidRPr="0094541F">
        <w:rPr>
          <w:sz w:val="22"/>
          <w:szCs w:val="22"/>
        </w:rPr>
        <w:t xml:space="preserve"> conveniente admitir o seu seguimento. O Tribunal, então, ao acolher proposta do relator, decidiu: I) conhecer </w:t>
      </w:r>
      <w:r>
        <w:rPr>
          <w:sz w:val="22"/>
          <w:szCs w:val="22"/>
        </w:rPr>
        <w:t>d</w:t>
      </w:r>
      <w:r w:rsidRPr="0094541F">
        <w:rPr>
          <w:sz w:val="22"/>
          <w:szCs w:val="22"/>
        </w:rPr>
        <w:t xml:space="preserve">a representação e, considerá-la parcialmente procedente, </w:t>
      </w:r>
      <w:r>
        <w:rPr>
          <w:sz w:val="22"/>
          <w:szCs w:val="22"/>
        </w:rPr>
        <w:t>por conta das</w:t>
      </w:r>
      <w:r w:rsidRPr="0094541F">
        <w:rPr>
          <w:sz w:val="22"/>
          <w:szCs w:val="22"/>
        </w:rPr>
        <w:t xml:space="preserve"> exigências indevidas de qualificação técnica referentes a pessoal de apoio, número mínimo de computadores interligados em impressora padrão e veículo para deslocamentos, </w:t>
      </w:r>
      <w:r>
        <w:rPr>
          <w:sz w:val="22"/>
          <w:szCs w:val="22"/>
        </w:rPr>
        <w:t xml:space="preserve">com afronta ao </w:t>
      </w:r>
      <w:r w:rsidRPr="0094541F">
        <w:rPr>
          <w:sz w:val="22"/>
          <w:szCs w:val="22"/>
        </w:rPr>
        <w:t>dispos</w:t>
      </w:r>
      <w:r>
        <w:rPr>
          <w:sz w:val="22"/>
          <w:szCs w:val="22"/>
        </w:rPr>
        <w:t>to</w:t>
      </w:r>
      <w:r w:rsidRPr="0094541F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 w:rsidRPr="0094541F">
        <w:rPr>
          <w:sz w:val="22"/>
          <w:szCs w:val="22"/>
        </w:rPr>
        <w:t>s arts. 3º, §1°, inciso I, e 30, §§ 5º e 6º, da Lei 8.666/93;</w:t>
      </w:r>
      <w:r>
        <w:rPr>
          <w:sz w:val="22"/>
          <w:szCs w:val="22"/>
        </w:rPr>
        <w:t xml:space="preserve"> </w:t>
      </w:r>
      <w:r w:rsidRPr="0094541F">
        <w:rPr>
          <w:sz w:val="22"/>
          <w:szCs w:val="22"/>
        </w:rPr>
        <w:t>II) autorizar, em caráter excepcional, o seguimento da citada concorrência, “</w:t>
      </w:r>
      <w:r w:rsidRPr="0094541F">
        <w:rPr>
          <w:i/>
          <w:sz w:val="22"/>
          <w:szCs w:val="22"/>
        </w:rPr>
        <w:t>vedando a prorrogação do contrato dela decorrente</w:t>
      </w:r>
      <w:r w:rsidRPr="0094541F">
        <w:rPr>
          <w:sz w:val="22"/>
          <w:szCs w:val="22"/>
        </w:rPr>
        <w:t xml:space="preserve">”; </w:t>
      </w:r>
      <w:r w:rsidRPr="00732F41">
        <w:rPr>
          <w:sz w:val="22"/>
          <w:szCs w:val="22"/>
        </w:rPr>
        <w:t xml:space="preserve">III) determinar à EDP que, ao elaborar o novo edital para </w:t>
      </w:r>
      <w:r>
        <w:rPr>
          <w:sz w:val="22"/>
          <w:szCs w:val="22"/>
        </w:rPr>
        <w:t xml:space="preserve">contratação </w:t>
      </w:r>
      <w:r w:rsidRPr="00732F41">
        <w:rPr>
          <w:sz w:val="22"/>
          <w:szCs w:val="22"/>
        </w:rPr>
        <w:t xml:space="preserve">desses serviços </w:t>
      </w:r>
      <w:r>
        <w:rPr>
          <w:sz w:val="22"/>
          <w:szCs w:val="22"/>
        </w:rPr>
        <w:t>“</w:t>
      </w:r>
      <w:r w:rsidRPr="00D04D9F">
        <w:rPr>
          <w:i/>
          <w:sz w:val="22"/>
          <w:szCs w:val="22"/>
        </w:rPr>
        <w:t>apenas inclua requisitos de habilitação técnica que sejam absolutamente necessários e suficientes para garantir os níveis mínimos de qualidade, segurança e eficiência na execução do futuro contrato, abstendo-se</w:t>
      </w:r>
      <w:r>
        <w:rPr>
          <w:i/>
          <w:sz w:val="22"/>
          <w:szCs w:val="22"/>
        </w:rPr>
        <w:t xml:space="preserve"> ...</w:t>
      </w:r>
      <w:r w:rsidRPr="00D04D9F">
        <w:rPr>
          <w:i/>
          <w:sz w:val="22"/>
          <w:szCs w:val="22"/>
        </w:rPr>
        <w:t xml:space="preserve"> de estabelecer requisitos inerentes a pessoal de apoio </w:t>
      </w:r>
      <w:r>
        <w:rPr>
          <w:i/>
          <w:sz w:val="22"/>
          <w:szCs w:val="22"/>
        </w:rPr>
        <w:t xml:space="preserve"> </w:t>
      </w:r>
      <w:r w:rsidRPr="00D04D9F">
        <w:rPr>
          <w:i/>
          <w:sz w:val="22"/>
          <w:szCs w:val="22"/>
        </w:rPr>
        <w:t>do escritório a ser contratado, número mínimo computadores, forma de uso de impressoras e veículo</w:t>
      </w:r>
      <w:r>
        <w:rPr>
          <w:i/>
          <w:sz w:val="22"/>
          <w:szCs w:val="22"/>
        </w:rPr>
        <w:t>...</w:t>
      </w:r>
      <w:r w:rsidRPr="0094541F">
        <w:rPr>
          <w:sz w:val="22"/>
          <w:szCs w:val="22"/>
        </w:rPr>
        <w:t xml:space="preserve">”. </w:t>
      </w:r>
      <w:r w:rsidRPr="0094541F">
        <w:rPr>
          <w:b/>
          <w:i/>
          <w:color w:val="auto"/>
          <w:sz w:val="22"/>
          <w:szCs w:val="22"/>
        </w:rPr>
        <w:t xml:space="preserve">Acórdão n.º </w:t>
      </w:r>
      <w:r>
        <w:rPr>
          <w:b/>
          <w:i/>
          <w:color w:val="auto"/>
          <w:sz w:val="22"/>
          <w:szCs w:val="22"/>
        </w:rPr>
        <w:t>2074</w:t>
      </w:r>
      <w:r w:rsidRPr="0094541F">
        <w:rPr>
          <w:b/>
          <w:i/>
          <w:color w:val="auto"/>
          <w:sz w:val="22"/>
          <w:szCs w:val="22"/>
        </w:rPr>
        <w:t>/2012-Plenário, TC-018.726/2012-7, rel. Min. Raimundo Carreiro, 8.8.2012.</w:t>
      </w:r>
    </w:p>
    <w:p w:rsidR="00996716" w:rsidRPr="00996716" w:rsidRDefault="00996716" w:rsidP="00996716">
      <w:pPr>
        <w:pStyle w:val="Default"/>
        <w:jc w:val="both"/>
        <w:rPr>
          <w:b/>
          <w:sz w:val="22"/>
          <w:szCs w:val="22"/>
        </w:rPr>
      </w:pPr>
    </w:p>
    <w:p w:rsidR="00525BED" w:rsidRPr="00A00028" w:rsidRDefault="004B186B" w:rsidP="00EB793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25BED" w:rsidRPr="00A00028">
        <w:rPr>
          <w:b/>
          <w:sz w:val="22"/>
          <w:szCs w:val="22"/>
        </w:rPr>
        <w:t>.</w:t>
      </w:r>
      <w:r w:rsidR="009F01DB" w:rsidRPr="00A00028">
        <w:rPr>
          <w:b/>
          <w:sz w:val="22"/>
          <w:szCs w:val="22"/>
        </w:rPr>
        <w:t xml:space="preserve"> </w:t>
      </w:r>
      <w:r w:rsidR="00A00028" w:rsidRPr="00A00028">
        <w:rPr>
          <w:b/>
          <w:sz w:val="22"/>
          <w:szCs w:val="22"/>
        </w:rPr>
        <w:t>A disponibilização, em pregão eletrônico, dos preços unitários e global estimados apenas após a fase de lances - e não no edital do certame - encontra amparo na legislação vigente</w:t>
      </w:r>
    </w:p>
    <w:p w:rsidR="00525BED" w:rsidRDefault="00525BED" w:rsidP="004B186B">
      <w:pPr>
        <w:pStyle w:val="Default"/>
        <w:jc w:val="both"/>
        <w:rPr>
          <w:b/>
          <w:i/>
          <w:sz w:val="22"/>
          <w:szCs w:val="22"/>
        </w:rPr>
      </w:pPr>
      <w:r w:rsidRPr="00B269DB">
        <w:rPr>
          <w:sz w:val="22"/>
          <w:szCs w:val="22"/>
        </w:rPr>
        <w:t xml:space="preserve">Representação de empresa apontou supostas irregularidades no Edital do Pregão Eletrônico n.º 35/2012 para Registro de Preços conduzido pelo Fundo Nacional de Desenvolvimento da Educação – FNDE, visando </w:t>
      </w:r>
      <w:r w:rsidR="00A37CAC">
        <w:rPr>
          <w:sz w:val="22"/>
          <w:szCs w:val="22"/>
        </w:rPr>
        <w:t>à</w:t>
      </w:r>
      <w:r w:rsidRPr="00B269DB">
        <w:rPr>
          <w:sz w:val="22"/>
          <w:szCs w:val="22"/>
        </w:rPr>
        <w:t xml:space="preserve"> aquisição de embarcações para transporte de alunos das redes públicas de ensino</w:t>
      </w:r>
      <w:r w:rsidR="0064307F" w:rsidRPr="00B269DB">
        <w:rPr>
          <w:sz w:val="22"/>
          <w:szCs w:val="22"/>
        </w:rPr>
        <w:t>,</w:t>
      </w:r>
      <w:r w:rsidRPr="00B269DB">
        <w:rPr>
          <w:sz w:val="22"/>
          <w:szCs w:val="22"/>
        </w:rPr>
        <w:t xml:space="preserve"> </w:t>
      </w:r>
      <w:r w:rsidR="0064307F" w:rsidRPr="00B269DB">
        <w:rPr>
          <w:sz w:val="22"/>
          <w:szCs w:val="22"/>
        </w:rPr>
        <w:t>com recursos destinados ao</w:t>
      </w:r>
      <w:r w:rsidRPr="00B269DB">
        <w:rPr>
          <w:sz w:val="22"/>
          <w:szCs w:val="22"/>
        </w:rPr>
        <w:t xml:space="preserve"> Programa Caminho da Escola. Entre as ocorrências relatadas pela autora da representação, destaque-se a falta de indicação dos preços global e unitário estimados</w:t>
      </w:r>
      <w:r w:rsidR="00D60BB3">
        <w:rPr>
          <w:sz w:val="22"/>
          <w:szCs w:val="22"/>
        </w:rPr>
        <w:t>,</w:t>
      </w:r>
      <w:r w:rsidRPr="00B269DB">
        <w:rPr>
          <w:sz w:val="22"/>
          <w:szCs w:val="22"/>
        </w:rPr>
        <w:t xml:space="preserve"> no referido edital. Ao se debruçar sobre tal questão, </w:t>
      </w:r>
      <w:r w:rsidR="00B269DB" w:rsidRPr="00B269DB">
        <w:rPr>
          <w:sz w:val="22"/>
          <w:szCs w:val="22"/>
        </w:rPr>
        <w:t>a unidade técnica an</w:t>
      </w:r>
      <w:r w:rsidR="00593E2F">
        <w:rPr>
          <w:sz w:val="22"/>
          <w:szCs w:val="22"/>
        </w:rPr>
        <w:t>o</w:t>
      </w:r>
      <w:r w:rsidR="00B269DB" w:rsidRPr="00B269DB">
        <w:rPr>
          <w:sz w:val="22"/>
          <w:szCs w:val="22"/>
        </w:rPr>
        <w:t>tou: “</w:t>
      </w:r>
      <w:r w:rsidR="00B269DB" w:rsidRPr="00B269DB">
        <w:rPr>
          <w:i/>
          <w:iCs/>
          <w:sz w:val="22"/>
          <w:szCs w:val="22"/>
        </w:rPr>
        <w:t>há pacífica jurisprudência do TCU no sentido de que, nos termos do art. 3º, da Lei 10.520/2002, a Administração não está obrigada a anexar ao edital o orçamento de referência que elaborou na fase interna da licitação. Este deve constar, obrigatoriamente, apenas dos autos do processo administrativo referente à licitação. Nesse último caso, deve constar do instrumento convocatório a informação sobre os meios pelos quais os interessados poderão ter acesso ao documento. Dentre muitos outros nessa linha, cite</w:t>
      </w:r>
      <w:r w:rsidR="00D60BB3">
        <w:rPr>
          <w:i/>
          <w:iCs/>
          <w:sz w:val="22"/>
          <w:szCs w:val="22"/>
        </w:rPr>
        <w:t>m</w:t>
      </w:r>
      <w:r w:rsidR="00B269DB" w:rsidRPr="00B269DB">
        <w:rPr>
          <w:i/>
          <w:iCs/>
          <w:sz w:val="22"/>
          <w:szCs w:val="22"/>
        </w:rPr>
        <w:t>-se os Acórdãos 1.248/2009, 114/2007 e 1935/2006, todos do Plenário.</w:t>
      </w:r>
      <w:r w:rsidRPr="00B269DB">
        <w:rPr>
          <w:sz w:val="22"/>
          <w:szCs w:val="22"/>
        </w:rPr>
        <w:t>”</w:t>
      </w:r>
      <w:r w:rsidR="00B269DB" w:rsidRPr="00B269DB">
        <w:rPr>
          <w:sz w:val="22"/>
          <w:szCs w:val="22"/>
        </w:rPr>
        <w:t xml:space="preserve"> O relator, por sua vez, ressaltou que, a</w:t>
      </w:r>
      <w:r w:rsidRPr="00B269DB">
        <w:rPr>
          <w:sz w:val="22"/>
          <w:szCs w:val="22"/>
        </w:rPr>
        <w:t xml:space="preserve"> despeito de a publicidade ser “</w:t>
      </w:r>
      <w:r w:rsidRPr="00B269DB">
        <w:rPr>
          <w:i/>
          <w:sz w:val="22"/>
          <w:szCs w:val="22"/>
        </w:rPr>
        <w:t>imperativa na Administração Pública</w:t>
      </w:r>
      <w:r w:rsidRPr="00B269DB">
        <w:rPr>
          <w:sz w:val="22"/>
          <w:szCs w:val="22"/>
        </w:rPr>
        <w:t>”, em situações similares à ora examinada, “</w:t>
      </w:r>
      <w:r w:rsidRPr="00B269DB">
        <w:rPr>
          <w:i/>
          <w:sz w:val="22"/>
          <w:szCs w:val="22"/>
        </w:rPr>
        <w:t>o acesso ao referido orçamento colidiria com outros princípios não menos importantes, como o da busca da proposta mais vantajosa para a administração</w:t>
      </w:r>
      <w:r w:rsidR="00D60BB3">
        <w:rPr>
          <w:i/>
          <w:sz w:val="22"/>
          <w:szCs w:val="22"/>
        </w:rPr>
        <w:t>...</w:t>
      </w:r>
      <w:r w:rsidR="00D60BB3">
        <w:rPr>
          <w:sz w:val="22"/>
          <w:szCs w:val="22"/>
        </w:rPr>
        <w:t>”</w:t>
      </w:r>
      <w:r w:rsidRPr="00B269DB">
        <w:rPr>
          <w:sz w:val="22"/>
          <w:szCs w:val="22"/>
        </w:rPr>
        <w:t xml:space="preserve">. </w:t>
      </w:r>
      <w:r w:rsidR="00B269DB" w:rsidRPr="00B269DB">
        <w:rPr>
          <w:sz w:val="22"/>
          <w:szCs w:val="22"/>
        </w:rPr>
        <w:t xml:space="preserve"> E mais:</w:t>
      </w:r>
      <w:r w:rsidRPr="00B269DB">
        <w:rPr>
          <w:sz w:val="22"/>
          <w:szCs w:val="22"/>
        </w:rPr>
        <w:t xml:space="preserve"> a manutenção do sigilo do orçamento estimativo tem-se revelado benéfica para a Administração, “</w:t>
      </w:r>
      <w:r w:rsidRPr="00B269DB">
        <w:rPr>
          <w:i/>
          <w:sz w:val="22"/>
          <w:szCs w:val="22"/>
        </w:rPr>
        <w:t>com a redução dos preços das contratações, já que incentiva a competitividade entre os licitantes, evitando assim que os concorrentes limitem suas ofertas aos valores previamente cotados pela Administração</w:t>
      </w:r>
      <w:r w:rsidRPr="00B269DB">
        <w:rPr>
          <w:sz w:val="22"/>
          <w:szCs w:val="22"/>
        </w:rPr>
        <w:t xml:space="preserve">”. Lembrou que o procedimento adotado ajusta-se </w:t>
      </w:r>
      <w:r w:rsidR="00EC61FC">
        <w:rPr>
          <w:sz w:val="22"/>
          <w:szCs w:val="22"/>
        </w:rPr>
        <w:t>à</w:t>
      </w:r>
      <w:r w:rsidRPr="00B269DB">
        <w:rPr>
          <w:sz w:val="22"/>
          <w:szCs w:val="22"/>
        </w:rPr>
        <w:t xml:space="preserve"> recomendação efetuada pelo Tribunal </w:t>
      </w:r>
      <w:r w:rsidR="00EC61FC">
        <w:rPr>
          <w:sz w:val="22"/>
          <w:szCs w:val="22"/>
        </w:rPr>
        <w:t xml:space="preserve">ao FNDE </w:t>
      </w:r>
      <w:r w:rsidRPr="00B269DB">
        <w:rPr>
          <w:sz w:val="22"/>
          <w:szCs w:val="22"/>
        </w:rPr>
        <w:t xml:space="preserve">por meio Acórdão 1789/2009 – Plenário. O </w:t>
      </w:r>
      <w:r w:rsidR="00B269DB" w:rsidRPr="00B269DB">
        <w:rPr>
          <w:sz w:val="22"/>
          <w:szCs w:val="22"/>
        </w:rPr>
        <w:t>r</w:t>
      </w:r>
      <w:r w:rsidRPr="00B269DB">
        <w:rPr>
          <w:sz w:val="22"/>
          <w:szCs w:val="22"/>
        </w:rPr>
        <w:t xml:space="preserve">elator, então, considerou inexistir vício no procedimento </w:t>
      </w:r>
      <w:r w:rsidR="009355A2" w:rsidRPr="00B269DB">
        <w:rPr>
          <w:sz w:val="22"/>
          <w:szCs w:val="22"/>
        </w:rPr>
        <w:t>acima descrito</w:t>
      </w:r>
      <w:r w:rsidR="00996716">
        <w:rPr>
          <w:sz w:val="22"/>
          <w:szCs w:val="22"/>
        </w:rPr>
        <w:t>.</w:t>
      </w:r>
      <w:r w:rsidRPr="00B269DB">
        <w:rPr>
          <w:sz w:val="22"/>
          <w:szCs w:val="22"/>
        </w:rPr>
        <w:t xml:space="preserve"> O Tribunal, ao endoss</w:t>
      </w:r>
      <w:r w:rsidR="00996716">
        <w:rPr>
          <w:sz w:val="22"/>
          <w:szCs w:val="22"/>
        </w:rPr>
        <w:t xml:space="preserve">ou esse entendimento. </w:t>
      </w:r>
      <w:r w:rsidR="00B269DB" w:rsidRPr="00B269DB">
        <w:rPr>
          <w:sz w:val="22"/>
          <w:szCs w:val="22"/>
        </w:rPr>
        <w:t xml:space="preserve">Precedentes mencionados: </w:t>
      </w:r>
      <w:r w:rsidR="00B269DB" w:rsidRPr="00B269DB">
        <w:rPr>
          <w:iCs/>
          <w:sz w:val="22"/>
          <w:szCs w:val="22"/>
        </w:rPr>
        <w:t xml:space="preserve">Acórdãos </w:t>
      </w:r>
      <w:r w:rsidR="00B269DB">
        <w:rPr>
          <w:iCs/>
          <w:sz w:val="22"/>
          <w:szCs w:val="22"/>
        </w:rPr>
        <w:t>n</w:t>
      </w:r>
      <w:r w:rsidR="00AA7779">
        <w:rPr>
          <w:iCs/>
          <w:sz w:val="22"/>
          <w:szCs w:val="22"/>
        </w:rPr>
        <w:t>.</w:t>
      </w:r>
      <w:r w:rsidR="00B269DB">
        <w:rPr>
          <w:iCs/>
          <w:sz w:val="22"/>
          <w:szCs w:val="22"/>
        </w:rPr>
        <w:t xml:space="preserve">ºs </w:t>
      </w:r>
      <w:r w:rsidR="00B269DB" w:rsidRPr="00B269DB">
        <w:rPr>
          <w:iCs/>
          <w:sz w:val="22"/>
          <w:szCs w:val="22"/>
        </w:rPr>
        <w:t>1.248/2009, 114/2007 e 1935/2006, todos do Plenário</w:t>
      </w:r>
      <w:r w:rsidR="00AB38AD">
        <w:rPr>
          <w:iCs/>
          <w:sz w:val="22"/>
          <w:szCs w:val="22"/>
        </w:rPr>
        <w:t>.</w:t>
      </w:r>
      <w:r w:rsidR="00B269DB" w:rsidRPr="00B269DB">
        <w:rPr>
          <w:b/>
          <w:i/>
          <w:sz w:val="22"/>
          <w:szCs w:val="22"/>
        </w:rPr>
        <w:t xml:space="preserve"> </w:t>
      </w:r>
      <w:r w:rsidRPr="00B269DB">
        <w:rPr>
          <w:b/>
          <w:i/>
          <w:sz w:val="22"/>
          <w:szCs w:val="22"/>
        </w:rPr>
        <w:t>Acórdão n.º</w:t>
      </w:r>
      <w:r w:rsidR="00B269DB">
        <w:rPr>
          <w:b/>
          <w:i/>
          <w:sz w:val="22"/>
          <w:szCs w:val="22"/>
        </w:rPr>
        <w:t xml:space="preserve"> 2080</w:t>
      </w:r>
      <w:r w:rsidRPr="00B269DB">
        <w:rPr>
          <w:b/>
          <w:i/>
          <w:sz w:val="22"/>
          <w:szCs w:val="22"/>
        </w:rPr>
        <w:t>/2012-Plenário, TC-020.473/2012-5, rel. Min. José Jorge, 8.8.2012.</w:t>
      </w:r>
    </w:p>
    <w:p w:rsidR="004B186B" w:rsidRDefault="004B186B" w:rsidP="004B186B">
      <w:pPr>
        <w:pStyle w:val="Default"/>
        <w:jc w:val="both"/>
        <w:rPr>
          <w:b/>
          <w:sz w:val="22"/>
          <w:szCs w:val="22"/>
        </w:rPr>
      </w:pPr>
    </w:p>
    <w:p w:rsidR="00996716" w:rsidRDefault="004B186B" w:rsidP="004B186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996716" w:rsidRPr="00D078A1">
        <w:rPr>
          <w:b/>
          <w:sz w:val="22"/>
          <w:szCs w:val="22"/>
        </w:rPr>
        <w:t xml:space="preserve">. </w:t>
      </w:r>
      <w:r w:rsidR="00996716" w:rsidRPr="00874DB9">
        <w:rPr>
          <w:b/>
          <w:sz w:val="22"/>
          <w:szCs w:val="22"/>
        </w:rPr>
        <w:t>A verificação dos preços unitários de orçamento base para licitação de obra pública sob o regime de execução de empreitada por preço unitário não admite compensações entre sobrepreços e subpreços de seus itens</w:t>
      </w:r>
    </w:p>
    <w:p w:rsidR="00996716" w:rsidRDefault="00996716" w:rsidP="00996716">
      <w:pPr>
        <w:pStyle w:val="Default"/>
        <w:jc w:val="both"/>
        <w:rPr>
          <w:b/>
          <w:i/>
          <w:color w:val="auto"/>
          <w:sz w:val="22"/>
          <w:szCs w:val="22"/>
        </w:rPr>
      </w:pPr>
      <w:r>
        <w:rPr>
          <w:sz w:val="22"/>
          <w:szCs w:val="22"/>
        </w:rPr>
        <w:t>R</w:t>
      </w:r>
      <w:r w:rsidRPr="0094541F">
        <w:rPr>
          <w:sz w:val="22"/>
          <w:szCs w:val="22"/>
        </w:rPr>
        <w:t>epresentação de</w:t>
      </w:r>
      <w:r>
        <w:rPr>
          <w:sz w:val="22"/>
          <w:szCs w:val="22"/>
        </w:rPr>
        <w:t xml:space="preserve"> </w:t>
      </w:r>
      <w:r w:rsidRPr="0094541F">
        <w:rPr>
          <w:sz w:val="22"/>
          <w:szCs w:val="22"/>
        </w:rPr>
        <w:t xml:space="preserve">secretaria </w:t>
      </w:r>
      <w:r>
        <w:rPr>
          <w:sz w:val="22"/>
          <w:szCs w:val="22"/>
        </w:rPr>
        <w:t xml:space="preserve">do Tribunal </w:t>
      </w:r>
      <w:r w:rsidRPr="0094541F">
        <w:rPr>
          <w:sz w:val="22"/>
          <w:szCs w:val="22"/>
        </w:rPr>
        <w:t>especializada na fiscalização de obras</w:t>
      </w:r>
      <w:r w:rsidRPr="0094541F">
        <w:rPr>
          <w:iCs/>
          <w:sz w:val="22"/>
          <w:szCs w:val="22"/>
        </w:rPr>
        <w:t xml:space="preserve"> apontou possíveis irregularidades </w:t>
      </w:r>
      <w:r w:rsidRPr="0094541F">
        <w:rPr>
          <w:sz w:val="22"/>
          <w:szCs w:val="22"/>
        </w:rPr>
        <w:t>no edital da Concorrência 1/2012 – TRE/RJ</w:t>
      </w:r>
      <w:r>
        <w:rPr>
          <w:sz w:val="22"/>
          <w:szCs w:val="22"/>
        </w:rPr>
        <w:t xml:space="preserve">, </w:t>
      </w:r>
      <w:r w:rsidRPr="0094541F">
        <w:rPr>
          <w:iCs/>
          <w:sz w:val="22"/>
          <w:szCs w:val="22"/>
        </w:rPr>
        <w:t xml:space="preserve">lançado pelo </w:t>
      </w:r>
      <w:r w:rsidRPr="0094541F">
        <w:rPr>
          <w:sz w:val="22"/>
          <w:szCs w:val="22"/>
        </w:rPr>
        <w:t>Tribunal Regional Eleitoral do Estado do Rio de Janeiro</w:t>
      </w:r>
      <w:r w:rsidRPr="0094541F">
        <w:rPr>
          <w:iCs/>
          <w:sz w:val="22"/>
          <w:szCs w:val="22"/>
        </w:rPr>
        <w:t xml:space="preserve"> para contratação </w:t>
      </w:r>
      <w:r w:rsidRPr="0094541F">
        <w:rPr>
          <w:sz w:val="22"/>
          <w:szCs w:val="22"/>
        </w:rPr>
        <w:t>das obras de construção do edifício-sede desse órgão</w:t>
      </w:r>
      <w:r>
        <w:rPr>
          <w:sz w:val="22"/>
          <w:szCs w:val="22"/>
        </w:rPr>
        <w:t xml:space="preserve">, do tipo menor preço. O </w:t>
      </w:r>
      <w:r w:rsidRPr="00B56DFF">
        <w:rPr>
          <w:sz w:val="22"/>
          <w:szCs w:val="22"/>
        </w:rPr>
        <w:t xml:space="preserve">regime de execução </w:t>
      </w:r>
      <w:r>
        <w:rPr>
          <w:sz w:val="22"/>
          <w:szCs w:val="22"/>
        </w:rPr>
        <w:t xml:space="preserve">previsto é o de </w:t>
      </w:r>
      <w:r w:rsidRPr="00B56DFF">
        <w:rPr>
          <w:sz w:val="22"/>
          <w:szCs w:val="22"/>
        </w:rPr>
        <w:t>empreitada por preço unitário</w:t>
      </w:r>
      <w:r w:rsidRPr="0094541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Foram identificados </w:t>
      </w:r>
      <w:r w:rsidRPr="0094541F">
        <w:rPr>
          <w:sz w:val="22"/>
          <w:szCs w:val="22"/>
        </w:rPr>
        <w:t>indícios de</w:t>
      </w:r>
      <w:r>
        <w:rPr>
          <w:sz w:val="22"/>
          <w:szCs w:val="22"/>
        </w:rPr>
        <w:t>:</w:t>
      </w:r>
      <w:r w:rsidRPr="0094541F">
        <w:rPr>
          <w:sz w:val="22"/>
          <w:szCs w:val="22"/>
        </w:rPr>
        <w:t xml:space="preserve"> I) falhas no projeto básico; II) sobrepreço no orçamento base da licitação, III) inexistência de licença ambiental prévia; IV) restrição à competitividade decorrente de excessivas exigências técnicas para habilitaçã</w:t>
      </w:r>
      <w:r>
        <w:rPr>
          <w:sz w:val="22"/>
          <w:szCs w:val="22"/>
        </w:rPr>
        <w:t>o. Em face dessas ocorrências</w:t>
      </w:r>
      <w:r w:rsidRPr="0094541F">
        <w:rPr>
          <w:sz w:val="22"/>
          <w:szCs w:val="22"/>
        </w:rPr>
        <w:t xml:space="preserve">, a relatora determinou a suspensão cautelar do certame e </w:t>
      </w:r>
      <w:r>
        <w:rPr>
          <w:sz w:val="22"/>
          <w:szCs w:val="22"/>
        </w:rPr>
        <w:t xml:space="preserve">a </w:t>
      </w:r>
      <w:r w:rsidRPr="0094541F">
        <w:rPr>
          <w:sz w:val="22"/>
          <w:szCs w:val="22"/>
        </w:rPr>
        <w:t xml:space="preserve">oitiva do TRE/RJ. Ao examinar os elementos apresentados por aquele órgão, a unidade técnica considerou subsistirem os vícios apurados. Destaque-se, entre </w:t>
      </w:r>
      <w:r>
        <w:rPr>
          <w:sz w:val="22"/>
          <w:szCs w:val="22"/>
        </w:rPr>
        <w:t>elas, a irregularidade do</w:t>
      </w:r>
      <w:r w:rsidRPr="0094541F">
        <w:rPr>
          <w:sz w:val="22"/>
          <w:szCs w:val="22"/>
        </w:rPr>
        <w:t xml:space="preserve"> orçament</w:t>
      </w:r>
      <w:r>
        <w:rPr>
          <w:sz w:val="22"/>
          <w:szCs w:val="22"/>
        </w:rPr>
        <w:t xml:space="preserve">o base da licitação, </w:t>
      </w:r>
      <w:r w:rsidRPr="0094541F">
        <w:rPr>
          <w:sz w:val="22"/>
          <w:szCs w:val="22"/>
        </w:rPr>
        <w:t>que result</w:t>
      </w:r>
      <w:r>
        <w:rPr>
          <w:sz w:val="22"/>
          <w:szCs w:val="22"/>
        </w:rPr>
        <w:t>ou e</w:t>
      </w:r>
      <w:r w:rsidRPr="0094541F">
        <w:rPr>
          <w:sz w:val="22"/>
          <w:szCs w:val="22"/>
        </w:rPr>
        <w:t xml:space="preserve">m sobrepreço de quase 9% </w:t>
      </w:r>
      <w:r>
        <w:rPr>
          <w:sz w:val="22"/>
          <w:szCs w:val="22"/>
        </w:rPr>
        <w:t xml:space="preserve">em relação ao </w:t>
      </w:r>
      <w:r w:rsidRPr="0094541F">
        <w:rPr>
          <w:sz w:val="22"/>
          <w:szCs w:val="22"/>
        </w:rPr>
        <w:t xml:space="preserve">valor </w:t>
      </w:r>
      <w:r>
        <w:rPr>
          <w:sz w:val="22"/>
          <w:szCs w:val="22"/>
        </w:rPr>
        <w:t>do orçamento de referência</w:t>
      </w:r>
      <w:r w:rsidRPr="0094541F">
        <w:rPr>
          <w:sz w:val="22"/>
          <w:szCs w:val="22"/>
        </w:rPr>
        <w:t xml:space="preserve">. </w:t>
      </w:r>
      <w:r>
        <w:rPr>
          <w:sz w:val="22"/>
          <w:szCs w:val="22"/>
        </w:rPr>
        <w:t>A unidade técnica ressaltou, a esse respeito, que: “</w:t>
      </w:r>
      <w:r w:rsidRPr="00C06374">
        <w:rPr>
          <w:i/>
          <w:sz w:val="22"/>
          <w:szCs w:val="22"/>
        </w:rPr>
        <w:t>A metodologia foi baseada no critério de aceitabilidade de preços unitários, que possui como característica determinante a não admissão de compensação de sobrepreços unitários de alguns serviços com subpreços unitários de outros</w:t>
      </w:r>
      <w:r>
        <w:rPr>
          <w:sz w:val="22"/>
          <w:szCs w:val="22"/>
        </w:rPr>
        <w:t xml:space="preserve">”. </w:t>
      </w:r>
      <w:r w:rsidRPr="0094541F">
        <w:rPr>
          <w:sz w:val="22"/>
          <w:szCs w:val="22"/>
        </w:rPr>
        <w:t>A relatora endossou tal entendimento. Observou, a esse respeito, que, “</w:t>
      </w:r>
      <w:r w:rsidRPr="0094541F">
        <w:rPr>
          <w:i/>
          <w:sz w:val="22"/>
          <w:szCs w:val="22"/>
        </w:rPr>
        <w:t>na fase licitatória, essa sistemática de verificação dos preços consagra a exigência das leis de diretrizes orçamentárias de que as tabelas referenciais, notadamente Sicro e Sinapi, sejam os preços máximos adotados pela Administração Pública em suas licitações</w:t>
      </w:r>
      <w:r w:rsidRPr="0094541F">
        <w:rPr>
          <w:sz w:val="22"/>
          <w:szCs w:val="22"/>
        </w:rPr>
        <w:t>”. Acrescentou que tal metodologia harmoniza-se com o entendimento fixado na Súmula 259 do Tribunal, que sinaliza ser “</w:t>
      </w:r>
      <w:r w:rsidRPr="00E859B8">
        <w:rPr>
          <w:i/>
          <w:sz w:val="22"/>
          <w:szCs w:val="22"/>
        </w:rPr>
        <w:t>obrigação do gestor fixar critério de aceitabilidade de preços unitários</w:t>
      </w:r>
      <w:r w:rsidRPr="0094541F">
        <w:rPr>
          <w:sz w:val="22"/>
          <w:szCs w:val="22"/>
        </w:rPr>
        <w:t>”. O TRE/RJ, posteriormente a remessa dos referidos esclarecimentos</w:t>
      </w:r>
      <w:r>
        <w:rPr>
          <w:sz w:val="22"/>
          <w:szCs w:val="22"/>
        </w:rPr>
        <w:t xml:space="preserve"> ao TCU</w:t>
      </w:r>
      <w:r w:rsidRPr="0094541F">
        <w:rPr>
          <w:sz w:val="22"/>
          <w:szCs w:val="22"/>
        </w:rPr>
        <w:t>, decidiu anul</w:t>
      </w:r>
      <w:r>
        <w:rPr>
          <w:sz w:val="22"/>
          <w:szCs w:val="22"/>
        </w:rPr>
        <w:t xml:space="preserve">ar </w:t>
      </w:r>
      <w:r w:rsidRPr="0094541F">
        <w:rPr>
          <w:sz w:val="22"/>
          <w:szCs w:val="22"/>
        </w:rPr>
        <w:t xml:space="preserve">a </w:t>
      </w:r>
      <w:r>
        <w:rPr>
          <w:sz w:val="22"/>
          <w:szCs w:val="22"/>
        </w:rPr>
        <w:t>C</w:t>
      </w:r>
      <w:r w:rsidRPr="0094541F">
        <w:rPr>
          <w:sz w:val="22"/>
          <w:szCs w:val="22"/>
        </w:rPr>
        <w:t xml:space="preserve">oncorrência 1/2012 e informou que a republicação do certame se dará de forma a sanear as inconsistências apontadas </w:t>
      </w:r>
      <w:r>
        <w:rPr>
          <w:sz w:val="22"/>
          <w:szCs w:val="22"/>
        </w:rPr>
        <w:t>na representação</w:t>
      </w:r>
      <w:r w:rsidRPr="0094541F">
        <w:rPr>
          <w:sz w:val="22"/>
          <w:szCs w:val="22"/>
        </w:rPr>
        <w:t>. O Tribunal, então, ao acolher proposta da relatora decidiu: “</w:t>
      </w:r>
      <w:r w:rsidRPr="0094541F">
        <w:rPr>
          <w:i/>
          <w:sz w:val="22"/>
          <w:szCs w:val="22"/>
        </w:rPr>
        <w:t>determinar à 1ª Secretaria de Fiscalização de Obras que acompanhe a publicação do novo edital para construção do edifício-sede do TRE/RJ</w:t>
      </w:r>
      <w:r w:rsidRPr="0094541F">
        <w:rPr>
          <w:sz w:val="22"/>
          <w:szCs w:val="22"/>
        </w:rPr>
        <w:t xml:space="preserve">”. </w:t>
      </w:r>
      <w:r w:rsidRPr="00617982">
        <w:rPr>
          <w:b/>
          <w:i/>
          <w:color w:val="auto"/>
          <w:sz w:val="22"/>
          <w:szCs w:val="22"/>
        </w:rPr>
        <w:t>Acórdão n.º 2086/2012-Plenário, TC-</w:t>
      </w:r>
      <w:r w:rsidRPr="00617982">
        <w:rPr>
          <w:b/>
          <w:i/>
          <w:sz w:val="22"/>
          <w:szCs w:val="22"/>
        </w:rPr>
        <w:t xml:space="preserve"> 017.008/2012-3</w:t>
      </w:r>
      <w:r w:rsidRPr="00617982">
        <w:rPr>
          <w:b/>
          <w:i/>
          <w:color w:val="auto"/>
          <w:sz w:val="22"/>
          <w:szCs w:val="22"/>
        </w:rPr>
        <w:t>, rel. Min. Ana Arraes, 8.8.2012.</w:t>
      </w:r>
    </w:p>
    <w:p w:rsidR="00996716" w:rsidRPr="00996716" w:rsidRDefault="00996716" w:rsidP="00996716">
      <w:pPr>
        <w:pStyle w:val="Default"/>
        <w:jc w:val="both"/>
        <w:rPr>
          <w:sz w:val="22"/>
          <w:szCs w:val="22"/>
        </w:rPr>
      </w:pPr>
    </w:p>
    <w:p w:rsidR="00917A34" w:rsidRPr="002864FC" w:rsidRDefault="004B186B" w:rsidP="00B1231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17982" w:rsidRPr="00286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A</w:t>
      </w:r>
      <w:r w:rsidR="002864FC" w:rsidRPr="002864FC">
        <w:rPr>
          <w:b/>
          <w:sz w:val="22"/>
          <w:szCs w:val="22"/>
        </w:rPr>
        <w:t xml:space="preserve"> </w:t>
      </w:r>
      <w:r w:rsidR="00996716">
        <w:rPr>
          <w:b/>
          <w:sz w:val="22"/>
          <w:szCs w:val="22"/>
        </w:rPr>
        <w:t xml:space="preserve">defesa de </w:t>
      </w:r>
      <w:r w:rsidR="002864FC" w:rsidRPr="002864FC">
        <w:rPr>
          <w:b/>
          <w:sz w:val="22"/>
          <w:szCs w:val="22"/>
        </w:rPr>
        <w:t>entidade de fiscalização do exercício profissional</w:t>
      </w:r>
      <w:r w:rsidR="00996716">
        <w:rPr>
          <w:b/>
          <w:sz w:val="22"/>
          <w:szCs w:val="22"/>
        </w:rPr>
        <w:t xml:space="preserve">, em causa trabalhista, </w:t>
      </w:r>
      <w:r w:rsidR="002864FC" w:rsidRPr="002864FC">
        <w:rPr>
          <w:b/>
          <w:sz w:val="22"/>
          <w:szCs w:val="22"/>
        </w:rPr>
        <w:t>não pode ser contratad</w:t>
      </w:r>
      <w:r w:rsidR="00996716">
        <w:rPr>
          <w:b/>
          <w:sz w:val="22"/>
          <w:szCs w:val="22"/>
        </w:rPr>
        <w:t>a</w:t>
      </w:r>
      <w:r w:rsidR="002864FC" w:rsidRPr="002864FC">
        <w:rPr>
          <w:b/>
          <w:sz w:val="22"/>
          <w:szCs w:val="22"/>
        </w:rPr>
        <w:t xml:space="preserve"> diretamente, sob o fundamento de inexigibilidade de licitação, visto que tal objeto não possui natureza singular</w:t>
      </w:r>
      <w:r w:rsidR="00A5485E" w:rsidRPr="002864FC">
        <w:rPr>
          <w:b/>
          <w:sz w:val="22"/>
          <w:szCs w:val="22"/>
        </w:rPr>
        <w:t xml:space="preserve"> </w:t>
      </w:r>
      <w:r w:rsidR="00917A34" w:rsidRPr="002864FC">
        <w:rPr>
          <w:b/>
          <w:sz w:val="22"/>
          <w:szCs w:val="22"/>
        </w:rPr>
        <w:t xml:space="preserve"> </w:t>
      </w:r>
    </w:p>
    <w:p w:rsidR="00294F77" w:rsidRPr="0094541F" w:rsidRDefault="00294F77" w:rsidP="00B1231B">
      <w:pPr>
        <w:pStyle w:val="Default"/>
        <w:jc w:val="both"/>
        <w:rPr>
          <w:sz w:val="22"/>
          <w:szCs w:val="22"/>
        </w:rPr>
      </w:pPr>
      <w:r w:rsidRPr="0094541F">
        <w:rPr>
          <w:sz w:val="22"/>
          <w:szCs w:val="22"/>
        </w:rPr>
        <w:t xml:space="preserve">Denúncia apontou </w:t>
      </w:r>
      <w:r w:rsidR="009E0931">
        <w:rPr>
          <w:sz w:val="22"/>
          <w:szCs w:val="22"/>
        </w:rPr>
        <w:t xml:space="preserve">possíveis </w:t>
      </w:r>
      <w:r w:rsidRPr="0094541F">
        <w:rPr>
          <w:sz w:val="22"/>
          <w:szCs w:val="22"/>
        </w:rPr>
        <w:t>irregularidade</w:t>
      </w:r>
      <w:r w:rsidR="009E0931">
        <w:rPr>
          <w:sz w:val="22"/>
          <w:szCs w:val="22"/>
        </w:rPr>
        <w:t>s</w:t>
      </w:r>
      <w:r w:rsidRPr="0094541F">
        <w:rPr>
          <w:sz w:val="22"/>
          <w:szCs w:val="22"/>
        </w:rPr>
        <w:t xml:space="preserve"> praticada</w:t>
      </w:r>
      <w:r w:rsidR="009E0931">
        <w:rPr>
          <w:sz w:val="22"/>
          <w:szCs w:val="22"/>
        </w:rPr>
        <w:t>s</w:t>
      </w:r>
      <w:r w:rsidRPr="0094541F">
        <w:rPr>
          <w:sz w:val="22"/>
          <w:szCs w:val="22"/>
        </w:rPr>
        <w:t xml:space="preserve"> </w:t>
      </w:r>
      <w:r w:rsidR="009E0931">
        <w:rPr>
          <w:sz w:val="22"/>
          <w:szCs w:val="22"/>
        </w:rPr>
        <w:t>no âmbito d</w:t>
      </w:r>
      <w:r w:rsidRPr="0094541F">
        <w:rPr>
          <w:sz w:val="22"/>
          <w:szCs w:val="22"/>
        </w:rPr>
        <w:t>o Conselho Federal de Farmácia</w:t>
      </w:r>
      <w:r w:rsidR="009E0931">
        <w:rPr>
          <w:sz w:val="22"/>
          <w:szCs w:val="22"/>
        </w:rPr>
        <w:t>, quando</w:t>
      </w:r>
      <w:r w:rsidRPr="0094541F">
        <w:rPr>
          <w:sz w:val="22"/>
          <w:szCs w:val="22"/>
        </w:rPr>
        <w:t xml:space="preserve"> </w:t>
      </w:r>
      <w:r w:rsidR="009E0931">
        <w:rPr>
          <w:sz w:val="22"/>
          <w:szCs w:val="22"/>
        </w:rPr>
        <w:t>d</w:t>
      </w:r>
      <w:r w:rsidRPr="0094541F">
        <w:rPr>
          <w:sz w:val="22"/>
          <w:szCs w:val="22"/>
        </w:rPr>
        <w:t xml:space="preserve">a celebração do Contrato n. 10/2011 com escritório de advocacia, no valor de R$ 20.000,00, </w:t>
      </w:r>
      <w:r w:rsidR="00732F41">
        <w:rPr>
          <w:sz w:val="22"/>
          <w:szCs w:val="22"/>
        </w:rPr>
        <w:t xml:space="preserve">para </w:t>
      </w:r>
      <w:r w:rsidRPr="0094541F">
        <w:rPr>
          <w:sz w:val="22"/>
          <w:szCs w:val="22"/>
        </w:rPr>
        <w:t>promover defesa em ação trabalhista movida por ex-</w:t>
      </w:r>
      <w:r w:rsidR="009E0931">
        <w:rPr>
          <w:sz w:val="22"/>
          <w:szCs w:val="22"/>
        </w:rPr>
        <w:t>p</w:t>
      </w:r>
      <w:r w:rsidRPr="0094541F">
        <w:rPr>
          <w:sz w:val="22"/>
          <w:szCs w:val="22"/>
        </w:rPr>
        <w:t>rocurador</w:t>
      </w:r>
      <w:r w:rsidR="009E0931">
        <w:rPr>
          <w:sz w:val="22"/>
          <w:szCs w:val="22"/>
        </w:rPr>
        <w:t xml:space="preserve"> da entidade.</w:t>
      </w:r>
      <w:r w:rsidRPr="0094541F">
        <w:rPr>
          <w:sz w:val="22"/>
          <w:szCs w:val="22"/>
        </w:rPr>
        <w:t xml:space="preserve"> </w:t>
      </w:r>
      <w:r w:rsidR="00857554" w:rsidRPr="0094541F">
        <w:rPr>
          <w:sz w:val="22"/>
          <w:szCs w:val="22"/>
        </w:rPr>
        <w:t xml:space="preserve">O presidente do Conselho </w:t>
      </w:r>
      <w:r w:rsidR="009C656F" w:rsidRPr="0094541F">
        <w:rPr>
          <w:sz w:val="22"/>
          <w:szCs w:val="22"/>
        </w:rPr>
        <w:t xml:space="preserve">foi ouvido em </w:t>
      </w:r>
      <w:r w:rsidRPr="0094541F">
        <w:rPr>
          <w:sz w:val="22"/>
          <w:szCs w:val="22"/>
        </w:rPr>
        <w:t>audiência</w:t>
      </w:r>
      <w:r w:rsidR="009C656F" w:rsidRPr="0094541F">
        <w:rPr>
          <w:sz w:val="22"/>
          <w:szCs w:val="22"/>
        </w:rPr>
        <w:t xml:space="preserve"> por</w:t>
      </w:r>
      <w:r w:rsidRPr="0094541F">
        <w:rPr>
          <w:sz w:val="22"/>
          <w:szCs w:val="22"/>
        </w:rPr>
        <w:t>:</w:t>
      </w:r>
      <w:r w:rsidR="009C656F" w:rsidRPr="0094541F">
        <w:rPr>
          <w:sz w:val="22"/>
          <w:szCs w:val="22"/>
        </w:rPr>
        <w:t xml:space="preserve"> I) contratação de serviço que deveria ser prestado pela </w:t>
      </w:r>
      <w:r w:rsidR="00732F41">
        <w:rPr>
          <w:sz w:val="22"/>
          <w:szCs w:val="22"/>
        </w:rPr>
        <w:t>c</w:t>
      </w:r>
      <w:r w:rsidRPr="0094541F">
        <w:rPr>
          <w:sz w:val="22"/>
          <w:szCs w:val="22"/>
        </w:rPr>
        <w:t xml:space="preserve">onsultoria </w:t>
      </w:r>
      <w:r w:rsidR="00732F41">
        <w:rPr>
          <w:sz w:val="22"/>
          <w:szCs w:val="22"/>
        </w:rPr>
        <w:t>j</w:t>
      </w:r>
      <w:r w:rsidRPr="0094541F">
        <w:rPr>
          <w:sz w:val="22"/>
          <w:szCs w:val="22"/>
        </w:rPr>
        <w:t>urídica da</w:t>
      </w:r>
      <w:r w:rsidR="009C656F" w:rsidRPr="0094541F">
        <w:rPr>
          <w:sz w:val="22"/>
          <w:szCs w:val="22"/>
        </w:rPr>
        <w:t xml:space="preserve"> entidade, conforme disposto em regulamento interno</w:t>
      </w:r>
      <w:r w:rsidR="00F333D8">
        <w:rPr>
          <w:sz w:val="22"/>
          <w:szCs w:val="22"/>
        </w:rPr>
        <w:t>;</w:t>
      </w:r>
      <w:r w:rsidR="009C656F" w:rsidRPr="0094541F">
        <w:rPr>
          <w:sz w:val="22"/>
          <w:szCs w:val="22"/>
        </w:rPr>
        <w:t xml:space="preserve"> II) contratação direta sem observância do disposto no </w:t>
      </w:r>
      <w:r w:rsidRPr="0094541F">
        <w:rPr>
          <w:sz w:val="22"/>
          <w:szCs w:val="22"/>
        </w:rPr>
        <w:t xml:space="preserve">art. 25, inciso II, da Lei n. 8.666/1993, </w:t>
      </w:r>
      <w:r w:rsidR="009C656F" w:rsidRPr="0094541F">
        <w:rPr>
          <w:sz w:val="22"/>
          <w:szCs w:val="22"/>
        </w:rPr>
        <w:t xml:space="preserve">visto que </w:t>
      </w:r>
      <w:r w:rsidRPr="0094541F">
        <w:rPr>
          <w:sz w:val="22"/>
          <w:szCs w:val="22"/>
        </w:rPr>
        <w:t>os serviços contratados não teriam natureza singular</w:t>
      </w:r>
      <w:r w:rsidR="009C656F" w:rsidRPr="0094541F">
        <w:rPr>
          <w:sz w:val="22"/>
          <w:szCs w:val="22"/>
        </w:rPr>
        <w:t xml:space="preserve">. O </w:t>
      </w:r>
      <w:r w:rsidR="00617982">
        <w:rPr>
          <w:sz w:val="22"/>
          <w:szCs w:val="22"/>
        </w:rPr>
        <w:t>r</w:t>
      </w:r>
      <w:r w:rsidR="009C656F" w:rsidRPr="0094541F">
        <w:rPr>
          <w:sz w:val="22"/>
          <w:szCs w:val="22"/>
        </w:rPr>
        <w:t xml:space="preserve">elator, ao examinar os esclarecimentos </w:t>
      </w:r>
      <w:r w:rsidR="009E0931">
        <w:rPr>
          <w:sz w:val="22"/>
          <w:szCs w:val="22"/>
        </w:rPr>
        <w:t>do</w:t>
      </w:r>
      <w:r w:rsidR="009C656F" w:rsidRPr="0094541F">
        <w:rPr>
          <w:sz w:val="22"/>
          <w:szCs w:val="22"/>
        </w:rPr>
        <w:t xml:space="preserve"> responsável, </w:t>
      </w:r>
      <w:r w:rsidR="00B3537B" w:rsidRPr="0094541F">
        <w:rPr>
          <w:sz w:val="22"/>
          <w:szCs w:val="22"/>
        </w:rPr>
        <w:t xml:space="preserve">fez </w:t>
      </w:r>
      <w:r w:rsidR="00913571" w:rsidRPr="0094541F">
        <w:rPr>
          <w:sz w:val="22"/>
          <w:szCs w:val="22"/>
        </w:rPr>
        <w:t>men</w:t>
      </w:r>
      <w:r w:rsidR="00B3537B" w:rsidRPr="0094541F">
        <w:rPr>
          <w:sz w:val="22"/>
          <w:szCs w:val="22"/>
        </w:rPr>
        <w:t>ção à</w:t>
      </w:r>
      <w:r w:rsidR="009C656F" w:rsidRPr="0094541F">
        <w:rPr>
          <w:sz w:val="22"/>
          <w:szCs w:val="22"/>
        </w:rPr>
        <w:t xml:space="preserve"> </w:t>
      </w:r>
      <w:r w:rsidRPr="0094541F">
        <w:rPr>
          <w:sz w:val="22"/>
          <w:szCs w:val="22"/>
        </w:rPr>
        <w:t xml:space="preserve">conveniência de que a </w:t>
      </w:r>
      <w:r w:rsidR="009C656F" w:rsidRPr="0094541F">
        <w:rPr>
          <w:sz w:val="22"/>
          <w:szCs w:val="22"/>
        </w:rPr>
        <w:t xml:space="preserve">referida </w:t>
      </w:r>
      <w:r w:rsidRPr="0094541F">
        <w:rPr>
          <w:sz w:val="22"/>
          <w:szCs w:val="22"/>
        </w:rPr>
        <w:t xml:space="preserve">causa fosse patrocinada por advogados </w:t>
      </w:r>
      <w:r w:rsidR="009C656F" w:rsidRPr="0094541F">
        <w:rPr>
          <w:sz w:val="22"/>
          <w:szCs w:val="22"/>
        </w:rPr>
        <w:t>não pertencentes</w:t>
      </w:r>
      <w:r w:rsidRPr="0094541F">
        <w:rPr>
          <w:sz w:val="22"/>
          <w:szCs w:val="22"/>
        </w:rPr>
        <w:t xml:space="preserve"> ao quadro de pessoal</w:t>
      </w:r>
      <w:r w:rsidR="00913571" w:rsidRPr="0094541F">
        <w:rPr>
          <w:sz w:val="22"/>
          <w:szCs w:val="22"/>
        </w:rPr>
        <w:t xml:space="preserve"> da entidade</w:t>
      </w:r>
      <w:r w:rsidRPr="0094541F">
        <w:rPr>
          <w:sz w:val="22"/>
          <w:szCs w:val="22"/>
        </w:rPr>
        <w:t>, em razão do relacionamento pessoal do ex-</w:t>
      </w:r>
      <w:r w:rsidR="009E0931">
        <w:rPr>
          <w:sz w:val="22"/>
          <w:szCs w:val="22"/>
        </w:rPr>
        <w:t>p</w:t>
      </w:r>
      <w:r w:rsidRPr="0094541F">
        <w:rPr>
          <w:sz w:val="22"/>
          <w:szCs w:val="22"/>
        </w:rPr>
        <w:t xml:space="preserve">rocurador com os profissionais lotados </w:t>
      </w:r>
      <w:r w:rsidR="00913571" w:rsidRPr="0094541F">
        <w:rPr>
          <w:sz w:val="22"/>
          <w:szCs w:val="22"/>
        </w:rPr>
        <w:t>em sua C</w:t>
      </w:r>
      <w:r w:rsidRPr="0094541F">
        <w:rPr>
          <w:sz w:val="22"/>
          <w:szCs w:val="22"/>
        </w:rPr>
        <w:t xml:space="preserve">onsultoria </w:t>
      </w:r>
      <w:r w:rsidR="00913571" w:rsidRPr="0094541F">
        <w:rPr>
          <w:sz w:val="22"/>
          <w:szCs w:val="22"/>
        </w:rPr>
        <w:t>J</w:t>
      </w:r>
      <w:r w:rsidRPr="0094541F">
        <w:rPr>
          <w:sz w:val="22"/>
          <w:szCs w:val="22"/>
        </w:rPr>
        <w:t xml:space="preserve">urídica. </w:t>
      </w:r>
      <w:r w:rsidR="00913571" w:rsidRPr="0094541F">
        <w:rPr>
          <w:sz w:val="22"/>
          <w:szCs w:val="22"/>
        </w:rPr>
        <w:t>Anotou, porém, que a</w:t>
      </w:r>
      <w:r w:rsidRPr="0094541F">
        <w:rPr>
          <w:sz w:val="22"/>
          <w:szCs w:val="22"/>
        </w:rPr>
        <w:t xml:space="preserve"> </w:t>
      </w:r>
      <w:r w:rsidR="00913571" w:rsidRPr="0094541F">
        <w:rPr>
          <w:sz w:val="22"/>
          <w:szCs w:val="22"/>
        </w:rPr>
        <w:t xml:space="preserve">referida </w:t>
      </w:r>
      <w:r w:rsidRPr="0094541F">
        <w:rPr>
          <w:sz w:val="22"/>
          <w:szCs w:val="22"/>
        </w:rPr>
        <w:t>contratação</w:t>
      </w:r>
      <w:r w:rsidR="00913571" w:rsidRPr="0094541F">
        <w:rPr>
          <w:sz w:val="22"/>
          <w:szCs w:val="22"/>
        </w:rPr>
        <w:t xml:space="preserve"> </w:t>
      </w:r>
      <w:r w:rsidRPr="0094541F">
        <w:rPr>
          <w:sz w:val="22"/>
          <w:szCs w:val="22"/>
        </w:rPr>
        <w:t xml:space="preserve">não poderia ter sido feita por inexigibilidade de licitação, </w:t>
      </w:r>
      <w:r w:rsidR="00913571" w:rsidRPr="0094541F">
        <w:rPr>
          <w:sz w:val="22"/>
          <w:szCs w:val="22"/>
        </w:rPr>
        <w:t xml:space="preserve">uma vez </w:t>
      </w:r>
      <w:r w:rsidR="00B3537B" w:rsidRPr="0094541F">
        <w:rPr>
          <w:sz w:val="22"/>
          <w:szCs w:val="22"/>
        </w:rPr>
        <w:t>não ser possível reconhecer a s</w:t>
      </w:r>
      <w:r w:rsidRPr="0094541F">
        <w:rPr>
          <w:sz w:val="22"/>
          <w:szCs w:val="22"/>
        </w:rPr>
        <w:t>ingula</w:t>
      </w:r>
      <w:r w:rsidR="00B3537B" w:rsidRPr="0094541F">
        <w:rPr>
          <w:sz w:val="22"/>
          <w:szCs w:val="22"/>
        </w:rPr>
        <w:t xml:space="preserve">ridade do objeto da avença. Recorreu a Voto condutor de sua lavra, que serviu de fundamento para o </w:t>
      </w:r>
      <w:r w:rsidRPr="0094541F">
        <w:rPr>
          <w:sz w:val="22"/>
          <w:szCs w:val="22"/>
        </w:rPr>
        <w:t>Acórdão n. 1.886/2007 – 2ª Câmara</w:t>
      </w:r>
      <w:r w:rsidR="00B3537B" w:rsidRPr="0094541F">
        <w:rPr>
          <w:sz w:val="22"/>
          <w:szCs w:val="22"/>
        </w:rPr>
        <w:t xml:space="preserve">, onde questão similar foi enfrentada: </w:t>
      </w:r>
      <w:r w:rsidRPr="0094541F">
        <w:rPr>
          <w:sz w:val="22"/>
          <w:szCs w:val="22"/>
        </w:rPr>
        <w:t xml:space="preserve">"... </w:t>
      </w:r>
      <w:r w:rsidRPr="009E0931">
        <w:rPr>
          <w:i/>
          <w:sz w:val="22"/>
          <w:szCs w:val="22"/>
        </w:rPr>
        <w:t xml:space="preserve">o patrocínio de causas judiciais está entre as hipóteses em que, em tese, o art. 25, II, da Lei n. 8.666/1993 admite a contratação direta, por se tratar de </w:t>
      </w:r>
      <w:bookmarkStart w:id="1" w:name="Hit16"/>
      <w:r w:rsidRPr="009E0931">
        <w:rPr>
          <w:i/>
          <w:sz w:val="22"/>
          <w:szCs w:val="22"/>
        </w:rPr>
        <w:t xml:space="preserve">serviço </w:t>
      </w:r>
      <w:bookmarkEnd w:id="1"/>
      <w:r w:rsidRPr="009E0931">
        <w:rPr>
          <w:i/>
          <w:sz w:val="22"/>
          <w:szCs w:val="22"/>
        </w:rPr>
        <w:t xml:space="preserve">técnico relacionado no art. 13 do Estatuto das Licitações. </w:t>
      </w:r>
      <w:r w:rsidRPr="009E0931">
        <w:rPr>
          <w:i/>
          <w:sz w:val="22"/>
          <w:szCs w:val="22"/>
          <w:u w:val="single"/>
        </w:rPr>
        <w:t xml:space="preserve">Mas, para tanto, seria imperioso demonstrar que o </w:t>
      </w:r>
      <w:bookmarkStart w:id="2" w:name="Hit17"/>
      <w:r w:rsidRPr="009E0931">
        <w:rPr>
          <w:i/>
          <w:sz w:val="22"/>
          <w:szCs w:val="22"/>
          <w:u w:val="single"/>
        </w:rPr>
        <w:t xml:space="preserve">serviço </w:t>
      </w:r>
      <w:bookmarkEnd w:id="2"/>
      <w:r w:rsidRPr="009E0931">
        <w:rPr>
          <w:i/>
          <w:sz w:val="22"/>
          <w:szCs w:val="22"/>
          <w:u w:val="single"/>
        </w:rPr>
        <w:t>contratado apresentava natureza singular e que seria prestado por empresa ou profissionais de notória especialização</w:t>
      </w:r>
      <w:r w:rsidR="002157BF" w:rsidRPr="0094541F">
        <w:rPr>
          <w:sz w:val="22"/>
          <w:szCs w:val="22"/>
        </w:rPr>
        <w:t>”</w:t>
      </w:r>
      <w:r w:rsidR="00D04D9F">
        <w:rPr>
          <w:sz w:val="22"/>
          <w:szCs w:val="22"/>
        </w:rPr>
        <w:t xml:space="preserve"> – grifos do original</w:t>
      </w:r>
      <w:r w:rsidR="002157BF" w:rsidRPr="0094541F">
        <w:rPr>
          <w:sz w:val="22"/>
          <w:szCs w:val="22"/>
        </w:rPr>
        <w:t xml:space="preserve">. </w:t>
      </w:r>
      <w:r w:rsidR="00732F41">
        <w:rPr>
          <w:sz w:val="22"/>
          <w:szCs w:val="22"/>
        </w:rPr>
        <w:t xml:space="preserve">Invocou, também, </w:t>
      </w:r>
      <w:r w:rsidR="002157BF" w:rsidRPr="0094541F">
        <w:rPr>
          <w:sz w:val="22"/>
          <w:szCs w:val="22"/>
        </w:rPr>
        <w:t>ensinamentos doutrinários, segundo os quais: “</w:t>
      </w:r>
      <w:r w:rsidR="002157BF" w:rsidRPr="0094541F">
        <w:rPr>
          <w:i/>
          <w:sz w:val="22"/>
          <w:szCs w:val="22"/>
        </w:rPr>
        <w:t>A natureza singular se caracteriza como uma situação anômala, incomum, impossível de ser enfrentada satisfatoriamente por todo e qualquer profissional ‘especializado’. Envolve os casos que demandam mais do que a simples especialização, pois apresentam complexidades que impedem obtenção de solução satisfatória a partir da contratação de qualquer profissional (ainda que especializado)</w:t>
      </w:r>
      <w:r w:rsidR="002157BF" w:rsidRPr="0094541F">
        <w:rPr>
          <w:sz w:val="22"/>
          <w:szCs w:val="22"/>
        </w:rPr>
        <w:t xml:space="preserve">” - JUSTEN FILHO, Marçal, </w:t>
      </w:r>
      <w:r w:rsidR="002157BF" w:rsidRPr="0094541F">
        <w:rPr>
          <w:b/>
          <w:sz w:val="22"/>
          <w:szCs w:val="22"/>
        </w:rPr>
        <w:t>in</w:t>
      </w:r>
      <w:r w:rsidR="002157BF" w:rsidRPr="0094541F">
        <w:rPr>
          <w:sz w:val="22"/>
          <w:szCs w:val="22"/>
        </w:rPr>
        <w:t xml:space="preserve"> ‘Comentários à Lei de Licitações e Contratos Administrativos’, 10ª Edição, Ed. Diálética, p. 279. Mencionou, então, vários julgados do Tribunal que sinalizam a </w:t>
      </w:r>
      <w:r w:rsidRPr="0094541F">
        <w:rPr>
          <w:sz w:val="22"/>
          <w:szCs w:val="22"/>
        </w:rPr>
        <w:t xml:space="preserve">necessidade de demonstrar a natureza singular do serviço e a notória especialização do contratado, </w:t>
      </w:r>
      <w:r w:rsidR="002157BF" w:rsidRPr="0094541F">
        <w:rPr>
          <w:sz w:val="22"/>
          <w:szCs w:val="22"/>
        </w:rPr>
        <w:t>para justificar a contratação direta de serviços técnicos especializados</w:t>
      </w:r>
      <w:r w:rsidR="00A560D5">
        <w:rPr>
          <w:sz w:val="22"/>
          <w:szCs w:val="22"/>
        </w:rPr>
        <w:t xml:space="preserve">. </w:t>
      </w:r>
      <w:r w:rsidR="00732F41">
        <w:rPr>
          <w:sz w:val="22"/>
          <w:szCs w:val="22"/>
        </w:rPr>
        <w:t>Em face dessa conceituação, ressaltou que os</w:t>
      </w:r>
      <w:r w:rsidR="00A560D5">
        <w:rPr>
          <w:sz w:val="22"/>
          <w:szCs w:val="22"/>
        </w:rPr>
        <w:t xml:space="preserve"> serviços contratados não se enquadram nessa classificação</w:t>
      </w:r>
      <w:r w:rsidR="002157BF" w:rsidRPr="0094541F">
        <w:rPr>
          <w:sz w:val="22"/>
          <w:szCs w:val="22"/>
        </w:rPr>
        <w:t>. A despeito de</w:t>
      </w:r>
      <w:r w:rsidR="005E34F4" w:rsidRPr="0094541F">
        <w:rPr>
          <w:sz w:val="22"/>
          <w:szCs w:val="22"/>
        </w:rPr>
        <w:t xml:space="preserve"> considerar configurada a ilicitude da citada contratação, considerou a ausência de sobrepreço</w:t>
      </w:r>
      <w:r w:rsidR="00A560D5">
        <w:rPr>
          <w:sz w:val="22"/>
          <w:szCs w:val="22"/>
        </w:rPr>
        <w:t>,</w:t>
      </w:r>
      <w:r w:rsidR="005E34F4" w:rsidRPr="0094541F">
        <w:rPr>
          <w:sz w:val="22"/>
          <w:szCs w:val="22"/>
        </w:rPr>
        <w:t xml:space="preserve"> o baixo valor d</w:t>
      </w:r>
      <w:r w:rsidR="00A560D5">
        <w:rPr>
          <w:sz w:val="22"/>
          <w:szCs w:val="22"/>
        </w:rPr>
        <w:t xml:space="preserve">o </w:t>
      </w:r>
      <w:r w:rsidR="005E34F4" w:rsidRPr="0094541F">
        <w:rPr>
          <w:sz w:val="22"/>
          <w:szCs w:val="22"/>
        </w:rPr>
        <w:t>contrat</w:t>
      </w:r>
      <w:r w:rsidR="00A560D5">
        <w:rPr>
          <w:sz w:val="22"/>
          <w:szCs w:val="22"/>
        </w:rPr>
        <w:t>o</w:t>
      </w:r>
      <w:r w:rsidR="005E34F4" w:rsidRPr="0094541F">
        <w:rPr>
          <w:sz w:val="22"/>
          <w:szCs w:val="22"/>
        </w:rPr>
        <w:t xml:space="preserve"> e a efetiva prestação dos respectivos serviços para isentar o gestor de multa. O</w:t>
      </w:r>
      <w:r w:rsidR="004A207E">
        <w:rPr>
          <w:sz w:val="22"/>
          <w:szCs w:val="22"/>
        </w:rPr>
        <w:t xml:space="preserve"> </w:t>
      </w:r>
      <w:r w:rsidR="005E34F4" w:rsidRPr="0094541F">
        <w:rPr>
          <w:sz w:val="22"/>
          <w:szCs w:val="22"/>
        </w:rPr>
        <w:t xml:space="preserve">Tribunal, então, ao acolher proposta do </w:t>
      </w:r>
      <w:r w:rsidR="004A207E">
        <w:rPr>
          <w:sz w:val="22"/>
          <w:szCs w:val="22"/>
        </w:rPr>
        <w:t>r</w:t>
      </w:r>
      <w:r w:rsidR="005E34F4" w:rsidRPr="0094541F">
        <w:rPr>
          <w:sz w:val="22"/>
          <w:szCs w:val="22"/>
        </w:rPr>
        <w:t xml:space="preserve">elator, </w:t>
      </w:r>
      <w:r w:rsidR="00B1231B" w:rsidRPr="0094541F">
        <w:rPr>
          <w:sz w:val="22"/>
          <w:szCs w:val="22"/>
        </w:rPr>
        <w:t>decidiu</w:t>
      </w:r>
      <w:r w:rsidR="00A560D5">
        <w:rPr>
          <w:sz w:val="22"/>
          <w:szCs w:val="22"/>
        </w:rPr>
        <w:t>:</w:t>
      </w:r>
      <w:r w:rsidR="00B1231B" w:rsidRPr="0094541F">
        <w:rPr>
          <w:sz w:val="22"/>
          <w:szCs w:val="22"/>
        </w:rPr>
        <w:t xml:space="preserve"> I) considerar a denúncia parcialmente procedente; II) determinar ao Conselho Federal de Farmácia que, “</w:t>
      </w:r>
      <w:r w:rsidR="00B1231B" w:rsidRPr="0094541F">
        <w:rPr>
          <w:i/>
          <w:sz w:val="22"/>
          <w:szCs w:val="22"/>
        </w:rPr>
        <w:t>doravante, para fins de contratação direta fundamentada no art. 25, inciso II, da Lei n. 8.666/1993, demonstre, de forma justificada, a natureza singular dos serviços e a notória especialização do contratado</w:t>
      </w:r>
      <w:r w:rsidR="00B1231B" w:rsidRPr="0094541F">
        <w:rPr>
          <w:sz w:val="22"/>
          <w:szCs w:val="22"/>
        </w:rPr>
        <w:t xml:space="preserve">”. </w:t>
      </w:r>
      <w:r w:rsidR="00A560D5">
        <w:rPr>
          <w:sz w:val="22"/>
          <w:szCs w:val="22"/>
        </w:rPr>
        <w:t>Precedentes mencionados:</w:t>
      </w:r>
      <w:r w:rsidR="004A207E">
        <w:rPr>
          <w:sz w:val="22"/>
          <w:szCs w:val="22"/>
        </w:rPr>
        <w:t xml:space="preserve"> </w:t>
      </w:r>
      <w:r w:rsidR="004A207E" w:rsidRPr="004A207E">
        <w:rPr>
          <w:sz w:val="22"/>
          <w:szCs w:val="22"/>
        </w:rPr>
        <w:t xml:space="preserve">Acórdãos </w:t>
      </w:r>
      <w:r w:rsidR="004A207E">
        <w:rPr>
          <w:sz w:val="22"/>
          <w:szCs w:val="22"/>
        </w:rPr>
        <w:t xml:space="preserve">nºs. </w:t>
      </w:r>
      <w:r w:rsidR="004A207E" w:rsidRPr="004A207E">
        <w:rPr>
          <w:sz w:val="22"/>
          <w:szCs w:val="22"/>
        </w:rPr>
        <w:t>1.528/2010, 1.736/2010, 2.748/2010, 179/2011 e 669/2012</w:t>
      </w:r>
      <w:r w:rsidR="00617982">
        <w:rPr>
          <w:sz w:val="22"/>
          <w:szCs w:val="22"/>
        </w:rPr>
        <w:t>,</w:t>
      </w:r>
      <w:r w:rsidR="004A207E" w:rsidRPr="004A207E">
        <w:rPr>
          <w:sz w:val="22"/>
          <w:szCs w:val="22"/>
        </w:rPr>
        <w:t xml:space="preserve"> </w:t>
      </w:r>
      <w:r w:rsidR="004A207E">
        <w:rPr>
          <w:sz w:val="22"/>
          <w:szCs w:val="22"/>
        </w:rPr>
        <w:t xml:space="preserve">todos do </w:t>
      </w:r>
      <w:r w:rsidR="004A207E" w:rsidRPr="004A207E">
        <w:rPr>
          <w:sz w:val="22"/>
          <w:szCs w:val="22"/>
        </w:rPr>
        <w:t>Plenário</w:t>
      </w:r>
      <w:r w:rsidR="00617982">
        <w:rPr>
          <w:sz w:val="22"/>
          <w:szCs w:val="22"/>
        </w:rPr>
        <w:t>,</w:t>
      </w:r>
      <w:r w:rsidR="00D04D9F">
        <w:rPr>
          <w:sz w:val="22"/>
          <w:szCs w:val="22"/>
        </w:rPr>
        <w:t xml:space="preserve"> e </w:t>
      </w:r>
      <w:r w:rsidR="00D04D9F" w:rsidRPr="0094541F">
        <w:rPr>
          <w:sz w:val="22"/>
          <w:szCs w:val="22"/>
        </w:rPr>
        <w:t>n</w:t>
      </w:r>
      <w:r w:rsidR="00D04D9F">
        <w:rPr>
          <w:sz w:val="22"/>
          <w:szCs w:val="22"/>
        </w:rPr>
        <w:t>º</w:t>
      </w:r>
      <w:r w:rsidR="00D04D9F" w:rsidRPr="0094541F">
        <w:rPr>
          <w:sz w:val="22"/>
          <w:szCs w:val="22"/>
        </w:rPr>
        <w:t>. 1.886/2007</w:t>
      </w:r>
      <w:r w:rsidR="00D04D9F">
        <w:rPr>
          <w:sz w:val="22"/>
          <w:szCs w:val="22"/>
        </w:rPr>
        <w:t xml:space="preserve">, da </w:t>
      </w:r>
      <w:r w:rsidR="00D04D9F" w:rsidRPr="0094541F">
        <w:rPr>
          <w:sz w:val="22"/>
          <w:szCs w:val="22"/>
        </w:rPr>
        <w:t>2ª Câmara</w:t>
      </w:r>
      <w:r w:rsidR="004A207E">
        <w:rPr>
          <w:sz w:val="22"/>
          <w:szCs w:val="22"/>
        </w:rPr>
        <w:t>.</w:t>
      </w:r>
      <w:r w:rsidR="004A207E" w:rsidRPr="004A207E">
        <w:rPr>
          <w:sz w:val="22"/>
          <w:szCs w:val="22"/>
        </w:rPr>
        <w:t xml:space="preserve"> </w:t>
      </w:r>
      <w:r w:rsidR="00B1231B" w:rsidRPr="004A207E">
        <w:rPr>
          <w:b/>
          <w:i/>
          <w:color w:val="auto"/>
          <w:sz w:val="22"/>
          <w:szCs w:val="22"/>
        </w:rPr>
        <w:t>Acórdão n.º 2104/2012-Plenário, TC-</w:t>
      </w:r>
      <w:r w:rsidR="00B1231B" w:rsidRPr="004A207E">
        <w:rPr>
          <w:b/>
          <w:i/>
          <w:sz w:val="22"/>
          <w:szCs w:val="22"/>
        </w:rPr>
        <w:t>036.951/2011-0</w:t>
      </w:r>
      <w:r w:rsidR="00B1231B" w:rsidRPr="004A207E">
        <w:rPr>
          <w:b/>
          <w:i/>
          <w:color w:val="auto"/>
          <w:sz w:val="22"/>
          <w:szCs w:val="22"/>
        </w:rPr>
        <w:t>, rel. Min. Marcos Bemquerer Costa, 8.8.2012.</w:t>
      </w:r>
    </w:p>
    <w:p w:rsidR="00C06374" w:rsidRDefault="00C06374" w:rsidP="0094541F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0E730B" w:rsidRPr="000E730B" w:rsidRDefault="000E730B" w:rsidP="000E730B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0E730B">
        <w:rPr>
          <w:b/>
          <w:bCs/>
          <w:smallCaps/>
          <w:sz w:val="22"/>
          <w:szCs w:val="22"/>
        </w:rPr>
        <w:t>INOVAÇÃO LEGISLATIVA</w:t>
      </w:r>
    </w:p>
    <w:p w:rsidR="000E730B" w:rsidRPr="000E730B" w:rsidRDefault="000E730B" w:rsidP="0094541F">
      <w:pPr>
        <w:pStyle w:val="Default"/>
        <w:jc w:val="both"/>
        <w:rPr>
          <w:b/>
          <w:color w:val="auto"/>
          <w:sz w:val="22"/>
          <w:szCs w:val="22"/>
        </w:rPr>
      </w:pPr>
    </w:p>
    <w:p w:rsidR="000E730B" w:rsidRPr="000E730B" w:rsidRDefault="000E730B" w:rsidP="000E730B">
      <w:pPr>
        <w:spacing w:after="0"/>
        <w:ind w:left="0"/>
        <w:rPr>
          <w:rFonts w:eastAsia="Times New Roman"/>
          <w:sz w:val="22"/>
          <w:szCs w:val="22"/>
          <w:lang w:eastAsia="pt-BR"/>
        </w:rPr>
      </w:pPr>
      <w:r w:rsidRPr="00C06374">
        <w:rPr>
          <w:rFonts w:eastAsia="Times New Roman"/>
          <w:b/>
          <w:sz w:val="22"/>
          <w:szCs w:val="22"/>
          <w:lang w:eastAsia="pt-BR"/>
        </w:rPr>
        <w:t>Medida Provisória nº 575, de 7/8/2012</w:t>
      </w:r>
      <w:r w:rsidRPr="000E730B">
        <w:rPr>
          <w:rFonts w:eastAsia="Times New Roman"/>
          <w:sz w:val="22"/>
          <w:szCs w:val="22"/>
          <w:lang w:eastAsia="pt-BR"/>
        </w:rPr>
        <w:t>: Altera a Lei n</w:t>
      </w:r>
      <w:r w:rsidRPr="000E730B">
        <w:rPr>
          <w:rFonts w:eastAsia="Times New Roman"/>
          <w:strike/>
          <w:sz w:val="22"/>
          <w:szCs w:val="22"/>
          <w:lang w:eastAsia="pt-BR"/>
        </w:rPr>
        <w:t>º</w:t>
      </w:r>
      <w:r w:rsidRPr="000E730B">
        <w:rPr>
          <w:rFonts w:eastAsia="Times New Roman"/>
          <w:sz w:val="22"/>
          <w:szCs w:val="22"/>
          <w:lang w:eastAsia="pt-BR"/>
        </w:rPr>
        <w:t xml:space="preserve"> 11.079, de 30 de dezembro de 2004, que institui</w:t>
      </w:r>
      <w:r>
        <w:rPr>
          <w:rFonts w:eastAsia="Times New Roman"/>
          <w:sz w:val="22"/>
          <w:szCs w:val="22"/>
          <w:lang w:eastAsia="pt-BR"/>
        </w:rPr>
        <w:t>u</w:t>
      </w:r>
      <w:r w:rsidRPr="000E730B">
        <w:rPr>
          <w:rFonts w:eastAsia="Times New Roman"/>
          <w:sz w:val="22"/>
          <w:szCs w:val="22"/>
          <w:lang w:eastAsia="pt-BR"/>
        </w:rPr>
        <w:t xml:space="preserve"> normas gerais para licitação e contratação de parceria público-privada no âmbito da administração pública.</w:t>
      </w:r>
    </w:p>
    <w:p w:rsidR="000E730B" w:rsidRPr="000E730B" w:rsidRDefault="000E730B" w:rsidP="0094541F">
      <w:pPr>
        <w:pStyle w:val="Default"/>
        <w:jc w:val="both"/>
        <w:rPr>
          <w:b/>
          <w:color w:val="auto"/>
          <w:sz w:val="22"/>
          <w:szCs w:val="22"/>
        </w:rPr>
      </w:pPr>
    </w:p>
    <w:p w:rsidR="0011429C" w:rsidRPr="0094541F" w:rsidRDefault="0011429C" w:rsidP="00727910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94541F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94541F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4541F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94541F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4541F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94541F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94541F" w:rsidRDefault="00F3058F" w:rsidP="00703F0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94541F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B7" w:rsidRDefault="00A65CB7" w:rsidP="008B0547">
      <w:pPr>
        <w:spacing w:after="0"/>
      </w:pPr>
      <w:r>
        <w:separator/>
      </w:r>
    </w:p>
  </w:endnote>
  <w:endnote w:type="continuationSeparator" w:id="0">
    <w:p w:rsidR="00A65CB7" w:rsidRDefault="00A65CB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DB181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D0498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B7" w:rsidRDefault="00A65CB7" w:rsidP="008B0547">
      <w:pPr>
        <w:spacing w:after="0"/>
      </w:pPr>
      <w:r>
        <w:separator/>
      </w:r>
    </w:p>
  </w:footnote>
  <w:footnote w:type="continuationSeparator" w:id="0">
    <w:p w:rsidR="00A65CB7" w:rsidRDefault="00A65CB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F95B23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F95B23" w:rsidP="00080148">
    <w:pPr>
      <w:spacing w:after="0"/>
      <w:rPr>
        <w:rFonts w:ascii="Arial" w:hAnsi="Arial" w:cs="Arial"/>
        <w:b/>
      </w:rPr>
    </w:pPr>
    <w:r w:rsidRPr="00DB181D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1533D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11</w:t>
    </w:r>
    <w:r w:rsidR="004D4ED8">
      <w:rPr>
        <w:rFonts w:ascii="Arial" w:hAnsi="Arial" w:cs="Arial"/>
        <w:noProof/>
        <w:lang w:eastAsia="pt-BR"/>
      </w:rPr>
      <w:t>8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8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1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8"/>
  </w:num>
  <w:num w:numId="8">
    <w:abstractNumId w:val="34"/>
  </w:num>
  <w:num w:numId="9">
    <w:abstractNumId w:val="29"/>
  </w:num>
  <w:num w:numId="10">
    <w:abstractNumId w:val="9"/>
  </w:num>
  <w:num w:numId="11">
    <w:abstractNumId w:val="42"/>
  </w:num>
  <w:num w:numId="12">
    <w:abstractNumId w:val="5"/>
  </w:num>
  <w:num w:numId="13">
    <w:abstractNumId w:val="20"/>
  </w:num>
  <w:num w:numId="14">
    <w:abstractNumId w:val="37"/>
  </w:num>
  <w:num w:numId="15">
    <w:abstractNumId w:val="18"/>
  </w:num>
  <w:num w:numId="16">
    <w:abstractNumId w:val="3"/>
  </w:num>
  <w:num w:numId="17">
    <w:abstractNumId w:val="16"/>
  </w:num>
  <w:num w:numId="18">
    <w:abstractNumId w:val="39"/>
    <w:lvlOverride w:ilvl="0">
      <w:startOverride w:val="1"/>
    </w:lvlOverride>
  </w:num>
  <w:num w:numId="19">
    <w:abstractNumId w:val="32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25"/>
  </w:num>
  <w:num w:numId="33">
    <w:abstractNumId w:val="35"/>
  </w:num>
  <w:num w:numId="34">
    <w:abstractNumId w:val="26"/>
  </w:num>
  <w:num w:numId="35">
    <w:abstractNumId w:val="24"/>
  </w:num>
  <w:num w:numId="36">
    <w:abstractNumId w:val="22"/>
  </w:num>
  <w:num w:numId="37">
    <w:abstractNumId w:val="40"/>
  </w:num>
  <w:num w:numId="38">
    <w:abstractNumId w:val="7"/>
  </w:num>
  <w:num w:numId="39">
    <w:abstractNumId w:val="27"/>
  </w:num>
  <w:num w:numId="40">
    <w:abstractNumId w:val="31"/>
  </w:num>
  <w:num w:numId="41">
    <w:abstractNumId w:val="28"/>
  </w:num>
  <w:num w:numId="42">
    <w:abstractNumId w:val="0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6B0"/>
    <w:rsid w:val="000438FC"/>
    <w:rsid w:val="00044732"/>
    <w:rsid w:val="000460E4"/>
    <w:rsid w:val="0004660A"/>
    <w:rsid w:val="00046CF7"/>
    <w:rsid w:val="00050483"/>
    <w:rsid w:val="00050BA0"/>
    <w:rsid w:val="0005133B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7D4"/>
    <w:rsid w:val="00081635"/>
    <w:rsid w:val="00081DFB"/>
    <w:rsid w:val="00083514"/>
    <w:rsid w:val="000835D8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19D7"/>
    <w:rsid w:val="000923FB"/>
    <w:rsid w:val="000929ED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799"/>
    <w:rsid w:val="000C5FDE"/>
    <w:rsid w:val="000C61FA"/>
    <w:rsid w:val="000C7281"/>
    <w:rsid w:val="000C7D11"/>
    <w:rsid w:val="000D0498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81D"/>
    <w:rsid w:val="000E1A4B"/>
    <w:rsid w:val="000E1D37"/>
    <w:rsid w:val="000E28AC"/>
    <w:rsid w:val="000E2D47"/>
    <w:rsid w:val="000E3B31"/>
    <w:rsid w:val="000E3C6D"/>
    <w:rsid w:val="000E45B0"/>
    <w:rsid w:val="000E504D"/>
    <w:rsid w:val="000E5EAB"/>
    <w:rsid w:val="000E730B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95D"/>
    <w:rsid w:val="000F4B18"/>
    <w:rsid w:val="000F6986"/>
    <w:rsid w:val="000F6D85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911"/>
    <w:rsid w:val="00116706"/>
    <w:rsid w:val="0011691F"/>
    <w:rsid w:val="00116BAB"/>
    <w:rsid w:val="00117E95"/>
    <w:rsid w:val="001203BE"/>
    <w:rsid w:val="00121782"/>
    <w:rsid w:val="00122F63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76D"/>
    <w:rsid w:val="001351D5"/>
    <w:rsid w:val="00135D01"/>
    <w:rsid w:val="00135EDA"/>
    <w:rsid w:val="0013735A"/>
    <w:rsid w:val="001378A3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352E"/>
    <w:rsid w:val="001658D6"/>
    <w:rsid w:val="001665B9"/>
    <w:rsid w:val="001667C0"/>
    <w:rsid w:val="00166C60"/>
    <w:rsid w:val="00171E89"/>
    <w:rsid w:val="001737F7"/>
    <w:rsid w:val="001744B4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259"/>
    <w:rsid w:val="001847D6"/>
    <w:rsid w:val="00184DD0"/>
    <w:rsid w:val="001855E1"/>
    <w:rsid w:val="001858EA"/>
    <w:rsid w:val="0018776F"/>
    <w:rsid w:val="00190FE2"/>
    <w:rsid w:val="00192052"/>
    <w:rsid w:val="0019284D"/>
    <w:rsid w:val="00194053"/>
    <w:rsid w:val="00194EDA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8D8"/>
    <w:rsid w:val="001C0A66"/>
    <w:rsid w:val="001C1568"/>
    <w:rsid w:val="001C17A8"/>
    <w:rsid w:val="001C1903"/>
    <w:rsid w:val="001C2397"/>
    <w:rsid w:val="001C23B5"/>
    <w:rsid w:val="001C2492"/>
    <w:rsid w:val="001C2950"/>
    <w:rsid w:val="001C437E"/>
    <w:rsid w:val="001C5C51"/>
    <w:rsid w:val="001C5CDF"/>
    <w:rsid w:val="001C6A2C"/>
    <w:rsid w:val="001C6E55"/>
    <w:rsid w:val="001C71E3"/>
    <w:rsid w:val="001C72D6"/>
    <w:rsid w:val="001C7DC4"/>
    <w:rsid w:val="001D03C7"/>
    <w:rsid w:val="001D0FAF"/>
    <w:rsid w:val="001D1478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553C"/>
    <w:rsid w:val="001F64D1"/>
    <w:rsid w:val="001F6BB0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5BEC"/>
    <w:rsid w:val="00206C2E"/>
    <w:rsid w:val="00207BF8"/>
    <w:rsid w:val="0021001C"/>
    <w:rsid w:val="00211194"/>
    <w:rsid w:val="00211816"/>
    <w:rsid w:val="00212E42"/>
    <w:rsid w:val="002139A2"/>
    <w:rsid w:val="002157BF"/>
    <w:rsid w:val="00217566"/>
    <w:rsid w:val="00217B1B"/>
    <w:rsid w:val="002204A9"/>
    <w:rsid w:val="00220D43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7D8A"/>
    <w:rsid w:val="00261488"/>
    <w:rsid w:val="0026195C"/>
    <w:rsid w:val="00261DAC"/>
    <w:rsid w:val="002621BD"/>
    <w:rsid w:val="0026222C"/>
    <w:rsid w:val="00262359"/>
    <w:rsid w:val="0026283B"/>
    <w:rsid w:val="002633D9"/>
    <w:rsid w:val="0026340E"/>
    <w:rsid w:val="0026362E"/>
    <w:rsid w:val="002639CA"/>
    <w:rsid w:val="002642F2"/>
    <w:rsid w:val="002649A7"/>
    <w:rsid w:val="00264FC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CE8"/>
    <w:rsid w:val="002864FC"/>
    <w:rsid w:val="00287326"/>
    <w:rsid w:val="00287723"/>
    <w:rsid w:val="0029043B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843"/>
    <w:rsid w:val="002B7B4D"/>
    <w:rsid w:val="002C15D5"/>
    <w:rsid w:val="002C208E"/>
    <w:rsid w:val="002C270C"/>
    <w:rsid w:val="002C2F67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E5B"/>
    <w:rsid w:val="002D47FE"/>
    <w:rsid w:val="002D532D"/>
    <w:rsid w:val="002D5D7D"/>
    <w:rsid w:val="002D739A"/>
    <w:rsid w:val="002D73BD"/>
    <w:rsid w:val="002D76AB"/>
    <w:rsid w:val="002D786D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10208"/>
    <w:rsid w:val="0031058F"/>
    <w:rsid w:val="0031089E"/>
    <w:rsid w:val="00310D69"/>
    <w:rsid w:val="00311663"/>
    <w:rsid w:val="00311668"/>
    <w:rsid w:val="0031257A"/>
    <w:rsid w:val="003129EE"/>
    <w:rsid w:val="003147B7"/>
    <w:rsid w:val="00314844"/>
    <w:rsid w:val="003149A9"/>
    <w:rsid w:val="0031528D"/>
    <w:rsid w:val="003161E0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47B56"/>
    <w:rsid w:val="00347E1A"/>
    <w:rsid w:val="003506E7"/>
    <w:rsid w:val="00350BE7"/>
    <w:rsid w:val="00350E87"/>
    <w:rsid w:val="00353018"/>
    <w:rsid w:val="00353B7C"/>
    <w:rsid w:val="00353BE4"/>
    <w:rsid w:val="0035402B"/>
    <w:rsid w:val="0035438E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5950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3D77"/>
    <w:rsid w:val="003E65D7"/>
    <w:rsid w:val="003E7483"/>
    <w:rsid w:val="003F0515"/>
    <w:rsid w:val="003F14AB"/>
    <w:rsid w:val="003F163F"/>
    <w:rsid w:val="003F1ACE"/>
    <w:rsid w:val="003F1CE1"/>
    <w:rsid w:val="003F1E26"/>
    <w:rsid w:val="003F2D7E"/>
    <w:rsid w:val="003F413A"/>
    <w:rsid w:val="003F5154"/>
    <w:rsid w:val="003F5249"/>
    <w:rsid w:val="003F54FB"/>
    <w:rsid w:val="003F5BB5"/>
    <w:rsid w:val="003F5D3A"/>
    <w:rsid w:val="003F6572"/>
    <w:rsid w:val="003F6BD4"/>
    <w:rsid w:val="003F6C4D"/>
    <w:rsid w:val="003F6D1F"/>
    <w:rsid w:val="00400C90"/>
    <w:rsid w:val="00400F7F"/>
    <w:rsid w:val="004023F7"/>
    <w:rsid w:val="0040363C"/>
    <w:rsid w:val="004036AF"/>
    <w:rsid w:val="00403A0F"/>
    <w:rsid w:val="0040424B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9D8"/>
    <w:rsid w:val="00417048"/>
    <w:rsid w:val="00420098"/>
    <w:rsid w:val="004201AF"/>
    <w:rsid w:val="00420B07"/>
    <w:rsid w:val="00420DF0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0F0D"/>
    <w:rsid w:val="00451471"/>
    <w:rsid w:val="00452756"/>
    <w:rsid w:val="00452C60"/>
    <w:rsid w:val="0045343E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F5C"/>
    <w:rsid w:val="0049412A"/>
    <w:rsid w:val="004945E3"/>
    <w:rsid w:val="00494EB3"/>
    <w:rsid w:val="00495DB3"/>
    <w:rsid w:val="00495F43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76A"/>
    <w:rsid w:val="004B186B"/>
    <w:rsid w:val="004B1DC3"/>
    <w:rsid w:val="004B2835"/>
    <w:rsid w:val="004B28C5"/>
    <w:rsid w:val="004B326B"/>
    <w:rsid w:val="004B36AE"/>
    <w:rsid w:val="004B4672"/>
    <w:rsid w:val="004B58F5"/>
    <w:rsid w:val="004B67A4"/>
    <w:rsid w:val="004C14B1"/>
    <w:rsid w:val="004C289A"/>
    <w:rsid w:val="004C3427"/>
    <w:rsid w:val="004C61A3"/>
    <w:rsid w:val="004C6E03"/>
    <w:rsid w:val="004C780C"/>
    <w:rsid w:val="004D03BA"/>
    <w:rsid w:val="004D118A"/>
    <w:rsid w:val="004D3100"/>
    <w:rsid w:val="004D3441"/>
    <w:rsid w:val="004D349D"/>
    <w:rsid w:val="004D357C"/>
    <w:rsid w:val="004D3E0B"/>
    <w:rsid w:val="004D42B9"/>
    <w:rsid w:val="004D45C8"/>
    <w:rsid w:val="004D4ED8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00"/>
    <w:rsid w:val="004E3861"/>
    <w:rsid w:val="004E5000"/>
    <w:rsid w:val="004E5599"/>
    <w:rsid w:val="004E586B"/>
    <w:rsid w:val="004E65EB"/>
    <w:rsid w:val="004E7114"/>
    <w:rsid w:val="004E7341"/>
    <w:rsid w:val="004E7E7E"/>
    <w:rsid w:val="004F0244"/>
    <w:rsid w:val="004F09A1"/>
    <w:rsid w:val="004F0A27"/>
    <w:rsid w:val="004F282C"/>
    <w:rsid w:val="004F379F"/>
    <w:rsid w:val="004F3D4A"/>
    <w:rsid w:val="004F3E0F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352"/>
    <w:rsid w:val="0050278D"/>
    <w:rsid w:val="00502C10"/>
    <w:rsid w:val="0050355D"/>
    <w:rsid w:val="00504188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E62"/>
    <w:rsid w:val="0051373C"/>
    <w:rsid w:val="005138B3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94"/>
    <w:rsid w:val="00520BC0"/>
    <w:rsid w:val="00520BF7"/>
    <w:rsid w:val="005217F8"/>
    <w:rsid w:val="005219E0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D4E"/>
    <w:rsid w:val="00531094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F71"/>
    <w:rsid w:val="005512D3"/>
    <w:rsid w:val="00551C0E"/>
    <w:rsid w:val="00551F46"/>
    <w:rsid w:val="00553290"/>
    <w:rsid w:val="00553C45"/>
    <w:rsid w:val="005544FA"/>
    <w:rsid w:val="00554A33"/>
    <w:rsid w:val="00554F2F"/>
    <w:rsid w:val="0055525E"/>
    <w:rsid w:val="0055588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9AD"/>
    <w:rsid w:val="005C3B26"/>
    <w:rsid w:val="005C3EDF"/>
    <w:rsid w:val="005C4397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E063B"/>
    <w:rsid w:val="005E06AE"/>
    <w:rsid w:val="005E111B"/>
    <w:rsid w:val="005E12DD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72FB"/>
    <w:rsid w:val="005F01CE"/>
    <w:rsid w:val="005F135B"/>
    <w:rsid w:val="005F1942"/>
    <w:rsid w:val="005F3709"/>
    <w:rsid w:val="005F3EAB"/>
    <w:rsid w:val="005F42BB"/>
    <w:rsid w:val="005F4E54"/>
    <w:rsid w:val="005F4EAE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AC9"/>
    <w:rsid w:val="00613DA3"/>
    <w:rsid w:val="00614026"/>
    <w:rsid w:val="006140E8"/>
    <w:rsid w:val="00614490"/>
    <w:rsid w:val="00614786"/>
    <w:rsid w:val="00614EDE"/>
    <w:rsid w:val="00615808"/>
    <w:rsid w:val="00617982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5C1"/>
    <w:rsid w:val="00634F76"/>
    <w:rsid w:val="00635E34"/>
    <w:rsid w:val="00637056"/>
    <w:rsid w:val="00637E9B"/>
    <w:rsid w:val="00637FD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F1B"/>
    <w:rsid w:val="00664AB8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BE6"/>
    <w:rsid w:val="00676163"/>
    <w:rsid w:val="006764C4"/>
    <w:rsid w:val="006777E4"/>
    <w:rsid w:val="00677C1A"/>
    <w:rsid w:val="00677C22"/>
    <w:rsid w:val="006808CC"/>
    <w:rsid w:val="00680AF4"/>
    <w:rsid w:val="00681495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1611"/>
    <w:rsid w:val="00691932"/>
    <w:rsid w:val="006919FB"/>
    <w:rsid w:val="0069213E"/>
    <w:rsid w:val="00692D30"/>
    <w:rsid w:val="00695597"/>
    <w:rsid w:val="00696A89"/>
    <w:rsid w:val="00696F75"/>
    <w:rsid w:val="00696FEC"/>
    <w:rsid w:val="00697477"/>
    <w:rsid w:val="006A037E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2408"/>
    <w:rsid w:val="006B299D"/>
    <w:rsid w:val="006B3AF9"/>
    <w:rsid w:val="006B3C91"/>
    <w:rsid w:val="006B414C"/>
    <w:rsid w:val="006B4B0F"/>
    <w:rsid w:val="006B5474"/>
    <w:rsid w:val="006B62A0"/>
    <w:rsid w:val="006B650F"/>
    <w:rsid w:val="006C0E39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A93"/>
    <w:rsid w:val="006E4064"/>
    <w:rsid w:val="006E58EA"/>
    <w:rsid w:val="006E5BF8"/>
    <w:rsid w:val="006E6B01"/>
    <w:rsid w:val="006E6D16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2B2B"/>
    <w:rsid w:val="00712CCC"/>
    <w:rsid w:val="007136E9"/>
    <w:rsid w:val="00713B78"/>
    <w:rsid w:val="00713DE5"/>
    <w:rsid w:val="00714569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5107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4619"/>
    <w:rsid w:val="0075064C"/>
    <w:rsid w:val="00752801"/>
    <w:rsid w:val="00752B96"/>
    <w:rsid w:val="00752E39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3515"/>
    <w:rsid w:val="007C38F7"/>
    <w:rsid w:val="007C3AA6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92D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5E0"/>
    <w:rsid w:val="007E5C50"/>
    <w:rsid w:val="007E5DED"/>
    <w:rsid w:val="007F00D0"/>
    <w:rsid w:val="007F0546"/>
    <w:rsid w:val="007F0754"/>
    <w:rsid w:val="007F1DEB"/>
    <w:rsid w:val="007F22A5"/>
    <w:rsid w:val="007F2A0B"/>
    <w:rsid w:val="007F2DC4"/>
    <w:rsid w:val="007F2E4B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1588"/>
    <w:rsid w:val="00802DA0"/>
    <w:rsid w:val="00803139"/>
    <w:rsid w:val="00804983"/>
    <w:rsid w:val="008051DE"/>
    <w:rsid w:val="00805594"/>
    <w:rsid w:val="00805659"/>
    <w:rsid w:val="0080593E"/>
    <w:rsid w:val="0080733E"/>
    <w:rsid w:val="0080783D"/>
    <w:rsid w:val="00810B66"/>
    <w:rsid w:val="00810CC2"/>
    <w:rsid w:val="00812C2A"/>
    <w:rsid w:val="00812FCB"/>
    <w:rsid w:val="0081324B"/>
    <w:rsid w:val="00813B80"/>
    <w:rsid w:val="00813DF0"/>
    <w:rsid w:val="0081440E"/>
    <w:rsid w:val="00816193"/>
    <w:rsid w:val="008165E4"/>
    <w:rsid w:val="00816696"/>
    <w:rsid w:val="0081761A"/>
    <w:rsid w:val="00817682"/>
    <w:rsid w:val="00823472"/>
    <w:rsid w:val="008234BD"/>
    <w:rsid w:val="00823A7E"/>
    <w:rsid w:val="00824A8C"/>
    <w:rsid w:val="00825155"/>
    <w:rsid w:val="00825D4C"/>
    <w:rsid w:val="00825EB9"/>
    <w:rsid w:val="008261E9"/>
    <w:rsid w:val="00827461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BED"/>
    <w:rsid w:val="00843FB3"/>
    <w:rsid w:val="008444E7"/>
    <w:rsid w:val="008447C8"/>
    <w:rsid w:val="00844C5B"/>
    <w:rsid w:val="008451F5"/>
    <w:rsid w:val="00845856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E32"/>
    <w:rsid w:val="00870AAD"/>
    <w:rsid w:val="00872942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2A96"/>
    <w:rsid w:val="008841C8"/>
    <w:rsid w:val="0088463A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3A74"/>
    <w:rsid w:val="008B3D72"/>
    <w:rsid w:val="008B3DF6"/>
    <w:rsid w:val="008B434A"/>
    <w:rsid w:val="008B50D8"/>
    <w:rsid w:val="008B58F9"/>
    <w:rsid w:val="008B5DA7"/>
    <w:rsid w:val="008B6640"/>
    <w:rsid w:val="008B7B55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75C"/>
    <w:rsid w:val="008D6F5D"/>
    <w:rsid w:val="008D7CB3"/>
    <w:rsid w:val="008E003A"/>
    <w:rsid w:val="008E15E3"/>
    <w:rsid w:val="008E2045"/>
    <w:rsid w:val="008E4027"/>
    <w:rsid w:val="008E4C62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F2"/>
    <w:rsid w:val="00901376"/>
    <w:rsid w:val="0090188B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C0D"/>
    <w:rsid w:val="00912C43"/>
    <w:rsid w:val="0091308F"/>
    <w:rsid w:val="00913571"/>
    <w:rsid w:val="0091389B"/>
    <w:rsid w:val="0091406E"/>
    <w:rsid w:val="009149EC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EF2"/>
    <w:rsid w:val="00925F3C"/>
    <w:rsid w:val="00926204"/>
    <w:rsid w:val="009269E3"/>
    <w:rsid w:val="00932814"/>
    <w:rsid w:val="009332F5"/>
    <w:rsid w:val="00933A1D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52B6"/>
    <w:rsid w:val="0096655D"/>
    <w:rsid w:val="009671A7"/>
    <w:rsid w:val="009707B6"/>
    <w:rsid w:val="00970E8A"/>
    <w:rsid w:val="00971139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6716"/>
    <w:rsid w:val="00997905"/>
    <w:rsid w:val="00997B80"/>
    <w:rsid w:val="00997C8A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1B10"/>
    <w:rsid w:val="009B23FD"/>
    <w:rsid w:val="009B2FB9"/>
    <w:rsid w:val="009B3134"/>
    <w:rsid w:val="009B4598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4B6D"/>
    <w:rsid w:val="009C5EDE"/>
    <w:rsid w:val="009C62B6"/>
    <w:rsid w:val="009C656F"/>
    <w:rsid w:val="009C6ECD"/>
    <w:rsid w:val="009C72E6"/>
    <w:rsid w:val="009D0105"/>
    <w:rsid w:val="009D053E"/>
    <w:rsid w:val="009D0928"/>
    <w:rsid w:val="009D1B99"/>
    <w:rsid w:val="009D1DD8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931"/>
    <w:rsid w:val="009E0FB3"/>
    <w:rsid w:val="009E106E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C6"/>
    <w:rsid w:val="009F37BF"/>
    <w:rsid w:val="009F4326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CB5"/>
    <w:rsid w:val="00A06EDB"/>
    <w:rsid w:val="00A07ACC"/>
    <w:rsid w:val="00A11259"/>
    <w:rsid w:val="00A122A9"/>
    <w:rsid w:val="00A131A1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7AF8"/>
    <w:rsid w:val="00A27FF0"/>
    <w:rsid w:val="00A300CB"/>
    <w:rsid w:val="00A30683"/>
    <w:rsid w:val="00A3115F"/>
    <w:rsid w:val="00A31BFC"/>
    <w:rsid w:val="00A32209"/>
    <w:rsid w:val="00A32BA0"/>
    <w:rsid w:val="00A32D77"/>
    <w:rsid w:val="00A33030"/>
    <w:rsid w:val="00A34307"/>
    <w:rsid w:val="00A35A7A"/>
    <w:rsid w:val="00A378A2"/>
    <w:rsid w:val="00A37CAC"/>
    <w:rsid w:val="00A4076B"/>
    <w:rsid w:val="00A407B6"/>
    <w:rsid w:val="00A40CDE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5CB7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C52"/>
    <w:rsid w:val="00A767B2"/>
    <w:rsid w:val="00A7717C"/>
    <w:rsid w:val="00A77CCE"/>
    <w:rsid w:val="00A80549"/>
    <w:rsid w:val="00A80B0C"/>
    <w:rsid w:val="00A81367"/>
    <w:rsid w:val="00A81B11"/>
    <w:rsid w:val="00A82229"/>
    <w:rsid w:val="00A8244E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CF1"/>
    <w:rsid w:val="00A93E6F"/>
    <w:rsid w:val="00A9439C"/>
    <w:rsid w:val="00A943F8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F80"/>
    <w:rsid w:val="00AD6555"/>
    <w:rsid w:val="00AD6F4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20FB"/>
    <w:rsid w:val="00AF37F7"/>
    <w:rsid w:val="00AF3A05"/>
    <w:rsid w:val="00AF4BF4"/>
    <w:rsid w:val="00AF551F"/>
    <w:rsid w:val="00AF5706"/>
    <w:rsid w:val="00B0025D"/>
    <w:rsid w:val="00B006D8"/>
    <w:rsid w:val="00B02238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AD8"/>
    <w:rsid w:val="00B1231B"/>
    <w:rsid w:val="00B12904"/>
    <w:rsid w:val="00B12B44"/>
    <w:rsid w:val="00B12B95"/>
    <w:rsid w:val="00B13DA6"/>
    <w:rsid w:val="00B149B2"/>
    <w:rsid w:val="00B154B5"/>
    <w:rsid w:val="00B1664E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FFE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94F"/>
    <w:rsid w:val="00B31C49"/>
    <w:rsid w:val="00B31DDF"/>
    <w:rsid w:val="00B32EB9"/>
    <w:rsid w:val="00B33B47"/>
    <w:rsid w:val="00B33F57"/>
    <w:rsid w:val="00B33FC2"/>
    <w:rsid w:val="00B3423E"/>
    <w:rsid w:val="00B347F1"/>
    <w:rsid w:val="00B34A99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428"/>
    <w:rsid w:val="00B461F8"/>
    <w:rsid w:val="00B475CB"/>
    <w:rsid w:val="00B47943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5CB"/>
    <w:rsid w:val="00B616D8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1A1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909D7"/>
    <w:rsid w:val="00B909E7"/>
    <w:rsid w:val="00B9307F"/>
    <w:rsid w:val="00B9389E"/>
    <w:rsid w:val="00B946A8"/>
    <w:rsid w:val="00B94EB5"/>
    <w:rsid w:val="00B95F6F"/>
    <w:rsid w:val="00B966FB"/>
    <w:rsid w:val="00B96EA4"/>
    <w:rsid w:val="00B97282"/>
    <w:rsid w:val="00B97A3E"/>
    <w:rsid w:val="00B97A65"/>
    <w:rsid w:val="00B97DE9"/>
    <w:rsid w:val="00BA07B1"/>
    <w:rsid w:val="00BA101D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37AF"/>
    <w:rsid w:val="00BB4011"/>
    <w:rsid w:val="00BB4769"/>
    <w:rsid w:val="00BB49D4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6BE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10C0B"/>
    <w:rsid w:val="00C10DD5"/>
    <w:rsid w:val="00C10F51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6F1F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162"/>
    <w:rsid w:val="00C24E78"/>
    <w:rsid w:val="00C2509D"/>
    <w:rsid w:val="00C25854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50C7D"/>
    <w:rsid w:val="00C50FF9"/>
    <w:rsid w:val="00C511CC"/>
    <w:rsid w:val="00C52889"/>
    <w:rsid w:val="00C528D2"/>
    <w:rsid w:val="00C52D5A"/>
    <w:rsid w:val="00C52E8B"/>
    <w:rsid w:val="00C53DE5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67057"/>
    <w:rsid w:val="00C67158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72B"/>
    <w:rsid w:val="00CB0D34"/>
    <w:rsid w:val="00CB10CB"/>
    <w:rsid w:val="00CB1C4E"/>
    <w:rsid w:val="00CB2A98"/>
    <w:rsid w:val="00CB3818"/>
    <w:rsid w:val="00CB43AC"/>
    <w:rsid w:val="00CB5197"/>
    <w:rsid w:val="00CB6164"/>
    <w:rsid w:val="00CB6570"/>
    <w:rsid w:val="00CB6930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ACB"/>
    <w:rsid w:val="00CE6D09"/>
    <w:rsid w:val="00CE72DC"/>
    <w:rsid w:val="00CF0105"/>
    <w:rsid w:val="00CF0E4D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AFE"/>
    <w:rsid w:val="00D01B9F"/>
    <w:rsid w:val="00D02757"/>
    <w:rsid w:val="00D02851"/>
    <w:rsid w:val="00D02A5B"/>
    <w:rsid w:val="00D02B8B"/>
    <w:rsid w:val="00D02FB7"/>
    <w:rsid w:val="00D04613"/>
    <w:rsid w:val="00D04D9F"/>
    <w:rsid w:val="00D05C77"/>
    <w:rsid w:val="00D07581"/>
    <w:rsid w:val="00D07739"/>
    <w:rsid w:val="00D078A1"/>
    <w:rsid w:val="00D10769"/>
    <w:rsid w:val="00D1152B"/>
    <w:rsid w:val="00D11642"/>
    <w:rsid w:val="00D116C7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B6C"/>
    <w:rsid w:val="00D164EA"/>
    <w:rsid w:val="00D16754"/>
    <w:rsid w:val="00D16827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16D"/>
    <w:rsid w:val="00D25AEC"/>
    <w:rsid w:val="00D25B2F"/>
    <w:rsid w:val="00D27D36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5F32"/>
    <w:rsid w:val="00D361DE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DA3"/>
    <w:rsid w:val="00D52E5A"/>
    <w:rsid w:val="00D53537"/>
    <w:rsid w:val="00D5360E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857"/>
    <w:rsid w:val="00D91D92"/>
    <w:rsid w:val="00D92529"/>
    <w:rsid w:val="00D92870"/>
    <w:rsid w:val="00D94BD0"/>
    <w:rsid w:val="00D973C9"/>
    <w:rsid w:val="00D9781A"/>
    <w:rsid w:val="00DA041C"/>
    <w:rsid w:val="00DA1613"/>
    <w:rsid w:val="00DA29C5"/>
    <w:rsid w:val="00DA2AEB"/>
    <w:rsid w:val="00DA330A"/>
    <w:rsid w:val="00DA4300"/>
    <w:rsid w:val="00DA5AAB"/>
    <w:rsid w:val="00DA5F70"/>
    <w:rsid w:val="00DA671A"/>
    <w:rsid w:val="00DA6858"/>
    <w:rsid w:val="00DA7233"/>
    <w:rsid w:val="00DA7CBB"/>
    <w:rsid w:val="00DB08FA"/>
    <w:rsid w:val="00DB1637"/>
    <w:rsid w:val="00DB181D"/>
    <w:rsid w:val="00DB1CD7"/>
    <w:rsid w:val="00DB2086"/>
    <w:rsid w:val="00DB2651"/>
    <w:rsid w:val="00DB28B4"/>
    <w:rsid w:val="00DB2A1C"/>
    <w:rsid w:val="00DB30B1"/>
    <w:rsid w:val="00DB31FF"/>
    <w:rsid w:val="00DB3E74"/>
    <w:rsid w:val="00DB3ECD"/>
    <w:rsid w:val="00DB4717"/>
    <w:rsid w:val="00DB60A0"/>
    <w:rsid w:val="00DB7320"/>
    <w:rsid w:val="00DB75E7"/>
    <w:rsid w:val="00DB79D5"/>
    <w:rsid w:val="00DB7F8E"/>
    <w:rsid w:val="00DC00E8"/>
    <w:rsid w:val="00DC0F8C"/>
    <w:rsid w:val="00DC12C8"/>
    <w:rsid w:val="00DC1C61"/>
    <w:rsid w:val="00DC36E8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645B"/>
    <w:rsid w:val="00DD6667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4A0A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3CD"/>
    <w:rsid w:val="00E1262D"/>
    <w:rsid w:val="00E1273C"/>
    <w:rsid w:val="00E128A2"/>
    <w:rsid w:val="00E134FE"/>
    <w:rsid w:val="00E1434A"/>
    <w:rsid w:val="00E14600"/>
    <w:rsid w:val="00E146CF"/>
    <w:rsid w:val="00E14BED"/>
    <w:rsid w:val="00E15ACE"/>
    <w:rsid w:val="00E15BA6"/>
    <w:rsid w:val="00E15C2B"/>
    <w:rsid w:val="00E17711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927"/>
    <w:rsid w:val="00E27F00"/>
    <w:rsid w:val="00E301A0"/>
    <w:rsid w:val="00E3021E"/>
    <w:rsid w:val="00E302AD"/>
    <w:rsid w:val="00E30431"/>
    <w:rsid w:val="00E304EB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5288"/>
    <w:rsid w:val="00E859B8"/>
    <w:rsid w:val="00E85CBE"/>
    <w:rsid w:val="00E85F06"/>
    <w:rsid w:val="00E86566"/>
    <w:rsid w:val="00E866C4"/>
    <w:rsid w:val="00E875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A7E45"/>
    <w:rsid w:val="00EB09B9"/>
    <w:rsid w:val="00EB30BE"/>
    <w:rsid w:val="00EB3404"/>
    <w:rsid w:val="00EB3599"/>
    <w:rsid w:val="00EB3C52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EE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EDB"/>
    <w:rsid w:val="00F23570"/>
    <w:rsid w:val="00F24232"/>
    <w:rsid w:val="00F24E8D"/>
    <w:rsid w:val="00F2526C"/>
    <w:rsid w:val="00F261F0"/>
    <w:rsid w:val="00F27170"/>
    <w:rsid w:val="00F30016"/>
    <w:rsid w:val="00F3058F"/>
    <w:rsid w:val="00F30CE5"/>
    <w:rsid w:val="00F30E85"/>
    <w:rsid w:val="00F3144A"/>
    <w:rsid w:val="00F31C75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E67"/>
    <w:rsid w:val="00F35664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4BB8"/>
    <w:rsid w:val="00F459C7"/>
    <w:rsid w:val="00F45D8C"/>
    <w:rsid w:val="00F468CA"/>
    <w:rsid w:val="00F47C5C"/>
    <w:rsid w:val="00F50173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2773"/>
    <w:rsid w:val="00F62FE5"/>
    <w:rsid w:val="00F637C9"/>
    <w:rsid w:val="00F64CF8"/>
    <w:rsid w:val="00F64DD3"/>
    <w:rsid w:val="00F64F51"/>
    <w:rsid w:val="00F66122"/>
    <w:rsid w:val="00F666FD"/>
    <w:rsid w:val="00F67099"/>
    <w:rsid w:val="00F672F1"/>
    <w:rsid w:val="00F67A35"/>
    <w:rsid w:val="00F72620"/>
    <w:rsid w:val="00F733CC"/>
    <w:rsid w:val="00F73930"/>
    <w:rsid w:val="00F74118"/>
    <w:rsid w:val="00F759AD"/>
    <w:rsid w:val="00F75BDF"/>
    <w:rsid w:val="00F765E8"/>
    <w:rsid w:val="00F7768D"/>
    <w:rsid w:val="00F80F3C"/>
    <w:rsid w:val="00F8200C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5B23"/>
    <w:rsid w:val="00F977CB"/>
    <w:rsid w:val="00F97854"/>
    <w:rsid w:val="00FA0942"/>
    <w:rsid w:val="00FA2910"/>
    <w:rsid w:val="00FA3D8C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1C4"/>
    <w:rsid w:val="00FC5656"/>
    <w:rsid w:val="00FC5661"/>
    <w:rsid w:val="00FC5F90"/>
    <w:rsid w:val="00FC64F3"/>
    <w:rsid w:val="00FC72E0"/>
    <w:rsid w:val="00FD08A7"/>
    <w:rsid w:val="00FD0F43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2C03"/>
    <w:rsid w:val="00FF30BA"/>
    <w:rsid w:val="00FF3298"/>
    <w:rsid w:val="00FF334E"/>
    <w:rsid w:val="00FF394B"/>
    <w:rsid w:val="00FF4EB5"/>
    <w:rsid w:val="00FF636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58F39A6-2749-4487-A55E-F523405F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7047-8282-4835-9AEE-279611F2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2830</Words>
  <Characters>15287</Characters>
  <Application>Microsoft Office Word</Application>
  <DocSecurity>4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18081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2012-08-14T14:39:00Z</cp:lastPrinted>
  <dcterms:created xsi:type="dcterms:W3CDTF">2015-05-07T12:48:00Z</dcterms:created>
  <dcterms:modified xsi:type="dcterms:W3CDTF">2015-05-07T12:48:00Z</dcterms:modified>
</cp:coreProperties>
</file>