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8B50D8"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8B50D8">
        <w:rPr>
          <w:rFonts w:ascii="Times New Roman" w:hAnsi="Times New Roman"/>
          <w:b/>
          <w:i w:val="0"/>
          <w:color w:val="000000"/>
          <w:sz w:val="22"/>
          <w:szCs w:val="22"/>
        </w:rPr>
        <w:t>Sess</w:t>
      </w:r>
      <w:r w:rsidR="003D0153" w:rsidRPr="008B50D8">
        <w:rPr>
          <w:rFonts w:ascii="Times New Roman" w:hAnsi="Times New Roman"/>
          <w:b/>
          <w:i w:val="0"/>
          <w:color w:val="000000"/>
          <w:sz w:val="22"/>
          <w:szCs w:val="22"/>
        </w:rPr>
        <w:t>ões</w:t>
      </w:r>
      <w:r w:rsidRPr="008B50D8">
        <w:rPr>
          <w:rFonts w:ascii="Times New Roman" w:hAnsi="Times New Roman"/>
          <w:b/>
          <w:i w:val="0"/>
          <w:color w:val="000000"/>
          <w:sz w:val="22"/>
          <w:szCs w:val="22"/>
        </w:rPr>
        <w:t xml:space="preserve">: </w:t>
      </w:r>
      <w:r w:rsidR="005F676C" w:rsidRPr="008B50D8">
        <w:rPr>
          <w:rFonts w:ascii="Times New Roman" w:hAnsi="Times New Roman"/>
          <w:b/>
          <w:i w:val="0"/>
          <w:color w:val="000000"/>
          <w:sz w:val="22"/>
          <w:szCs w:val="22"/>
        </w:rPr>
        <w:t>3</w:t>
      </w:r>
      <w:r w:rsidR="000227F4" w:rsidRPr="008B50D8">
        <w:rPr>
          <w:rFonts w:ascii="Times New Roman" w:hAnsi="Times New Roman"/>
          <w:b/>
          <w:i w:val="0"/>
          <w:color w:val="000000"/>
          <w:sz w:val="22"/>
          <w:szCs w:val="22"/>
        </w:rPr>
        <w:t xml:space="preserve"> </w:t>
      </w:r>
      <w:r w:rsidR="003D0153" w:rsidRPr="008B50D8">
        <w:rPr>
          <w:rFonts w:ascii="Times New Roman" w:hAnsi="Times New Roman"/>
          <w:b/>
          <w:i w:val="0"/>
          <w:color w:val="000000"/>
          <w:sz w:val="22"/>
          <w:szCs w:val="22"/>
        </w:rPr>
        <w:t xml:space="preserve">e </w:t>
      </w:r>
      <w:r w:rsidR="005F676C" w:rsidRPr="008B50D8">
        <w:rPr>
          <w:rFonts w:ascii="Times New Roman" w:hAnsi="Times New Roman"/>
          <w:b/>
          <w:i w:val="0"/>
          <w:color w:val="000000"/>
          <w:sz w:val="22"/>
          <w:szCs w:val="22"/>
        </w:rPr>
        <w:t>4</w:t>
      </w:r>
      <w:r w:rsidR="005E2A11" w:rsidRPr="008B50D8">
        <w:rPr>
          <w:rFonts w:ascii="Times New Roman" w:hAnsi="Times New Roman"/>
          <w:b/>
          <w:i w:val="0"/>
          <w:color w:val="000000"/>
          <w:sz w:val="22"/>
          <w:szCs w:val="22"/>
        </w:rPr>
        <w:t xml:space="preserve"> </w:t>
      </w:r>
      <w:r w:rsidR="00AE591D" w:rsidRPr="008B50D8">
        <w:rPr>
          <w:rFonts w:ascii="Times New Roman" w:hAnsi="Times New Roman"/>
          <w:b/>
          <w:i w:val="0"/>
          <w:color w:val="000000"/>
          <w:sz w:val="22"/>
          <w:szCs w:val="22"/>
        </w:rPr>
        <w:t xml:space="preserve">de </w:t>
      </w:r>
      <w:r w:rsidR="00083514" w:rsidRPr="008B50D8">
        <w:rPr>
          <w:rFonts w:ascii="Times New Roman" w:hAnsi="Times New Roman"/>
          <w:b/>
          <w:i w:val="0"/>
          <w:color w:val="000000"/>
          <w:sz w:val="22"/>
          <w:szCs w:val="22"/>
        </w:rPr>
        <w:t>ju</w:t>
      </w:r>
      <w:r w:rsidR="005F676C" w:rsidRPr="008B50D8">
        <w:rPr>
          <w:rFonts w:ascii="Times New Roman" w:hAnsi="Times New Roman"/>
          <w:b/>
          <w:i w:val="0"/>
          <w:color w:val="000000"/>
          <w:sz w:val="22"/>
          <w:szCs w:val="22"/>
        </w:rPr>
        <w:t>l</w:t>
      </w:r>
      <w:r w:rsidR="00083514" w:rsidRPr="008B50D8">
        <w:rPr>
          <w:rFonts w:ascii="Times New Roman" w:hAnsi="Times New Roman"/>
          <w:b/>
          <w:i w:val="0"/>
          <w:color w:val="000000"/>
          <w:sz w:val="22"/>
          <w:szCs w:val="22"/>
        </w:rPr>
        <w:t>ho</w:t>
      </w:r>
      <w:r w:rsidR="00025753" w:rsidRPr="008B50D8">
        <w:rPr>
          <w:rFonts w:ascii="Times New Roman" w:hAnsi="Times New Roman"/>
          <w:b/>
          <w:i w:val="0"/>
          <w:color w:val="000000"/>
          <w:sz w:val="22"/>
          <w:szCs w:val="22"/>
        </w:rPr>
        <w:t xml:space="preserve"> </w:t>
      </w:r>
      <w:r w:rsidRPr="008B50D8">
        <w:rPr>
          <w:rFonts w:ascii="Times New Roman" w:hAnsi="Times New Roman"/>
          <w:b/>
          <w:i w:val="0"/>
          <w:color w:val="000000"/>
          <w:sz w:val="22"/>
          <w:szCs w:val="22"/>
        </w:rPr>
        <w:t>de 201</w:t>
      </w:r>
      <w:r w:rsidR="00025753" w:rsidRPr="008B50D8">
        <w:rPr>
          <w:rFonts w:ascii="Times New Roman" w:hAnsi="Times New Roman"/>
          <w:b/>
          <w:i w:val="0"/>
          <w:color w:val="000000"/>
          <w:sz w:val="22"/>
          <w:szCs w:val="22"/>
        </w:rPr>
        <w:t>2</w:t>
      </w:r>
    </w:p>
    <w:p w:rsidR="00C47BE7" w:rsidRPr="008B50D8" w:rsidRDefault="002D35F5" w:rsidP="006564F2">
      <w:pPr>
        <w:pStyle w:val="Corpodetexto2"/>
        <w:spacing w:after="0" w:line="240" w:lineRule="auto"/>
        <w:ind w:left="0"/>
        <w:rPr>
          <w:sz w:val="22"/>
          <w:szCs w:val="22"/>
        </w:rPr>
      </w:pPr>
      <w:r w:rsidRPr="008B50D8">
        <w:rPr>
          <w:sz w:val="22"/>
          <w:szCs w:val="22"/>
        </w:rPr>
        <w:t>Este Informativo, elaborado a partir das deliberações tomadas pelo Tribunal nas sessões de julgamento das Câmaras e do Plenário, contém resumos de algumas decisões proferidas na</w:t>
      </w:r>
      <w:r w:rsidR="003D0153" w:rsidRPr="008B50D8">
        <w:rPr>
          <w:sz w:val="22"/>
          <w:szCs w:val="22"/>
        </w:rPr>
        <w:t>s</w:t>
      </w:r>
      <w:r w:rsidRPr="008B50D8">
        <w:rPr>
          <w:sz w:val="22"/>
          <w:szCs w:val="22"/>
        </w:rPr>
        <w:t xml:space="preserve"> data</w:t>
      </w:r>
      <w:r w:rsidR="003D0153" w:rsidRPr="008B50D8">
        <w:rPr>
          <w:sz w:val="22"/>
          <w:szCs w:val="22"/>
        </w:rPr>
        <w:t>s</w:t>
      </w:r>
      <w:r w:rsidRPr="008B50D8">
        <w:rPr>
          <w:sz w:val="22"/>
          <w:szCs w:val="22"/>
        </w:rPr>
        <w:t xml:space="preserve"> acima indicada</w:t>
      </w:r>
      <w:r w:rsidR="003D0153" w:rsidRPr="008B50D8">
        <w:rPr>
          <w:sz w:val="22"/>
          <w:szCs w:val="22"/>
        </w:rPr>
        <w:t>s</w:t>
      </w:r>
      <w:r w:rsidRPr="008B50D8">
        <w:rPr>
          <w:sz w:val="22"/>
          <w:szCs w:val="22"/>
        </w:rPr>
        <w:t>, relativas a licitações e contratos, e tem por finalidade facilitar o acompanhamento, pelo leitor, d</w:t>
      </w:r>
      <w:r w:rsidR="000E5EAB" w:rsidRPr="008B50D8">
        <w:rPr>
          <w:sz w:val="22"/>
          <w:szCs w:val="22"/>
        </w:rPr>
        <w:t>o</w:t>
      </w:r>
      <w:r w:rsidRPr="008B50D8">
        <w:rPr>
          <w:sz w:val="22"/>
          <w:szCs w:val="22"/>
        </w:rPr>
        <w:t xml:space="preserve">s aspectos relevantes que envolvem o tema. </w:t>
      </w:r>
      <w:r w:rsidR="000E5EAB" w:rsidRPr="008B50D8">
        <w:rPr>
          <w:sz w:val="22"/>
          <w:szCs w:val="22"/>
        </w:rPr>
        <w:t>A</w:t>
      </w:r>
      <w:r w:rsidRPr="008B50D8">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9C5EDE" w:rsidRPr="008B50D8" w:rsidRDefault="00B4220C" w:rsidP="00B4220C">
      <w:pPr>
        <w:pBdr>
          <w:top w:val="threeDEmboss" w:sz="24" w:space="5" w:color="auto"/>
        </w:pBdr>
        <w:tabs>
          <w:tab w:val="left" w:pos="284"/>
          <w:tab w:val="left" w:pos="4172"/>
          <w:tab w:val="center" w:pos="4818"/>
        </w:tabs>
        <w:spacing w:after="0"/>
        <w:ind w:left="0"/>
        <w:jc w:val="left"/>
        <w:rPr>
          <w:b/>
          <w:bCs/>
          <w:smallCaps/>
          <w:sz w:val="22"/>
          <w:szCs w:val="22"/>
        </w:rPr>
      </w:pPr>
      <w:r w:rsidRPr="008B50D8">
        <w:rPr>
          <w:b/>
          <w:bCs/>
          <w:smallCaps/>
          <w:sz w:val="22"/>
          <w:szCs w:val="22"/>
        </w:rPr>
        <w:tab/>
      </w:r>
      <w:r w:rsidRPr="008B50D8">
        <w:rPr>
          <w:b/>
          <w:bCs/>
          <w:smallCaps/>
          <w:sz w:val="22"/>
          <w:szCs w:val="22"/>
        </w:rPr>
        <w:tab/>
      </w:r>
      <w:r w:rsidRPr="008B50D8">
        <w:rPr>
          <w:b/>
          <w:bCs/>
          <w:smallCaps/>
          <w:sz w:val="22"/>
          <w:szCs w:val="22"/>
        </w:rPr>
        <w:tab/>
      </w:r>
      <w:r w:rsidR="002D35F5" w:rsidRPr="008B50D8">
        <w:rPr>
          <w:b/>
          <w:bCs/>
          <w:smallCaps/>
          <w:sz w:val="22"/>
          <w:szCs w:val="22"/>
        </w:rPr>
        <w:t>S</w:t>
      </w:r>
      <w:r w:rsidR="00FF7C62" w:rsidRPr="008B50D8">
        <w:rPr>
          <w:b/>
          <w:bCs/>
          <w:smallCaps/>
          <w:sz w:val="22"/>
          <w:szCs w:val="22"/>
        </w:rPr>
        <w:t>UMÁRIO</w:t>
      </w:r>
    </w:p>
    <w:p w:rsidR="0084005B" w:rsidRPr="008B50D8" w:rsidRDefault="0084005B" w:rsidP="00445AC4">
      <w:pPr>
        <w:autoSpaceDE w:val="0"/>
        <w:autoSpaceDN w:val="0"/>
        <w:adjustRightInd w:val="0"/>
        <w:spacing w:after="0"/>
        <w:ind w:left="0"/>
        <w:rPr>
          <w:b/>
          <w:sz w:val="22"/>
          <w:szCs w:val="22"/>
          <w:lang w:eastAsia="pt-BR"/>
        </w:rPr>
      </w:pPr>
      <w:r w:rsidRPr="008B50D8">
        <w:rPr>
          <w:b/>
          <w:sz w:val="22"/>
          <w:szCs w:val="22"/>
          <w:lang w:eastAsia="pt-BR"/>
        </w:rPr>
        <w:t>Plenário</w:t>
      </w:r>
    </w:p>
    <w:p w:rsidR="00DD7594" w:rsidRPr="008B50D8" w:rsidRDefault="005C63B5" w:rsidP="00246C03">
      <w:pPr>
        <w:pStyle w:val="Default"/>
        <w:jc w:val="both"/>
        <w:rPr>
          <w:sz w:val="22"/>
          <w:szCs w:val="22"/>
        </w:rPr>
      </w:pPr>
      <w:r w:rsidRPr="008B50D8">
        <w:rPr>
          <w:sz w:val="22"/>
          <w:szCs w:val="22"/>
        </w:rPr>
        <w:t xml:space="preserve">1. </w:t>
      </w:r>
      <w:r w:rsidR="00554F2F" w:rsidRPr="008B50D8">
        <w:rPr>
          <w:sz w:val="22"/>
          <w:szCs w:val="22"/>
        </w:rPr>
        <w:t xml:space="preserve"> As impugnações apresentadas por licitantes contra disposições de editais devem ser respondidas no prazo de cinco dias e anteriormente à abertura das propostas, tendo em vista o que prescrevem o art. 41, § 2º, da Lei nº 8.666/1993 e o art. 24 da Lei nº 9.784/1999.</w:t>
      </w:r>
    </w:p>
    <w:p w:rsidR="00246C03" w:rsidRPr="008B50D8" w:rsidRDefault="00246C03" w:rsidP="00246C03">
      <w:pPr>
        <w:pStyle w:val="Default"/>
        <w:jc w:val="both"/>
        <w:rPr>
          <w:iCs/>
          <w:sz w:val="22"/>
          <w:szCs w:val="22"/>
        </w:rPr>
      </w:pPr>
    </w:p>
    <w:p w:rsidR="00554F2F" w:rsidRPr="008B50D8" w:rsidRDefault="005C63B5" w:rsidP="00246C03">
      <w:pPr>
        <w:pStyle w:val="Default"/>
        <w:tabs>
          <w:tab w:val="left" w:pos="1134"/>
        </w:tabs>
        <w:jc w:val="both"/>
        <w:rPr>
          <w:bCs/>
          <w:sz w:val="22"/>
          <w:szCs w:val="22"/>
        </w:rPr>
      </w:pPr>
      <w:r w:rsidRPr="008B50D8">
        <w:rPr>
          <w:sz w:val="22"/>
          <w:szCs w:val="22"/>
        </w:rPr>
        <w:t xml:space="preserve">2. </w:t>
      </w:r>
      <w:r w:rsidR="00554F2F" w:rsidRPr="008B50D8">
        <w:rPr>
          <w:bCs/>
          <w:sz w:val="22"/>
          <w:szCs w:val="22"/>
        </w:rPr>
        <w:t xml:space="preserve">É lícita a utilização do sistema de registro de preços para contratação de serviços contínuos, desde que configurada uma das hipóteses delineadas nos incisos I a IV do </w:t>
      </w:r>
      <w:r w:rsidR="00554F2F" w:rsidRPr="008B50D8">
        <w:rPr>
          <w:sz w:val="22"/>
          <w:szCs w:val="22"/>
        </w:rPr>
        <w:t>art. 2º do Decreto 3.931/2001.</w:t>
      </w:r>
    </w:p>
    <w:p w:rsidR="00246C03" w:rsidRPr="008B50D8" w:rsidRDefault="00246C03" w:rsidP="00246C03">
      <w:pPr>
        <w:pStyle w:val="Default"/>
        <w:jc w:val="both"/>
        <w:rPr>
          <w:sz w:val="22"/>
          <w:szCs w:val="22"/>
        </w:rPr>
      </w:pPr>
    </w:p>
    <w:p w:rsidR="00554F2F" w:rsidRPr="008B50D8" w:rsidRDefault="00554F2F" w:rsidP="00246C03">
      <w:pPr>
        <w:pStyle w:val="Default"/>
        <w:spacing w:before="60"/>
        <w:jc w:val="both"/>
        <w:rPr>
          <w:sz w:val="22"/>
          <w:szCs w:val="22"/>
        </w:rPr>
      </w:pPr>
      <w:r w:rsidRPr="008B50D8">
        <w:rPr>
          <w:sz w:val="22"/>
          <w:szCs w:val="22"/>
        </w:rPr>
        <w:t>3. Registro de preços para aquisição de bens e serviços com recursos de convênios</w:t>
      </w:r>
    </w:p>
    <w:p w:rsidR="00554F2F" w:rsidRPr="008B50D8" w:rsidRDefault="00554F2F" w:rsidP="00246C03">
      <w:pPr>
        <w:pStyle w:val="Default"/>
        <w:tabs>
          <w:tab w:val="left" w:pos="1134"/>
        </w:tabs>
        <w:spacing w:before="60"/>
        <w:jc w:val="both"/>
        <w:rPr>
          <w:sz w:val="22"/>
          <w:szCs w:val="22"/>
        </w:rPr>
      </w:pPr>
      <w:r w:rsidRPr="008B50D8">
        <w:rPr>
          <w:sz w:val="22"/>
          <w:szCs w:val="22"/>
        </w:rPr>
        <w:tab/>
        <w:t>3.1. A imposição pelo concedente de condição que obrigue entidades públicas convenentes a utilizarem, sempre que houver, atas de registro de preços gerenciadas por órgãos ou entidades federais afronta o ordenamento jurídico, por falta de amparo constitucional e legal.</w:t>
      </w:r>
    </w:p>
    <w:p w:rsidR="00554F2F" w:rsidRPr="008B50D8" w:rsidRDefault="00554F2F" w:rsidP="00246C03">
      <w:pPr>
        <w:pStyle w:val="TCU-Epgrafe"/>
        <w:tabs>
          <w:tab w:val="left" w:pos="1134"/>
        </w:tabs>
        <w:spacing w:before="60"/>
        <w:ind w:left="0"/>
        <w:rPr>
          <w:sz w:val="22"/>
          <w:szCs w:val="22"/>
        </w:rPr>
      </w:pPr>
      <w:r w:rsidRPr="008B50D8">
        <w:rPr>
          <w:b/>
          <w:sz w:val="22"/>
          <w:szCs w:val="22"/>
        </w:rPr>
        <w:tab/>
      </w:r>
      <w:r w:rsidRPr="008B50D8">
        <w:rPr>
          <w:sz w:val="22"/>
          <w:szCs w:val="22"/>
        </w:rPr>
        <w:t xml:space="preserve">3.2. É licito o estabelecimento de cláusula que recomende a adesão de entes públicos convenentes a ata de registro de preços vinculada ao programa executado, resguardando-se a possibilidade de realizarem licitação própria, desde que obtenham condições mais vantajosas que as de tal ata.  </w:t>
      </w:r>
    </w:p>
    <w:p w:rsidR="00246C03" w:rsidRPr="008B50D8" w:rsidRDefault="00246C03" w:rsidP="00246C03">
      <w:pPr>
        <w:pStyle w:val="TCU-Epgrafe"/>
        <w:tabs>
          <w:tab w:val="left" w:pos="1134"/>
        </w:tabs>
        <w:spacing w:before="60"/>
        <w:ind w:left="0"/>
        <w:rPr>
          <w:sz w:val="22"/>
          <w:szCs w:val="22"/>
        </w:rPr>
      </w:pPr>
      <w:r w:rsidRPr="008B50D8">
        <w:rPr>
          <w:sz w:val="22"/>
          <w:szCs w:val="22"/>
        </w:rPr>
        <w:tab/>
        <w:t>3.3. É possível a realização de licitação para registro de preços em que os entes públicos convenentes figurem como participantes do processo de planejamento da aquisição</w:t>
      </w:r>
      <w:r w:rsidR="0013393F" w:rsidRPr="008B50D8">
        <w:rPr>
          <w:sz w:val="22"/>
          <w:szCs w:val="22"/>
        </w:rPr>
        <w:t>.</w:t>
      </w:r>
    </w:p>
    <w:p w:rsidR="00246C03" w:rsidRPr="008B50D8" w:rsidRDefault="00554F2F" w:rsidP="00246C03">
      <w:pPr>
        <w:pStyle w:val="TCU-Epgrafe"/>
        <w:tabs>
          <w:tab w:val="left" w:pos="1134"/>
        </w:tabs>
        <w:spacing w:before="60"/>
        <w:ind w:left="0"/>
        <w:rPr>
          <w:sz w:val="22"/>
          <w:szCs w:val="22"/>
        </w:rPr>
      </w:pPr>
      <w:r w:rsidRPr="008B50D8">
        <w:rPr>
          <w:sz w:val="22"/>
          <w:szCs w:val="22"/>
        </w:rPr>
        <w:t xml:space="preserve"> </w:t>
      </w:r>
      <w:r w:rsidR="00246C03" w:rsidRPr="008B50D8">
        <w:rPr>
          <w:sz w:val="22"/>
          <w:szCs w:val="22"/>
        </w:rPr>
        <w:tab/>
        <w:t>3.4. A realização pelo concedente de licitação para registro de preços destinado a atender a programa de governo com a finalidade de adquirir e distribuir os bens constantes do registro aos convenentes encontra amparo na legislação vigente.</w:t>
      </w:r>
    </w:p>
    <w:p w:rsidR="00554F2F" w:rsidRPr="008B50D8" w:rsidRDefault="00554F2F" w:rsidP="00246C03">
      <w:pPr>
        <w:pStyle w:val="PargrafodaLista"/>
        <w:widowControl w:val="0"/>
        <w:autoSpaceDE w:val="0"/>
        <w:autoSpaceDN w:val="0"/>
        <w:adjustRightInd w:val="0"/>
        <w:ind w:left="0"/>
        <w:contextualSpacing w:val="0"/>
        <w:jc w:val="both"/>
        <w:rPr>
          <w:sz w:val="22"/>
        </w:rPr>
      </w:pPr>
    </w:p>
    <w:p w:rsidR="00A831FB" w:rsidRPr="008B50D8" w:rsidRDefault="00DD7594" w:rsidP="00554F2F">
      <w:pPr>
        <w:pStyle w:val="Default"/>
        <w:jc w:val="both"/>
        <w:rPr>
          <w:b/>
          <w:sz w:val="22"/>
          <w:szCs w:val="22"/>
        </w:rPr>
      </w:pPr>
      <w:r w:rsidRPr="008B50D8">
        <w:rPr>
          <w:b/>
          <w:sz w:val="22"/>
          <w:szCs w:val="22"/>
        </w:rPr>
        <w:t>Inovação Legislativa</w:t>
      </w:r>
    </w:p>
    <w:p w:rsidR="00B4220C" w:rsidRPr="008B50D8" w:rsidRDefault="00B24FB1" w:rsidP="00554F2F">
      <w:pPr>
        <w:pStyle w:val="Default"/>
        <w:jc w:val="both"/>
        <w:rPr>
          <w:sz w:val="22"/>
          <w:szCs w:val="22"/>
        </w:rPr>
      </w:pPr>
      <w:r w:rsidRPr="008B50D8">
        <w:rPr>
          <w:sz w:val="22"/>
          <w:szCs w:val="22"/>
        </w:rPr>
        <w:t>Decreto nº 7.775, de 4/7/2012</w:t>
      </w:r>
      <w:r w:rsidR="00246C03" w:rsidRPr="008B50D8">
        <w:rPr>
          <w:sz w:val="22"/>
          <w:szCs w:val="22"/>
        </w:rPr>
        <w:t>.</w:t>
      </w:r>
    </w:p>
    <w:p w:rsidR="00440C8D" w:rsidRPr="008B50D8" w:rsidRDefault="007C0033" w:rsidP="00445AC4">
      <w:pPr>
        <w:pBdr>
          <w:top w:val="threeDEmboss" w:sz="24" w:space="0" w:color="auto"/>
        </w:pBdr>
        <w:tabs>
          <w:tab w:val="left" w:pos="284"/>
          <w:tab w:val="left" w:pos="2590"/>
        </w:tabs>
        <w:spacing w:after="0"/>
        <w:ind w:left="0"/>
        <w:jc w:val="center"/>
        <w:rPr>
          <w:b/>
          <w:sz w:val="22"/>
          <w:szCs w:val="22"/>
        </w:rPr>
      </w:pPr>
      <w:r w:rsidRPr="008B50D8">
        <w:rPr>
          <w:b/>
          <w:sz w:val="22"/>
          <w:szCs w:val="22"/>
        </w:rPr>
        <w:t>PLENÁRIO</w:t>
      </w:r>
    </w:p>
    <w:p w:rsidR="00B43B2D" w:rsidRPr="008B50D8" w:rsidRDefault="00B43B2D" w:rsidP="0053655B">
      <w:pPr>
        <w:pStyle w:val="Default"/>
        <w:jc w:val="both"/>
        <w:rPr>
          <w:sz w:val="22"/>
          <w:szCs w:val="22"/>
        </w:rPr>
      </w:pPr>
    </w:p>
    <w:p w:rsidR="00554F2F" w:rsidRPr="008B50D8" w:rsidRDefault="00554F2F" w:rsidP="00554F2F">
      <w:pPr>
        <w:pStyle w:val="TCU-Epgrafe"/>
        <w:ind w:left="0"/>
        <w:rPr>
          <w:b/>
          <w:sz w:val="22"/>
          <w:szCs w:val="22"/>
        </w:rPr>
      </w:pPr>
      <w:r w:rsidRPr="008B50D8">
        <w:rPr>
          <w:b/>
          <w:sz w:val="22"/>
          <w:szCs w:val="22"/>
        </w:rPr>
        <w:t xml:space="preserve">1.  As impugnações apresentadas por licitantes contra disposições de editais devem ser respondidas no prazo de cinco dias e anteriormente à abertura das propostas, tendo em vista o que prescrevem o art. 41, § 2º, da Lei nº 8.666/1993 e o art. 24 da Lei nº 9.784/1999  </w:t>
      </w:r>
    </w:p>
    <w:p w:rsidR="00554F2F" w:rsidRPr="008B50D8" w:rsidRDefault="00554F2F" w:rsidP="00816696">
      <w:pPr>
        <w:pStyle w:val="Default"/>
        <w:jc w:val="both"/>
        <w:rPr>
          <w:b/>
          <w:i/>
          <w:sz w:val="22"/>
          <w:szCs w:val="22"/>
        </w:rPr>
      </w:pPr>
      <w:r w:rsidRPr="008B50D8">
        <w:rPr>
          <w:sz w:val="22"/>
          <w:szCs w:val="22"/>
        </w:rPr>
        <w:t xml:space="preserve">Representação formulada por consórcio de empresas apontou supostas irregularidades na Concorrência Pública nº 011/2011, conduzida pela Companhia Docas do Estado de São Paulo – Codesp, que tem por objeto a contratação de empresa especializada para a execução das obras de alinhamento do Cais de Outerinhos, no Porto de Santos/SP. No entender do relator, remanesceu não esclarecida a intempestividade de resposta a impugnação de licitante (dezoito dias após a protocolização do pedido, quinze dias após a abertura dos envelopes de habilitação e dois dias após a decisão de inabilitação). Ao examinar esse aspecto da representação, divergiu do entendimento esposado pela unidade técnica no sentido de que </w:t>
      </w:r>
      <w:r w:rsidRPr="008B50D8">
        <w:rPr>
          <w:i/>
          <w:sz w:val="22"/>
          <w:szCs w:val="22"/>
        </w:rPr>
        <w:t xml:space="preserve">"o § 1º do art. 41 da Lei 8.666/93 estabelece as regras para que qualquer cidadão apresente impugnação ao edital de licitação. Para o caso de licitantes, as regras estão consignadas no § 2º do mesmo artigo, </w:t>
      </w:r>
      <w:r w:rsidRPr="008B50D8">
        <w:rPr>
          <w:b/>
          <w:i/>
          <w:sz w:val="22"/>
          <w:szCs w:val="22"/>
        </w:rPr>
        <w:t>o qual não fixa prazo para a administração responder a impugnação da licitante</w:t>
      </w:r>
      <w:r w:rsidRPr="008B50D8">
        <w:rPr>
          <w:i/>
          <w:sz w:val="22"/>
          <w:szCs w:val="22"/>
        </w:rPr>
        <w:t>"</w:t>
      </w:r>
      <w:r w:rsidRPr="008B50D8">
        <w:rPr>
          <w:sz w:val="22"/>
          <w:szCs w:val="22"/>
        </w:rPr>
        <w:t xml:space="preserve"> – grifos do original. Segundo o relator, caso tal entendimento prevalecesse, restaria comprometida a possibilidade de o licitante impugnar o edital. “</w:t>
      </w:r>
      <w:r w:rsidRPr="008B50D8">
        <w:rPr>
          <w:i/>
          <w:sz w:val="22"/>
          <w:szCs w:val="22"/>
        </w:rPr>
        <w:t xml:space="preserve">Se todos os atos licitatórios posteriores já se aperfeiçoarem e só então a Administração decida sobre mácula anterior, a anulação de todos os atos já tomados, </w:t>
      </w:r>
      <w:r w:rsidRPr="008B50D8">
        <w:rPr>
          <w:b/>
          <w:i/>
          <w:sz w:val="22"/>
          <w:szCs w:val="22"/>
        </w:rPr>
        <w:t>ex tunc</w:t>
      </w:r>
      <w:r w:rsidRPr="008B50D8">
        <w:rPr>
          <w:i/>
          <w:sz w:val="22"/>
          <w:szCs w:val="22"/>
        </w:rPr>
        <w:t>, iria de encontro à eficiência e à racionalidade administrativa</w:t>
      </w:r>
      <w:r w:rsidRPr="008B50D8">
        <w:rPr>
          <w:sz w:val="22"/>
          <w:szCs w:val="22"/>
        </w:rPr>
        <w:t>”. Lembrou do rito delineado nos §§ 5º e 6º do art. 43 da Lei 8.666/93 e registrou: “</w:t>
      </w:r>
      <w:r w:rsidRPr="008B50D8">
        <w:rPr>
          <w:i/>
          <w:sz w:val="22"/>
          <w:szCs w:val="22"/>
        </w:rPr>
        <w:t>Quando ultrapassada a fase de classificação (...), se não julgadas as impugnações – que muitas vezes podem se referir à própria exequibilidade do objeto – não vejo como exigir que a licitante sustente a sua proposta, se ela mesma a questionou em fase anterior. A segurança jurídica para a contratação estaria comprometida</w:t>
      </w:r>
      <w:r w:rsidRPr="008B50D8">
        <w:rPr>
          <w:sz w:val="22"/>
          <w:szCs w:val="22"/>
        </w:rPr>
        <w:t>”. Prosseguiu: “</w:t>
      </w:r>
      <w:r w:rsidRPr="008B50D8">
        <w:rPr>
          <w:i/>
          <w:sz w:val="22"/>
          <w:szCs w:val="22"/>
        </w:rPr>
        <w:t>Qualquer que seja a modalidade de licitação, ... não poderá ser declarado o vencedor antes de concluídas todas as etapas e observados os prazos de divulgação, impugnação, interposição de recursos</w:t>
      </w:r>
      <w:r w:rsidRPr="008B50D8">
        <w:rPr>
          <w:sz w:val="22"/>
          <w:szCs w:val="22"/>
        </w:rPr>
        <w:t>”</w:t>
      </w:r>
      <w:r w:rsidRPr="008B50D8">
        <w:rPr>
          <w:i/>
          <w:sz w:val="22"/>
          <w:szCs w:val="22"/>
        </w:rPr>
        <w:t xml:space="preserve">. </w:t>
      </w:r>
      <w:r w:rsidRPr="008B50D8">
        <w:rPr>
          <w:sz w:val="22"/>
          <w:szCs w:val="22"/>
        </w:rPr>
        <w:t>Em face desse panorama e ante a ausência de prazo explícito na Lei 8.666/93, considerou aplicável, “</w:t>
      </w:r>
      <w:r w:rsidRPr="008B50D8">
        <w:rPr>
          <w:i/>
          <w:sz w:val="22"/>
          <w:szCs w:val="22"/>
        </w:rPr>
        <w:t>de forma subsidiária</w:t>
      </w:r>
      <w:r w:rsidRPr="008B50D8">
        <w:rPr>
          <w:sz w:val="22"/>
          <w:szCs w:val="22"/>
        </w:rPr>
        <w:t>”, o regramento contido na Lei 9.784/99, que regula o processo administrativo no âmbito da Administração Pública Federal: “</w:t>
      </w:r>
      <w:r w:rsidRPr="008B50D8">
        <w:rPr>
          <w:i/>
          <w:sz w:val="22"/>
          <w:szCs w:val="22"/>
        </w:rPr>
        <w:t>Art 24. Inexistindo disposição específica, os atos do órgão ou autoridade responsável pelo processo e dos administrados que dele participem devem ser praticados no prazo de cinco dias, salvo motivo de força maior.</w:t>
      </w:r>
      <w:r w:rsidRPr="008B50D8">
        <w:rPr>
          <w:sz w:val="22"/>
          <w:szCs w:val="22"/>
        </w:rPr>
        <w:t>” O Tribunal, então, ao acolher proposta do relator, decidiu notificar a Codesp para que, doravante, “</w:t>
      </w:r>
      <w:r w:rsidRPr="008B50D8">
        <w:rPr>
          <w:i/>
          <w:sz w:val="22"/>
          <w:szCs w:val="22"/>
        </w:rPr>
        <w:t>em cumprimento ao art. 41, § 2º, da Lei nº 8.666/1993 e em atenção ao Acórdão 1.201/2006-Plenário, responda tempestivamente às impugnações apresentadas por licitantes contra os editais de suas licitações, atentando para o prazo de cinco dias constante no art. 24 da Lei nº 9.784/1999 e necessariamente anterior à data de abertura das propostas</w:t>
      </w:r>
      <w:r w:rsidRPr="008B50D8">
        <w:rPr>
          <w:sz w:val="22"/>
          <w:szCs w:val="22"/>
        </w:rPr>
        <w:t xml:space="preserve">”. Precedente mencionado: Acórdão 1.201/2006-Plenário. </w:t>
      </w:r>
      <w:r w:rsidRPr="008B50D8">
        <w:rPr>
          <w:b/>
          <w:i/>
          <w:sz w:val="22"/>
          <w:szCs w:val="22"/>
        </w:rPr>
        <w:t xml:space="preserve">Acórdão nº. 1686/2012-Plenário, TC-011.934/2012-3, rel. Min. Valmir Campelo, </w:t>
      </w:r>
      <w:r w:rsidR="00816696" w:rsidRPr="008B50D8">
        <w:rPr>
          <w:b/>
          <w:i/>
          <w:sz w:val="22"/>
          <w:szCs w:val="22"/>
        </w:rPr>
        <w:t>4</w:t>
      </w:r>
      <w:r w:rsidRPr="008B50D8">
        <w:rPr>
          <w:b/>
          <w:i/>
          <w:sz w:val="22"/>
          <w:szCs w:val="22"/>
        </w:rPr>
        <w:t>.</w:t>
      </w:r>
      <w:r w:rsidR="00816696" w:rsidRPr="008B50D8">
        <w:rPr>
          <w:b/>
          <w:i/>
          <w:sz w:val="22"/>
          <w:szCs w:val="22"/>
        </w:rPr>
        <w:t>7</w:t>
      </w:r>
      <w:r w:rsidRPr="008B50D8">
        <w:rPr>
          <w:b/>
          <w:i/>
          <w:sz w:val="22"/>
          <w:szCs w:val="22"/>
        </w:rPr>
        <w:t xml:space="preserve">.2011.  </w:t>
      </w:r>
    </w:p>
    <w:p w:rsidR="00554F2F" w:rsidRPr="008B50D8" w:rsidRDefault="00554F2F" w:rsidP="00816696">
      <w:pPr>
        <w:pStyle w:val="Default"/>
        <w:jc w:val="both"/>
        <w:rPr>
          <w:sz w:val="22"/>
          <w:szCs w:val="22"/>
        </w:rPr>
      </w:pPr>
    </w:p>
    <w:p w:rsidR="00554F2F" w:rsidRPr="008B50D8" w:rsidRDefault="00554F2F" w:rsidP="00816696">
      <w:pPr>
        <w:pStyle w:val="Default"/>
        <w:tabs>
          <w:tab w:val="left" w:pos="1134"/>
        </w:tabs>
        <w:jc w:val="both"/>
        <w:rPr>
          <w:b/>
          <w:bCs/>
          <w:sz w:val="22"/>
          <w:szCs w:val="22"/>
        </w:rPr>
      </w:pPr>
      <w:r w:rsidRPr="008B50D8">
        <w:rPr>
          <w:b/>
          <w:bCs/>
          <w:sz w:val="22"/>
          <w:szCs w:val="22"/>
        </w:rPr>
        <w:t xml:space="preserve">2.  É lícita a utilização do sistema de registro de preços para contratação de serviços contínuos, desde que configurada uma das hipóteses delineadas nos incisos I a IV do </w:t>
      </w:r>
      <w:r w:rsidRPr="008B50D8">
        <w:rPr>
          <w:b/>
          <w:sz w:val="22"/>
          <w:szCs w:val="22"/>
        </w:rPr>
        <w:t>art. 2º do Decreto 3.931/2001</w:t>
      </w:r>
    </w:p>
    <w:p w:rsidR="00554F2F" w:rsidRPr="008B50D8" w:rsidRDefault="00554F2F" w:rsidP="00816696">
      <w:pPr>
        <w:pStyle w:val="Default"/>
        <w:tabs>
          <w:tab w:val="left" w:pos="1134"/>
        </w:tabs>
        <w:jc w:val="both"/>
        <w:rPr>
          <w:b/>
          <w:sz w:val="22"/>
          <w:szCs w:val="22"/>
        </w:rPr>
      </w:pPr>
      <w:r w:rsidRPr="008B50D8">
        <w:rPr>
          <w:bCs/>
          <w:sz w:val="22"/>
          <w:szCs w:val="22"/>
        </w:rPr>
        <w:t>Pedido de</w:t>
      </w:r>
      <w:r w:rsidRPr="008B50D8">
        <w:rPr>
          <w:sz w:val="22"/>
          <w:szCs w:val="22"/>
        </w:rPr>
        <w:t xml:space="preserve"> reexame interposto pelo Instituto Chico Mendes de Conservação da Biodiversidade – ICMBio impugnou dispositivo contido no Acórdão 2.312/2009-P, parcialmente alterado pelo Acórdão 2.775/2010-P, ambos do Plenário, proferidos nos autos de denúncia que versou sobre possíveis irregularidades na condução de </w:t>
      </w:r>
      <w:r w:rsidRPr="008B50D8">
        <w:rPr>
          <w:bCs/>
          <w:sz w:val="22"/>
          <w:szCs w:val="22"/>
        </w:rPr>
        <w:t xml:space="preserve">licitação para formação de registro de preços visando a contratação de empresa prestadora de </w:t>
      </w:r>
      <w:r w:rsidRPr="008B50D8">
        <w:rPr>
          <w:bCs/>
          <w:sz w:val="22"/>
          <w:szCs w:val="22"/>
          <w:u w:val="single"/>
        </w:rPr>
        <w:t>serviços</w:t>
      </w:r>
      <w:r w:rsidRPr="008B50D8">
        <w:rPr>
          <w:bCs/>
          <w:sz w:val="22"/>
          <w:szCs w:val="22"/>
        </w:rPr>
        <w:t xml:space="preserve"> </w:t>
      </w:r>
      <w:r w:rsidRPr="008B50D8">
        <w:rPr>
          <w:sz w:val="22"/>
          <w:szCs w:val="22"/>
        </w:rPr>
        <w:t xml:space="preserve">de apoio às atividades operacionais, </w:t>
      </w:r>
      <w:r w:rsidRPr="008B50D8">
        <w:rPr>
          <w:sz w:val="22"/>
          <w:szCs w:val="22"/>
          <w:u w:val="single"/>
        </w:rPr>
        <w:t>de forma contínua</w:t>
      </w:r>
      <w:r w:rsidRPr="008B50D8">
        <w:rPr>
          <w:sz w:val="22"/>
          <w:szCs w:val="22"/>
        </w:rPr>
        <w:t xml:space="preserve">. Por meio desse recurso, o citado Instituto pediu a reforma de </w:t>
      </w:r>
      <w:r w:rsidRPr="008B50D8">
        <w:rPr>
          <w:bCs/>
          <w:sz w:val="22"/>
          <w:szCs w:val="22"/>
        </w:rPr>
        <w:t xml:space="preserve">determinação que o impedia de </w:t>
      </w:r>
      <w:r w:rsidRPr="008B50D8">
        <w:rPr>
          <w:sz w:val="22"/>
          <w:szCs w:val="22"/>
        </w:rPr>
        <w:t>utilizar o sistema de registro de preços – SRP “</w:t>
      </w:r>
      <w:r w:rsidRPr="008B50D8">
        <w:rPr>
          <w:i/>
          <w:sz w:val="22"/>
          <w:szCs w:val="22"/>
        </w:rPr>
        <w:t>para contratação de serviços contínuos essenciais ao funcionamento do órgão</w:t>
      </w:r>
      <w:r w:rsidRPr="008B50D8">
        <w:rPr>
          <w:sz w:val="22"/>
          <w:szCs w:val="22"/>
        </w:rPr>
        <w:t xml:space="preserve">”. O recorrente, em suas razões, acentuou a </w:t>
      </w:r>
      <w:r w:rsidRPr="008B50D8">
        <w:rPr>
          <w:bCs/>
          <w:sz w:val="22"/>
          <w:szCs w:val="22"/>
        </w:rPr>
        <w:t>ampliação da competitividade e da publicidade conferidas pelo sistema de registro de preços, especialmente quando realizado por meio do pregão eletrônico, além da</w:t>
      </w:r>
      <w:r w:rsidRPr="008B50D8">
        <w:rPr>
          <w:sz w:val="22"/>
          <w:szCs w:val="22"/>
        </w:rPr>
        <w:t xml:space="preserve"> celeridade e economicidade dos procedimentos licitatórios. A unidade técnica </w:t>
      </w:r>
      <w:r w:rsidRPr="008B50D8">
        <w:rPr>
          <w:bCs/>
          <w:sz w:val="22"/>
          <w:szCs w:val="22"/>
        </w:rPr>
        <w:t>pugnou pela negativa de provimento ao recurso, por considerar que a terceirização de mão de obra, objeto da ata de registro de preços, não se ajusta às disposições legais que normatizam o SRP. A relatora ao dissentir desse entendimento, ponderou que “</w:t>
      </w:r>
      <w:r w:rsidRPr="008B50D8">
        <w:rPr>
          <w:bCs/>
          <w:i/>
          <w:sz w:val="22"/>
          <w:szCs w:val="22"/>
        </w:rPr>
        <w:t xml:space="preserve">o </w:t>
      </w:r>
      <w:r w:rsidRPr="008B50D8">
        <w:rPr>
          <w:i/>
          <w:sz w:val="22"/>
          <w:szCs w:val="22"/>
        </w:rPr>
        <w:t xml:space="preserve">sistema de registro de preços, antes restrito a compras, pode ser utilizado na contratação de prestação de serviços”. </w:t>
      </w:r>
      <w:r w:rsidRPr="008B50D8">
        <w:rPr>
          <w:sz w:val="22"/>
          <w:szCs w:val="22"/>
        </w:rPr>
        <w:t xml:space="preserve">Reconheceu que os quantitativos dos serviços de natureza continuada </w:t>
      </w:r>
      <w:r w:rsidRPr="006030B5">
        <w:rPr>
          <w:color w:val="auto"/>
          <w:sz w:val="22"/>
          <w:szCs w:val="22"/>
        </w:rPr>
        <w:t xml:space="preserve">devem </w:t>
      </w:r>
      <w:r w:rsidR="006030B5" w:rsidRPr="006030B5">
        <w:rPr>
          <w:color w:val="auto"/>
          <w:sz w:val="22"/>
          <w:szCs w:val="22"/>
        </w:rPr>
        <w:t>ser</w:t>
      </w:r>
      <w:r w:rsidR="00E97E70" w:rsidRPr="006030B5">
        <w:rPr>
          <w:color w:val="auto"/>
          <w:sz w:val="22"/>
          <w:szCs w:val="22"/>
        </w:rPr>
        <w:t xml:space="preserve"> </w:t>
      </w:r>
      <w:r w:rsidRPr="006030B5">
        <w:rPr>
          <w:color w:val="auto"/>
          <w:sz w:val="22"/>
          <w:szCs w:val="22"/>
        </w:rPr>
        <w:t>mensurados</w:t>
      </w:r>
      <w:r w:rsidRPr="008B50D8">
        <w:rPr>
          <w:sz w:val="22"/>
          <w:szCs w:val="22"/>
        </w:rPr>
        <w:t xml:space="preserve"> com antecedência, o que impediria o enquadramento de casos dessa natureza à hipótese prevista no inciso IV do art. 2º do Decreto 3.931/2001. A utilização desse sistema, contudo, pode ser justificada pelas outras hipóteses que ensejam a adoção do sistema de registro de preços, explicitadas nos incisos I, II e III desse mesmo artigo. E acrescentou: “</w:t>
      </w:r>
      <w:r w:rsidRPr="008B50D8">
        <w:rPr>
          <w:i/>
          <w:sz w:val="22"/>
          <w:szCs w:val="22"/>
        </w:rPr>
        <w:t xml:space="preserve">Vislumbro a importância da utilização do SRP nos casos enquadrados no inciso III, por exemplo, onde a </w:t>
      </w:r>
      <w:r w:rsidRPr="008B50D8">
        <w:rPr>
          <w:bCs/>
          <w:i/>
          <w:sz w:val="22"/>
          <w:szCs w:val="22"/>
        </w:rPr>
        <w:t>partir de uma cooperação mútua entre órgãos/entidades diferentes, incluindo aí um planejamento consistente de suas necessidades, a formação de uma ata de registro de preços poderia resultar em benefícios importantes.</w:t>
      </w:r>
      <w:r w:rsidRPr="008B50D8">
        <w:rPr>
          <w:i/>
          <w:sz w:val="22"/>
          <w:szCs w:val="22"/>
        </w:rPr>
        <w:t xml:space="preserve"> Também n</w:t>
      </w:r>
      <w:r w:rsidRPr="008B50D8">
        <w:rPr>
          <w:bCs/>
          <w:i/>
          <w:sz w:val="22"/>
          <w:szCs w:val="22"/>
        </w:rPr>
        <w:t>os casos de contratação de serviços frequentemente demandados, mas que não sejam necessários ininterruptamente, a ata poderia ser uma solução eficaz e que coaduna com a eficiência e a economicidade almejadas na aplicação de recursos públicos</w:t>
      </w:r>
      <w:r w:rsidRPr="008B50D8">
        <w:rPr>
          <w:bCs/>
          <w:sz w:val="22"/>
          <w:szCs w:val="22"/>
        </w:rPr>
        <w:t>”. Ressaltou, porém, a necessidade de impedir ilimitadas adesões a uma mesma ata de registro de preços, por ofensa aos princípios da competição, da igualdade de condições entre os licitantes e da busca da maior vantagem para a Administração Pública. O Tribunal, então, ao endossar a proposta de encaminhamento da relatora, decidiu conhecer do pedido de reexame e conceder provimento parcial a esse recurso, a fim de reformar o subitem da decisão atacada, o qual passou a assumir a seguinte redação: “</w:t>
      </w:r>
      <w:r w:rsidRPr="008B50D8">
        <w:rPr>
          <w:bCs/>
          <w:i/>
          <w:sz w:val="22"/>
          <w:szCs w:val="22"/>
        </w:rPr>
        <w:t>1.5.1.1 quando da utilização do SRP, inclusive para contratação de serviços contínuos, fixe, no instrumento convocatório, os quantitativos máximos a serem contratados e controle, enquanto órgão gerenciador da ata a ser formada, as adesões posteriores, para que esses limites não sejam superados</w:t>
      </w:r>
      <w:r w:rsidRPr="008B50D8">
        <w:rPr>
          <w:bCs/>
          <w:sz w:val="22"/>
          <w:szCs w:val="22"/>
        </w:rPr>
        <w:t xml:space="preserve">”. </w:t>
      </w:r>
      <w:r w:rsidRPr="008B50D8">
        <w:rPr>
          <w:b/>
          <w:i/>
          <w:sz w:val="22"/>
          <w:szCs w:val="22"/>
        </w:rPr>
        <w:t xml:space="preserve">Acórdão nº. 1737/2012-Plenário, TC-016.762/2009-6, rel. Min. Ana Arraes, </w:t>
      </w:r>
      <w:r w:rsidR="00816696" w:rsidRPr="008B50D8">
        <w:rPr>
          <w:b/>
          <w:i/>
          <w:sz w:val="22"/>
          <w:szCs w:val="22"/>
        </w:rPr>
        <w:t>4</w:t>
      </w:r>
      <w:r w:rsidRPr="008B50D8">
        <w:rPr>
          <w:b/>
          <w:i/>
          <w:sz w:val="22"/>
          <w:szCs w:val="22"/>
        </w:rPr>
        <w:t>.</w:t>
      </w:r>
      <w:r w:rsidR="00816696" w:rsidRPr="008B50D8">
        <w:rPr>
          <w:b/>
          <w:i/>
          <w:sz w:val="22"/>
          <w:szCs w:val="22"/>
        </w:rPr>
        <w:t>7</w:t>
      </w:r>
      <w:r w:rsidRPr="008B50D8">
        <w:rPr>
          <w:b/>
          <w:i/>
          <w:sz w:val="22"/>
          <w:szCs w:val="22"/>
        </w:rPr>
        <w:t>.2011.</w:t>
      </w:r>
    </w:p>
    <w:p w:rsidR="00554F2F" w:rsidRPr="008B50D8" w:rsidRDefault="00554F2F" w:rsidP="00816696">
      <w:pPr>
        <w:pStyle w:val="Default"/>
        <w:jc w:val="both"/>
        <w:rPr>
          <w:sz w:val="22"/>
          <w:szCs w:val="22"/>
        </w:rPr>
      </w:pPr>
    </w:p>
    <w:p w:rsidR="003D4149" w:rsidRPr="008B50D8" w:rsidRDefault="00554F2F" w:rsidP="00816696">
      <w:pPr>
        <w:pStyle w:val="Default"/>
        <w:jc w:val="both"/>
        <w:rPr>
          <w:b/>
          <w:sz w:val="22"/>
          <w:szCs w:val="22"/>
        </w:rPr>
      </w:pPr>
      <w:r w:rsidRPr="008B50D8">
        <w:rPr>
          <w:b/>
          <w:sz w:val="22"/>
          <w:szCs w:val="22"/>
        </w:rPr>
        <w:t>3</w:t>
      </w:r>
      <w:r w:rsidR="005C63B5" w:rsidRPr="008B50D8">
        <w:rPr>
          <w:b/>
          <w:sz w:val="22"/>
          <w:szCs w:val="22"/>
        </w:rPr>
        <w:t xml:space="preserve">. </w:t>
      </w:r>
      <w:r w:rsidR="006120C3" w:rsidRPr="008B50D8">
        <w:rPr>
          <w:b/>
          <w:sz w:val="22"/>
          <w:szCs w:val="22"/>
        </w:rPr>
        <w:t>R</w:t>
      </w:r>
      <w:r w:rsidR="008F05FB" w:rsidRPr="008B50D8">
        <w:rPr>
          <w:b/>
          <w:sz w:val="22"/>
          <w:szCs w:val="22"/>
        </w:rPr>
        <w:t xml:space="preserve">egistro de preços </w:t>
      </w:r>
      <w:r w:rsidR="006838D8" w:rsidRPr="008B50D8">
        <w:rPr>
          <w:b/>
          <w:sz w:val="22"/>
          <w:szCs w:val="22"/>
        </w:rPr>
        <w:t xml:space="preserve">para aquisição de bens e serviços </w:t>
      </w:r>
      <w:r w:rsidR="00994F60" w:rsidRPr="008B50D8">
        <w:rPr>
          <w:b/>
          <w:sz w:val="22"/>
          <w:szCs w:val="22"/>
        </w:rPr>
        <w:t xml:space="preserve">com recursos de </w:t>
      </w:r>
      <w:r w:rsidR="008F05FB" w:rsidRPr="008B50D8">
        <w:rPr>
          <w:b/>
          <w:sz w:val="22"/>
          <w:szCs w:val="22"/>
        </w:rPr>
        <w:t>convênios</w:t>
      </w:r>
    </w:p>
    <w:p w:rsidR="003808DB" w:rsidRPr="008B50D8" w:rsidRDefault="00554F2F" w:rsidP="003D4149">
      <w:pPr>
        <w:pStyle w:val="Default"/>
        <w:spacing w:before="60"/>
        <w:jc w:val="both"/>
        <w:rPr>
          <w:b/>
          <w:sz w:val="22"/>
          <w:szCs w:val="22"/>
        </w:rPr>
      </w:pPr>
      <w:r w:rsidRPr="008B50D8">
        <w:rPr>
          <w:b/>
          <w:sz w:val="22"/>
          <w:szCs w:val="22"/>
        </w:rPr>
        <w:t>3</w:t>
      </w:r>
      <w:r w:rsidR="00810B66" w:rsidRPr="008B50D8">
        <w:rPr>
          <w:b/>
          <w:sz w:val="22"/>
          <w:szCs w:val="22"/>
        </w:rPr>
        <w:t xml:space="preserve">.1. </w:t>
      </w:r>
      <w:r w:rsidR="00980C3D" w:rsidRPr="008B50D8">
        <w:rPr>
          <w:b/>
          <w:sz w:val="22"/>
          <w:szCs w:val="22"/>
        </w:rPr>
        <w:t>A</w:t>
      </w:r>
      <w:r w:rsidR="006120C3" w:rsidRPr="008B50D8">
        <w:rPr>
          <w:b/>
          <w:sz w:val="22"/>
          <w:szCs w:val="22"/>
        </w:rPr>
        <w:t xml:space="preserve"> imposição </w:t>
      </w:r>
      <w:r w:rsidR="00A22796" w:rsidRPr="008B50D8">
        <w:rPr>
          <w:b/>
          <w:sz w:val="22"/>
          <w:szCs w:val="22"/>
        </w:rPr>
        <w:t xml:space="preserve">pelo concedente </w:t>
      </w:r>
      <w:r w:rsidR="006838D8" w:rsidRPr="008B50D8">
        <w:rPr>
          <w:b/>
          <w:sz w:val="22"/>
          <w:szCs w:val="22"/>
        </w:rPr>
        <w:t xml:space="preserve">de condição </w:t>
      </w:r>
      <w:r w:rsidR="00D45047" w:rsidRPr="008B50D8">
        <w:rPr>
          <w:b/>
          <w:sz w:val="22"/>
          <w:szCs w:val="22"/>
        </w:rPr>
        <w:t xml:space="preserve">que obrigue </w:t>
      </w:r>
      <w:r w:rsidR="006838D8" w:rsidRPr="008B50D8">
        <w:rPr>
          <w:b/>
          <w:sz w:val="22"/>
          <w:szCs w:val="22"/>
        </w:rPr>
        <w:t xml:space="preserve">entidades públicas convenentes </w:t>
      </w:r>
      <w:r w:rsidR="00C03605" w:rsidRPr="008B50D8">
        <w:rPr>
          <w:b/>
          <w:sz w:val="22"/>
          <w:szCs w:val="22"/>
        </w:rPr>
        <w:t xml:space="preserve">a </w:t>
      </w:r>
      <w:r w:rsidR="006838D8" w:rsidRPr="008B50D8">
        <w:rPr>
          <w:b/>
          <w:sz w:val="22"/>
          <w:szCs w:val="22"/>
        </w:rPr>
        <w:t>utiliz</w:t>
      </w:r>
      <w:r w:rsidR="00C03605" w:rsidRPr="008B50D8">
        <w:rPr>
          <w:b/>
          <w:sz w:val="22"/>
          <w:szCs w:val="22"/>
        </w:rPr>
        <w:t>are</w:t>
      </w:r>
      <w:r w:rsidR="006838D8" w:rsidRPr="008B50D8">
        <w:rPr>
          <w:b/>
          <w:sz w:val="22"/>
          <w:szCs w:val="22"/>
        </w:rPr>
        <w:t xml:space="preserve">m, sempre que houver, atas </w:t>
      </w:r>
      <w:r w:rsidR="00712B2B" w:rsidRPr="008B50D8">
        <w:rPr>
          <w:b/>
          <w:sz w:val="22"/>
          <w:szCs w:val="22"/>
        </w:rPr>
        <w:t>d</w:t>
      </w:r>
      <w:r w:rsidR="006838D8" w:rsidRPr="008B50D8">
        <w:rPr>
          <w:b/>
          <w:sz w:val="22"/>
          <w:szCs w:val="22"/>
        </w:rPr>
        <w:t>e registro de preços gerenciadas por órgãos ou entidades federais</w:t>
      </w:r>
      <w:r w:rsidR="00980C3D" w:rsidRPr="008B50D8">
        <w:rPr>
          <w:b/>
          <w:sz w:val="22"/>
          <w:szCs w:val="22"/>
        </w:rPr>
        <w:t xml:space="preserve"> </w:t>
      </w:r>
      <w:r w:rsidR="00712B2B" w:rsidRPr="008B50D8">
        <w:rPr>
          <w:b/>
          <w:sz w:val="22"/>
          <w:szCs w:val="22"/>
        </w:rPr>
        <w:t>afronta</w:t>
      </w:r>
      <w:r w:rsidR="00980C3D" w:rsidRPr="008B50D8">
        <w:rPr>
          <w:b/>
          <w:sz w:val="22"/>
          <w:szCs w:val="22"/>
        </w:rPr>
        <w:t xml:space="preserve"> o ordenamento jurídico, por falta de amparo constitucional e legal </w:t>
      </w:r>
    </w:p>
    <w:p w:rsidR="008F05FB" w:rsidRPr="008B50D8" w:rsidRDefault="008F05FB" w:rsidP="003808DB">
      <w:pPr>
        <w:pStyle w:val="TCU-Epgrafe"/>
        <w:tabs>
          <w:tab w:val="left" w:pos="1134"/>
        </w:tabs>
        <w:ind w:left="0"/>
        <w:rPr>
          <w:sz w:val="22"/>
          <w:szCs w:val="22"/>
        </w:rPr>
      </w:pPr>
      <w:r w:rsidRPr="008B50D8">
        <w:rPr>
          <w:sz w:val="22"/>
          <w:szCs w:val="22"/>
        </w:rPr>
        <w:t>Consulta formulada pelo Ministério da Ciência, Tecnologia e Inovação (MCTI)</w:t>
      </w:r>
      <w:r w:rsidR="00A22796" w:rsidRPr="008B50D8">
        <w:rPr>
          <w:sz w:val="22"/>
          <w:szCs w:val="22"/>
        </w:rPr>
        <w:t xml:space="preserve">, na qualidade de órgão concedente responsável pela transferência de recursos financeiros destinados à execução do objeto de convênios, </w:t>
      </w:r>
      <w:r w:rsidR="007D4C4B" w:rsidRPr="008B50D8">
        <w:rPr>
          <w:sz w:val="22"/>
          <w:szCs w:val="22"/>
        </w:rPr>
        <w:t xml:space="preserve">indagou sobre a legalidade </w:t>
      </w:r>
      <w:r w:rsidRPr="008B50D8">
        <w:rPr>
          <w:sz w:val="22"/>
          <w:szCs w:val="22"/>
        </w:rPr>
        <w:t>d</w:t>
      </w:r>
      <w:r w:rsidR="007D4C4B" w:rsidRPr="008B50D8">
        <w:rPr>
          <w:sz w:val="22"/>
          <w:szCs w:val="22"/>
        </w:rPr>
        <w:t>a inclusão de</w:t>
      </w:r>
      <w:r w:rsidRPr="008B50D8">
        <w:rPr>
          <w:sz w:val="22"/>
          <w:szCs w:val="22"/>
        </w:rPr>
        <w:t xml:space="preserve"> </w:t>
      </w:r>
      <w:r w:rsidR="00A22796" w:rsidRPr="008B50D8">
        <w:rPr>
          <w:sz w:val="22"/>
          <w:szCs w:val="22"/>
        </w:rPr>
        <w:t>cláusula</w:t>
      </w:r>
      <w:r w:rsidR="007D4C4B" w:rsidRPr="008B50D8">
        <w:rPr>
          <w:sz w:val="22"/>
          <w:szCs w:val="22"/>
        </w:rPr>
        <w:t xml:space="preserve">, nos respectivos termos de convênio, exigindo dos </w:t>
      </w:r>
      <w:r w:rsidRPr="008B50D8">
        <w:rPr>
          <w:sz w:val="22"/>
          <w:szCs w:val="22"/>
        </w:rPr>
        <w:t xml:space="preserve">convenentes </w:t>
      </w:r>
      <w:r w:rsidR="007D4C4B" w:rsidRPr="008B50D8">
        <w:rPr>
          <w:sz w:val="22"/>
          <w:szCs w:val="22"/>
        </w:rPr>
        <w:t xml:space="preserve">que </w:t>
      </w:r>
      <w:r w:rsidRPr="008B50D8">
        <w:rPr>
          <w:sz w:val="22"/>
          <w:szCs w:val="22"/>
        </w:rPr>
        <w:t xml:space="preserve">utilizem atas de registro de preços gerenciadas por órgãos ou entidades federais, </w:t>
      </w:r>
      <w:r w:rsidR="00220D43" w:rsidRPr="008B50D8">
        <w:rPr>
          <w:sz w:val="22"/>
          <w:szCs w:val="22"/>
        </w:rPr>
        <w:t xml:space="preserve">para a </w:t>
      </w:r>
      <w:r w:rsidRPr="008B50D8">
        <w:rPr>
          <w:sz w:val="22"/>
          <w:szCs w:val="22"/>
        </w:rPr>
        <w:t>aquisição de bens ou serviços c</w:t>
      </w:r>
      <w:r w:rsidR="00220D43" w:rsidRPr="008B50D8">
        <w:rPr>
          <w:sz w:val="22"/>
          <w:szCs w:val="22"/>
        </w:rPr>
        <w:t>usteados com r</w:t>
      </w:r>
      <w:r w:rsidRPr="008B50D8">
        <w:rPr>
          <w:sz w:val="22"/>
          <w:szCs w:val="22"/>
        </w:rPr>
        <w:t xml:space="preserve">ecursos </w:t>
      </w:r>
      <w:r w:rsidR="007D4C4B" w:rsidRPr="008B50D8">
        <w:rPr>
          <w:sz w:val="22"/>
          <w:szCs w:val="22"/>
        </w:rPr>
        <w:t>dessa avença</w:t>
      </w:r>
      <w:r w:rsidR="00220D43" w:rsidRPr="008B50D8">
        <w:rPr>
          <w:sz w:val="22"/>
          <w:szCs w:val="22"/>
        </w:rPr>
        <w:t>. O relator, em linha de consonância com pronunciamento do Ministério Público</w:t>
      </w:r>
      <w:r w:rsidR="00994F60" w:rsidRPr="008B50D8">
        <w:rPr>
          <w:sz w:val="22"/>
          <w:szCs w:val="22"/>
        </w:rPr>
        <w:t>/TCU</w:t>
      </w:r>
      <w:r w:rsidR="00220D43" w:rsidRPr="008B50D8">
        <w:rPr>
          <w:sz w:val="22"/>
          <w:szCs w:val="22"/>
        </w:rPr>
        <w:t xml:space="preserve">, entendeu </w:t>
      </w:r>
      <w:r w:rsidR="00994F60" w:rsidRPr="008B50D8">
        <w:rPr>
          <w:sz w:val="22"/>
          <w:szCs w:val="22"/>
        </w:rPr>
        <w:t xml:space="preserve">que não </w:t>
      </w:r>
      <w:r w:rsidR="00282593" w:rsidRPr="008B50D8">
        <w:rPr>
          <w:sz w:val="22"/>
          <w:szCs w:val="22"/>
        </w:rPr>
        <w:t xml:space="preserve">há </w:t>
      </w:r>
      <w:r w:rsidR="00994F60" w:rsidRPr="008B50D8">
        <w:rPr>
          <w:sz w:val="22"/>
          <w:szCs w:val="22"/>
        </w:rPr>
        <w:t xml:space="preserve">amparo legal para </w:t>
      </w:r>
      <w:r w:rsidRPr="008B50D8">
        <w:rPr>
          <w:sz w:val="22"/>
          <w:szCs w:val="22"/>
        </w:rPr>
        <w:t xml:space="preserve">tal </w:t>
      </w:r>
      <w:r w:rsidR="00220D43" w:rsidRPr="008B50D8">
        <w:rPr>
          <w:sz w:val="22"/>
          <w:szCs w:val="22"/>
        </w:rPr>
        <w:t xml:space="preserve">imposição. Com intuito de embasar </w:t>
      </w:r>
      <w:r w:rsidR="00994F60" w:rsidRPr="008B50D8">
        <w:rPr>
          <w:sz w:val="22"/>
          <w:szCs w:val="22"/>
        </w:rPr>
        <w:t>esse</w:t>
      </w:r>
      <w:r w:rsidR="00220D43" w:rsidRPr="008B50D8">
        <w:rPr>
          <w:sz w:val="22"/>
          <w:szCs w:val="22"/>
        </w:rPr>
        <w:t xml:space="preserve"> entendimento, anotou que, segundo disposto no comando contido no art. 15 da Lei 8.666/93,</w:t>
      </w:r>
      <w:r w:rsidR="00994F60" w:rsidRPr="008B50D8">
        <w:rPr>
          <w:sz w:val="22"/>
          <w:szCs w:val="22"/>
        </w:rPr>
        <w:t xml:space="preserve"> </w:t>
      </w:r>
      <w:r w:rsidR="00220D43" w:rsidRPr="008B50D8">
        <w:rPr>
          <w:sz w:val="22"/>
          <w:szCs w:val="22"/>
        </w:rPr>
        <w:t>“</w:t>
      </w:r>
      <w:r w:rsidR="00994F60" w:rsidRPr="008B50D8">
        <w:rPr>
          <w:i/>
          <w:sz w:val="22"/>
          <w:szCs w:val="22"/>
        </w:rPr>
        <w:t>art. 15</w:t>
      </w:r>
      <w:r w:rsidR="00C03605" w:rsidRPr="008B50D8">
        <w:rPr>
          <w:i/>
          <w:sz w:val="22"/>
          <w:szCs w:val="22"/>
        </w:rPr>
        <w:t>.</w:t>
      </w:r>
      <w:r w:rsidR="00994F60" w:rsidRPr="008B50D8">
        <w:rPr>
          <w:i/>
          <w:sz w:val="22"/>
          <w:szCs w:val="22"/>
        </w:rPr>
        <w:t xml:space="preserve"> </w:t>
      </w:r>
      <w:r w:rsidR="00220D43" w:rsidRPr="008B50D8">
        <w:rPr>
          <w:i/>
          <w:sz w:val="22"/>
          <w:szCs w:val="22"/>
        </w:rPr>
        <w:t>As compras, sempre que possível, deverão: (...) II - ser processadas através de sistema de registro de preços;</w:t>
      </w:r>
      <w:r w:rsidR="00220D43" w:rsidRPr="008B50D8">
        <w:rPr>
          <w:sz w:val="22"/>
          <w:szCs w:val="22"/>
        </w:rPr>
        <w:t>”.</w:t>
      </w:r>
      <w:r w:rsidR="00817682" w:rsidRPr="008B50D8">
        <w:rPr>
          <w:sz w:val="22"/>
          <w:szCs w:val="22"/>
        </w:rPr>
        <w:t xml:space="preserve"> Acrescentou que o art. 2º do Decreto 3.931/2001 explicitou esse caráter preferencial ao estabelecer que: “</w:t>
      </w:r>
      <w:r w:rsidR="00817682" w:rsidRPr="008B50D8">
        <w:rPr>
          <w:i/>
          <w:sz w:val="22"/>
          <w:szCs w:val="22"/>
        </w:rPr>
        <w:t xml:space="preserve">art. 2º Será adotado, </w:t>
      </w:r>
      <w:r w:rsidR="00817682" w:rsidRPr="008B50D8">
        <w:rPr>
          <w:i/>
          <w:sz w:val="22"/>
          <w:szCs w:val="22"/>
          <w:u w:val="single"/>
        </w:rPr>
        <w:t>preferencialmente</w:t>
      </w:r>
      <w:r w:rsidR="00817682" w:rsidRPr="008B50D8">
        <w:rPr>
          <w:i/>
          <w:sz w:val="22"/>
          <w:szCs w:val="22"/>
        </w:rPr>
        <w:t>,</w:t>
      </w:r>
      <w:r w:rsidR="00817682" w:rsidRPr="008B50D8">
        <w:rPr>
          <w:sz w:val="22"/>
          <w:szCs w:val="22"/>
        </w:rPr>
        <w:t xml:space="preserve"> o SRP nas seguintes hipóteses: (...)” – grifo do relator. </w:t>
      </w:r>
      <w:r w:rsidR="00C03605" w:rsidRPr="008B50D8">
        <w:rPr>
          <w:sz w:val="22"/>
          <w:szCs w:val="22"/>
        </w:rPr>
        <w:t>Ressaltou</w:t>
      </w:r>
      <w:r w:rsidR="00817682" w:rsidRPr="008B50D8">
        <w:rPr>
          <w:sz w:val="22"/>
          <w:szCs w:val="22"/>
        </w:rPr>
        <w:t>, também, que “</w:t>
      </w:r>
      <w:r w:rsidR="00817682" w:rsidRPr="008B50D8">
        <w:rPr>
          <w:i/>
          <w:sz w:val="22"/>
          <w:szCs w:val="22"/>
        </w:rPr>
        <w:t>o caráter de opção preferencial do registro de preços subsiste após concluída a respectiva licitação, conforme estabelecido pelo art. 15, § 4°, da Lei 8.666/93</w:t>
      </w:r>
      <w:r w:rsidR="00817682" w:rsidRPr="008B50D8">
        <w:rPr>
          <w:b/>
          <w:i/>
          <w:sz w:val="22"/>
          <w:szCs w:val="22"/>
        </w:rPr>
        <w:t>, in verbis</w:t>
      </w:r>
      <w:r w:rsidR="00817682" w:rsidRPr="008B50D8">
        <w:rPr>
          <w:sz w:val="22"/>
          <w:szCs w:val="22"/>
        </w:rPr>
        <w:t>: ‘</w:t>
      </w:r>
      <w:r w:rsidR="00817682" w:rsidRPr="008B50D8">
        <w:rPr>
          <w:i/>
          <w:sz w:val="22"/>
          <w:szCs w:val="22"/>
        </w:rPr>
        <w:t xml:space="preserve">§ 4°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 </w:t>
      </w:r>
      <w:r w:rsidR="00817682" w:rsidRPr="008B50D8">
        <w:rPr>
          <w:sz w:val="22"/>
          <w:szCs w:val="22"/>
        </w:rPr>
        <w:t>” Concluiu, então, que a  contratação efetuada por intermédio de registro de preços não é obrigatória</w:t>
      </w:r>
      <w:r w:rsidR="00994F60" w:rsidRPr="008B50D8">
        <w:rPr>
          <w:sz w:val="22"/>
          <w:szCs w:val="22"/>
        </w:rPr>
        <w:t>,</w:t>
      </w:r>
      <w:r w:rsidR="00817682" w:rsidRPr="008B50D8">
        <w:rPr>
          <w:sz w:val="22"/>
          <w:szCs w:val="22"/>
        </w:rPr>
        <w:t xml:space="preserve"> nem mesmo para o </w:t>
      </w:r>
      <w:r w:rsidR="003808DB" w:rsidRPr="008B50D8">
        <w:rPr>
          <w:sz w:val="22"/>
          <w:szCs w:val="22"/>
        </w:rPr>
        <w:t xml:space="preserve">ente </w:t>
      </w:r>
      <w:r w:rsidR="00817682" w:rsidRPr="008B50D8">
        <w:rPr>
          <w:sz w:val="22"/>
          <w:szCs w:val="22"/>
        </w:rPr>
        <w:t xml:space="preserve">promotor/gerenciador da </w:t>
      </w:r>
      <w:r w:rsidR="003808DB" w:rsidRPr="008B50D8">
        <w:rPr>
          <w:sz w:val="22"/>
          <w:szCs w:val="22"/>
        </w:rPr>
        <w:t>respectiva licitação. Tal entendimento pode ser extraído do art. 8° do Decreto 3.931/2001, segundo o qual: “</w:t>
      </w:r>
      <w:r w:rsidR="003808DB" w:rsidRPr="008B50D8">
        <w:rPr>
          <w:i/>
          <w:sz w:val="22"/>
          <w:szCs w:val="22"/>
        </w:rPr>
        <w:t xml:space="preserve">art. 8° A Ata de Registro de Preços, durante sua vigência, </w:t>
      </w:r>
      <w:r w:rsidR="003808DB" w:rsidRPr="008B50D8">
        <w:rPr>
          <w:i/>
          <w:sz w:val="22"/>
          <w:szCs w:val="22"/>
          <w:u w:val="single"/>
        </w:rPr>
        <w:t>poderá ser</w:t>
      </w:r>
      <w:r w:rsidR="003808DB" w:rsidRPr="008B50D8">
        <w:rPr>
          <w:i/>
          <w:sz w:val="22"/>
          <w:szCs w:val="22"/>
        </w:rPr>
        <w:t xml:space="preserve"> utilizada por qualquer órgão ou entidade da Administração que não tenha participado do certame licitatório, mediante prévia consulta ao órgão gerenciador, desde que devidamente comprovada a vantagem.</w:t>
      </w:r>
      <w:r w:rsidR="003808DB" w:rsidRPr="008B50D8">
        <w:rPr>
          <w:sz w:val="22"/>
          <w:szCs w:val="22"/>
        </w:rPr>
        <w:t xml:space="preserve">” – grifo do relator. Ao final, arrematou: “... </w:t>
      </w:r>
      <w:r w:rsidRPr="008B50D8">
        <w:rPr>
          <w:i/>
          <w:sz w:val="22"/>
          <w:szCs w:val="22"/>
        </w:rPr>
        <w:t>o ente federal não pode transmutar uma norma facultativa em norma cogente sem que haja lei autorizando esse proceder e, diante disso, também não pode avançar sobre os limites da autonomia administrativa atribuída pela Constituição Federal aos demais entes federados</w:t>
      </w:r>
      <w:r w:rsidR="003808DB" w:rsidRPr="008B50D8">
        <w:rPr>
          <w:sz w:val="22"/>
          <w:szCs w:val="22"/>
        </w:rPr>
        <w:t xml:space="preserve">”. O Tribunal, então, ao endossar proposta do relator, decidiu: “... </w:t>
      </w:r>
      <w:r w:rsidR="003808DB" w:rsidRPr="008B50D8">
        <w:rPr>
          <w:i/>
          <w:sz w:val="22"/>
          <w:szCs w:val="22"/>
        </w:rPr>
        <w:t>responder ao Ministério da Ciência, Tecnologia e Inovação (MCTI) que não é possível exigir, como condição para celebração de convênios, que as entidades públicas (Estados, Distrito Federal e Municípios, inclusive suas autarquias e fundações públicas) a serem beneficiadas com verbas federais se utilizem, sempre que houver e desde que atendidas as exigências legais e regulamentares, de atas de registro de preços gerenciadas por órgãos ou entidades federais, quando da aquisição de bens ou serviços com recursos oriundos da transferência voluntária, ante a ausência de amparo nas normas constitucionais e legais vigentes</w:t>
      </w:r>
      <w:r w:rsidR="003808DB" w:rsidRPr="008B50D8">
        <w:rPr>
          <w:sz w:val="22"/>
          <w:szCs w:val="22"/>
        </w:rPr>
        <w:t xml:space="preserve">”. </w:t>
      </w:r>
      <w:r w:rsidR="00816696" w:rsidRPr="008B50D8">
        <w:rPr>
          <w:b/>
          <w:i/>
          <w:sz w:val="22"/>
          <w:szCs w:val="22"/>
        </w:rPr>
        <w:t>Acórdão nº. 1717/2012-Plenário, TC-001.956/2012-4, rel. Min. Augusto Sherman Cavalcanti, 4.7.2011</w:t>
      </w:r>
      <w:r w:rsidR="003808DB" w:rsidRPr="008B50D8">
        <w:rPr>
          <w:b/>
          <w:i/>
          <w:sz w:val="22"/>
          <w:szCs w:val="22"/>
        </w:rPr>
        <w:t>.</w:t>
      </w:r>
      <w:r w:rsidR="003808DB" w:rsidRPr="008B50D8">
        <w:rPr>
          <w:sz w:val="22"/>
          <w:szCs w:val="22"/>
        </w:rPr>
        <w:t xml:space="preserve"> </w:t>
      </w:r>
    </w:p>
    <w:p w:rsidR="00F74118" w:rsidRPr="008B50D8" w:rsidRDefault="00F74118" w:rsidP="008F05FB">
      <w:pPr>
        <w:pStyle w:val="TCU-Epgrafe"/>
        <w:tabs>
          <w:tab w:val="left" w:pos="1134"/>
        </w:tabs>
        <w:ind w:left="0"/>
        <w:rPr>
          <w:sz w:val="22"/>
          <w:szCs w:val="22"/>
        </w:rPr>
      </w:pPr>
    </w:p>
    <w:p w:rsidR="00A4076B" w:rsidRPr="008B50D8" w:rsidRDefault="00554F2F" w:rsidP="008F05FB">
      <w:pPr>
        <w:pStyle w:val="TCU-Epgrafe"/>
        <w:tabs>
          <w:tab w:val="left" w:pos="1134"/>
        </w:tabs>
        <w:ind w:left="0"/>
        <w:rPr>
          <w:b/>
          <w:sz w:val="22"/>
          <w:szCs w:val="22"/>
        </w:rPr>
      </w:pPr>
      <w:r w:rsidRPr="008B50D8">
        <w:rPr>
          <w:b/>
          <w:sz w:val="22"/>
          <w:szCs w:val="22"/>
        </w:rPr>
        <w:t>3</w:t>
      </w:r>
      <w:r w:rsidR="00810B66" w:rsidRPr="008B50D8">
        <w:rPr>
          <w:b/>
          <w:sz w:val="22"/>
          <w:szCs w:val="22"/>
        </w:rPr>
        <w:t>.2</w:t>
      </w:r>
      <w:r w:rsidR="00BA56EB" w:rsidRPr="008B50D8">
        <w:rPr>
          <w:b/>
          <w:sz w:val="22"/>
          <w:szCs w:val="22"/>
        </w:rPr>
        <w:t>.</w:t>
      </w:r>
      <w:r w:rsidR="00810B66" w:rsidRPr="008B50D8">
        <w:rPr>
          <w:b/>
          <w:sz w:val="22"/>
          <w:szCs w:val="22"/>
        </w:rPr>
        <w:t xml:space="preserve"> </w:t>
      </w:r>
      <w:r w:rsidR="00A4076B" w:rsidRPr="008B50D8">
        <w:rPr>
          <w:b/>
          <w:sz w:val="22"/>
          <w:szCs w:val="22"/>
        </w:rPr>
        <w:t xml:space="preserve">É licito o estabelecimento de cláusula </w:t>
      </w:r>
      <w:r w:rsidR="00282593" w:rsidRPr="008B50D8">
        <w:rPr>
          <w:b/>
          <w:sz w:val="22"/>
          <w:szCs w:val="22"/>
        </w:rPr>
        <w:t xml:space="preserve">que </w:t>
      </w:r>
      <w:r w:rsidR="00A4076B" w:rsidRPr="008B50D8">
        <w:rPr>
          <w:b/>
          <w:sz w:val="22"/>
          <w:szCs w:val="22"/>
        </w:rPr>
        <w:t>recomend</w:t>
      </w:r>
      <w:r w:rsidR="00282593" w:rsidRPr="008B50D8">
        <w:rPr>
          <w:b/>
          <w:sz w:val="22"/>
          <w:szCs w:val="22"/>
        </w:rPr>
        <w:t>e</w:t>
      </w:r>
      <w:r w:rsidR="00A4076B" w:rsidRPr="008B50D8">
        <w:rPr>
          <w:b/>
          <w:sz w:val="22"/>
          <w:szCs w:val="22"/>
        </w:rPr>
        <w:t xml:space="preserve"> a adesão</w:t>
      </w:r>
      <w:r w:rsidR="00D9781A" w:rsidRPr="008B50D8">
        <w:rPr>
          <w:b/>
          <w:sz w:val="22"/>
          <w:szCs w:val="22"/>
        </w:rPr>
        <w:t xml:space="preserve"> de </w:t>
      </w:r>
      <w:r w:rsidR="00BA56EB" w:rsidRPr="008B50D8">
        <w:rPr>
          <w:b/>
          <w:sz w:val="22"/>
          <w:szCs w:val="22"/>
        </w:rPr>
        <w:t>entes públicos convenentes a</w:t>
      </w:r>
      <w:r w:rsidR="00A4076B" w:rsidRPr="008B50D8">
        <w:rPr>
          <w:b/>
          <w:sz w:val="22"/>
          <w:szCs w:val="22"/>
        </w:rPr>
        <w:t xml:space="preserve"> ata </w:t>
      </w:r>
      <w:r w:rsidR="002D5D7D" w:rsidRPr="008B50D8">
        <w:rPr>
          <w:b/>
          <w:sz w:val="22"/>
          <w:szCs w:val="22"/>
        </w:rPr>
        <w:t xml:space="preserve">de registro de preços </w:t>
      </w:r>
      <w:r w:rsidR="00A4076B" w:rsidRPr="008B50D8">
        <w:rPr>
          <w:b/>
          <w:sz w:val="22"/>
          <w:szCs w:val="22"/>
        </w:rPr>
        <w:t>vinculada ao programa executado</w:t>
      </w:r>
      <w:r w:rsidR="00282593" w:rsidRPr="008B50D8">
        <w:rPr>
          <w:b/>
          <w:sz w:val="22"/>
          <w:szCs w:val="22"/>
        </w:rPr>
        <w:t>,</w:t>
      </w:r>
      <w:r w:rsidR="00A4076B" w:rsidRPr="008B50D8">
        <w:rPr>
          <w:b/>
          <w:sz w:val="22"/>
          <w:szCs w:val="22"/>
        </w:rPr>
        <w:t xml:space="preserve"> resguardando</w:t>
      </w:r>
      <w:r w:rsidR="00282593" w:rsidRPr="008B50D8">
        <w:rPr>
          <w:b/>
          <w:sz w:val="22"/>
          <w:szCs w:val="22"/>
        </w:rPr>
        <w:t>-se</w:t>
      </w:r>
      <w:r w:rsidR="00A4076B" w:rsidRPr="008B50D8">
        <w:rPr>
          <w:b/>
          <w:sz w:val="22"/>
          <w:szCs w:val="22"/>
        </w:rPr>
        <w:t xml:space="preserve"> a possibilidade de realizar</w:t>
      </w:r>
      <w:r w:rsidR="00BA56EB" w:rsidRPr="008B50D8">
        <w:rPr>
          <w:b/>
          <w:sz w:val="22"/>
          <w:szCs w:val="22"/>
        </w:rPr>
        <w:t>em</w:t>
      </w:r>
      <w:r w:rsidR="00A4076B" w:rsidRPr="008B50D8">
        <w:rPr>
          <w:b/>
          <w:sz w:val="22"/>
          <w:szCs w:val="22"/>
        </w:rPr>
        <w:t xml:space="preserve"> licitação </w:t>
      </w:r>
      <w:r w:rsidR="006009D3" w:rsidRPr="008B50D8">
        <w:rPr>
          <w:b/>
          <w:sz w:val="22"/>
          <w:szCs w:val="22"/>
        </w:rPr>
        <w:t>própria, desde que obtenha</w:t>
      </w:r>
      <w:r w:rsidR="00BA56EB" w:rsidRPr="008B50D8">
        <w:rPr>
          <w:b/>
          <w:sz w:val="22"/>
          <w:szCs w:val="22"/>
        </w:rPr>
        <w:t>m</w:t>
      </w:r>
      <w:r w:rsidR="006009D3" w:rsidRPr="008B50D8">
        <w:rPr>
          <w:b/>
          <w:sz w:val="22"/>
          <w:szCs w:val="22"/>
        </w:rPr>
        <w:t xml:space="preserve"> condições mais vantajosas que a</w:t>
      </w:r>
      <w:r w:rsidR="00BA56EB" w:rsidRPr="008B50D8">
        <w:rPr>
          <w:b/>
          <w:sz w:val="22"/>
          <w:szCs w:val="22"/>
        </w:rPr>
        <w:t xml:space="preserve">s de tal </w:t>
      </w:r>
      <w:r w:rsidR="006009D3" w:rsidRPr="008B50D8">
        <w:rPr>
          <w:b/>
          <w:sz w:val="22"/>
          <w:szCs w:val="22"/>
        </w:rPr>
        <w:t xml:space="preserve">ata  </w:t>
      </w:r>
    </w:p>
    <w:p w:rsidR="009A1BCF" w:rsidRPr="008B50D8" w:rsidRDefault="006838D8" w:rsidP="009A1BCF">
      <w:pPr>
        <w:pStyle w:val="TCU-Epgrafe"/>
        <w:ind w:left="0"/>
        <w:rPr>
          <w:sz w:val="22"/>
          <w:szCs w:val="22"/>
        </w:rPr>
      </w:pPr>
      <w:r w:rsidRPr="008B50D8">
        <w:rPr>
          <w:sz w:val="22"/>
          <w:szCs w:val="22"/>
        </w:rPr>
        <w:t>Ainda na consulta formulada pelo</w:t>
      </w:r>
      <w:r w:rsidR="00FA2910" w:rsidRPr="008B50D8">
        <w:rPr>
          <w:sz w:val="22"/>
          <w:szCs w:val="22"/>
        </w:rPr>
        <w:t xml:space="preserve"> </w:t>
      </w:r>
      <w:r w:rsidRPr="008B50D8">
        <w:rPr>
          <w:sz w:val="22"/>
          <w:szCs w:val="22"/>
        </w:rPr>
        <w:t xml:space="preserve">MCTI sobre a utilização de atas de registro de preços para aquisição de bens e serviços </w:t>
      </w:r>
      <w:r w:rsidR="00FA2910" w:rsidRPr="008B50D8">
        <w:rPr>
          <w:sz w:val="22"/>
          <w:szCs w:val="22"/>
        </w:rPr>
        <w:t xml:space="preserve">com recursos de </w:t>
      </w:r>
      <w:r w:rsidRPr="008B50D8">
        <w:rPr>
          <w:sz w:val="22"/>
          <w:szCs w:val="22"/>
        </w:rPr>
        <w:t>convênios, o relator</w:t>
      </w:r>
      <w:r w:rsidR="00FA2910" w:rsidRPr="008B50D8">
        <w:rPr>
          <w:sz w:val="22"/>
          <w:szCs w:val="22"/>
        </w:rPr>
        <w:t xml:space="preserve"> acrescentou </w:t>
      </w:r>
      <w:r w:rsidR="00CE1D09" w:rsidRPr="008B50D8">
        <w:rPr>
          <w:sz w:val="22"/>
          <w:szCs w:val="22"/>
        </w:rPr>
        <w:t xml:space="preserve">que tal </w:t>
      </w:r>
      <w:r w:rsidR="00FA2910" w:rsidRPr="008B50D8">
        <w:rPr>
          <w:sz w:val="22"/>
          <w:szCs w:val="22"/>
        </w:rPr>
        <w:t>“</w:t>
      </w:r>
      <w:r w:rsidR="008F05FB" w:rsidRPr="008B50D8">
        <w:rPr>
          <w:i/>
          <w:sz w:val="22"/>
          <w:szCs w:val="22"/>
        </w:rPr>
        <w:t>consulta deixa transparecer que haveria, por parte do Ministério, preocupação em garantir a boa execução de seus convênios</w:t>
      </w:r>
      <w:r w:rsidR="00FA2910" w:rsidRPr="008B50D8">
        <w:rPr>
          <w:i/>
          <w:sz w:val="22"/>
          <w:szCs w:val="22"/>
        </w:rPr>
        <w:t xml:space="preserve"> ...</w:t>
      </w:r>
      <w:r w:rsidR="00FA2910" w:rsidRPr="008B50D8">
        <w:rPr>
          <w:sz w:val="22"/>
          <w:szCs w:val="22"/>
        </w:rPr>
        <w:t>”</w:t>
      </w:r>
      <w:r w:rsidR="008F05FB" w:rsidRPr="008B50D8">
        <w:rPr>
          <w:sz w:val="22"/>
          <w:szCs w:val="22"/>
        </w:rPr>
        <w:t xml:space="preserve">. </w:t>
      </w:r>
      <w:r w:rsidR="00CE1D09" w:rsidRPr="008B50D8">
        <w:rPr>
          <w:sz w:val="22"/>
          <w:szCs w:val="22"/>
        </w:rPr>
        <w:t xml:space="preserve">Por esse motivo, </w:t>
      </w:r>
      <w:r w:rsidR="00FA2910" w:rsidRPr="008B50D8">
        <w:rPr>
          <w:sz w:val="22"/>
          <w:szCs w:val="22"/>
        </w:rPr>
        <w:t xml:space="preserve">a título de orientação, </w:t>
      </w:r>
      <w:r w:rsidR="00CE1D09" w:rsidRPr="008B50D8">
        <w:rPr>
          <w:sz w:val="22"/>
          <w:szCs w:val="22"/>
        </w:rPr>
        <w:t xml:space="preserve">passou a </w:t>
      </w:r>
      <w:r w:rsidR="008F05FB" w:rsidRPr="008B50D8">
        <w:rPr>
          <w:sz w:val="22"/>
          <w:szCs w:val="22"/>
        </w:rPr>
        <w:t xml:space="preserve">formular alternativas </w:t>
      </w:r>
      <w:r w:rsidR="00CE1D09" w:rsidRPr="008B50D8">
        <w:rPr>
          <w:sz w:val="22"/>
          <w:szCs w:val="22"/>
        </w:rPr>
        <w:t>que encontr</w:t>
      </w:r>
      <w:r w:rsidR="009A1BCF" w:rsidRPr="008B50D8">
        <w:rPr>
          <w:sz w:val="22"/>
          <w:szCs w:val="22"/>
        </w:rPr>
        <w:t>a</w:t>
      </w:r>
      <w:r w:rsidR="00CE1D09" w:rsidRPr="008B50D8">
        <w:rPr>
          <w:sz w:val="22"/>
          <w:szCs w:val="22"/>
        </w:rPr>
        <w:t xml:space="preserve">m </w:t>
      </w:r>
      <w:r w:rsidR="008F05FB" w:rsidRPr="008B50D8">
        <w:rPr>
          <w:sz w:val="22"/>
          <w:szCs w:val="22"/>
        </w:rPr>
        <w:t>respaldo na legislação</w:t>
      </w:r>
      <w:r w:rsidR="00CE1D09" w:rsidRPr="008B50D8">
        <w:rPr>
          <w:sz w:val="22"/>
          <w:szCs w:val="22"/>
        </w:rPr>
        <w:t xml:space="preserve"> e </w:t>
      </w:r>
      <w:r w:rsidR="00FA2910" w:rsidRPr="008B50D8">
        <w:rPr>
          <w:sz w:val="22"/>
          <w:szCs w:val="22"/>
        </w:rPr>
        <w:t xml:space="preserve">que </w:t>
      </w:r>
      <w:r w:rsidR="00CE1D09" w:rsidRPr="008B50D8">
        <w:rPr>
          <w:sz w:val="22"/>
          <w:szCs w:val="22"/>
        </w:rPr>
        <w:t>atend</w:t>
      </w:r>
      <w:r w:rsidR="009A1BCF" w:rsidRPr="008B50D8">
        <w:rPr>
          <w:sz w:val="22"/>
          <w:szCs w:val="22"/>
        </w:rPr>
        <w:t xml:space="preserve">eriam </w:t>
      </w:r>
      <w:r w:rsidR="00CE1D09" w:rsidRPr="008B50D8">
        <w:rPr>
          <w:sz w:val="22"/>
          <w:szCs w:val="22"/>
        </w:rPr>
        <w:t xml:space="preserve">aos </w:t>
      </w:r>
      <w:r w:rsidR="009A1BCF" w:rsidRPr="008B50D8">
        <w:rPr>
          <w:sz w:val="22"/>
          <w:szCs w:val="22"/>
        </w:rPr>
        <w:t xml:space="preserve">objetivos buscados por </w:t>
      </w:r>
      <w:r w:rsidR="00CE1D09" w:rsidRPr="008B50D8">
        <w:rPr>
          <w:sz w:val="22"/>
          <w:szCs w:val="22"/>
        </w:rPr>
        <w:t>aquele órgão</w:t>
      </w:r>
      <w:r w:rsidR="00FA2910" w:rsidRPr="008B50D8">
        <w:rPr>
          <w:sz w:val="22"/>
          <w:szCs w:val="22"/>
        </w:rPr>
        <w:t>.</w:t>
      </w:r>
      <w:r w:rsidR="00F21D2A" w:rsidRPr="008B50D8">
        <w:rPr>
          <w:sz w:val="22"/>
          <w:szCs w:val="22"/>
        </w:rPr>
        <w:t xml:space="preserve"> De início, abordou a faculdade de o Ministério utilizar sua autoridade normativa sobre os convênios a serem celebrados, “</w:t>
      </w:r>
      <w:r w:rsidR="00F21D2A" w:rsidRPr="008B50D8">
        <w:rPr>
          <w:i/>
          <w:sz w:val="22"/>
          <w:szCs w:val="22"/>
        </w:rPr>
        <w:t>para instituir cláusula não para obrigar, mas para recomendar a adesão a ata vinculada ao programa executado</w:t>
      </w:r>
      <w:r w:rsidR="00F74118" w:rsidRPr="008B50D8">
        <w:rPr>
          <w:sz w:val="22"/>
          <w:szCs w:val="22"/>
        </w:rPr>
        <w:t>”</w:t>
      </w:r>
      <w:r w:rsidR="00EB30BE" w:rsidRPr="008B50D8">
        <w:rPr>
          <w:sz w:val="22"/>
          <w:szCs w:val="22"/>
        </w:rPr>
        <w:t xml:space="preserve">. O Tribunal, ao endossar proposta do relator, </w:t>
      </w:r>
      <w:r w:rsidR="00B103C5" w:rsidRPr="008B50D8">
        <w:rPr>
          <w:sz w:val="22"/>
          <w:szCs w:val="22"/>
        </w:rPr>
        <w:t>decidiu esclarecer a</w:t>
      </w:r>
      <w:r w:rsidR="00EB30BE" w:rsidRPr="008B50D8">
        <w:rPr>
          <w:sz w:val="22"/>
          <w:szCs w:val="22"/>
        </w:rPr>
        <w:t xml:space="preserve">o MCTI </w:t>
      </w:r>
      <w:r w:rsidR="00B103C5" w:rsidRPr="008B50D8">
        <w:rPr>
          <w:sz w:val="22"/>
          <w:szCs w:val="22"/>
        </w:rPr>
        <w:t>que a legislação vigente, entre outras possibilidades, permite</w:t>
      </w:r>
      <w:r w:rsidR="00F74118" w:rsidRPr="008B50D8">
        <w:rPr>
          <w:sz w:val="22"/>
          <w:szCs w:val="22"/>
        </w:rPr>
        <w:t>: “</w:t>
      </w:r>
      <w:r w:rsidR="009A1BCF" w:rsidRPr="008B50D8">
        <w:rPr>
          <w:b/>
          <w:i/>
          <w:sz w:val="22"/>
          <w:szCs w:val="22"/>
        </w:rPr>
        <w:t>9.3.1.</w:t>
      </w:r>
      <w:r w:rsidR="00FA2910" w:rsidRPr="008B50D8">
        <w:rPr>
          <w:b/>
          <w:i/>
          <w:sz w:val="22"/>
          <w:szCs w:val="22"/>
          <w:u w:val="single"/>
        </w:rPr>
        <w:t xml:space="preserve"> </w:t>
      </w:r>
      <w:r w:rsidR="009A1BCF" w:rsidRPr="008B50D8">
        <w:rPr>
          <w:b/>
          <w:i/>
          <w:sz w:val="22"/>
          <w:szCs w:val="22"/>
          <w:u w:val="single"/>
        </w:rPr>
        <w:t>alternativa 1</w:t>
      </w:r>
      <w:r w:rsidR="009A1BCF" w:rsidRPr="008B50D8">
        <w:rPr>
          <w:i/>
          <w:sz w:val="22"/>
          <w:szCs w:val="22"/>
        </w:rPr>
        <w:t>: com fundamento no art. 10, § 6°, do DL 200/67, no art. 15, § 4°, da Lei 8.666/93 e nos arts. 15, I, da Lei 8.666/1993 e 14 do Decreto 6.170/2007, a instituição de cláusulas no convênio para:</w:t>
      </w:r>
      <w:r w:rsidR="00F74118" w:rsidRPr="008B50D8">
        <w:rPr>
          <w:i/>
          <w:sz w:val="22"/>
          <w:szCs w:val="22"/>
        </w:rPr>
        <w:t xml:space="preserve"> </w:t>
      </w:r>
      <w:r w:rsidR="009A1BCF" w:rsidRPr="008B50D8">
        <w:rPr>
          <w:i/>
          <w:sz w:val="22"/>
          <w:szCs w:val="22"/>
        </w:rPr>
        <w:t>9.3.1.1. recomendar a adesão à ata de registro de preços vinculada ao programa de governo executado, licitada sob responsabilidade ou supervisão do Ministério com fundamento no art. 2º, inciso III, do Decreto 3.931/2001 para atender especificamente ao programa, e que contemple os quantitativos máximos necessários a seu atendimento, consoante orientado no Acórdão 1.233/2012-Plenário;</w:t>
      </w:r>
      <w:r w:rsidR="00F74118" w:rsidRPr="008B50D8">
        <w:rPr>
          <w:i/>
          <w:sz w:val="22"/>
          <w:szCs w:val="22"/>
        </w:rPr>
        <w:t xml:space="preserve"> </w:t>
      </w:r>
      <w:r w:rsidR="009A1BCF" w:rsidRPr="008B50D8">
        <w:rPr>
          <w:i/>
          <w:sz w:val="22"/>
          <w:szCs w:val="22"/>
        </w:rPr>
        <w:t>9.3.1.2. estabelecer que, caso o ente público convenente decida pela realização de procedimento licitatório próprio em detrimento à recomendação referida no item 9.3.1.1 retro, fica obrigado a demonstrar ao Ministério a vantajosidade das propostas assim obtidas quanto ao preço e à qualidade em relação àqueles constantes da ata vinculada ao programa e, na hipótese de verificadas condições iguais ou desvantajosas em qualquer desses fatores, deverá aderir à ata vinculada ao programa concedendo preferência ao beneficiário do registro para fins de padronização ou adotar providências para obter novas propostas em conformidade com os padrões estabelecidos pelo Ministério; 9.3.1.3. no caso de as normas locais vigentes obstarem a adesão nos moldes recomendados no convênio conforme referido no item 9.3.1.1 retro, estabelecer que as condições propostas para a contratação sejam previamente submetidas pelo ente público convenente à apreciação do MCTI, o qual somente autorizará que a contratação seja custeada pelos recursos federais do convênio se verificadas condições de preço e qualidade iguais ou mais vantajosas do que as constantes da ata vinculada ao programa executado</w:t>
      </w:r>
      <w:r w:rsidR="00F74118" w:rsidRPr="008B50D8">
        <w:rPr>
          <w:sz w:val="22"/>
          <w:szCs w:val="22"/>
        </w:rPr>
        <w:t xml:space="preserve">”. </w:t>
      </w:r>
      <w:r w:rsidR="00816696" w:rsidRPr="008B50D8">
        <w:rPr>
          <w:b/>
          <w:i/>
          <w:sz w:val="22"/>
          <w:szCs w:val="22"/>
        </w:rPr>
        <w:t>Acórdão nº. 1717/2012-Plenário, TC-001.956/2012-4, rel. Min. Augusto Sherman Cavalcanti, 4.7.2011</w:t>
      </w:r>
      <w:r w:rsidR="00A4076B" w:rsidRPr="008B50D8">
        <w:rPr>
          <w:b/>
          <w:i/>
          <w:sz w:val="22"/>
          <w:szCs w:val="22"/>
        </w:rPr>
        <w:t>.</w:t>
      </w:r>
    </w:p>
    <w:p w:rsidR="00CE1D09" w:rsidRPr="008B50D8" w:rsidRDefault="00CE1D09" w:rsidP="00CE1D09">
      <w:pPr>
        <w:pStyle w:val="TCU-Epgrafe"/>
        <w:tabs>
          <w:tab w:val="left" w:pos="1134"/>
        </w:tabs>
        <w:ind w:left="0"/>
        <w:rPr>
          <w:sz w:val="22"/>
          <w:szCs w:val="22"/>
        </w:rPr>
      </w:pPr>
    </w:p>
    <w:p w:rsidR="002A7DBA" w:rsidRPr="008B50D8" w:rsidRDefault="00554F2F" w:rsidP="00CE1D09">
      <w:pPr>
        <w:pStyle w:val="TCU-Epgrafe"/>
        <w:tabs>
          <w:tab w:val="left" w:pos="1134"/>
        </w:tabs>
        <w:ind w:left="0"/>
        <w:rPr>
          <w:b/>
          <w:sz w:val="22"/>
          <w:szCs w:val="22"/>
        </w:rPr>
      </w:pPr>
      <w:r w:rsidRPr="008B50D8">
        <w:rPr>
          <w:b/>
          <w:sz w:val="22"/>
          <w:szCs w:val="22"/>
        </w:rPr>
        <w:t>3</w:t>
      </w:r>
      <w:r w:rsidR="00810B66" w:rsidRPr="008B50D8">
        <w:rPr>
          <w:b/>
          <w:sz w:val="22"/>
          <w:szCs w:val="22"/>
        </w:rPr>
        <w:t xml:space="preserve">.3. </w:t>
      </w:r>
      <w:r w:rsidR="000021D2" w:rsidRPr="008B50D8">
        <w:rPr>
          <w:b/>
          <w:sz w:val="22"/>
          <w:szCs w:val="22"/>
        </w:rPr>
        <w:t>É possível a realização de licitação para registro de preços em que os e</w:t>
      </w:r>
      <w:r w:rsidR="00B0458A" w:rsidRPr="008B50D8">
        <w:rPr>
          <w:b/>
          <w:sz w:val="22"/>
          <w:szCs w:val="22"/>
        </w:rPr>
        <w:t>ntes públicos convenentes figurem</w:t>
      </w:r>
      <w:r w:rsidR="000021D2" w:rsidRPr="008B50D8">
        <w:rPr>
          <w:b/>
          <w:sz w:val="22"/>
          <w:szCs w:val="22"/>
        </w:rPr>
        <w:t xml:space="preserve"> </w:t>
      </w:r>
      <w:r w:rsidR="002A7DBA" w:rsidRPr="008B50D8">
        <w:rPr>
          <w:b/>
          <w:sz w:val="22"/>
          <w:szCs w:val="22"/>
        </w:rPr>
        <w:t xml:space="preserve">como participantes </w:t>
      </w:r>
      <w:r w:rsidR="002D5D7D" w:rsidRPr="008B50D8">
        <w:rPr>
          <w:b/>
          <w:sz w:val="22"/>
          <w:szCs w:val="22"/>
        </w:rPr>
        <w:t>d</w:t>
      </w:r>
      <w:r w:rsidR="002A7DBA" w:rsidRPr="008B50D8">
        <w:rPr>
          <w:b/>
          <w:sz w:val="22"/>
          <w:szCs w:val="22"/>
        </w:rPr>
        <w:t>o processo de planejamento da aquisição</w:t>
      </w:r>
    </w:p>
    <w:p w:rsidR="00553C45" w:rsidRPr="008B50D8" w:rsidRDefault="006009D3" w:rsidP="00816696">
      <w:pPr>
        <w:pStyle w:val="TCU-Epgrafe"/>
        <w:ind w:left="0"/>
        <w:rPr>
          <w:sz w:val="22"/>
          <w:szCs w:val="22"/>
        </w:rPr>
      </w:pPr>
      <w:r w:rsidRPr="008B50D8">
        <w:rPr>
          <w:sz w:val="22"/>
          <w:szCs w:val="22"/>
        </w:rPr>
        <w:t xml:space="preserve">Ainda na citada consulta formulada pelo MCTI, </w:t>
      </w:r>
      <w:r w:rsidR="00712B2B" w:rsidRPr="008B50D8">
        <w:rPr>
          <w:sz w:val="22"/>
          <w:szCs w:val="22"/>
        </w:rPr>
        <w:t xml:space="preserve">foi apresentada pelo </w:t>
      </w:r>
      <w:r w:rsidR="00712B2B" w:rsidRPr="006030B5">
        <w:rPr>
          <w:sz w:val="22"/>
          <w:szCs w:val="22"/>
        </w:rPr>
        <w:t xml:space="preserve">relator </w:t>
      </w:r>
      <w:r w:rsidR="006030B5" w:rsidRPr="006030B5">
        <w:rPr>
          <w:sz w:val="22"/>
          <w:szCs w:val="22"/>
        </w:rPr>
        <w:t>alternativa</w:t>
      </w:r>
      <w:r w:rsidR="00E97E70" w:rsidRPr="006030B5">
        <w:rPr>
          <w:sz w:val="22"/>
          <w:szCs w:val="22"/>
        </w:rPr>
        <w:t xml:space="preserve"> </w:t>
      </w:r>
      <w:r w:rsidR="0088469F" w:rsidRPr="006030B5">
        <w:rPr>
          <w:sz w:val="22"/>
          <w:szCs w:val="22"/>
        </w:rPr>
        <w:t>para</w:t>
      </w:r>
      <w:r w:rsidR="0088469F" w:rsidRPr="008B50D8">
        <w:rPr>
          <w:sz w:val="22"/>
          <w:szCs w:val="22"/>
        </w:rPr>
        <w:t xml:space="preserve"> aprimorar a execução de seus convênios</w:t>
      </w:r>
      <w:r w:rsidR="005F7518" w:rsidRPr="008B50D8">
        <w:rPr>
          <w:sz w:val="22"/>
          <w:szCs w:val="22"/>
        </w:rPr>
        <w:t xml:space="preserve">, </w:t>
      </w:r>
      <w:r w:rsidR="00712B2B" w:rsidRPr="008B50D8">
        <w:rPr>
          <w:sz w:val="22"/>
          <w:szCs w:val="22"/>
        </w:rPr>
        <w:t>formulada a partir de</w:t>
      </w:r>
      <w:r w:rsidR="005F7518" w:rsidRPr="008B50D8">
        <w:rPr>
          <w:sz w:val="22"/>
          <w:szCs w:val="22"/>
        </w:rPr>
        <w:t xml:space="preserve"> sugestões da unidade técnica e do Ministério Público/TCU. C</w:t>
      </w:r>
      <w:r w:rsidR="0088469F" w:rsidRPr="008B50D8">
        <w:rPr>
          <w:sz w:val="22"/>
          <w:szCs w:val="22"/>
        </w:rPr>
        <w:t xml:space="preserve">onsiste </w:t>
      </w:r>
      <w:r w:rsidR="005F7518" w:rsidRPr="008B50D8">
        <w:rPr>
          <w:sz w:val="22"/>
          <w:szCs w:val="22"/>
        </w:rPr>
        <w:t xml:space="preserve">ela </w:t>
      </w:r>
      <w:r w:rsidR="0088469F" w:rsidRPr="008B50D8">
        <w:rPr>
          <w:sz w:val="22"/>
          <w:szCs w:val="22"/>
        </w:rPr>
        <w:t xml:space="preserve">na </w:t>
      </w:r>
      <w:r w:rsidR="008F05FB" w:rsidRPr="008B50D8">
        <w:rPr>
          <w:sz w:val="22"/>
          <w:szCs w:val="22"/>
        </w:rPr>
        <w:t>promo</w:t>
      </w:r>
      <w:r w:rsidR="0088469F" w:rsidRPr="008B50D8">
        <w:rPr>
          <w:sz w:val="22"/>
          <w:szCs w:val="22"/>
        </w:rPr>
        <w:t xml:space="preserve">ção de </w:t>
      </w:r>
      <w:r w:rsidR="008F05FB" w:rsidRPr="008B50D8">
        <w:rPr>
          <w:sz w:val="22"/>
          <w:szCs w:val="22"/>
        </w:rPr>
        <w:t>licitação para registro de preços contemplando a quantidade total de bens ou serviços necessários à execução d</w:t>
      </w:r>
      <w:r w:rsidR="005F7518" w:rsidRPr="008B50D8">
        <w:rPr>
          <w:sz w:val="22"/>
          <w:szCs w:val="22"/>
        </w:rPr>
        <w:t>e</w:t>
      </w:r>
      <w:r w:rsidR="008F05FB" w:rsidRPr="008B50D8">
        <w:rPr>
          <w:sz w:val="22"/>
          <w:szCs w:val="22"/>
        </w:rPr>
        <w:t xml:space="preserve"> convênios </w:t>
      </w:r>
      <w:r w:rsidR="005F7518" w:rsidRPr="008B50D8">
        <w:rPr>
          <w:sz w:val="22"/>
          <w:szCs w:val="22"/>
        </w:rPr>
        <w:t xml:space="preserve">a serem </w:t>
      </w:r>
      <w:r w:rsidR="008F05FB" w:rsidRPr="008B50D8">
        <w:rPr>
          <w:sz w:val="22"/>
          <w:szCs w:val="22"/>
        </w:rPr>
        <w:t xml:space="preserve">celebrados com </w:t>
      </w:r>
      <w:r w:rsidR="005F7518" w:rsidRPr="008B50D8">
        <w:rPr>
          <w:sz w:val="22"/>
          <w:szCs w:val="22"/>
        </w:rPr>
        <w:t>outros entes</w:t>
      </w:r>
      <w:r w:rsidR="008F05FB" w:rsidRPr="008B50D8">
        <w:rPr>
          <w:sz w:val="22"/>
          <w:szCs w:val="22"/>
        </w:rPr>
        <w:t>, com fundamento no art. 2º, inciso III, do Decreto 3.931/2001, que prevê a adoção preferencial do SRP nas contratações destinadas a atender a mais de um órgão ou entidade ou a programas de governo.</w:t>
      </w:r>
      <w:r w:rsidR="005F7518" w:rsidRPr="008B50D8">
        <w:rPr>
          <w:sz w:val="22"/>
          <w:szCs w:val="22"/>
        </w:rPr>
        <w:t xml:space="preserve"> Nessa hipótese, os e</w:t>
      </w:r>
      <w:r w:rsidR="008F05FB" w:rsidRPr="008B50D8">
        <w:rPr>
          <w:sz w:val="22"/>
          <w:szCs w:val="22"/>
        </w:rPr>
        <w:t>ntes públicos convenentes participa</w:t>
      </w:r>
      <w:r w:rsidR="005F7518" w:rsidRPr="008B50D8">
        <w:rPr>
          <w:sz w:val="22"/>
          <w:szCs w:val="22"/>
        </w:rPr>
        <w:t xml:space="preserve">riam do </w:t>
      </w:r>
      <w:r w:rsidR="008F05FB" w:rsidRPr="008B50D8">
        <w:rPr>
          <w:sz w:val="22"/>
          <w:szCs w:val="22"/>
        </w:rPr>
        <w:t>planejamento da aquisição.</w:t>
      </w:r>
      <w:r w:rsidR="00EB30BE" w:rsidRPr="008B50D8">
        <w:rPr>
          <w:sz w:val="22"/>
          <w:szCs w:val="22"/>
        </w:rPr>
        <w:t xml:space="preserve"> O Tribunal, ao endossar proposta do relator, também </w:t>
      </w:r>
      <w:r w:rsidR="00553C45" w:rsidRPr="008B50D8">
        <w:rPr>
          <w:sz w:val="22"/>
          <w:szCs w:val="22"/>
        </w:rPr>
        <w:t>a título de orientação, esclarece</w:t>
      </w:r>
      <w:r w:rsidR="00EB30BE" w:rsidRPr="008B50D8">
        <w:rPr>
          <w:sz w:val="22"/>
          <w:szCs w:val="22"/>
        </w:rPr>
        <w:t>u</w:t>
      </w:r>
      <w:r w:rsidR="00553C45" w:rsidRPr="008B50D8">
        <w:rPr>
          <w:sz w:val="22"/>
          <w:szCs w:val="22"/>
        </w:rPr>
        <w:t xml:space="preserve"> ao MCTI que a legislação vigente </w:t>
      </w:r>
      <w:r w:rsidR="00B103C5" w:rsidRPr="008B50D8">
        <w:rPr>
          <w:sz w:val="22"/>
          <w:szCs w:val="22"/>
        </w:rPr>
        <w:t xml:space="preserve">também </w:t>
      </w:r>
      <w:r w:rsidR="00553C45" w:rsidRPr="008B50D8">
        <w:rPr>
          <w:sz w:val="22"/>
          <w:szCs w:val="22"/>
        </w:rPr>
        <w:t>possibilita</w:t>
      </w:r>
      <w:r w:rsidR="00EB30BE" w:rsidRPr="008B50D8">
        <w:rPr>
          <w:sz w:val="22"/>
          <w:szCs w:val="22"/>
        </w:rPr>
        <w:t>: “</w:t>
      </w:r>
      <w:r w:rsidR="00553C45" w:rsidRPr="008B50D8">
        <w:rPr>
          <w:i/>
          <w:sz w:val="22"/>
          <w:szCs w:val="22"/>
        </w:rPr>
        <w:t xml:space="preserve">9.3.2. </w:t>
      </w:r>
      <w:r w:rsidR="00553C45" w:rsidRPr="008B50D8">
        <w:rPr>
          <w:b/>
          <w:i/>
          <w:sz w:val="22"/>
          <w:szCs w:val="22"/>
          <w:u w:val="single"/>
        </w:rPr>
        <w:t>alternativa 2</w:t>
      </w:r>
      <w:r w:rsidR="00553C45" w:rsidRPr="008B50D8">
        <w:rPr>
          <w:i/>
          <w:sz w:val="22"/>
          <w:szCs w:val="22"/>
        </w:rPr>
        <w:t>: a realização de licitação pelo Ministério para registro de preços destinado a atender ao programa de governo, contemplando o quantitativo máximo de bens ou serviços necessários à execução dos convênios que serão celebrados com as demais esferas, com fundamento no art. 2º, inciso III, do Decreto 3.931/2001 e consoante orientado no Acórdão 1.233/2012-Plenário, podendo os demais entes públicos convenentes figurar como participantes devidamente incluídos no processo de planejamento da aquisição, conforme previsto no art. 3º do mencionado regulamento</w:t>
      </w:r>
      <w:r w:rsidR="00EB30BE" w:rsidRPr="008B50D8">
        <w:rPr>
          <w:i/>
          <w:sz w:val="22"/>
          <w:szCs w:val="22"/>
        </w:rPr>
        <w:t>;</w:t>
      </w:r>
      <w:r w:rsidR="00EB30BE" w:rsidRPr="008B50D8">
        <w:rPr>
          <w:sz w:val="22"/>
          <w:szCs w:val="22"/>
        </w:rPr>
        <w:t xml:space="preserve">”. </w:t>
      </w:r>
      <w:r w:rsidR="00816696" w:rsidRPr="008B50D8">
        <w:rPr>
          <w:b/>
          <w:i/>
          <w:sz w:val="22"/>
          <w:szCs w:val="22"/>
        </w:rPr>
        <w:t>Acórdão nº. 1717/2012-Plenário, TC-001.956/2012-4, rel. Min. Augusto Sherman Cavalcanti, 4.7.2011</w:t>
      </w:r>
      <w:r w:rsidR="00EB30BE" w:rsidRPr="008B50D8">
        <w:rPr>
          <w:b/>
          <w:i/>
          <w:sz w:val="22"/>
          <w:szCs w:val="22"/>
        </w:rPr>
        <w:t>.</w:t>
      </w:r>
      <w:r w:rsidR="00EB30BE" w:rsidRPr="008B50D8">
        <w:rPr>
          <w:sz w:val="22"/>
          <w:szCs w:val="22"/>
        </w:rPr>
        <w:t xml:space="preserve"> </w:t>
      </w:r>
      <w:r w:rsidR="00553C45" w:rsidRPr="008B50D8">
        <w:rPr>
          <w:sz w:val="22"/>
          <w:szCs w:val="22"/>
        </w:rPr>
        <w:t xml:space="preserve"> </w:t>
      </w:r>
    </w:p>
    <w:p w:rsidR="005F7518" w:rsidRPr="008B50D8" w:rsidRDefault="005F7518" w:rsidP="00816696">
      <w:pPr>
        <w:pStyle w:val="TCU-Epgrafe"/>
        <w:tabs>
          <w:tab w:val="left" w:pos="1134"/>
        </w:tabs>
        <w:ind w:left="0"/>
        <w:rPr>
          <w:sz w:val="22"/>
          <w:szCs w:val="22"/>
        </w:rPr>
      </w:pPr>
    </w:p>
    <w:p w:rsidR="000021D2" w:rsidRPr="008B50D8" w:rsidRDefault="00554F2F" w:rsidP="00816696">
      <w:pPr>
        <w:pStyle w:val="TCU-Epgrafe"/>
        <w:tabs>
          <w:tab w:val="left" w:pos="1134"/>
        </w:tabs>
        <w:ind w:left="0"/>
        <w:rPr>
          <w:b/>
          <w:sz w:val="22"/>
          <w:szCs w:val="22"/>
        </w:rPr>
      </w:pPr>
      <w:r w:rsidRPr="008B50D8">
        <w:rPr>
          <w:b/>
          <w:sz w:val="22"/>
          <w:szCs w:val="22"/>
        </w:rPr>
        <w:t>3</w:t>
      </w:r>
      <w:r w:rsidR="004048E5" w:rsidRPr="008B50D8">
        <w:rPr>
          <w:b/>
          <w:sz w:val="22"/>
          <w:szCs w:val="22"/>
        </w:rPr>
        <w:t xml:space="preserve">.4. </w:t>
      </w:r>
      <w:r w:rsidRPr="008B50D8">
        <w:rPr>
          <w:b/>
          <w:sz w:val="22"/>
          <w:szCs w:val="22"/>
        </w:rPr>
        <w:t xml:space="preserve">A </w:t>
      </w:r>
      <w:r w:rsidR="008F136C" w:rsidRPr="008B50D8">
        <w:rPr>
          <w:b/>
          <w:sz w:val="22"/>
          <w:szCs w:val="22"/>
        </w:rPr>
        <w:t xml:space="preserve">realização </w:t>
      </w:r>
      <w:r w:rsidRPr="008B50D8">
        <w:rPr>
          <w:b/>
          <w:sz w:val="22"/>
          <w:szCs w:val="22"/>
        </w:rPr>
        <w:t xml:space="preserve">pelo concedente </w:t>
      </w:r>
      <w:r w:rsidR="008F136C" w:rsidRPr="008B50D8">
        <w:rPr>
          <w:b/>
          <w:sz w:val="22"/>
          <w:szCs w:val="22"/>
        </w:rPr>
        <w:t>de lic</w:t>
      </w:r>
      <w:r w:rsidR="000021D2" w:rsidRPr="008B50D8">
        <w:rPr>
          <w:b/>
          <w:sz w:val="22"/>
          <w:szCs w:val="22"/>
        </w:rPr>
        <w:t xml:space="preserve">itação para registro de preços destinado a atender a programa de governo </w:t>
      </w:r>
      <w:r w:rsidR="008F136C" w:rsidRPr="008B50D8">
        <w:rPr>
          <w:b/>
          <w:sz w:val="22"/>
          <w:szCs w:val="22"/>
        </w:rPr>
        <w:t>com a finalidade de a</w:t>
      </w:r>
      <w:r w:rsidR="000021D2" w:rsidRPr="008B50D8">
        <w:rPr>
          <w:b/>
          <w:sz w:val="22"/>
          <w:szCs w:val="22"/>
        </w:rPr>
        <w:t>dquirir e distribuir os bens constantes do registro aos convenentes</w:t>
      </w:r>
      <w:r w:rsidRPr="008B50D8">
        <w:rPr>
          <w:b/>
          <w:sz w:val="22"/>
          <w:szCs w:val="22"/>
        </w:rPr>
        <w:t xml:space="preserve"> encontra amparo na legislação vigente</w:t>
      </w:r>
    </w:p>
    <w:p w:rsidR="00554F2F" w:rsidRPr="008B50D8" w:rsidRDefault="00B103C5" w:rsidP="000021D2">
      <w:pPr>
        <w:pStyle w:val="TCU-Epgrafe"/>
        <w:ind w:left="0"/>
        <w:rPr>
          <w:b/>
          <w:i/>
          <w:sz w:val="22"/>
          <w:szCs w:val="22"/>
        </w:rPr>
      </w:pPr>
      <w:r w:rsidRPr="008B50D8">
        <w:rPr>
          <w:sz w:val="22"/>
          <w:szCs w:val="22"/>
        </w:rPr>
        <w:t xml:space="preserve">Também na citada consulta formulada pelo MCTI, o relator desenvolveu </w:t>
      </w:r>
      <w:r w:rsidR="00AA5D14" w:rsidRPr="008B50D8">
        <w:rPr>
          <w:sz w:val="22"/>
          <w:szCs w:val="22"/>
        </w:rPr>
        <w:t xml:space="preserve">terceira </w:t>
      </w:r>
      <w:r w:rsidR="00052BCA" w:rsidRPr="008B50D8">
        <w:rPr>
          <w:sz w:val="22"/>
          <w:szCs w:val="22"/>
        </w:rPr>
        <w:t>rotina</w:t>
      </w:r>
      <w:r w:rsidR="000021D2" w:rsidRPr="008B50D8">
        <w:rPr>
          <w:sz w:val="22"/>
          <w:szCs w:val="22"/>
        </w:rPr>
        <w:t>,</w:t>
      </w:r>
      <w:r w:rsidR="00AA5D14" w:rsidRPr="008B50D8">
        <w:rPr>
          <w:sz w:val="22"/>
          <w:szCs w:val="22"/>
        </w:rPr>
        <w:t xml:space="preserve"> </w:t>
      </w:r>
      <w:r w:rsidRPr="008B50D8">
        <w:rPr>
          <w:sz w:val="22"/>
          <w:szCs w:val="22"/>
        </w:rPr>
        <w:t>a partir de sugestões da unidade técnica e do Ministério Público/TCU</w:t>
      </w:r>
      <w:r w:rsidR="00052BCA" w:rsidRPr="008B50D8">
        <w:rPr>
          <w:sz w:val="22"/>
          <w:szCs w:val="22"/>
        </w:rPr>
        <w:t>, para aprimorar a execução de seus convênios</w:t>
      </w:r>
      <w:r w:rsidR="000021D2" w:rsidRPr="008B50D8">
        <w:rPr>
          <w:sz w:val="22"/>
          <w:szCs w:val="22"/>
        </w:rPr>
        <w:t>.</w:t>
      </w:r>
      <w:r w:rsidRPr="008B50D8">
        <w:rPr>
          <w:sz w:val="22"/>
          <w:szCs w:val="22"/>
        </w:rPr>
        <w:t xml:space="preserve"> Essa </w:t>
      </w:r>
      <w:r w:rsidR="000021D2" w:rsidRPr="008B50D8">
        <w:rPr>
          <w:sz w:val="22"/>
          <w:szCs w:val="22"/>
        </w:rPr>
        <w:t xml:space="preserve">nova </w:t>
      </w:r>
      <w:r w:rsidRPr="008B50D8">
        <w:rPr>
          <w:sz w:val="22"/>
          <w:szCs w:val="22"/>
        </w:rPr>
        <w:t>possibilidade</w:t>
      </w:r>
      <w:r w:rsidR="00955620" w:rsidRPr="008B50D8">
        <w:rPr>
          <w:sz w:val="22"/>
          <w:szCs w:val="22"/>
        </w:rPr>
        <w:t xml:space="preserve"> sugere a </w:t>
      </w:r>
      <w:r w:rsidR="008F05FB" w:rsidRPr="008B50D8">
        <w:rPr>
          <w:sz w:val="22"/>
          <w:szCs w:val="22"/>
        </w:rPr>
        <w:t>utiliz</w:t>
      </w:r>
      <w:r w:rsidR="00955620" w:rsidRPr="008B50D8">
        <w:rPr>
          <w:sz w:val="22"/>
          <w:szCs w:val="22"/>
        </w:rPr>
        <w:t>ação de</w:t>
      </w:r>
      <w:r w:rsidR="008F05FB" w:rsidRPr="008B50D8">
        <w:rPr>
          <w:sz w:val="22"/>
          <w:szCs w:val="22"/>
        </w:rPr>
        <w:t xml:space="preserve"> ata </w:t>
      </w:r>
      <w:r w:rsidR="000021D2" w:rsidRPr="008B50D8">
        <w:rPr>
          <w:sz w:val="22"/>
          <w:szCs w:val="22"/>
        </w:rPr>
        <w:t xml:space="preserve">de registro de preços </w:t>
      </w:r>
      <w:r w:rsidR="008F05FB" w:rsidRPr="008B50D8">
        <w:rPr>
          <w:sz w:val="22"/>
          <w:szCs w:val="22"/>
        </w:rPr>
        <w:t>resultante d</w:t>
      </w:r>
      <w:r w:rsidR="00955620" w:rsidRPr="008B50D8">
        <w:rPr>
          <w:sz w:val="22"/>
          <w:szCs w:val="22"/>
        </w:rPr>
        <w:t>e</w:t>
      </w:r>
      <w:r w:rsidR="008F05FB" w:rsidRPr="008B50D8">
        <w:rPr>
          <w:sz w:val="22"/>
          <w:szCs w:val="22"/>
        </w:rPr>
        <w:t xml:space="preserve"> licitação </w:t>
      </w:r>
      <w:r w:rsidR="00955620" w:rsidRPr="008B50D8">
        <w:rPr>
          <w:sz w:val="22"/>
          <w:szCs w:val="22"/>
        </w:rPr>
        <w:t>a ser pr</w:t>
      </w:r>
      <w:r w:rsidR="008F05FB" w:rsidRPr="008B50D8">
        <w:rPr>
          <w:sz w:val="22"/>
          <w:szCs w:val="22"/>
        </w:rPr>
        <w:t xml:space="preserve">omovida </w:t>
      </w:r>
      <w:r w:rsidR="00955620" w:rsidRPr="008B50D8">
        <w:rPr>
          <w:sz w:val="22"/>
          <w:szCs w:val="22"/>
        </w:rPr>
        <w:t>pelo Ministério</w:t>
      </w:r>
      <w:r w:rsidR="00052BCA" w:rsidRPr="008B50D8">
        <w:rPr>
          <w:sz w:val="22"/>
          <w:szCs w:val="22"/>
        </w:rPr>
        <w:t>, com a</w:t>
      </w:r>
      <w:r w:rsidR="00955620" w:rsidRPr="008B50D8">
        <w:rPr>
          <w:sz w:val="22"/>
          <w:szCs w:val="22"/>
        </w:rPr>
        <w:t xml:space="preserve"> a</w:t>
      </w:r>
      <w:r w:rsidR="008F05FB" w:rsidRPr="008B50D8">
        <w:rPr>
          <w:sz w:val="22"/>
          <w:szCs w:val="22"/>
        </w:rPr>
        <w:t>qui</w:t>
      </w:r>
      <w:r w:rsidR="00955620" w:rsidRPr="008B50D8">
        <w:rPr>
          <w:sz w:val="22"/>
          <w:szCs w:val="22"/>
        </w:rPr>
        <w:t xml:space="preserve">sição e </w:t>
      </w:r>
      <w:r w:rsidR="008F05FB" w:rsidRPr="008B50D8">
        <w:rPr>
          <w:sz w:val="22"/>
          <w:szCs w:val="22"/>
        </w:rPr>
        <w:t>distribui</w:t>
      </w:r>
      <w:r w:rsidR="00955620" w:rsidRPr="008B50D8">
        <w:rPr>
          <w:sz w:val="22"/>
          <w:szCs w:val="22"/>
        </w:rPr>
        <w:t>ção d</w:t>
      </w:r>
      <w:r w:rsidR="008F05FB" w:rsidRPr="008B50D8">
        <w:rPr>
          <w:sz w:val="22"/>
          <w:szCs w:val="22"/>
        </w:rPr>
        <w:t>os bens constantes do registro aos convenentes</w:t>
      </w:r>
      <w:r w:rsidR="00955620" w:rsidRPr="008B50D8">
        <w:rPr>
          <w:sz w:val="22"/>
          <w:szCs w:val="22"/>
        </w:rPr>
        <w:t xml:space="preserve">. O Tribunal, ao endossar proposta do relator, a título de orientação, esclareceu ao MCTI que a legislação vigente também possibilita: </w:t>
      </w:r>
      <w:r w:rsidR="002A7DBA" w:rsidRPr="008B50D8">
        <w:rPr>
          <w:sz w:val="22"/>
          <w:szCs w:val="22"/>
        </w:rPr>
        <w:t>“</w:t>
      </w:r>
      <w:r w:rsidR="002A7DBA" w:rsidRPr="008B50D8">
        <w:rPr>
          <w:i/>
          <w:sz w:val="22"/>
          <w:szCs w:val="22"/>
        </w:rPr>
        <w:t xml:space="preserve">9.3.3. </w:t>
      </w:r>
      <w:r w:rsidR="002A7DBA" w:rsidRPr="008B50D8">
        <w:rPr>
          <w:b/>
          <w:i/>
          <w:sz w:val="22"/>
          <w:szCs w:val="22"/>
          <w:u w:val="single"/>
        </w:rPr>
        <w:t>alternativa 3</w:t>
      </w:r>
      <w:r w:rsidR="002A7DBA" w:rsidRPr="008B50D8">
        <w:rPr>
          <w:i/>
          <w:sz w:val="22"/>
          <w:szCs w:val="22"/>
        </w:rPr>
        <w:t>: a realização de licitação pelo Ministério para registro de preços destinado a atender ao programa de governo, contemplando o quantitativo máximo de bens ou serviços necessários à execução dos convênios que serão celebrados com as demais esferas, com fundamento no art. 2º, inciso III, do Decreto 3.931/2001 e consoante orientado no Acórdão 1.233/2012-Plenário, podendo o MCTI utilizar a ata resultante para adquirir e distribuir os bens constantes do registro aos convenentes, com fulcro na padronização prevista no art. 15 do Decreto 6.170/2007;</w:t>
      </w:r>
      <w:r w:rsidR="002A7DBA" w:rsidRPr="008B50D8">
        <w:rPr>
          <w:sz w:val="22"/>
          <w:szCs w:val="22"/>
        </w:rPr>
        <w:t>”</w:t>
      </w:r>
      <w:r w:rsidR="000021D2" w:rsidRPr="008B50D8">
        <w:rPr>
          <w:sz w:val="22"/>
          <w:szCs w:val="22"/>
        </w:rPr>
        <w:t xml:space="preserve"> </w:t>
      </w:r>
      <w:r w:rsidR="000021D2" w:rsidRPr="008B50D8">
        <w:rPr>
          <w:b/>
          <w:i/>
          <w:sz w:val="22"/>
          <w:szCs w:val="22"/>
        </w:rPr>
        <w:t>Acórdão nº. 1717/2012-Plenário, TC-001.95</w:t>
      </w:r>
      <w:r w:rsidR="00816696" w:rsidRPr="008B50D8">
        <w:rPr>
          <w:b/>
          <w:i/>
          <w:sz w:val="22"/>
          <w:szCs w:val="22"/>
        </w:rPr>
        <w:t>6</w:t>
      </w:r>
      <w:r w:rsidR="000021D2" w:rsidRPr="008B50D8">
        <w:rPr>
          <w:b/>
          <w:i/>
          <w:sz w:val="22"/>
          <w:szCs w:val="22"/>
        </w:rPr>
        <w:t xml:space="preserve">/2012-4, rel. Min. Augusto Sherman Cavalcanti, </w:t>
      </w:r>
      <w:r w:rsidR="00816696" w:rsidRPr="008B50D8">
        <w:rPr>
          <w:b/>
          <w:i/>
          <w:sz w:val="22"/>
          <w:szCs w:val="22"/>
        </w:rPr>
        <w:t>4</w:t>
      </w:r>
      <w:r w:rsidR="000021D2" w:rsidRPr="008B50D8">
        <w:rPr>
          <w:b/>
          <w:i/>
          <w:sz w:val="22"/>
          <w:szCs w:val="22"/>
        </w:rPr>
        <w:t>.</w:t>
      </w:r>
      <w:r w:rsidR="00816696" w:rsidRPr="008B50D8">
        <w:rPr>
          <w:b/>
          <w:i/>
          <w:sz w:val="22"/>
          <w:szCs w:val="22"/>
        </w:rPr>
        <w:t>7</w:t>
      </w:r>
      <w:r w:rsidR="000021D2" w:rsidRPr="008B50D8">
        <w:rPr>
          <w:b/>
          <w:i/>
          <w:sz w:val="22"/>
          <w:szCs w:val="22"/>
        </w:rPr>
        <w:t>.2011.</w:t>
      </w:r>
    </w:p>
    <w:p w:rsidR="000021D2" w:rsidRPr="008B50D8" w:rsidRDefault="000021D2" w:rsidP="000021D2">
      <w:pPr>
        <w:pStyle w:val="TCU-Epgrafe"/>
        <w:ind w:left="0"/>
        <w:rPr>
          <w:sz w:val="22"/>
          <w:szCs w:val="22"/>
        </w:rPr>
      </w:pPr>
      <w:r w:rsidRPr="008B50D8">
        <w:rPr>
          <w:sz w:val="22"/>
          <w:szCs w:val="22"/>
        </w:rPr>
        <w:t xml:space="preserve">  </w:t>
      </w:r>
    </w:p>
    <w:p w:rsidR="00B4220C" w:rsidRPr="008B50D8" w:rsidRDefault="00B4220C" w:rsidP="00B4220C">
      <w:pPr>
        <w:pBdr>
          <w:top w:val="threeDEmboss" w:sz="24" w:space="0" w:color="auto"/>
        </w:pBdr>
        <w:tabs>
          <w:tab w:val="left" w:pos="284"/>
          <w:tab w:val="left" w:pos="2590"/>
        </w:tabs>
        <w:spacing w:after="0"/>
        <w:ind w:left="0"/>
        <w:jc w:val="center"/>
        <w:rPr>
          <w:b/>
          <w:sz w:val="22"/>
          <w:szCs w:val="22"/>
        </w:rPr>
      </w:pPr>
      <w:r w:rsidRPr="008B50D8">
        <w:rPr>
          <w:b/>
          <w:sz w:val="22"/>
          <w:szCs w:val="22"/>
        </w:rPr>
        <w:t>INOVAÇÃO LEGISLATIVA</w:t>
      </w:r>
    </w:p>
    <w:p w:rsidR="0056275D" w:rsidRPr="008B50D8" w:rsidRDefault="0056275D" w:rsidP="005F676C">
      <w:pPr>
        <w:pStyle w:val="NormalWeb"/>
        <w:spacing w:before="60" w:line="240" w:lineRule="auto"/>
        <w:ind w:firstLine="0"/>
        <w:jc w:val="both"/>
        <w:rPr>
          <w:sz w:val="22"/>
          <w:szCs w:val="22"/>
        </w:rPr>
      </w:pPr>
      <w:r w:rsidRPr="008B50D8">
        <w:rPr>
          <w:sz w:val="22"/>
          <w:szCs w:val="22"/>
        </w:rPr>
        <w:t>Decreto</w:t>
      </w:r>
      <w:r w:rsidR="009A1BCF" w:rsidRPr="008B50D8">
        <w:rPr>
          <w:sz w:val="22"/>
          <w:szCs w:val="22"/>
        </w:rPr>
        <w:t xml:space="preserve"> nº 7.775, de 4/7/2012: Regulamenta o art. 19 da Lei n</w:t>
      </w:r>
      <w:r w:rsidR="009A1BCF" w:rsidRPr="008B50D8">
        <w:rPr>
          <w:sz w:val="22"/>
          <w:szCs w:val="22"/>
          <w:u w:val="single"/>
          <w:vertAlign w:val="superscript"/>
        </w:rPr>
        <w:t>o</w:t>
      </w:r>
      <w:r w:rsidR="009A1BCF" w:rsidRPr="008B50D8">
        <w:rPr>
          <w:sz w:val="22"/>
          <w:szCs w:val="22"/>
        </w:rPr>
        <w:t xml:space="preserve"> 10.696, de 2 de julho de 2003, que institui o Programa de Aquisição de Alimentos, e o Capítulo III da Lei n</w:t>
      </w:r>
      <w:r w:rsidR="009A1BCF" w:rsidRPr="008B50D8">
        <w:rPr>
          <w:sz w:val="22"/>
          <w:szCs w:val="22"/>
          <w:u w:val="single"/>
          <w:vertAlign w:val="superscript"/>
        </w:rPr>
        <w:t>o</w:t>
      </w:r>
      <w:r w:rsidR="009A1BCF" w:rsidRPr="008B50D8">
        <w:rPr>
          <w:sz w:val="22"/>
          <w:szCs w:val="22"/>
        </w:rPr>
        <w:t xml:space="preserve"> 12.512</w:t>
      </w:r>
      <w:r w:rsidR="00F21D2A" w:rsidRPr="008B50D8">
        <w:rPr>
          <w:sz w:val="22"/>
          <w:szCs w:val="22"/>
        </w:rPr>
        <w:t>/</w:t>
      </w:r>
      <w:r w:rsidR="009A1BCF" w:rsidRPr="008B50D8">
        <w:rPr>
          <w:sz w:val="22"/>
          <w:szCs w:val="22"/>
        </w:rPr>
        <w:t>2011, e dá outras providências.</w:t>
      </w:r>
    </w:p>
    <w:p w:rsidR="00B33F57" w:rsidRPr="008B50D8" w:rsidRDefault="00B33F57" w:rsidP="001B2A46">
      <w:pPr>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8B50D8" w:rsidTr="0030360F">
        <w:trPr>
          <w:trHeight w:val="779"/>
          <w:jc w:val="center"/>
        </w:trPr>
        <w:tc>
          <w:tcPr>
            <w:tcW w:w="0" w:type="auto"/>
            <w:vAlign w:val="center"/>
          </w:tcPr>
          <w:p w:rsidR="007334B1" w:rsidRPr="008B50D8" w:rsidRDefault="00C10DD5" w:rsidP="006564F2">
            <w:pPr>
              <w:pStyle w:val="enter-3pt"/>
              <w:tabs>
                <w:tab w:val="left" w:pos="2590"/>
              </w:tabs>
              <w:spacing w:line="240" w:lineRule="auto"/>
              <w:rPr>
                <w:b/>
                <w:i/>
                <w:sz w:val="22"/>
                <w:szCs w:val="22"/>
              </w:rPr>
            </w:pPr>
            <w:r w:rsidRPr="008B50D8">
              <w:rPr>
                <w:b/>
                <w:i/>
                <w:sz w:val="22"/>
                <w:szCs w:val="22"/>
              </w:rPr>
              <w:t>Elaboração: Secretaria das Sessões</w:t>
            </w:r>
          </w:p>
          <w:p w:rsidR="007334B1" w:rsidRPr="008B50D8" w:rsidRDefault="007334B1" w:rsidP="006564F2">
            <w:pPr>
              <w:pStyle w:val="enter-3pt"/>
              <w:tabs>
                <w:tab w:val="left" w:pos="2590"/>
              </w:tabs>
              <w:spacing w:line="240" w:lineRule="auto"/>
              <w:rPr>
                <w:b/>
                <w:i/>
                <w:sz w:val="22"/>
                <w:szCs w:val="22"/>
              </w:rPr>
            </w:pPr>
            <w:r w:rsidRPr="008B50D8">
              <w:rPr>
                <w:b/>
                <w:i/>
                <w:sz w:val="22"/>
                <w:szCs w:val="22"/>
              </w:rPr>
              <w:t xml:space="preserve">Contato: </w:t>
            </w:r>
            <w:hyperlink r:id="rId8" w:history="1">
              <w:r w:rsidRPr="008B50D8">
                <w:rPr>
                  <w:rStyle w:val="Hyperlink"/>
                  <w:b/>
                  <w:i/>
                  <w:color w:val="auto"/>
                  <w:sz w:val="22"/>
                  <w:szCs w:val="22"/>
                </w:rPr>
                <w:t>infojuris@tcu.gov.br</w:t>
              </w:r>
            </w:hyperlink>
          </w:p>
        </w:tc>
      </w:tr>
    </w:tbl>
    <w:p w:rsidR="00F3058F" w:rsidRPr="008B50D8" w:rsidRDefault="00F3058F" w:rsidP="0053655B">
      <w:pPr>
        <w:pStyle w:val="PargrafodaLista"/>
        <w:widowControl w:val="0"/>
        <w:autoSpaceDE w:val="0"/>
        <w:autoSpaceDN w:val="0"/>
        <w:adjustRightInd w:val="0"/>
        <w:ind w:left="0"/>
        <w:jc w:val="both"/>
        <w:rPr>
          <w:b/>
          <w:color w:val="FF0000"/>
          <w:sz w:val="22"/>
        </w:rPr>
      </w:pPr>
    </w:p>
    <w:sectPr w:rsidR="00F3058F" w:rsidRPr="008B50D8"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2D" w:rsidRDefault="004D3E2D" w:rsidP="008B0547">
      <w:pPr>
        <w:spacing w:after="0"/>
      </w:pPr>
      <w:r>
        <w:separator/>
      </w:r>
    </w:p>
  </w:endnote>
  <w:endnote w:type="continuationSeparator" w:id="0">
    <w:p w:rsidR="004D3E2D" w:rsidRDefault="004D3E2D"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32276A"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E55119">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2D" w:rsidRDefault="004D3E2D" w:rsidP="008B0547">
      <w:pPr>
        <w:spacing w:after="0"/>
      </w:pPr>
      <w:r>
        <w:separator/>
      </w:r>
    </w:p>
  </w:footnote>
  <w:footnote w:type="continuationSeparator" w:id="0">
    <w:p w:rsidR="004D3E2D" w:rsidRDefault="004D3E2D"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2B2A44"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2B2A44" w:rsidP="00080148">
    <w:pPr>
      <w:spacing w:after="0"/>
      <w:rPr>
        <w:rFonts w:ascii="Arial" w:hAnsi="Arial" w:cs="Arial"/>
        <w:b/>
      </w:rPr>
    </w:pPr>
    <w:r w:rsidRPr="0032276A">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AE9F"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rmativo de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AB1BB4">
      <w:rPr>
        <w:rFonts w:ascii="Arial" w:hAnsi="Arial" w:cs="Arial"/>
        <w:noProof/>
        <w:lang w:eastAsia="pt-BR"/>
      </w:rPr>
      <w:t>1</w:t>
    </w:r>
    <w:r w:rsidR="000227F4">
      <w:rPr>
        <w:rFonts w:ascii="Arial" w:hAnsi="Arial" w:cs="Arial"/>
        <w:noProof/>
        <w:lang w:eastAsia="pt-BR"/>
      </w:rPr>
      <w:t>1</w:t>
    </w:r>
    <w:r w:rsidR="00995DF2">
      <w:rPr>
        <w:rFonts w:ascii="Arial" w:hAnsi="Arial" w:cs="Arial"/>
        <w:noProof/>
        <w:lang w:eastAsia="pt-BR"/>
      </w:rPr>
      <w:t>3</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EC6694A"/>
    <w:multiLevelType w:val="hybridMultilevel"/>
    <w:tmpl w:val="928A5542"/>
    <w:lvl w:ilvl="0" w:tplc="504E1654">
      <w:start w:val="2"/>
      <w:numFmt w:val="decimal"/>
      <w:lvlText w:val="%1."/>
      <w:lvlJc w:val="left"/>
      <w:pPr>
        <w:tabs>
          <w:tab w:val="num" w:pos="1860"/>
        </w:tabs>
        <w:ind w:left="1860" w:hanging="360"/>
      </w:pPr>
      <w:rPr>
        <w:rFonts w:cs="Times New Roman" w:hint="default"/>
      </w:rPr>
    </w:lvl>
    <w:lvl w:ilvl="1" w:tplc="04160019">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3746DBD"/>
    <w:multiLevelType w:val="hybridMultilevel"/>
    <w:tmpl w:val="4FEA49F2"/>
    <w:lvl w:ilvl="0" w:tplc="A182A0AC">
      <w:start w:val="1"/>
      <w:numFmt w:val="decimal"/>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481C11C1"/>
    <w:multiLevelType w:val="hybridMultilevel"/>
    <w:tmpl w:val="7A36F0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6">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7">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0BF56F5"/>
    <w:multiLevelType w:val="hybridMultilevel"/>
    <w:tmpl w:val="464A0018"/>
    <w:lvl w:ilvl="0" w:tplc="ABBE07CA">
      <w:start w:val="2"/>
      <w:numFmt w:val="decimal"/>
      <w:lvlText w:val="%1."/>
      <w:lvlJc w:val="left"/>
      <w:pPr>
        <w:ind w:left="644" w:hanging="360"/>
      </w:pPr>
      <w:rPr>
        <w:rFonts w:cs="Times New Roman" w:hint="default"/>
      </w:rPr>
    </w:lvl>
    <w:lvl w:ilvl="1" w:tplc="04160019">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30">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31">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34">
    <w:nsid w:val="76684430"/>
    <w:multiLevelType w:val="multilevel"/>
    <w:tmpl w:val="CD805612"/>
    <w:lvl w:ilvl="0">
      <w:start w:val="2"/>
      <w:numFmt w:val="decimal"/>
      <w:lvlText w:val="%1."/>
      <w:lvlJc w:val="left"/>
      <w:pPr>
        <w:ind w:left="1428" w:hanging="360"/>
      </w:pPr>
      <w:rPr>
        <w:rFonts w:cs="Times New Roman" w:hint="default"/>
      </w:rPr>
    </w:lvl>
    <w:lvl w:ilvl="1">
      <w:start w:val="10"/>
      <w:numFmt w:val="decimal"/>
      <w:isLgl/>
      <w:lvlText w:val="%1.%2."/>
      <w:lvlJc w:val="left"/>
      <w:pPr>
        <w:ind w:left="1689" w:hanging="555"/>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6" w:hanging="720"/>
      </w:pPr>
      <w:rPr>
        <w:rFonts w:cs="Times New Roman" w:hint="default"/>
      </w:rPr>
    </w:lvl>
    <w:lvl w:ilvl="4">
      <w:start w:val="1"/>
      <w:numFmt w:val="decimal"/>
      <w:isLgl/>
      <w:lvlText w:val="%1.%2.%3.%4.%5."/>
      <w:lvlJc w:val="left"/>
      <w:pPr>
        <w:ind w:left="2412" w:hanging="1080"/>
      </w:pPr>
      <w:rPr>
        <w:rFonts w:cs="Times New Roman" w:hint="default"/>
      </w:rPr>
    </w:lvl>
    <w:lvl w:ilvl="5">
      <w:start w:val="1"/>
      <w:numFmt w:val="decimal"/>
      <w:isLgl/>
      <w:lvlText w:val="%1.%2.%3.%4.%5.%6."/>
      <w:lvlJc w:val="left"/>
      <w:pPr>
        <w:ind w:left="2478" w:hanging="1080"/>
      </w:pPr>
      <w:rPr>
        <w:rFonts w:cs="Times New Roman" w:hint="default"/>
      </w:rPr>
    </w:lvl>
    <w:lvl w:ilvl="6">
      <w:start w:val="1"/>
      <w:numFmt w:val="decimal"/>
      <w:isLgl/>
      <w:lvlText w:val="%1.%2.%3.%4.%5.%6.%7."/>
      <w:lvlJc w:val="left"/>
      <w:pPr>
        <w:ind w:left="2904" w:hanging="1440"/>
      </w:pPr>
      <w:rPr>
        <w:rFonts w:cs="Times New Roman" w:hint="default"/>
      </w:rPr>
    </w:lvl>
    <w:lvl w:ilvl="7">
      <w:start w:val="1"/>
      <w:numFmt w:val="decimal"/>
      <w:isLgl/>
      <w:lvlText w:val="%1.%2.%3.%4.%5.%6.%7.%8."/>
      <w:lvlJc w:val="left"/>
      <w:pPr>
        <w:ind w:left="2970" w:hanging="1440"/>
      </w:pPr>
      <w:rPr>
        <w:rFonts w:cs="Times New Roman" w:hint="default"/>
      </w:rPr>
    </w:lvl>
    <w:lvl w:ilvl="8">
      <w:start w:val="1"/>
      <w:numFmt w:val="decimal"/>
      <w:isLgl/>
      <w:lvlText w:val="%1.%2.%3.%4.%5.%6.%7.%8.%9."/>
      <w:lvlJc w:val="left"/>
      <w:pPr>
        <w:ind w:left="3396" w:hanging="1800"/>
      </w:pPr>
      <w:rPr>
        <w:rFonts w:cs="Times New Roman" w:hint="default"/>
      </w:rPr>
    </w:lvl>
  </w:abstractNum>
  <w:abstractNum w:abstractNumId="3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7"/>
  </w:num>
  <w:num w:numId="2">
    <w:abstractNumId w:val="20"/>
  </w:num>
  <w:num w:numId="3">
    <w:abstractNumId w:val="8"/>
  </w:num>
  <w:num w:numId="4">
    <w:abstractNumId w:val="0"/>
  </w:num>
  <w:num w:numId="5">
    <w:abstractNumId w:val="11"/>
  </w:num>
  <w:num w:numId="6">
    <w:abstractNumId w:val="18"/>
  </w:num>
  <w:num w:numId="7">
    <w:abstractNumId w:val="32"/>
  </w:num>
  <w:num w:numId="8">
    <w:abstractNumId w:val="28"/>
  </w:num>
  <w:num w:numId="9">
    <w:abstractNumId w:val="24"/>
  </w:num>
  <w:num w:numId="10">
    <w:abstractNumId w:val="6"/>
  </w:num>
  <w:num w:numId="11">
    <w:abstractNumId w:val="35"/>
  </w:num>
  <w:num w:numId="12">
    <w:abstractNumId w:val="4"/>
  </w:num>
  <w:num w:numId="13">
    <w:abstractNumId w:val="17"/>
  </w:num>
  <w:num w:numId="14">
    <w:abstractNumId w:val="31"/>
  </w:num>
  <w:num w:numId="15">
    <w:abstractNumId w:val="15"/>
  </w:num>
  <w:num w:numId="16">
    <w:abstractNumId w:val="2"/>
  </w:num>
  <w:num w:numId="17">
    <w:abstractNumId w:val="13"/>
  </w:num>
  <w:num w:numId="18">
    <w:abstractNumId w:val="33"/>
    <w:lvlOverride w:ilvl="0">
      <w:startOverride w:val="1"/>
    </w:lvlOverride>
  </w:num>
  <w:num w:numId="19">
    <w:abstractNumId w:val="26"/>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5"/>
  </w:num>
  <w:num w:numId="32">
    <w:abstractNumId w:val="22"/>
  </w:num>
  <w:num w:numId="33">
    <w:abstractNumId w:val="29"/>
  </w:num>
  <w:num w:numId="34">
    <w:abstractNumId w:val="23"/>
  </w:num>
  <w:num w:numId="35">
    <w:abstractNumId w:val="21"/>
  </w:num>
  <w:num w:numId="36">
    <w:abstractNumId w:val="1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6E8"/>
    <w:rsid w:val="0000092D"/>
    <w:rsid w:val="0000153E"/>
    <w:rsid w:val="00001878"/>
    <w:rsid w:val="00001B69"/>
    <w:rsid w:val="000021D2"/>
    <w:rsid w:val="00003CEA"/>
    <w:rsid w:val="00004614"/>
    <w:rsid w:val="00004D04"/>
    <w:rsid w:val="00005435"/>
    <w:rsid w:val="00005BA5"/>
    <w:rsid w:val="00005E1E"/>
    <w:rsid w:val="00005F57"/>
    <w:rsid w:val="0000636F"/>
    <w:rsid w:val="000069F3"/>
    <w:rsid w:val="0001037C"/>
    <w:rsid w:val="000118BC"/>
    <w:rsid w:val="000118CC"/>
    <w:rsid w:val="00011BA0"/>
    <w:rsid w:val="00011D5A"/>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27F4"/>
    <w:rsid w:val="0002327E"/>
    <w:rsid w:val="00023D72"/>
    <w:rsid w:val="000253D1"/>
    <w:rsid w:val="00025450"/>
    <w:rsid w:val="00025753"/>
    <w:rsid w:val="00025A32"/>
    <w:rsid w:val="000262E8"/>
    <w:rsid w:val="000271FA"/>
    <w:rsid w:val="0002751C"/>
    <w:rsid w:val="00027B2E"/>
    <w:rsid w:val="000300A2"/>
    <w:rsid w:val="00032198"/>
    <w:rsid w:val="00032CA1"/>
    <w:rsid w:val="00033551"/>
    <w:rsid w:val="0003422F"/>
    <w:rsid w:val="00035FBF"/>
    <w:rsid w:val="00037DCE"/>
    <w:rsid w:val="00041450"/>
    <w:rsid w:val="000431BD"/>
    <w:rsid w:val="000438FC"/>
    <w:rsid w:val="000460E4"/>
    <w:rsid w:val="0004660A"/>
    <w:rsid w:val="00046CF7"/>
    <w:rsid w:val="00050483"/>
    <w:rsid w:val="0005133B"/>
    <w:rsid w:val="00051AAB"/>
    <w:rsid w:val="00051D57"/>
    <w:rsid w:val="0005205F"/>
    <w:rsid w:val="00052B15"/>
    <w:rsid w:val="00052BCA"/>
    <w:rsid w:val="0005356E"/>
    <w:rsid w:val="000540FC"/>
    <w:rsid w:val="0005412B"/>
    <w:rsid w:val="00054432"/>
    <w:rsid w:val="0005485B"/>
    <w:rsid w:val="00054C16"/>
    <w:rsid w:val="00054FBE"/>
    <w:rsid w:val="00055D4F"/>
    <w:rsid w:val="000562CD"/>
    <w:rsid w:val="0005656B"/>
    <w:rsid w:val="00056A5A"/>
    <w:rsid w:val="00056D51"/>
    <w:rsid w:val="0006028E"/>
    <w:rsid w:val="00060CE3"/>
    <w:rsid w:val="00061C2E"/>
    <w:rsid w:val="000622E0"/>
    <w:rsid w:val="00062B46"/>
    <w:rsid w:val="00063C6E"/>
    <w:rsid w:val="000647B1"/>
    <w:rsid w:val="00065A8B"/>
    <w:rsid w:val="00065E95"/>
    <w:rsid w:val="00066E66"/>
    <w:rsid w:val="00066F26"/>
    <w:rsid w:val="0006707B"/>
    <w:rsid w:val="000675D5"/>
    <w:rsid w:val="00067E95"/>
    <w:rsid w:val="00070785"/>
    <w:rsid w:val="0007259B"/>
    <w:rsid w:val="00072916"/>
    <w:rsid w:val="00072F56"/>
    <w:rsid w:val="00074384"/>
    <w:rsid w:val="00074AC5"/>
    <w:rsid w:val="00077A56"/>
    <w:rsid w:val="00077BA4"/>
    <w:rsid w:val="00080148"/>
    <w:rsid w:val="000807D4"/>
    <w:rsid w:val="00081635"/>
    <w:rsid w:val="00081DFB"/>
    <w:rsid w:val="00083514"/>
    <w:rsid w:val="000835D8"/>
    <w:rsid w:val="00084282"/>
    <w:rsid w:val="00084727"/>
    <w:rsid w:val="000858EF"/>
    <w:rsid w:val="00086A39"/>
    <w:rsid w:val="00086BAA"/>
    <w:rsid w:val="00087006"/>
    <w:rsid w:val="00087894"/>
    <w:rsid w:val="00087C6C"/>
    <w:rsid w:val="0009058C"/>
    <w:rsid w:val="00090D8A"/>
    <w:rsid w:val="0009133A"/>
    <w:rsid w:val="000916AF"/>
    <w:rsid w:val="000929ED"/>
    <w:rsid w:val="00092C2E"/>
    <w:rsid w:val="00094A7D"/>
    <w:rsid w:val="00094C5B"/>
    <w:rsid w:val="00094EEC"/>
    <w:rsid w:val="00095069"/>
    <w:rsid w:val="00095D98"/>
    <w:rsid w:val="0009649A"/>
    <w:rsid w:val="0009655D"/>
    <w:rsid w:val="0009748C"/>
    <w:rsid w:val="0009780B"/>
    <w:rsid w:val="00097863"/>
    <w:rsid w:val="00097ABD"/>
    <w:rsid w:val="00097BF6"/>
    <w:rsid w:val="000A0EF8"/>
    <w:rsid w:val="000A152A"/>
    <w:rsid w:val="000A1EBD"/>
    <w:rsid w:val="000A2C56"/>
    <w:rsid w:val="000A402F"/>
    <w:rsid w:val="000A4632"/>
    <w:rsid w:val="000A47EA"/>
    <w:rsid w:val="000A57DA"/>
    <w:rsid w:val="000A599E"/>
    <w:rsid w:val="000A6269"/>
    <w:rsid w:val="000A62BD"/>
    <w:rsid w:val="000A6645"/>
    <w:rsid w:val="000A77BB"/>
    <w:rsid w:val="000B0ECB"/>
    <w:rsid w:val="000B0FEA"/>
    <w:rsid w:val="000B2AFA"/>
    <w:rsid w:val="000B3444"/>
    <w:rsid w:val="000B4B33"/>
    <w:rsid w:val="000B4C5B"/>
    <w:rsid w:val="000B4EBB"/>
    <w:rsid w:val="000B5DB2"/>
    <w:rsid w:val="000B5DD4"/>
    <w:rsid w:val="000B639F"/>
    <w:rsid w:val="000B6475"/>
    <w:rsid w:val="000B6BC1"/>
    <w:rsid w:val="000C0013"/>
    <w:rsid w:val="000C02AD"/>
    <w:rsid w:val="000C049A"/>
    <w:rsid w:val="000C22BE"/>
    <w:rsid w:val="000C22C0"/>
    <w:rsid w:val="000C28CC"/>
    <w:rsid w:val="000C2CBC"/>
    <w:rsid w:val="000C3DAB"/>
    <w:rsid w:val="000C4611"/>
    <w:rsid w:val="000C4A10"/>
    <w:rsid w:val="000C4AC9"/>
    <w:rsid w:val="000C5799"/>
    <w:rsid w:val="000C5FDE"/>
    <w:rsid w:val="000C61FA"/>
    <w:rsid w:val="000C7281"/>
    <w:rsid w:val="000C7D11"/>
    <w:rsid w:val="000D14D9"/>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D47"/>
    <w:rsid w:val="000E3B31"/>
    <w:rsid w:val="000E3C6D"/>
    <w:rsid w:val="000E504D"/>
    <w:rsid w:val="000E5EAB"/>
    <w:rsid w:val="000E7FD4"/>
    <w:rsid w:val="000F1450"/>
    <w:rsid w:val="000F1786"/>
    <w:rsid w:val="000F2133"/>
    <w:rsid w:val="000F28E9"/>
    <w:rsid w:val="000F2975"/>
    <w:rsid w:val="000F2D05"/>
    <w:rsid w:val="000F2F92"/>
    <w:rsid w:val="000F2FD9"/>
    <w:rsid w:val="000F4B18"/>
    <w:rsid w:val="000F6986"/>
    <w:rsid w:val="000F6D85"/>
    <w:rsid w:val="000F7B66"/>
    <w:rsid w:val="000F7CEE"/>
    <w:rsid w:val="000F7D84"/>
    <w:rsid w:val="001005A8"/>
    <w:rsid w:val="00101707"/>
    <w:rsid w:val="00102D37"/>
    <w:rsid w:val="001041ED"/>
    <w:rsid w:val="00104AAD"/>
    <w:rsid w:val="001104BA"/>
    <w:rsid w:val="001125A2"/>
    <w:rsid w:val="00112676"/>
    <w:rsid w:val="00112A5F"/>
    <w:rsid w:val="0011373A"/>
    <w:rsid w:val="00113A1F"/>
    <w:rsid w:val="00114511"/>
    <w:rsid w:val="001156BA"/>
    <w:rsid w:val="00115911"/>
    <w:rsid w:val="0011691F"/>
    <w:rsid w:val="00116BAB"/>
    <w:rsid w:val="00117E95"/>
    <w:rsid w:val="001203BE"/>
    <w:rsid w:val="00121782"/>
    <w:rsid w:val="00122F63"/>
    <w:rsid w:val="00123E6B"/>
    <w:rsid w:val="00125476"/>
    <w:rsid w:val="00125B0B"/>
    <w:rsid w:val="00125F9A"/>
    <w:rsid w:val="00126026"/>
    <w:rsid w:val="00126198"/>
    <w:rsid w:val="001263AF"/>
    <w:rsid w:val="00126A9F"/>
    <w:rsid w:val="00130032"/>
    <w:rsid w:val="00130A0C"/>
    <w:rsid w:val="00130EF3"/>
    <w:rsid w:val="001316FC"/>
    <w:rsid w:val="0013322B"/>
    <w:rsid w:val="0013393F"/>
    <w:rsid w:val="00133EA9"/>
    <w:rsid w:val="00133FBC"/>
    <w:rsid w:val="0013476D"/>
    <w:rsid w:val="001351D5"/>
    <w:rsid w:val="00135D01"/>
    <w:rsid w:val="0013735A"/>
    <w:rsid w:val="00137B22"/>
    <w:rsid w:val="00137FE3"/>
    <w:rsid w:val="00140FED"/>
    <w:rsid w:val="00141D7A"/>
    <w:rsid w:val="001420D1"/>
    <w:rsid w:val="001420FE"/>
    <w:rsid w:val="00142621"/>
    <w:rsid w:val="00142C16"/>
    <w:rsid w:val="001444A2"/>
    <w:rsid w:val="00144987"/>
    <w:rsid w:val="00151F92"/>
    <w:rsid w:val="0015258E"/>
    <w:rsid w:val="00152ECC"/>
    <w:rsid w:val="001532E4"/>
    <w:rsid w:val="00155D65"/>
    <w:rsid w:val="00156851"/>
    <w:rsid w:val="0015699C"/>
    <w:rsid w:val="00156A48"/>
    <w:rsid w:val="00156C90"/>
    <w:rsid w:val="00156DDB"/>
    <w:rsid w:val="00157614"/>
    <w:rsid w:val="001576E2"/>
    <w:rsid w:val="00157AFE"/>
    <w:rsid w:val="00157C0F"/>
    <w:rsid w:val="001612C0"/>
    <w:rsid w:val="001614AF"/>
    <w:rsid w:val="0016352E"/>
    <w:rsid w:val="001665B9"/>
    <w:rsid w:val="001667C0"/>
    <w:rsid w:val="00166C60"/>
    <w:rsid w:val="00171E89"/>
    <w:rsid w:val="001737F7"/>
    <w:rsid w:val="001744E7"/>
    <w:rsid w:val="0017459B"/>
    <w:rsid w:val="00174E4D"/>
    <w:rsid w:val="00176287"/>
    <w:rsid w:val="00176375"/>
    <w:rsid w:val="001766A9"/>
    <w:rsid w:val="00180774"/>
    <w:rsid w:val="00181339"/>
    <w:rsid w:val="00181680"/>
    <w:rsid w:val="00181848"/>
    <w:rsid w:val="00183A7D"/>
    <w:rsid w:val="001847D6"/>
    <w:rsid w:val="00184DD0"/>
    <w:rsid w:val="0018776F"/>
    <w:rsid w:val="00190FE2"/>
    <w:rsid w:val="00192052"/>
    <w:rsid w:val="0019284D"/>
    <w:rsid w:val="00194053"/>
    <w:rsid w:val="00194EDA"/>
    <w:rsid w:val="001956E2"/>
    <w:rsid w:val="00195F77"/>
    <w:rsid w:val="00196098"/>
    <w:rsid w:val="001A0B42"/>
    <w:rsid w:val="001A0CC1"/>
    <w:rsid w:val="001A204B"/>
    <w:rsid w:val="001A2A67"/>
    <w:rsid w:val="001A2B80"/>
    <w:rsid w:val="001A3198"/>
    <w:rsid w:val="001A31E4"/>
    <w:rsid w:val="001A330B"/>
    <w:rsid w:val="001A37F4"/>
    <w:rsid w:val="001A4C6F"/>
    <w:rsid w:val="001A58D8"/>
    <w:rsid w:val="001A5C45"/>
    <w:rsid w:val="001A60A2"/>
    <w:rsid w:val="001A75FE"/>
    <w:rsid w:val="001A79D3"/>
    <w:rsid w:val="001A7BF5"/>
    <w:rsid w:val="001B1669"/>
    <w:rsid w:val="001B19FF"/>
    <w:rsid w:val="001B2580"/>
    <w:rsid w:val="001B2931"/>
    <w:rsid w:val="001B2A46"/>
    <w:rsid w:val="001B3729"/>
    <w:rsid w:val="001B3BEF"/>
    <w:rsid w:val="001B3E8E"/>
    <w:rsid w:val="001B4316"/>
    <w:rsid w:val="001B4F90"/>
    <w:rsid w:val="001B5333"/>
    <w:rsid w:val="001B5426"/>
    <w:rsid w:val="001B6823"/>
    <w:rsid w:val="001B7F4F"/>
    <w:rsid w:val="001C0575"/>
    <w:rsid w:val="001C08D8"/>
    <w:rsid w:val="001C0A66"/>
    <w:rsid w:val="001C1568"/>
    <w:rsid w:val="001C1903"/>
    <w:rsid w:val="001C23B5"/>
    <w:rsid w:val="001C2950"/>
    <w:rsid w:val="001C437E"/>
    <w:rsid w:val="001C5C51"/>
    <w:rsid w:val="001C6A2C"/>
    <w:rsid w:val="001C6E55"/>
    <w:rsid w:val="001C71E3"/>
    <w:rsid w:val="001C72D6"/>
    <w:rsid w:val="001C7DC4"/>
    <w:rsid w:val="001D03C7"/>
    <w:rsid w:val="001D0FAF"/>
    <w:rsid w:val="001D1478"/>
    <w:rsid w:val="001D1E52"/>
    <w:rsid w:val="001D25D3"/>
    <w:rsid w:val="001D35B4"/>
    <w:rsid w:val="001D5190"/>
    <w:rsid w:val="001D56C3"/>
    <w:rsid w:val="001D73B6"/>
    <w:rsid w:val="001D74CE"/>
    <w:rsid w:val="001D7622"/>
    <w:rsid w:val="001D79D0"/>
    <w:rsid w:val="001E0BF1"/>
    <w:rsid w:val="001E1E28"/>
    <w:rsid w:val="001E2620"/>
    <w:rsid w:val="001E3D51"/>
    <w:rsid w:val="001E4147"/>
    <w:rsid w:val="001E4CBA"/>
    <w:rsid w:val="001E5B5B"/>
    <w:rsid w:val="001E5CBA"/>
    <w:rsid w:val="001E7019"/>
    <w:rsid w:val="001E71F9"/>
    <w:rsid w:val="001E747D"/>
    <w:rsid w:val="001E76DA"/>
    <w:rsid w:val="001E7C3D"/>
    <w:rsid w:val="001E7F81"/>
    <w:rsid w:val="001F00DF"/>
    <w:rsid w:val="001F182A"/>
    <w:rsid w:val="001F1E8F"/>
    <w:rsid w:val="001F553C"/>
    <w:rsid w:val="001F64D1"/>
    <w:rsid w:val="001F6BB0"/>
    <w:rsid w:val="00200260"/>
    <w:rsid w:val="002002CE"/>
    <w:rsid w:val="0020066F"/>
    <w:rsid w:val="0020107A"/>
    <w:rsid w:val="0020135D"/>
    <w:rsid w:val="00201FED"/>
    <w:rsid w:val="00202061"/>
    <w:rsid w:val="00202EAD"/>
    <w:rsid w:val="00203A6F"/>
    <w:rsid w:val="00206C2E"/>
    <w:rsid w:val="0021001C"/>
    <w:rsid w:val="00211194"/>
    <w:rsid w:val="00211816"/>
    <w:rsid w:val="002139A2"/>
    <w:rsid w:val="00217566"/>
    <w:rsid w:val="00217B1B"/>
    <w:rsid w:val="00220D43"/>
    <w:rsid w:val="00221D51"/>
    <w:rsid w:val="00223BB9"/>
    <w:rsid w:val="00224F04"/>
    <w:rsid w:val="00225D42"/>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A81"/>
    <w:rsid w:val="00236F05"/>
    <w:rsid w:val="002371E3"/>
    <w:rsid w:val="002401FC"/>
    <w:rsid w:val="002415A6"/>
    <w:rsid w:val="00242061"/>
    <w:rsid w:val="00243011"/>
    <w:rsid w:val="002435FC"/>
    <w:rsid w:val="002442D9"/>
    <w:rsid w:val="00244BA7"/>
    <w:rsid w:val="00245351"/>
    <w:rsid w:val="00245432"/>
    <w:rsid w:val="0024593F"/>
    <w:rsid w:val="00246C03"/>
    <w:rsid w:val="002476B6"/>
    <w:rsid w:val="00247E76"/>
    <w:rsid w:val="00247E8F"/>
    <w:rsid w:val="002510D5"/>
    <w:rsid w:val="00252BB0"/>
    <w:rsid w:val="00253242"/>
    <w:rsid w:val="00254590"/>
    <w:rsid w:val="002549FC"/>
    <w:rsid w:val="00254B75"/>
    <w:rsid w:val="002551C8"/>
    <w:rsid w:val="00257D8A"/>
    <w:rsid w:val="00261488"/>
    <w:rsid w:val="002621BD"/>
    <w:rsid w:val="0026222C"/>
    <w:rsid w:val="00262359"/>
    <w:rsid w:val="0026283B"/>
    <w:rsid w:val="002633D9"/>
    <w:rsid w:val="0026340E"/>
    <w:rsid w:val="0026362E"/>
    <w:rsid w:val="002639CA"/>
    <w:rsid w:val="002642F2"/>
    <w:rsid w:val="002649A7"/>
    <w:rsid w:val="00264FC3"/>
    <w:rsid w:val="002663B7"/>
    <w:rsid w:val="002666C5"/>
    <w:rsid w:val="00266B83"/>
    <w:rsid w:val="00266C8A"/>
    <w:rsid w:val="00267E01"/>
    <w:rsid w:val="00270EAC"/>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95E"/>
    <w:rsid w:val="00281B57"/>
    <w:rsid w:val="00281D9E"/>
    <w:rsid w:val="00282593"/>
    <w:rsid w:val="002830F6"/>
    <w:rsid w:val="002836D4"/>
    <w:rsid w:val="00283F64"/>
    <w:rsid w:val="00284CE8"/>
    <w:rsid w:val="00287326"/>
    <w:rsid w:val="00287723"/>
    <w:rsid w:val="0029043B"/>
    <w:rsid w:val="00290A06"/>
    <w:rsid w:val="00290CF7"/>
    <w:rsid w:val="00291703"/>
    <w:rsid w:val="00291766"/>
    <w:rsid w:val="002920C1"/>
    <w:rsid w:val="0029211E"/>
    <w:rsid w:val="00293198"/>
    <w:rsid w:val="0029450E"/>
    <w:rsid w:val="00294C0F"/>
    <w:rsid w:val="0029551E"/>
    <w:rsid w:val="00297A00"/>
    <w:rsid w:val="002A03ED"/>
    <w:rsid w:val="002A040F"/>
    <w:rsid w:val="002A190F"/>
    <w:rsid w:val="002A2129"/>
    <w:rsid w:val="002A2FA2"/>
    <w:rsid w:val="002A33F4"/>
    <w:rsid w:val="002A3796"/>
    <w:rsid w:val="002A3B3F"/>
    <w:rsid w:val="002A5A02"/>
    <w:rsid w:val="002A5F01"/>
    <w:rsid w:val="002A5FBE"/>
    <w:rsid w:val="002A6CE6"/>
    <w:rsid w:val="002A7DBA"/>
    <w:rsid w:val="002B059A"/>
    <w:rsid w:val="002B1293"/>
    <w:rsid w:val="002B1AD6"/>
    <w:rsid w:val="002B2414"/>
    <w:rsid w:val="002B2A44"/>
    <w:rsid w:val="002B2B16"/>
    <w:rsid w:val="002B32DD"/>
    <w:rsid w:val="002B3968"/>
    <w:rsid w:val="002B4001"/>
    <w:rsid w:val="002B409B"/>
    <w:rsid w:val="002B4392"/>
    <w:rsid w:val="002B56C3"/>
    <w:rsid w:val="002B5AD5"/>
    <w:rsid w:val="002B5C5A"/>
    <w:rsid w:val="002B6038"/>
    <w:rsid w:val="002B6422"/>
    <w:rsid w:val="002B71BA"/>
    <w:rsid w:val="002B7B4D"/>
    <w:rsid w:val="002C15D5"/>
    <w:rsid w:val="002C208E"/>
    <w:rsid w:val="002C2F67"/>
    <w:rsid w:val="002C45B6"/>
    <w:rsid w:val="002C4633"/>
    <w:rsid w:val="002C506F"/>
    <w:rsid w:val="002C5912"/>
    <w:rsid w:val="002C662D"/>
    <w:rsid w:val="002C78D8"/>
    <w:rsid w:val="002C7B61"/>
    <w:rsid w:val="002C7B6D"/>
    <w:rsid w:val="002C7C2B"/>
    <w:rsid w:val="002D0B7C"/>
    <w:rsid w:val="002D0D1A"/>
    <w:rsid w:val="002D155C"/>
    <w:rsid w:val="002D1637"/>
    <w:rsid w:val="002D1688"/>
    <w:rsid w:val="002D1819"/>
    <w:rsid w:val="002D1B69"/>
    <w:rsid w:val="002D1BA5"/>
    <w:rsid w:val="002D3043"/>
    <w:rsid w:val="002D35F5"/>
    <w:rsid w:val="002D47FE"/>
    <w:rsid w:val="002D532D"/>
    <w:rsid w:val="002D5D7D"/>
    <w:rsid w:val="002D739A"/>
    <w:rsid w:val="002D73BD"/>
    <w:rsid w:val="002D76AB"/>
    <w:rsid w:val="002D786D"/>
    <w:rsid w:val="002E0188"/>
    <w:rsid w:val="002E0209"/>
    <w:rsid w:val="002E0C55"/>
    <w:rsid w:val="002E0CBF"/>
    <w:rsid w:val="002E1545"/>
    <w:rsid w:val="002E1910"/>
    <w:rsid w:val="002E2433"/>
    <w:rsid w:val="002E28BA"/>
    <w:rsid w:val="002E361C"/>
    <w:rsid w:val="002E3943"/>
    <w:rsid w:val="002E3F7C"/>
    <w:rsid w:val="002E4254"/>
    <w:rsid w:val="002E4F13"/>
    <w:rsid w:val="002E4FB7"/>
    <w:rsid w:val="002E63EE"/>
    <w:rsid w:val="002E6712"/>
    <w:rsid w:val="002E6FDB"/>
    <w:rsid w:val="002F104B"/>
    <w:rsid w:val="002F1C09"/>
    <w:rsid w:val="002F1E70"/>
    <w:rsid w:val="002F3839"/>
    <w:rsid w:val="002F3866"/>
    <w:rsid w:val="002F4613"/>
    <w:rsid w:val="002F4696"/>
    <w:rsid w:val="002F5678"/>
    <w:rsid w:val="002F5F3B"/>
    <w:rsid w:val="002F693C"/>
    <w:rsid w:val="002F69BB"/>
    <w:rsid w:val="002F6FAD"/>
    <w:rsid w:val="002F797B"/>
    <w:rsid w:val="002F7C6D"/>
    <w:rsid w:val="003020F4"/>
    <w:rsid w:val="003023A1"/>
    <w:rsid w:val="003025C7"/>
    <w:rsid w:val="0030360F"/>
    <w:rsid w:val="00303790"/>
    <w:rsid w:val="00303984"/>
    <w:rsid w:val="00304161"/>
    <w:rsid w:val="00304643"/>
    <w:rsid w:val="003047D2"/>
    <w:rsid w:val="00304A73"/>
    <w:rsid w:val="00304DFD"/>
    <w:rsid w:val="003057F7"/>
    <w:rsid w:val="003063A5"/>
    <w:rsid w:val="00306864"/>
    <w:rsid w:val="003069F9"/>
    <w:rsid w:val="00310208"/>
    <w:rsid w:val="0031058F"/>
    <w:rsid w:val="0031089E"/>
    <w:rsid w:val="00310D69"/>
    <w:rsid w:val="00311663"/>
    <w:rsid w:val="00311668"/>
    <w:rsid w:val="003147B7"/>
    <w:rsid w:val="00314844"/>
    <w:rsid w:val="003149A9"/>
    <w:rsid w:val="0031528D"/>
    <w:rsid w:val="00317E59"/>
    <w:rsid w:val="00320465"/>
    <w:rsid w:val="00320B02"/>
    <w:rsid w:val="00322065"/>
    <w:rsid w:val="00322440"/>
    <w:rsid w:val="00322496"/>
    <w:rsid w:val="0032276A"/>
    <w:rsid w:val="00322AE7"/>
    <w:rsid w:val="00322EEA"/>
    <w:rsid w:val="003250C3"/>
    <w:rsid w:val="00325246"/>
    <w:rsid w:val="00325869"/>
    <w:rsid w:val="00325D35"/>
    <w:rsid w:val="00326448"/>
    <w:rsid w:val="0032650F"/>
    <w:rsid w:val="0032662E"/>
    <w:rsid w:val="00326854"/>
    <w:rsid w:val="003275E4"/>
    <w:rsid w:val="00330069"/>
    <w:rsid w:val="00330144"/>
    <w:rsid w:val="003304A1"/>
    <w:rsid w:val="00331864"/>
    <w:rsid w:val="0033244F"/>
    <w:rsid w:val="00332EF9"/>
    <w:rsid w:val="00335707"/>
    <w:rsid w:val="00337743"/>
    <w:rsid w:val="00337E16"/>
    <w:rsid w:val="00340E66"/>
    <w:rsid w:val="00340F10"/>
    <w:rsid w:val="00341D56"/>
    <w:rsid w:val="00342A44"/>
    <w:rsid w:val="003436D7"/>
    <w:rsid w:val="00343FC9"/>
    <w:rsid w:val="00344520"/>
    <w:rsid w:val="0034481B"/>
    <w:rsid w:val="0034486B"/>
    <w:rsid w:val="003449A9"/>
    <w:rsid w:val="00344D92"/>
    <w:rsid w:val="003455A2"/>
    <w:rsid w:val="00345760"/>
    <w:rsid w:val="00345BD4"/>
    <w:rsid w:val="0034675B"/>
    <w:rsid w:val="0034796E"/>
    <w:rsid w:val="00347B56"/>
    <w:rsid w:val="00347E1A"/>
    <w:rsid w:val="003506E7"/>
    <w:rsid w:val="00350BE7"/>
    <w:rsid w:val="00350E87"/>
    <w:rsid w:val="00353B7C"/>
    <w:rsid w:val="00353BE4"/>
    <w:rsid w:val="0035402B"/>
    <w:rsid w:val="0035438E"/>
    <w:rsid w:val="00355828"/>
    <w:rsid w:val="00356418"/>
    <w:rsid w:val="00356D90"/>
    <w:rsid w:val="00356E38"/>
    <w:rsid w:val="003576DA"/>
    <w:rsid w:val="00357CBE"/>
    <w:rsid w:val="003609A7"/>
    <w:rsid w:val="00360C13"/>
    <w:rsid w:val="00361487"/>
    <w:rsid w:val="00361661"/>
    <w:rsid w:val="00362905"/>
    <w:rsid w:val="00363230"/>
    <w:rsid w:val="00364D53"/>
    <w:rsid w:val="003654A7"/>
    <w:rsid w:val="0036772F"/>
    <w:rsid w:val="00370BC7"/>
    <w:rsid w:val="003717C6"/>
    <w:rsid w:val="003719DE"/>
    <w:rsid w:val="00371A33"/>
    <w:rsid w:val="00372E83"/>
    <w:rsid w:val="00374B8C"/>
    <w:rsid w:val="00375080"/>
    <w:rsid w:val="00376C51"/>
    <w:rsid w:val="00377407"/>
    <w:rsid w:val="003775AA"/>
    <w:rsid w:val="00380026"/>
    <w:rsid w:val="0038073F"/>
    <w:rsid w:val="003808DB"/>
    <w:rsid w:val="00380993"/>
    <w:rsid w:val="00381780"/>
    <w:rsid w:val="00381FDA"/>
    <w:rsid w:val="003824E4"/>
    <w:rsid w:val="00382610"/>
    <w:rsid w:val="00383CFE"/>
    <w:rsid w:val="0038430C"/>
    <w:rsid w:val="0038475D"/>
    <w:rsid w:val="00384BEF"/>
    <w:rsid w:val="003853FF"/>
    <w:rsid w:val="00385609"/>
    <w:rsid w:val="003856A4"/>
    <w:rsid w:val="00385DAB"/>
    <w:rsid w:val="00385DE6"/>
    <w:rsid w:val="0038696B"/>
    <w:rsid w:val="00387553"/>
    <w:rsid w:val="00387739"/>
    <w:rsid w:val="00387CA6"/>
    <w:rsid w:val="00387CBD"/>
    <w:rsid w:val="003900C7"/>
    <w:rsid w:val="00390154"/>
    <w:rsid w:val="0039039F"/>
    <w:rsid w:val="00390480"/>
    <w:rsid w:val="00390ED6"/>
    <w:rsid w:val="00391B5C"/>
    <w:rsid w:val="00392509"/>
    <w:rsid w:val="003925E5"/>
    <w:rsid w:val="00392CD3"/>
    <w:rsid w:val="00393FCC"/>
    <w:rsid w:val="003943E5"/>
    <w:rsid w:val="00394793"/>
    <w:rsid w:val="00394D47"/>
    <w:rsid w:val="00397D8E"/>
    <w:rsid w:val="003A105C"/>
    <w:rsid w:val="003A2222"/>
    <w:rsid w:val="003A3262"/>
    <w:rsid w:val="003A39F5"/>
    <w:rsid w:val="003A434B"/>
    <w:rsid w:val="003A5479"/>
    <w:rsid w:val="003A5C1B"/>
    <w:rsid w:val="003A6CF4"/>
    <w:rsid w:val="003A7C7F"/>
    <w:rsid w:val="003B023B"/>
    <w:rsid w:val="003B0304"/>
    <w:rsid w:val="003B043F"/>
    <w:rsid w:val="003B155C"/>
    <w:rsid w:val="003B1E19"/>
    <w:rsid w:val="003B2E10"/>
    <w:rsid w:val="003B33CE"/>
    <w:rsid w:val="003B343D"/>
    <w:rsid w:val="003B391B"/>
    <w:rsid w:val="003B416D"/>
    <w:rsid w:val="003B43C3"/>
    <w:rsid w:val="003B4936"/>
    <w:rsid w:val="003B4F8A"/>
    <w:rsid w:val="003B56D7"/>
    <w:rsid w:val="003B5882"/>
    <w:rsid w:val="003B6508"/>
    <w:rsid w:val="003B7CC1"/>
    <w:rsid w:val="003C1911"/>
    <w:rsid w:val="003C1B4F"/>
    <w:rsid w:val="003C1CD8"/>
    <w:rsid w:val="003C2288"/>
    <w:rsid w:val="003C331C"/>
    <w:rsid w:val="003C3336"/>
    <w:rsid w:val="003C39E6"/>
    <w:rsid w:val="003C3A11"/>
    <w:rsid w:val="003C526E"/>
    <w:rsid w:val="003C6DEB"/>
    <w:rsid w:val="003C6EFC"/>
    <w:rsid w:val="003C73CA"/>
    <w:rsid w:val="003C748D"/>
    <w:rsid w:val="003C7585"/>
    <w:rsid w:val="003C7A5C"/>
    <w:rsid w:val="003D0153"/>
    <w:rsid w:val="003D0AAF"/>
    <w:rsid w:val="003D201E"/>
    <w:rsid w:val="003D3574"/>
    <w:rsid w:val="003D4149"/>
    <w:rsid w:val="003D660C"/>
    <w:rsid w:val="003D73BD"/>
    <w:rsid w:val="003D7CCE"/>
    <w:rsid w:val="003E0864"/>
    <w:rsid w:val="003E0BAC"/>
    <w:rsid w:val="003E0D8C"/>
    <w:rsid w:val="003E154A"/>
    <w:rsid w:val="003E15A3"/>
    <w:rsid w:val="003E1B68"/>
    <w:rsid w:val="003E21AD"/>
    <w:rsid w:val="003E2601"/>
    <w:rsid w:val="003E65D7"/>
    <w:rsid w:val="003E7483"/>
    <w:rsid w:val="003F0515"/>
    <w:rsid w:val="003F14AB"/>
    <w:rsid w:val="003F163F"/>
    <w:rsid w:val="003F1ACE"/>
    <w:rsid w:val="003F1CE1"/>
    <w:rsid w:val="003F2D7E"/>
    <w:rsid w:val="003F413A"/>
    <w:rsid w:val="003F5154"/>
    <w:rsid w:val="003F5249"/>
    <w:rsid w:val="003F54FB"/>
    <w:rsid w:val="003F5D3A"/>
    <w:rsid w:val="003F6572"/>
    <w:rsid w:val="003F6BD4"/>
    <w:rsid w:val="003F6C4D"/>
    <w:rsid w:val="003F6D1F"/>
    <w:rsid w:val="00400C90"/>
    <w:rsid w:val="00400F7F"/>
    <w:rsid w:val="004023F7"/>
    <w:rsid w:val="0040363C"/>
    <w:rsid w:val="004036AF"/>
    <w:rsid w:val="00403A0F"/>
    <w:rsid w:val="0040424B"/>
    <w:rsid w:val="004048E5"/>
    <w:rsid w:val="00404D1E"/>
    <w:rsid w:val="00405316"/>
    <w:rsid w:val="00406623"/>
    <w:rsid w:val="0041153E"/>
    <w:rsid w:val="00412488"/>
    <w:rsid w:val="00412B7F"/>
    <w:rsid w:val="00412CEF"/>
    <w:rsid w:val="004141A8"/>
    <w:rsid w:val="00414E59"/>
    <w:rsid w:val="004169D8"/>
    <w:rsid w:val="00417048"/>
    <w:rsid w:val="00420098"/>
    <w:rsid w:val="004201AF"/>
    <w:rsid w:val="00420DF0"/>
    <w:rsid w:val="004217F1"/>
    <w:rsid w:val="00422BF5"/>
    <w:rsid w:val="00425FF9"/>
    <w:rsid w:val="00426328"/>
    <w:rsid w:val="004266DC"/>
    <w:rsid w:val="00427B3B"/>
    <w:rsid w:val="00427EBF"/>
    <w:rsid w:val="0043072D"/>
    <w:rsid w:val="00431085"/>
    <w:rsid w:val="004313B0"/>
    <w:rsid w:val="00431AA2"/>
    <w:rsid w:val="00432278"/>
    <w:rsid w:val="00434EDF"/>
    <w:rsid w:val="00435269"/>
    <w:rsid w:val="004362AB"/>
    <w:rsid w:val="004367E0"/>
    <w:rsid w:val="0043763C"/>
    <w:rsid w:val="004404CD"/>
    <w:rsid w:val="00440C8D"/>
    <w:rsid w:val="00440FDD"/>
    <w:rsid w:val="00441101"/>
    <w:rsid w:val="004415FB"/>
    <w:rsid w:val="00441CE3"/>
    <w:rsid w:val="00441D69"/>
    <w:rsid w:val="004421F5"/>
    <w:rsid w:val="004425E2"/>
    <w:rsid w:val="0044284D"/>
    <w:rsid w:val="00443050"/>
    <w:rsid w:val="0044434A"/>
    <w:rsid w:val="0044437F"/>
    <w:rsid w:val="004446ED"/>
    <w:rsid w:val="00445A25"/>
    <w:rsid w:val="00445AC4"/>
    <w:rsid w:val="00445E76"/>
    <w:rsid w:val="0044620A"/>
    <w:rsid w:val="00446606"/>
    <w:rsid w:val="004471BC"/>
    <w:rsid w:val="00447217"/>
    <w:rsid w:val="00447B50"/>
    <w:rsid w:val="00450515"/>
    <w:rsid w:val="00450AD8"/>
    <w:rsid w:val="00451471"/>
    <w:rsid w:val="00452756"/>
    <w:rsid w:val="00452C60"/>
    <w:rsid w:val="00453704"/>
    <w:rsid w:val="00453FC2"/>
    <w:rsid w:val="00454D9A"/>
    <w:rsid w:val="0045665B"/>
    <w:rsid w:val="004573D3"/>
    <w:rsid w:val="00457F93"/>
    <w:rsid w:val="00460682"/>
    <w:rsid w:val="00460E6C"/>
    <w:rsid w:val="004617A9"/>
    <w:rsid w:val="00461B70"/>
    <w:rsid w:val="0046258E"/>
    <w:rsid w:val="00462DCA"/>
    <w:rsid w:val="0046384E"/>
    <w:rsid w:val="00464CF4"/>
    <w:rsid w:val="00466E73"/>
    <w:rsid w:val="0046706B"/>
    <w:rsid w:val="00467815"/>
    <w:rsid w:val="00471284"/>
    <w:rsid w:val="00472FB0"/>
    <w:rsid w:val="00473696"/>
    <w:rsid w:val="00473721"/>
    <w:rsid w:val="00473A4B"/>
    <w:rsid w:val="0047491E"/>
    <w:rsid w:val="00474A6A"/>
    <w:rsid w:val="0047658E"/>
    <w:rsid w:val="00477716"/>
    <w:rsid w:val="00477DE9"/>
    <w:rsid w:val="0048285F"/>
    <w:rsid w:val="00482D16"/>
    <w:rsid w:val="00482E4C"/>
    <w:rsid w:val="00482E4F"/>
    <w:rsid w:val="004831CC"/>
    <w:rsid w:val="004836D8"/>
    <w:rsid w:val="004837C6"/>
    <w:rsid w:val="00483998"/>
    <w:rsid w:val="00483FC1"/>
    <w:rsid w:val="00484250"/>
    <w:rsid w:val="00484E4C"/>
    <w:rsid w:val="00485154"/>
    <w:rsid w:val="00486ABE"/>
    <w:rsid w:val="00486F3A"/>
    <w:rsid w:val="004873C2"/>
    <w:rsid w:val="004878ED"/>
    <w:rsid w:val="00487B7C"/>
    <w:rsid w:val="0049004B"/>
    <w:rsid w:val="00490C52"/>
    <w:rsid w:val="00491039"/>
    <w:rsid w:val="00491438"/>
    <w:rsid w:val="00491B1C"/>
    <w:rsid w:val="004923BD"/>
    <w:rsid w:val="00492E3F"/>
    <w:rsid w:val="00493F5C"/>
    <w:rsid w:val="0049412A"/>
    <w:rsid w:val="004945E3"/>
    <w:rsid w:val="00494EB3"/>
    <w:rsid w:val="00495DB3"/>
    <w:rsid w:val="00495F43"/>
    <w:rsid w:val="004A171B"/>
    <w:rsid w:val="004A2385"/>
    <w:rsid w:val="004A2C49"/>
    <w:rsid w:val="004A2D91"/>
    <w:rsid w:val="004A3B95"/>
    <w:rsid w:val="004A69D0"/>
    <w:rsid w:val="004A7912"/>
    <w:rsid w:val="004B0194"/>
    <w:rsid w:val="004B1113"/>
    <w:rsid w:val="004B176A"/>
    <w:rsid w:val="004B1DC3"/>
    <w:rsid w:val="004B2835"/>
    <w:rsid w:val="004B28C5"/>
    <w:rsid w:val="004B326B"/>
    <w:rsid w:val="004B36AE"/>
    <w:rsid w:val="004B4672"/>
    <w:rsid w:val="004B58F5"/>
    <w:rsid w:val="004B67A4"/>
    <w:rsid w:val="004C289A"/>
    <w:rsid w:val="004C3427"/>
    <w:rsid w:val="004C61A3"/>
    <w:rsid w:val="004C6E03"/>
    <w:rsid w:val="004C780C"/>
    <w:rsid w:val="004D03BA"/>
    <w:rsid w:val="004D118A"/>
    <w:rsid w:val="004D3100"/>
    <w:rsid w:val="004D3441"/>
    <w:rsid w:val="004D349D"/>
    <w:rsid w:val="004D3E0B"/>
    <w:rsid w:val="004D3E2D"/>
    <w:rsid w:val="004D42B9"/>
    <w:rsid w:val="004D45C8"/>
    <w:rsid w:val="004D6A38"/>
    <w:rsid w:val="004D6C65"/>
    <w:rsid w:val="004D708E"/>
    <w:rsid w:val="004D760C"/>
    <w:rsid w:val="004D7C91"/>
    <w:rsid w:val="004E01D4"/>
    <w:rsid w:val="004E1E98"/>
    <w:rsid w:val="004E26E4"/>
    <w:rsid w:val="004E357A"/>
    <w:rsid w:val="004E3800"/>
    <w:rsid w:val="004E3861"/>
    <w:rsid w:val="004E5000"/>
    <w:rsid w:val="004E5599"/>
    <w:rsid w:val="004E586B"/>
    <w:rsid w:val="004E65EB"/>
    <w:rsid w:val="004E7114"/>
    <w:rsid w:val="004E7341"/>
    <w:rsid w:val="004F0244"/>
    <w:rsid w:val="004F09A1"/>
    <w:rsid w:val="004F0A27"/>
    <w:rsid w:val="004F282C"/>
    <w:rsid w:val="004F379F"/>
    <w:rsid w:val="004F3D4A"/>
    <w:rsid w:val="004F3E0F"/>
    <w:rsid w:val="004F401E"/>
    <w:rsid w:val="004F58BE"/>
    <w:rsid w:val="004F7174"/>
    <w:rsid w:val="004F7AF1"/>
    <w:rsid w:val="004F7E98"/>
    <w:rsid w:val="00500DD0"/>
    <w:rsid w:val="005010BA"/>
    <w:rsid w:val="005012AA"/>
    <w:rsid w:val="005012CF"/>
    <w:rsid w:val="005013A1"/>
    <w:rsid w:val="00502352"/>
    <w:rsid w:val="0050278D"/>
    <w:rsid w:val="00502C10"/>
    <w:rsid w:val="0050355D"/>
    <w:rsid w:val="00504655"/>
    <w:rsid w:val="00504A31"/>
    <w:rsid w:val="00504F8B"/>
    <w:rsid w:val="005055B5"/>
    <w:rsid w:val="005063A0"/>
    <w:rsid w:val="00506619"/>
    <w:rsid w:val="00507E53"/>
    <w:rsid w:val="00510257"/>
    <w:rsid w:val="00510D1D"/>
    <w:rsid w:val="00510E99"/>
    <w:rsid w:val="00511033"/>
    <w:rsid w:val="00511BBF"/>
    <w:rsid w:val="00511BDC"/>
    <w:rsid w:val="00512E62"/>
    <w:rsid w:val="0051373C"/>
    <w:rsid w:val="00513EBA"/>
    <w:rsid w:val="00513F43"/>
    <w:rsid w:val="00515E7B"/>
    <w:rsid w:val="005165B0"/>
    <w:rsid w:val="00516F04"/>
    <w:rsid w:val="00517005"/>
    <w:rsid w:val="005174C6"/>
    <w:rsid w:val="00517868"/>
    <w:rsid w:val="00520894"/>
    <w:rsid w:val="00520BC0"/>
    <w:rsid w:val="005217F8"/>
    <w:rsid w:val="005219E0"/>
    <w:rsid w:val="0052267A"/>
    <w:rsid w:val="005226D4"/>
    <w:rsid w:val="005239DD"/>
    <w:rsid w:val="00523CA1"/>
    <w:rsid w:val="00524A9C"/>
    <w:rsid w:val="00525956"/>
    <w:rsid w:val="005266F4"/>
    <w:rsid w:val="0052675C"/>
    <w:rsid w:val="00526931"/>
    <w:rsid w:val="00526D46"/>
    <w:rsid w:val="005276D1"/>
    <w:rsid w:val="005303B5"/>
    <w:rsid w:val="00530D4E"/>
    <w:rsid w:val="00531143"/>
    <w:rsid w:val="0053186B"/>
    <w:rsid w:val="00532A23"/>
    <w:rsid w:val="005331E8"/>
    <w:rsid w:val="0053337C"/>
    <w:rsid w:val="005340EA"/>
    <w:rsid w:val="00534A44"/>
    <w:rsid w:val="00535F4E"/>
    <w:rsid w:val="00536332"/>
    <w:rsid w:val="0053655B"/>
    <w:rsid w:val="005373DF"/>
    <w:rsid w:val="00540D81"/>
    <w:rsid w:val="00542821"/>
    <w:rsid w:val="00543514"/>
    <w:rsid w:val="005438A1"/>
    <w:rsid w:val="00543B81"/>
    <w:rsid w:val="00543C00"/>
    <w:rsid w:val="00543EB8"/>
    <w:rsid w:val="00543F41"/>
    <w:rsid w:val="00544550"/>
    <w:rsid w:val="0054482E"/>
    <w:rsid w:val="00544FCF"/>
    <w:rsid w:val="005450DC"/>
    <w:rsid w:val="005455FC"/>
    <w:rsid w:val="00545A47"/>
    <w:rsid w:val="00545FC7"/>
    <w:rsid w:val="0054634E"/>
    <w:rsid w:val="00546B67"/>
    <w:rsid w:val="005474C7"/>
    <w:rsid w:val="00550F71"/>
    <w:rsid w:val="005512D3"/>
    <w:rsid w:val="00551C0E"/>
    <w:rsid w:val="00551F46"/>
    <w:rsid w:val="00553C45"/>
    <w:rsid w:val="005544FA"/>
    <w:rsid w:val="00554A33"/>
    <w:rsid w:val="00554F2F"/>
    <w:rsid w:val="0055525E"/>
    <w:rsid w:val="0055588A"/>
    <w:rsid w:val="0055716D"/>
    <w:rsid w:val="005571A6"/>
    <w:rsid w:val="005572CC"/>
    <w:rsid w:val="0055745F"/>
    <w:rsid w:val="00557953"/>
    <w:rsid w:val="00557AD3"/>
    <w:rsid w:val="00557EA9"/>
    <w:rsid w:val="005603F5"/>
    <w:rsid w:val="005609A0"/>
    <w:rsid w:val="00560E55"/>
    <w:rsid w:val="00560E76"/>
    <w:rsid w:val="00561360"/>
    <w:rsid w:val="0056275D"/>
    <w:rsid w:val="00562E8F"/>
    <w:rsid w:val="0056301A"/>
    <w:rsid w:val="005635AD"/>
    <w:rsid w:val="005636B0"/>
    <w:rsid w:val="005640E1"/>
    <w:rsid w:val="00564EA1"/>
    <w:rsid w:val="0056534C"/>
    <w:rsid w:val="00566E81"/>
    <w:rsid w:val="005670FC"/>
    <w:rsid w:val="00567CEE"/>
    <w:rsid w:val="0057040F"/>
    <w:rsid w:val="005713F4"/>
    <w:rsid w:val="00571E64"/>
    <w:rsid w:val="00573D3B"/>
    <w:rsid w:val="00573EE2"/>
    <w:rsid w:val="00573F6A"/>
    <w:rsid w:val="0057432C"/>
    <w:rsid w:val="00575314"/>
    <w:rsid w:val="00575CC3"/>
    <w:rsid w:val="00575D10"/>
    <w:rsid w:val="00576018"/>
    <w:rsid w:val="00576D6B"/>
    <w:rsid w:val="005800F7"/>
    <w:rsid w:val="005808CA"/>
    <w:rsid w:val="00580F26"/>
    <w:rsid w:val="00581A7C"/>
    <w:rsid w:val="00582376"/>
    <w:rsid w:val="00583C0E"/>
    <w:rsid w:val="00583FDB"/>
    <w:rsid w:val="0058427E"/>
    <w:rsid w:val="00584FEF"/>
    <w:rsid w:val="005864FA"/>
    <w:rsid w:val="00586848"/>
    <w:rsid w:val="005875A3"/>
    <w:rsid w:val="00587652"/>
    <w:rsid w:val="0058773A"/>
    <w:rsid w:val="00590750"/>
    <w:rsid w:val="00590907"/>
    <w:rsid w:val="00592491"/>
    <w:rsid w:val="0059346F"/>
    <w:rsid w:val="00593875"/>
    <w:rsid w:val="005943C5"/>
    <w:rsid w:val="00594A7B"/>
    <w:rsid w:val="00596C07"/>
    <w:rsid w:val="005976DB"/>
    <w:rsid w:val="00597AA7"/>
    <w:rsid w:val="005A1EAB"/>
    <w:rsid w:val="005A270C"/>
    <w:rsid w:val="005A2D82"/>
    <w:rsid w:val="005A323A"/>
    <w:rsid w:val="005A3789"/>
    <w:rsid w:val="005A3835"/>
    <w:rsid w:val="005A389E"/>
    <w:rsid w:val="005A3AEC"/>
    <w:rsid w:val="005A40C0"/>
    <w:rsid w:val="005A47FE"/>
    <w:rsid w:val="005A6858"/>
    <w:rsid w:val="005A72F2"/>
    <w:rsid w:val="005B2194"/>
    <w:rsid w:val="005B2BC3"/>
    <w:rsid w:val="005B4350"/>
    <w:rsid w:val="005B4621"/>
    <w:rsid w:val="005B4812"/>
    <w:rsid w:val="005B4CFA"/>
    <w:rsid w:val="005B5B3D"/>
    <w:rsid w:val="005B5CEE"/>
    <w:rsid w:val="005B6D53"/>
    <w:rsid w:val="005B6D64"/>
    <w:rsid w:val="005B7112"/>
    <w:rsid w:val="005B7166"/>
    <w:rsid w:val="005B74D2"/>
    <w:rsid w:val="005C01D1"/>
    <w:rsid w:val="005C04FD"/>
    <w:rsid w:val="005C18EE"/>
    <w:rsid w:val="005C1A79"/>
    <w:rsid w:val="005C239B"/>
    <w:rsid w:val="005C3B26"/>
    <w:rsid w:val="005C3EDF"/>
    <w:rsid w:val="005C4397"/>
    <w:rsid w:val="005C48CC"/>
    <w:rsid w:val="005C63B5"/>
    <w:rsid w:val="005C674D"/>
    <w:rsid w:val="005C7644"/>
    <w:rsid w:val="005C791C"/>
    <w:rsid w:val="005C7B31"/>
    <w:rsid w:val="005C7BF4"/>
    <w:rsid w:val="005D029E"/>
    <w:rsid w:val="005D1B66"/>
    <w:rsid w:val="005D1FDF"/>
    <w:rsid w:val="005D264F"/>
    <w:rsid w:val="005D2B0F"/>
    <w:rsid w:val="005D30FC"/>
    <w:rsid w:val="005D323E"/>
    <w:rsid w:val="005D3352"/>
    <w:rsid w:val="005D3A17"/>
    <w:rsid w:val="005D3ACE"/>
    <w:rsid w:val="005D3D1E"/>
    <w:rsid w:val="005D6A61"/>
    <w:rsid w:val="005E06AE"/>
    <w:rsid w:val="005E111B"/>
    <w:rsid w:val="005E12DD"/>
    <w:rsid w:val="005E269C"/>
    <w:rsid w:val="005E2A11"/>
    <w:rsid w:val="005E2C16"/>
    <w:rsid w:val="005E3586"/>
    <w:rsid w:val="005E386D"/>
    <w:rsid w:val="005E3EC0"/>
    <w:rsid w:val="005E4DEE"/>
    <w:rsid w:val="005E5130"/>
    <w:rsid w:val="005E5F15"/>
    <w:rsid w:val="005E5FF1"/>
    <w:rsid w:val="005E6001"/>
    <w:rsid w:val="005E6566"/>
    <w:rsid w:val="005E72FB"/>
    <w:rsid w:val="005F01CE"/>
    <w:rsid w:val="005F135B"/>
    <w:rsid w:val="005F1942"/>
    <w:rsid w:val="005F3709"/>
    <w:rsid w:val="005F3EAB"/>
    <w:rsid w:val="005F42BB"/>
    <w:rsid w:val="005F4E54"/>
    <w:rsid w:val="005F676C"/>
    <w:rsid w:val="005F70B6"/>
    <w:rsid w:val="005F7518"/>
    <w:rsid w:val="005F778D"/>
    <w:rsid w:val="005F7A87"/>
    <w:rsid w:val="005F7BA0"/>
    <w:rsid w:val="005F7F41"/>
    <w:rsid w:val="006009D3"/>
    <w:rsid w:val="006010E6"/>
    <w:rsid w:val="006011A3"/>
    <w:rsid w:val="006017DF"/>
    <w:rsid w:val="00601F0A"/>
    <w:rsid w:val="006030B5"/>
    <w:rsid w:val="00603630"/>
    <w:rsid w:val="0060382E"/>
    <w:rsid w:val="00603CFA"/>
    <w:rsid w:val="00603D1C"/>
    <w:rsid w:val="00604DBE"/>
    <w:rsid w:val="006061B0"/>
    <w:rsid w:val="006062EA"/>
    <w:rsid w:val="006063E1"/>
    <w:rsid w:val="006065E4"/>
    <w:rsid w:val="006066D1"/>
    <w:rsid w:val="00606F56"/>
    <w:rsid w:val="00607D48"/>
    <w:rsid w:val="00610039"/>
    <w:rsid w:val="00610381"/>
    <w:rsid w:val="00610917"/>
    <w:rsid w:val="006109E3"/>
    <w:rsid w:val="00611B68"/>
    <w:rsid w:val="00611C07"/>
    <w:rsid w:val="00611E07"/>
    <w:rsid w:val="00612045"/>
    <w:rsid w:val="006120C3"/>
    <w:rsid w:val="0061286E"/>
    <w:rsid w:val="00612F12"/>
    <w:rsid w:val="00612F99"/>
    <w:rsid w:val="00613AC9"/>
    <w:rsid w:val="00613DA3"/>
    <w:rsid w:val="00615808"/>
    <w:rsid w:val="00620E86"/>
    <w:rsid w:val="0062155F"/>
    <w:rsid w:val="006219DD"/>
    <w:rsid w:val="00621D63"/>
    <w:rsid w:val="00622172"/>
    <w:rsid w:val="00623472"/>
    <w:rsid w:val="00623DAF"/>
    <w:rsid w:val="006242BF"/>
    <w:rsid w:val="006246FE"/>
    <w:rsid w:val="0062524C"/>
    <w:rsid w:val="00626AB6"/>
    <w:rsid w:val="00631FE7"/>
    <w:rsid w:val="006321EA"/>
    <w:rsid w:val="006324E6"/>
    <w:rsid w:val="00632ACC"/>
    <w:rsid w:val="006335C9"/>
    <w:rsid w:val="00633FF2"/>
    <w:rsid w:val="006345C1"/>
    <w:rsid w:val="00634F76"/>
    <w:rsid w:val="00635E34"/>
    <w:rsid w:val="00637E9B"/>
    <w:rsid w:val="00637FDD"/>
    <w:rsid w:val="00641E57"/>
    <w:rsid w:val="0064260D"/>
    <w:rsid w:val="00642DBC"/>
    <w:rsid w:val="00643CED"/>
    <w:rsid w:val="00644234"/>
    <w:rsid w:val="00644878"/>
    <w:rsid w:val="00644DE2"/>
    <w:rsid w:val="00646D0E"/>
    <w:rsid w:val="006478E6"/>
    <w:rsid w:val="00650306"/>
    <w:rsid w:val="006503A5"/>
    <w:rsid w:val="00650463"/>
    <w:rsid w:val="006507FD"/>
    <w:rsid w:val="0065082F"/>
    <w:rsid w:val="00651660"/>
    <w:rsid w:val="006517B9"/>
    <w:rsid w:val="00651C0A"/>
    <w:rsid w:val="00652171"/>
    <w:rsid w:val="0065227C"/>
    <w:rsid w:val="006523C2"/>
    <w:rsid w:val="00652FFB"/>
    <w:rsid w:val="00653133"/>
    <w:rsid w:val="006532C3"/>
    <w:rsid w:val="00653E05"/>
    <w:rsid w:val="00654C9C"/>
    <w:rsid w:val="0065528E"/>
    <w:rsid w:val="00655390"/>
    <w:rsid w:val="006553D9"/>
    <w:rsid w:val="00655858"/>
    <w:rsid w:val="0065606D"/>
    <w:rsid w:val="006564F2"/>
    <w:rsid w:val="0065716D"/>
    <w:rsid w:val="00661BD2"/>
    <w:rsid w:val="006625C0"/>
    <w:rsid w:val="00662B7A"/>
    <w:rsid w:val="00663175"/>
    <w:rsid w:val="0066326A"/>
    <w:rsid w:val="00663B35"/>
    <w:rsid w:val="00663F1B"/>
    <w:rsid w:val="0066571F"/>
    <w:rsid w:val="00666285"/>
    <w:rsid w:val="0066731A"/>
    <w:rsid w:val="00670BE7"/>
    <w:rsid w:val="00670FEA"/>
    <w:rsid w:val="00671DC9"/>
    <w:rsid w:val="0067252D"/>
    <w:rsid w:val="00672C31"/>
    <w:rsid w:val="006730AC"/>
    <w:rsid w:val="006734AA"/>
    <w:rsid w:val="006734B3"/>
    <w:rsid w:val="0067353C"/>
    <w:rsid w:val="00675BE6"/>
    <w:rsid w:val="00676163"/>
    <w:rsid w:val="006764C4"/>
    <w:rsid w:val="006777E4"/>
    <w:rsid w:val="00677C22"/>
    <w:rsid w:val="006808CC"/>
    <w:rsid w:val="00680AF4"/>
    <w:rsid w:val="00681495"/>
    <w:rsid w:val="00681F18"/>
    <w:rsid w:val="0068281F"/>
    <w:rsid w:val="00682C7C"/>
    <w:rsid w:val="00682F4C"/>
    <w:rsid w:val="006838D8"/>
    <w:rsid w:val="006842B9"/>
    <w:rsid w:val="00684966"/>
    <w:rsid w:val="006856FD"/>
    <w:rsid w:val="00685899"/>
    <w:rsid w:val="006859DA"/>
    <w:rsid w:val="00686772"/>
    <w:rsid w:val="00687642"/>
    <w:rsid w:val="00691611"/>
    <w:rsid w:val="00691932"/>
    <w:rsid w:val="006919FB"/>
    <w:rsid w:val="0069213E"/>
    <w:rsid w:val="00692D30"/>
    <w:rsid w:val="00695597"/>
    <w:rsid w:val="00696A89"/>
    <w:rsid w:val="00696F75"/>
    <w:rsid w:val="00696FEC"/>
    <w:rsid w:val="00697477"/>
    <w:rsid w:val="006A037E"/>
    <w:rsid w:val="006A1E12"/>
    <w:rsid w:val="006A2019"/>
    <w:rsid w:val="006A21CC"/>
    <w:rsid w:val="006A30E6"/>
    <w:rsid w:val="006A3D41"/>
    <w:rsid w:val="006A5833"/>
    <w:rsid w:val="006A7796"/>
    <w:rsid w:val="006A7C96"/>
    <w:rsid w:val="006B0495"/>
    <w:rsid w:val="006B0DCB"/>
    <w:rsid w:val="006B2408"/>
    <w:rsid w:val="006B299D"/>
    <w:rsid w:val="006B3AF9"/>
    <w:rsid w:val="006B3C91"/>
    <w:rsid w:val="006B414C"/>
    <w:rsid w:val="006B4B0F"/>
    <w:rsid w:val="006B5474"/>
    <w:rsid w:val="006B62A0"/>
    <w:rsid w:val="006B650F"/>
    <w:rsid w:val="006C1394"/>
    <w:rsid w:val="006C32CF"/>
    <w:rsid w:val="006C335E"/>
    <w:rsid w:val="006C3A1F"/>
    <w:rsid w:val="006C53F8"/>
    <w:rsid w:val="006C54BB"/>
    <w:rsid w:val="006C56FC"/>
    <w:rsid w:val="006C5C6C"/>
    <w:rsid w:val="006C5F8C"/>
    <w:rsid w:val="006C63EB"/>
    <w:rsid w:val="006C7DE0"/>
    <w:rsid w:val="006D024B"/>
    <w:rsid w:val="006D16CA"/>
    <w:rsid w:val="006D1D06"/>
    <w:rsid w:val="006D3693"/>
    <w:rsid w:val="006D3DC7"/>
    <w:rsid w:val="006D4245"/>
    <w:rsid w:val="006D54D9"/>
    <w:rsid w:val="006D5843"/>
    <w:rsid w:val="006D68AC"/>
    <w:rsid w:val="006E0A93"/>
    <w:rsid w:val="006E4064"/>
    <w:rsid w:val="006E58EA"/>
    <w:rsid w:val="006E5BF8"/>
    <w:rsid w:val="006E6D16"/>
    <w:rsid w:val="006F0036"/>
    <w:rsid w:val="006F10D4"/>
    <w:rsid w:val="006F2F67"/>
    <w:rsid w:val="006F3CA4"/>
    <w:rsid w:val="006F4148"/>
    <w:rsid w:val="006F4DE0"/>
    <w:rsid w:val="006F4FB2"/>
    <w:rsid w:val="006F5E2D"/>
    <w:rsid w:val="006F62C5"/>
    <w:rsid w:val="006F6483"/>
    <w:rsid w:val="006F6EEB"/>
    <w:rsid w:val="006F7316"/>
    <w:rsid w:val="006F7332"/>
    <w:rsid w:val="007025BA"/>
    <w:rsid w:val="00702BB8"/>
    <w:rsid w:val="0070385B"/>
    <w:rsid w:val="00703981"/>
    <w:rsid w:val="00703A33"/>
    <w:rsid w:val="0070407E"/>
    <w:rsid w:val="0070494F"/>
    <w:rsid w:val="00704969"/>
    <w:rsid w:val="00704BB0"/>
    <w:rsid w:val="00705423"/>
    <w:rsid w:val="00705758"/>
    <w:rsid w:val="00705E4A"/>
    <w:rsid w:val="00706997"/>
    <w:rsid w:val="0070707A"/>
    <w:rsid w:val="0070717A"/>
    <w:rsid w:val="00707244"/>
    <w:rsid w:val="00712B2B"/>
    <w:rsid w:val="00712CCC"/>
    <w:rsid w:val="007136E9"/>
    <w:rsid w:val="00713DE5"/>
    <w:rsid w:val="00714569"/>
    <w:rsid w:val="007155D9"/>
    <w:rsid w:val="007157A0"/>
    <w:rsid w:val="007174DA"/>
    <w:rsid w:val="007178AF"/>
    <w:rsid w:val="00720910"/>
    <w:rsid w:val="00720F29"/>
    <w:rsid w:val="00721038"/>
    <w:rsid w:val="007213A5"/>
    <w:rsid w:val="007224C2"/>
    <w:rsid w:val="00722C19"/>
    <w:rsid w:val="00726000"/>
    <w:rsid w:val="0072603B"/>
    <w:rsid w:val="00726C1E"/>
    <w:rsid w:val="00726FEB"/>
    <w:rsid w:val="0072771B"/>
    <w:rsid w:val="00727DC2"/>
    <w:rsid w:val="00731117"/>
    <w:rsid w:val="00731409"/>
    <w:rsid w:val="00731EDD"/>
    <w:rsid w:val="007332C1"/>
    <w:rsid w:val="007334B1"/>
    <w:rsid w:val="007339F3"/>
    <w:rsid w:val="00733EB2"/>
    <w:rsid w:val="00733EF8"/>
    <w:rsid w:val="00734400"/>
    <w:rsid w:val="00734898"/>
    <w:rsid w:val="00735107"/>
    <w:rsid w:val="00737424"/>
    <w:rsid w:val="00737FEC"/>
    <w:rsid w:val="00740292"/>
    <w:rsid w:val="00740FB1"/>
    <w:rsid w:val="007424E5"/>
    <w:rsid w:val="0074269A"/>
    <w:rsid w:val="00742B07"/>
    <w:rsid w:val="00742DB5"/>
    <w:rsid w:val="00744619"/>
    <w:rsid w:val="0075064C"/>
    <w:rsid w:val="00752801"/>
    <w:rsid w:val="00752E39"/>
    <w:rsid w:val="0075580D"/>
    <w:rsid w:val="00755956"/>
    <w:rsid w:val="00756142"/>
    <w:rsid w:val="007561B4"/>
    <w:rsid w:val="00756AA0"/>
    <w:rsid w:val="00757CE6"/>
    <w:rsid w:val="0076151C"/>
    <w:rsid w:val="00761E6B"/>
    <w:rsid w:val="007622F8"/>
    <w:rsid w:val="00763097"/>
    <w:rsid w:val="00763A41"/>
    <w:rsid w:val="00764CB0"/>
    <w:rsid w:val="007651A7"/>
    <w:rsid w:val="007660A1"/>
    <w:rsid w:val="0076641B"/>
    <w:rsid w:val="0076651A"/>
    <w:rsid w:val="007666D8"/>
    <w:rsid w:val="00766D03"/>
    <w:rsid w:val="007671B6"/>
    <w:rsid w:val="007671DA"/>
    <w:rsid w:val="00767ADE"/>
    <w:rsid w:val="00767C28"/>
    <w:rsid w:val="00770C72"/>
    <w:rsid w:val="007719A8"/>
    <w:rsid w:val="0077228C"/>
    <w:rsid w:val="00772FA8"/>
    <w:rsid w:val="00773CAE"/>
    <w:rsid w:val="00774593"/>
    <w:rsid w:val="00774C88"/>
    <w:rsid w:val="00774D02"/>
    <w:rsid w:val="00776EDA"/>
    <w:rsid w:val="00777599"/>
    <w:rsid w:val="00777A2C"/>
    <w:rsid w:val="00782B59"/>
    <w:rsid w:val="00783603"/>
    <w:rsid w:val="00783786"/>
    <w:rsid w:val="00785646"/>
    <w:rsid w:val="00785CF8"/>
    <w:rsid w:val="0078734E"/>
    <w:rsid w:val="00787700"/>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45A6"/>
    <w:rsid w:val="007A536B"/>
    <w:rsid w:val="007A5922"/>
    <w:rsid w:val="007A5969"/>
    <w:rsid w:val="007A63D4"/>
    <w:rsid w:val="007A7AA2"/>
    <w:rsid w:val="007A7C23"/>
    <w:rsid w:val="007B07A6"/>
    <w:rsid w:val="007B1ABA"/>
    <w:rsid w:val="007B2070"/>
    <w:rsid w:val="007B221D"/>
    <w:rsid w:val="007B259B"/>
    <w:rsid w:val="007B3F28"/>
    <w:rsid w:val="007B434A"/>
    <w:rsid w:val="007B452C"/>
    <w:rsid w:val="007B471E"/>
    <w:rsid w:val="007B5018"/>
    <w:rsid w:val="007B53E7"/>
    <w:rsid w:val="007B65B3"/>
    <w:rsid w:val="007B66B8"/>
    <w:rsid w:val="007B6A14"/>
    <w:rsid w:val="007B6DFA"/>
    <w:rsid w:val="007B7287"/>
    <w:rsid w:val="007B753A"/>
    <w:rsid w:val="007B7637"/>
    <w:rsid w:val="007B7677"/>
    <w:rsid w:val="007B7A70"/>
    <w:rsid w:val="007C0033"/>
    <w:rsid w:val="007C08AB"/>
    <w:rsid w:val="007C38F7"/>
    <w:rsid w:val="007C4290"/>
    <w:rsid w:val="007C4E99"/>
    <w:rsid w:val="007C5151"/>
    <w:rsid w:val="007C546B"/>
    <w:rsid w:val="007C5B8D"/>
    <w:rsid w:val="007C670D"/>
    <w:rsid w:val="007C68D2"/>
    <w:rsid w:val="007C6B7A"/>
    <w:rsid w:val="007C7359"/>
    <w:rsid w:val="007D0C56"/>
    <w:rsid w:val="007D0CD1"/>
    <w:rsid w:val="007D0ED0"/>
    <w:rsid w:val="007D1F01"/>
    <w:rsid w:val="007D250D"/>
    <w:rsid w:val="007D3500"/>
    <w:rsid w:val="007D3868"/>
    <w:rsid w:val="007D3E0E"/>
    <w:rsid w:val="007D4104"/>
    <w:rsid w:val="007D48CF"/>
    <w:rsid w:val="007D4A4A"/>
    <w:rsid w:val="007D4C4B"/>
    <w:rsid w:val="007D560E"/>
    <w:rsid w:val="007D5F85"/>
    <w:rsid w:val="007E018B"/>
    <w:rsid w:val="007E0721"/>
    <w:rsid w:val="007E0B69"/>
    <w:rsid w:val="007E0C58"/>
    <w:rsid w:val="007E0D6F"/>
    <w:rsid w:val="007E0E05"/>
    <w:rsid w:val="007E1DD3"/>
    <w:rsid w:val="007E209F"/>
    <w:rsid w:val="007E23C8"/>
    <w:rsid w:val="007E25F0"/>
    <w:rsid w:val="007E2878"/>
    <w:rsid w:val="007E2A7E"/>
    <w:rsid w:val="007E4655"/>
    <w:rsid w:val="007E4FD0"/>
    <w:rsid w:val="007E50E4"/>
    <w:rsid w:val="007E50F7"/>
    <w:rsid w:val="007E55E0"/>
    <w:rsid w:val="007E5C50"/>
    <w:rsid w:val="007E5DED"/>
    <w:rsid w:val="007F00D0"/>
    <w:rsid w:val="007F0546"/>
    <w:rsid w:val="007F1DEB"/>
    <w:rsid w:val="007F22A5"/>
    <w:rsid w:val="007F2A0B"/>
    <w:rsid w:val="007F2E4B"/>
    <w:rsid w:val="007F413A"/>
    <w:rsid w:val="007F421D"/>
    <w:rsid w:val="007F532E"/>
    <w:rsid w:val="007F5688"/>
    <w:rsid w:val="007F588F"/>
    <w:rsid w:val="007F66A5"/>
    <w:rsid w:val="0080038A"/>
    <w:rsid w:val="0080065F"/>
    <w:rsid w:val="008006D9"/>
    <w:rsid w:val="00800BDB"/>
    <w:rsid w:val="008011F2"/>
    <w:rsid w:val="00801588"/>
    <w:rsid w:val="00802DA0"/>
    <w:rsid w:val="00803139"/>
    <w:rsid w:val="008051DE"/>
    <w:rsid w:val="00805659"/>
    <w:rsid w:val="0080593E"/>
    <w:rsid w:val="0080733E"/>
    <w:rsid w:val="0080783D"/>
    <w:rsid w:val="00810B66"/>
    <w:rsid w:val="00810CC2"/>
    <w:rsid w:val="00812C2A"/>
    <w:rsid w:val="00812FCB"/>
    <w:rsid w:val="0081324B"/>
    <w:rsid w:val="00813B80"/>
    <w:rsid w:val="00813DF0"/>
    <w:rsid w:val="0081440E"/>
    <w:rsid w:val="00816193"/>
    <w:rsid w:val="008165E4"/>
    <w:rsid w:val="00816696"/>
    <w:rsid w:val="00817682"/>
    <w:rsid w:val="00823472"/>
    <w:rsid w:val="008234BD"/>
    <w:rsid w:val="00824A8C"/>
    <w:rsid w:val="00825155"/>
    <w:rsid w:val="00825D4C"/>
    <w:rsid w:val="00825EB9"/>
    <w:rsid w:val="00827461"/>
    <w:rsid w:val="008301B7"/>
    <w:rsid w:val="008303E2"/>
    <w:rsid w:val="00830917"/>
    <w:rsid w:val="00830D99"/>
    <w:rsid w:val="0083169F"/>
    <w:rsid w:val="00831B7E"/>
    <w:rsid w:val="00833A8F"/>
    <w:rsid w:val="00833D53"/>
    <w:rsid w:val="008341F8"/>
    <w:rsid w:val="008359F3"/>
    <w:rsid w:val="00835C7F"/>
    <w:rsid w:val="00835DB6"/>
    <w:rsid w:val="00836AC2"/>
    <w:rsid w:val="00837D13"/>
    <w:rsid w:val="0084005B"/>
    <w:rsid w:val="008406D5"/>
    <w:rsid w:val="00843BED"/>
    <w:rsid w:val="008444E7"/>
    <w:rsid w:val="008447C8"/>
    <w:rsid w:val="00844C5B"/>
    <w:rsid w:val="008451F5"/>
    <w:rsid w:val="00845856"/>
    <w:rsid w:val="00847B37"/>
    <w:rsid w:val="008501A4"/>
    <w:rsid w:val="008505A1"/>
    <w:rsid w:val="00850817"/>
    <w:rsid w:val="00851D16"/>
    <w:rsid w:val="00851E54"/>
    <w:rsid w:val="0085292E"/>
    <w:rsid w:val="00852B02"/>
    <w:rsid w:val="00852B27"/>
    <w:rsid w:val="00853F97"/>
    <w:rsid w:val="0085433A"/>
    <w:rsid w:val="00854A85"/>
    <w:rsid w:val="00854B32"/>
    <w:rsid w:val="00854DD3"/>
    <w:rsid w:val="0085553C"/>
    <w:rsid w:val="00855F2B"/>
    <w:rsid w:val="00856252"/>
    <w:rsid w:val="00856C76"/>
    <w:rsid w:val="008570DF"/>
    <w:rsid w:val="00857634"/>
    <w:rsid w:val="00857FFB"/>
    <w:rsid w:val="0086124E"/>
    <w:rsid w:val="00861B74"/>
    <w:rsid w:val="00864A10"/>
    <w:rsid w:val="00865089"/>
    <w:rsid w:val="008652C9"/>
    <w:rsid w:val="00866084"/>
    <w:rsid w:val="00866992"/>
    <w:rsid w:val="00866CA9"/>
    <w:rsid w:val="00867E32"/>
    <w:rsid w:val="00870AAD"/>
    <w:rsid w:val="00872942"/>
    <w:rsid w:val="0087469C"/>
    <w:rsid w:val="0087504D"/>
    <w:rsid w:val="00875991"/>
    <w:rsid w:val="00875BB5"/>
    <w:rsid w:val="00876F26"/>
    <w:rsid w:val="008771B6"/>
    <w:rsid w:val="00877865"/>
    <w:rsid w:val="00877FDD"/>
    <w:rsid w:val="00880FED"/>
    <w:rsid w:val="00881415"/>
    <w:rsid w:val="0088186D"/>
    <w:rsid w:val="00882A96"/>
    <w:rsid w:val="008841C8"/>
    <w:rsid w:val="0088469F"/>
    <w:rsid w:val="00885367"/>
    <w:rsid w:val="008853CE"/>
    <w:rsid w:val="008855A4"/>
    <w:rsid w:val="00885989"/>
    <w:rsid w:val="00887082"/>
    <w:rsid w:val="0088722F"/>
    <w:rsid w:val="00887C8D"/>
    <w:rsid w:val="00887DC7"/>
    <w:rsid w:val="00891FCC"/>
    <w:rsid w:val="00892BB8"/>
    <w:rsid w:val="00893014"/>
    <w:rsid w:val="008939C2"/>
    <w:rsid w:val="0089513A"/>
    <w:rsid w:val="008961D5"/>
    <w:rsid w:val="008965FF"/>
    <w:rsid w:val="00896755"/>
    <w:rsid w:val="00896F38"/>
    <w:rsid w:val="008A019D"/>
    <w:rsid w:val="008A086B"/>
    <w:rsid w:val="008A0F0E"/>
    <w:rsid w:val="008A2417"/>
    <w:rsid w:val="008A4D6C"/>
    <w:rsid w:val="008A5D49"/>
    <w:rsid w:val="008A5D4A"/>
    <w:rsid w:val="008A6952"/>
    <w:rsid w:val="008A69D6"/>
    <w:rsid w:val="008A6BDC"/>
    <w:rsid w:val="008A751E"/>
    <w:rsid w:val="008A756C"/>
    <w:rsid w:val="008B0547"/>
    <w:rsid w:val="008B11A3"/>
    <w:rsid w:val="008B1FE5"/>
    <w:rsid w:val="008B2AD7"/>
    <w:rsid w:val="008B3A74"/>
    <w:rsid w:val="008B3D72"/>
    <w:rsid w:val="008B3DF6"/>
    <w:rsid w:val="008B434A"/>
    <w:rsid w:val="008B50D8"/>
    <w:rsid w:val="008B58F9"/>
    <w:rsid w:val="008B5DA7"/>
    <w:rsid w:val="008B7B55"/>
    <w:rsid w:val="008C1AFD"/>
    <w:rsid w:val="008C25D0"/>
    <w:rsid w:val="008C26D0"/>
    <w:rsid w:val="008C2ABC"/>
    <w:rsid w:val="008C3730"/>
    <w:rsid w:val="008C39CB"/>
    <w:rsid w:val="008C3A5B"/>
    <w:rsid w:val="008C3D50"/>
    <w:rsid w:val="008C4823"/>
    <w:rsid w:val="008C5B71"/>
    <w:rsid w:val="008C6BCE"/>
    <w:rsid w:val="008C6D01"/>
    <w:rsid w:val="008C7039"/>
    <w:rsid w:val="008D0E23"/>
    <w:rsid w:val="008D2382"/>
    <w:rsid w:val="008D2EB8"/>
    <w:rsid w:val="008D2F21"/>
    <w:rsid w:val="008D3521"/>
    <w:rsid w:val="008D3570"/>
    <w:rsid w:val="008D421A"/>
    <w:rsid w:val="008D4846"/>
    <w:rsid w:val="008D5667"/>
    <w:rsid w:val="008D675C"/>
    <w:rsid w:val="008D6F5D"/>
    <w:rsid w:val="008D7CB3"/>
    <w:rsid w:val="008E003A"/>
    <w:rsid w:val="008E15E3"/>
    <w:rsid w:val="008E2045"/>
    <w:rsid w:val="008E4027"/>
    <w:rsid w:val="008E4C62"/>
    <w:rsid w:val="008E727E"/>
    <w:rsid w:val="008E72E1"/>
    <w:rsid w:val="008E7D97"/>
    <w:rsid w:val="008F05FB"/>
    <w:rsid w:val="008F0B17"/>
    <w:rsid w:val="008F0F1C"/>
    <w:rsid w:val="008F136C"/>
    <w:rsid w:val="008F2902"/>
    <w:rsid w:val="008F3912"/>
    <w:rsid w:val="008F4047"/>
    <w:rsid w:val="008F4111"/>
    <w:rsid w:val="008F4593"/>
    <w:rsid w:val="008F660B"/>
    <w:rsid w:val="008F695F"/>
    <w:rsid w:val="009005CE"/>
    <w:rsid w:val="00900CF2"/>
    <w:rsid w:val="00901376"/>
    <w:rsid w:val="0090188B"/>
    <w:rsid w:val="00901F83"/>
    <w:rsid w:val="009021A4"/>
    <w:rsid w:val="00902A54"/>
    <w:rsid w:val="00903309"/>
    <w:rsid w:val="00904305"/>
    <w:rsid w:val="00904362"/>
    <w:rsid w:val="0090441C"/>
    <w:rsid w:val="009045D3"/>
    <w:rsid w:val="00904986"/>
    <w:rsid w:val="00904EC5"/>
    <w:rsid w:val="00910C0D"/>
    <w:rsid w:val="00912C43"/>
    <w:rsid w:val="0091308F"/>
    <w:rsid w:val="0091406E"/>
    <w:rsid w:val="009149EC"/>
    <w:rsid w:val="00914B48"/>
    <w:rsid w:val="0091511B"/>
    <w:rsid w:val="00916549"/>
    <w:rsid w:val="00916A57"/>
    <w:rsid w:val="009172D7"/>
    <w:rsid w:val="00917AFB"/>
    <w:rsid w:val="00917B6F"/>
    <w:rsid w:val="00917E84"/>
    <w:rsid w:val="00922061"/>
    <w:rsid w:val="009226F4"/>
    <w:rsid w:val="0092336E"/>
    <w:rsid w:val="009236AA"/>
    <w:rsid w:val="009238AF"/>
    <w:rsid w:val="009239AA"/>
    <w:rsid w:val="009245B5"/>
    <w:rsid w:val="009245D0"/>
    <w:rsid w:val="00924AB4"/>
    <w:rsid w:val="00925EF2"/>
    <w:rsid w:val="00925F3C"/>
    <w:rsid w:val="00926204"/>
    <w:rsid w:val="009269E3"/>
    <w:rsid w:val="009332F5"/>
    <w:rsid w:val="00934BAF"/>
    <w:rsid w:val="00934F6D"/>
    <w:rsid w:val="00935493"/>
    <w:rsid w:val="00935C40"/>
    <w:rsid w:val="00935F4D"/>
    <w:rsid w:val="009361D3"/>
    <w:rsid w:val="009373EF"/>
    <w:rsid w:val="009377EA"/>
    <w:rsid w:val="0093795C"/>
    <w:rsid w:val="00937DCB"/>
    <w:rsid w:val="00937F7E"/>
    <w:rsid w:val="0094001E"/>
    <w:rsid w:val="00940576"/>
    <w:rsid w:val="009440DE"/>
    <w:rsid w:val="0094429F"/>
    <w:rsid w:val="009444E6"/>
    <w:rsid w:val="00944A8E"/>
    <w:rsid w:val="009455E6"/>
    <w:rsid w:val="0094589B"/>
    <w:rsid w:val="00947AEE"/>
    <w:rsid w:val="00950775"/>
    <w:rsid w:val="009509C0"/>
    <w:rsid w:val="00952B9C"/>
    <w:rsid w:val="009530DC"/>
    <w:rsid w:val="00953B70"/>
    <w:rsid w:val="00955620"/>
    <w:rsid w:val="00955E2A"/>
    <w:rsid w:val="00956330"/>
    <w:rsid w:val="00956348"/>
    <w:rsid w:val="00956BA7"/>
    <w:rsid w:val="00956FD8"/>
    <w:rsid w:val="009575F7"/>
    <w:rsid w:val="00957E4B"/>
    <w:rsid w:val="0096021A"/>
    <w:rsid w:val="00960F73"/>
    <w:rsid w:val="00961346"/>
    <w:rsid w:val="00961A86"/>
    <w:rsid w:val="009642CA"/>
    <w:rsid w:val="00964559"/>
    <w:rsid w:val="00964BE5"/>
    <w:rsid w:val="009652B6"/>
    <w:rsid w:val="0096655D"/>
    <w:rsid w:val="009671A7"/>
    <w:rsid w:val="00970E8A"/>
    <w:rsid w:val="00971139"/>
    <w:rsid w:val="00971F5D"/>
    <w:rsid w:val="00972B10"/>
    <w:rsid w:val="00973F4A"/>
    <w:rsid w:val="0097401F"/>
    <w:rsid w:val="0097465C"/>
    <w:rsid w:val="00974E53"/>
    <w:rsid w:val="00975E28"/>
    <w:rsid w:val="00976F32"/>
    <w:rsid w:val="00980C3D"/>
    <w:rsid w:val="00981234"/>
    <w:rsid w:val="00981FA0"/>
    <w:rsid w:val="0098263A"/>
    <w:rsid w:val="00983541"/>
    <w:rsid w:val="00984366"/>
    <w:rsid w:val="009848A7"/>
    <w:rsid w:val="00984E80"/>
    <w:rsid w:val="0098690F"/>
    <w:rsid w:val="009870A0"/>
    <w:rsid w:val="00987994"/>
    <w:rsid w:val="00987C66"/>
    <w:rsid w:val="00987EE5"/>
    <w:rsid w:val="009900F0"/>
    <w:rsid w:val="00991CD8"/>
    <w:rsid w:val="00991EBE"/>
    <w:rsid w:val="009928B3"/>
    <w:rsid w:val="00992B6B"/>
    <w:rsid w:val="00992C88"/>
    <w:rsid w:val="00993C2E"/>
    <w:rsid w:val="00993D33"/>
    <w:rsid w:val="00994618"/>
    <w:rsid w:val="00994F60"/>
    <w:rsid w:val="00995DF2"/>
    <w:rsid w:val="00997905"/>
    <w:rsid w:val="00997C8A"/>
    <w:rsid w:val="009A0E89"/>
    <w:rsid w:val="009A0F40"/>
    <w:rsid w:val="009A1339"/>
    <w:rsid w:val="009A188A"/>
    <w:rsid w:val="009A1A95"/>
    <w:rsid w:val="009A1BCF"/>
    <w:rsid w:val="009A1C41"/>
    <w:rsid w:val="009A2CCC"/>
    <w:rsid w:val="009A3006"/>
    <w:rsid w:val="009A3994"/>
    <w:rsid w:val="009A4241"/>
    <w:rsid w:val="009A59FF"/>
    <w:rsid w:val="009B03E8"/>
    <w:rsid w:val="009B09BF"/>
    <w:rsid w:val="009B1B10"/>
    <w:rsid w:val="009B2FB9"/>
    <w:rsid w:val="009B3134"/>
    <w:rsid w:val="009B4598"/>
    <w:rsid w:val="009B5B0F"/>
    <w:rsid w:val="009B5D6F"/>
    <w:rsid w:val="009B62AF"/>
    <w:rsid w:val="009B6745"/>
    <w:rsid w:val="009B68AF"/>
    <w:rsid w:val="009B74EA"/>
    <w:rsid w:val="009B7AB9"/>
    <w:rsid w:val="009C33CA"/>
    <w:rsid w:val="009C4B6D"/>
    <w:rsid w:val="009C5EDE"/>
    <w:rsid w:val="009C6ECD"/>
    <w:rsid w:val="009C72E6"/>
    <w:rsid w:val="009D0928"/>
    <w:rsid w:val="009D1B99"/>
    <w:rsid w:val="009D1DD8"/>
    <w:rsid w:val="009D2884"/>
    <w:rsid w:val="009D2A4F"/>
    <w:rsid w:val="009D3B41"/>
    <w:rsid w:val="009D5393"/>
    <w:rsid w:val="009D5445"/>
    <w:rsid w:val="009D565F"/>
    <w:rsid w:val="009D6026"/>
    <w:rsid w:val="009D65B9"/>
    <w:rsid w:val="009D70EE"/>
    <w:rsid w:val="009D733B"/>
    <w:rsid w:val="009E04DC"/>
    <w:rsid w:val="009E0FB3"/>
    <w:rsid w:val="009E1C20"/>
    <w:rsid w:val="009E3B5A"/>
    <w:rsid w:val="009E3E85"/>
    <w:rsid w:val="009E4562"/>
    <w:rsid w:val="009E488C"/>
    <w:rsid w:val="009E5105"/>
    <w:rsid w:val="009E593F"/>
    <w:rsid w:val="009E59A1"/>
    <w:rsid w:val="009E66EE"/>
    <w:rsid w:val="009F015D"/>
    <w:rsid w:val="009F1041"/>
    <w:rsid w:val="009F20C6"/>
    <w:rsid w:val="009F37BF"/>
    <w:rsid w:val="009F4326"/>
    <w:rsid w:val="009F7078"/>
    <w:rsid w:val="009F7BB2"/>
    <w:rsid w:val="009F7FA6"/>
    <w:rsid w:val="00A0082F"/>
    <w:rsid w:val="00A00AE7"/>
    <w:rsid w:val="00A01593"/>
    <w:rsid w:val="00A016AA"/>
    <w:rsid w:val="00A0244C"/>
    <w:rsid w:val="00A02A53"/>
    <w:rsid w:val="00A033FF"/>
    <w:rsid w:val="00A0409E"/>
    <w:rsid w:val="00A046C7"/>
    <w:rsid w:val="00A04E2C"/>
    <w:rsid w:val="00A04EDA"/>
    <w:rsid w:val="00A06137"/>
    <w:rsid w:val="00A063FE"/>
    <w:rsid w:val="00A06EDB"/>
    <w:rsid w:val="00A07ACC"/>
    <w:rsid w:val="00A11259"/>
    <w:rsid w:val="00A122A9"/>
    <w:rsid w:val="00A131A1"/>
    <w:rsid w:val="00A1329C"/>
    <w:rsid w:val="00A138CF"/>
    <w:rsid w:val="00A14503"/>
    <w:rsid w:val="00A14E25"/>
    <w:rsid w:val="00A14E81"/>
    <w:rsid w:val="00A16896"/>
    <w:rsid w:val="00A16A60"/>
    <w:rsid w:val="00A17A3D"/>
    <w:rsid w:val="00A203C2"/>
    <w:rsid w:val="00A2062A"/>
    <w:rsid w:val="00A2066E"/>
    <w:rsid w:val="00A20765"/>
    <w:rsid w:val="00A21E19"/>
    <w:rsid w:val="00A22796"/>
    <w:rsid w:val="00A22B7C"/>
    <w:rsid w:val="00A236A1"/>
    <w:rsid w:val="00A239A8"/>
    <w:rsid w:val="00A24599"/>
    <w:rsid w:val="00A25B79"/>
    <w:rsid w:val="00A27FF0"/>
    <w:rsid w:val="00A300CB"/>
    <w:rsid w:val="00A30683"/>
    <w:rsid w:val="00A3115F"/>
    <w:rsid w:val="00A31BFC"/>
    <w:rsid w:val="00A32209"/>
    <w:rsid w:val="00A32BA0"/>
    <w:rsid w:val="00A32D77"/>
    <w:rsid w:val="00A33030"/>
    <w:rsid w:val="00A34307"/>
    <w:rsid w:val="00A35A7A"/>
    <w:rsid w:val="00A378A2"/>
    <w:rsid w:val="00A4076B"/>
    <w:rsid w:val="00A407B6"/>
    <w:rsid w:val="00A40CDE"/>
    <w:rsid w:val="00A418FF"/>
    <w:rsid w:val="00A41D00"/>
    <w:rsid w:val="00A422EE"/>
    <w:rsid w:val="00A43FBD"/>
    <w:rsid w:val="00A43FD4"/>
    <w:rsid w:val="00A44703"/>
    <w:rsid w:val="00A4679A"/>
    <w:rsid w:val="00A473D7"/>
    <w:rsid w:val="00A52DA1"/>
    <w:rsid w:val="00A53AA9"/>
    <w:rsid w:val="00A54367"/>
    <w:rsid w:val="00A54CCB"/>
    <w:rsid w:val="00A57301"/>
    <w:rsid w:val="00A5757E"/>
    <w:rsid w:val="00A60F52"/>
    <w:rsid w:val="00A61DFE"/>
    <w:rsid w:val="00A62AA8"/>
    <w:rsid w:val="00A630D8"/>
    <w:rsid w:val="00A637A4"/>
    <w:rsid w:val="00A63B4C"/>
    <w:rsid w:val="00A63F67"/>
    <w:rsid w:val="00A6526F"/>
    <w:rsid w:val="00A6604B"/>
    <w:rsid w:val="00A664AD"/>
    <w:rsid w:val="00A664E7"/>
    <w:rsid w:val="00A66E7F"/>
    <w:rsid w:val="00A66F54"/>
    <w:rsid w:val="00A673A7"/>
    <w:rsid w:val="00A6786C"/>
    <w:rsid w:val="00A67917"/>
    <w:rsid w:val="00A679B0"/>
    <w:rsid w:val="00A67F19"/>
    <w:rsid w:val="00A70225"/>
    <w:rsid w:val="00A70904"/>
    <w:rsid w:val="00A709BB"/>
    <w:rsid w:val="00A72239"/>
    <w:rsid w:val="00A740EA"/>
    <w:rsid w:val="00A74597"/>
    <w:rsid w:val="00A74A7D"/>
    <w:rsid w:val="00A756FE"/>
    <w:rsid w:val="00A75C52"/>
    <w:rsid w:val="00A767B2"/>
    <w:rsid w:val="00A7717C"/>
    <w:rsid w:val="00A77CCE"/>
    <w:rsid w:val="00A80B0C"/>
    <w:rsid w:val="00A81367"/>
    <w:rsid w:val="00A81B11"/>
    <w:rsid w:val="00A82229"/>
    <w:rsid w:val="00A8244E"/>
    <w:rsid w:val="00A82B9E"/>
    <w:rsid w:val="00A82D16"/>
    <w:rsid w:val="00A831FB"/>
    <w:rsid w:val="00A84186"/>
    <w:rsid w:val="00A846F1"/>
    <w:rsid w:val="00A857B4"/>
    <w:rsid w:val="00A85B14"/>
    <w:rsid w:val="00A875C0"/>
    <w:rsid w:val="00A87C15"/>
    <w:rsid w:val="00A925D7"/>
    <w:rsid w:val="00A92706"/>
    <w:rsid w:val="00A92CF1"/>
    <w:rsid w:val="00A93E6F"/>
    <w:rsid w:val="00A9439C"/>
    <w:rsid w:val="00A943F8"/>
    <w:rsid w:val="00A962D6"/>
    <w:rsid w:val="00A9668E"/>
    <w:rsid w:val="00A9704A"/>
    <w:rsid w:val="00A9741A"/>
    <w:rsid w:val="00A97AD0"/>
    <w:rsid w:val="00AA0776"/>
    <w:rsid w:val="00AA0874"/>
    <w:rsid w:val="00AA0C5B"/>
    <w:rsid w:val="00AA1110"/>
    <w:rsid w:val="00AA1377"/>
    <w:rsid w:val="00AA1D1B"/>
    <w:rsid w:val="00AA2167"/>
    <w:rsid w:val="00AA34B8"/>
    <w:rsid w:val="00AA421C"/>
    <w:rsid w:val="00AA4590"/>
    <w:rsid w:val="00AA49AF"/>
    <w:rsid w:val="00AA4F2F"/>
    <w:rsid w:val="00AA57CE"/>
    <w:rsid w:val="00AA5ADC"/>
    <w:rsid w:val="00AA5D14"/>
    <w:rsid w:val="00AA5DF4"/>
    <w:rsid w:val="00AA5E45"/>
    <w:rsid w:val="00AA6E1B"/>
    <w:rsid w:val="00AA7211"/>
    <w:rsid w:val="00AA7540"/>
    <w:rsid w:val="00AA780F"/>
    <w:rsid w:val="00AB0B9C"/>
    <w:rsid w:val="00AB1BB4"/>
    <w:rsid w:val="00AB27AA"/>
    <w:rsid w:val="00AB2A85"/>
    <w:rsid w:val="00AB3E6B"/>
    <w:rsid w:val="00AB4D0B"/>
    <w:rsid w:val="00AB51C8"/>
    <w:rsid w:val="00AB5586"/>
    <w:rsid w:val="00AB6406"/>
    <w:rsid w:val="00AB65B4"/>
    <w:rsid w:val="00AB7B25"/>
    <w:rsid w:val="00AC0BAE"/>
    <w:rsid w:val="00AC0E78"/>
    <w:rsid w:val="00AC126F"/>
    <w:rsid w:val="00AC13F7"/>
    <w:rsid w:val="00AC1BD7"/>
    <w:rsid w:val="00AC1E9C"/>
    <w:rsid w:val="00AC2005"/>
    <w:rsid w:val="00AC3256"/>
    <w:rsid w:val="00AC3304"/>
    <w:rsid w:val="00AC3DC0"/>
    <w:rsid w:val="00AC426D"/>
    <w:rsid w:val="00AC43D2"/>
    <w:rsid w:val="00AC4A94"/>
    <w:rsid w:val="00AC4B34"/>
    <w:rsid w:val="00AC66A0"/>
    <w:rsid w:val="00AC6DE2"/>
    <w:rsid w:val="00AC737D"/>
    <w:rsid w:val="00AD0007"/>
    <w:rsid w:val="00AD05A6"/>
    <w:rsid w:val="00AD2262"/>
    <w:rsid w:val="00AD283D"/>
    <w:rsid w:val="00AD3920"/>
    <w:rsid w:val="00AD4D66"/>
    <w:rsid w:val="00AD5922"/>
    <w:rsid w:val="00AD5F80"/>
    <w:rsid w:val="00AD6555"/>
    <w:rsid w:val="00AD6F4A"/>
    <w:rsid w:val="00AE05EA"/>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F01CB"/>
    <w:rsid w:val="00AF08E1"/>
    <w:rsid w:val="00AF09C7"/>
    <w:rsid w:val="00AF1474"/>
    <w:rsid w:val="00AF15A7"/>
    <w:rsid w:val="00AF1A40"/>
    <w:rsid w:val="00AF20FB"/>
    <w:rsid w:val="00AF37F7"/>
    <w:rsid w:val="00AF4BF4"/>
    <w:rsid w:val="00AF551F"/>
    <w:rsid w:val="00AF5706"/>
    <w:rsid w:val="00B0025D"/>
    <w:rsid w:val="00B006D8"/>
    <w:rsid w:val="00B02238"/>
    <w:rsid w:val="00B03337"/>
    <w:rsid w:val="00B035B0"/>
    <w:rsid w:val="00B03D35"/>
    <w:rsid w:val="00B0458A"/>
    <w:rsid w:val="00B0487B"/>
    <w:rsid w:val="00B04AEB"/>
    <w:rsid w:val="00B05065"/>
    <w:rsid w:val="00B05194"/>
    <w:rsid w:val="00B0540F"/>
    <w:rsid w:val="00B059A9"/>
    <w:rsid w:val="00B061FF"/>
    <w:rsid w:val="00B0688D"/>
    <w:rsid w:val="00B06AA0"/>
    <w:rsid w:val="00B06B45"/>
    <w:rsid w:val="00B06D33"/>
    <w:rsid w:val="00B074B3"/>
    <w:rsid w:val="00B103C5"/>
    <w:rsid w:val="00B10AD8"/>
    <w:rsid w:val="00B13DA6"/>
    <w:rsid w:val="00B149B2"/>
    <w:rsid w:val="00B154B5"/>
    <w:rsid w:val="00B1664E"/>
    <w:rsid w:val="00B17303"/>
    <w:rsid w:val="00B1744E"/>
    <w:rsid w:val="00B20833"/>
    <w:rsid w:val="00B21343"/>
    <w:rsid w:val="00B219AA"/>
    <w:rsid w:val="00B21A5B"/>
    <w:rsid w:val="00B221C7"/>
    <w:rsid w:val="00B22D6E"/>
    <w:rsid w:val="00B24FB1"/>
    <w:rsid w:val="00B25143"/>
    <w:rsid w:val="00B25825"/>
    <w:rsid w:val="00B2585D"/>
    <w:rsid w:val="00B25962"/>
    <w:rsid w:val="00B266FA"/>
    <w:rsid w:val="00B26A9C"/>
    <w:rsid w:val="00B26C40"/>
    <w:rsid w:val="00B26D82"/>
    <w:rsid w:val="00B27359"/>
    <w:rsid w:val="00B30BA2"/>
    <w:rsid w:val="00B3194F"/>
    <w:rsid w:val="00B31DDF"/>
    <w:rsid w:val="00B32EB9"/>
    <w:rsid w:val="00B33B47"/>
    <w:rsid w:val="00B33F57"/>
    <w:rsid w:val="00B33FC2"/>
    <w:rsid w:val="00B3423E"/>
    <w:rsid w:val="00B347F1"/>
    <w:rsid w:val="00B34A99"/>
    <w:rsid w:val="00B3502B"/>
    <w:rsid w:val="00B35755"/>
    <w:rsid w:val="00B35774"/>
    <w:rsid w:val="00B3599F"/>
    <w:rsid w:val="00B35C3E"/>
    <w:rsid w:val="00B36473"/>
    <w:rsid w:val="00B408FD"/>
    <w:rsid w:val="00B40BEA"/>
    <w:rsid w:val="00B40EC3"/>
    <w:rsid w:val="00B4140A"/>
    <w:rsid w:val="00B414C9"/>
    <w:rsid w:val="00B41D9D"/>
    <w:rsid w:val="00B4220C"/>
    <w:rsid w:val="00B43B2D"/>
    <w:rsid w:val="00B44029"/>
    <w:rsid w:val="00B44FFA"/>
    <w:rsid w:val="00B45428"/>
    <w:rsid w:val="00B461F8"/>
    <w:rsid w:val="00B475CB"/>
    <w:rsid w:val="00B47943"/>
    <w:rsid w:val="00B47DE3"/>
    <w:rsid w:val="00B50446"/>
    <w:rsid w:val="00B506FA"/>
    <w:rsid w:val="00B50A6E"/>
    <w:rsid w:val="00B512D2"/>
    <w:rsid w:val="00B527BF"/>
    <w:rsid w:val="00B52AF7"/>
    <w:rsid w:val="00B52C0E"/>
    <w:rsid w:val="00B52DC6"/>
    <w:rsid w:val="00B530FD"/>
    <w:rsid w:val="00B53920"/>
    <w:rsid w:val="00B53C03"/>
    <w:rsid w:val="00B53C9C"/>
    <w:rsid w:val="00B54B68"/>
    <w:rsid w:val="00B55219"/>
    <w:rsid w:val="00B558FE"/>
    <w:rsid w:val="00B55D4A"/>
    <w:rsid w:val="00B56396"/>
    <w:rsid w:val="00B5639B"/>
    <w:rsid w:val="00B563B5"/>
    <w:rsid w:val="00B60C3E"/>
    <w:rsid w:val="00B615CB"/>
    <w:rsid w:val="00B61E41"/>
    <w:rsid w:val="00B62AE0"/>
    <w:rsid w:val="00B63E30"/>
    <w:rsid w:val="00B645FA"/>
    <w:rsid w:val="00B64775"/>
    <w:rsid w:val="00B64F04"/>
    <w:rsid w:val="00B657AB"/>
    <w:rsid w:val="00B65AF9"/>
    <w:rsid w:val="00B663CD"/>
    <w:rsid w:val="00B67B4F"/>
    <w:rsid w:val="00B702CD"/>
    <w:rsid w:val="00B72EBB"/>
    <w:rsid w:val="00B73288"/>
    <w:rsid w:val="00B74FE2"/>
    <w:rsid w:val="00B763BE"/>
    <w:rsid w:val="00B7749A"/>
    <w:rsid w:val="00B779BB"/>
    <w:rsid w:val="00B77B07"/>
    <w:rsid w:val="00B77BB8"/>
    <w:rsid w:val="00B800EC"/>
    <w:rsid w:val="00B8103D"/>
    <w:rsid w:val="00B81718"/>
    <w:rsid w:val="00B85A97"/>
    <w:rsid w:val="00B8600B"/>
    <w:rsid w:val="00B86278"/>
    <w:rsid w:val="00B86AF6"/>
    <w:rsid w:val="00B86E2A"/>
    <w:rsid w:val="00B877AA"/>
    <w:rsid w:val="00B87C87"/>
    <w:rsid w:val="00B87E3D"/>
    <w:rsid w:val="00B909D7"/>
    <w:rsid w:val="00B909E7"/>
    <w:rsid w:val="00B9389E"/>
    <w:rsid w:val="00B946A8"/>
    <w:rsid w:val="00B94EB5"/>
    <w:rsid w:val="00B966FB"/>
    <w:rsid w:val="00B96EA4"/>
    <w:rsid w:val="00B97282"/>
    <w:rsid w:val="00B97A3E"/>
    <w:rsid w:val="00B97A65"/>
    <w:rsid w:val="00B97DE9"/>
    <w:rsid w:val="00BA101D"/>
    <w:rsid w:val="00BA2F02"/>
    <w:rsid w:val="00BA2FFD"/>
    <w:rsid w:val="00BA3492"/>
    <w:rsid w:val="00BA428A"/>
    <w:rsid w:val="00BA4ED9"/>
    <w:rsid w:val="00BA5023"/>
    <w:rsid w:val="00BA5365"/>
    <w:rsid w:val="00BA56EB"/>
    <w:rsid w:val="00BA58B6"/>
    <w:rsid w:val="00BA62AD"/>
    <w:rsid w:val="00BA6DBD"/>
    <w:rsid w:val="00BB0267"/>
    <w:rsid w:val="00BB078B"/>
    <w:rsid w:val="00BB0DE7"/>
    <w:rsid w:val="00BB0E0C"/>
    <w:rsid w:val="00BB37AF"/>
    <w:rsid w:val="00BB4769"/>
    <w:rsid w:val="00BB4C08"/>
    <w:rsid w:val="00BB4FDA"/>
    <w:rsid w:val="00BB61BE"/>
    <w:rsid w:val="00BB6AC3"/>
    <w:rsid w:val="00BB779D"/>
    <w:rsid w:val="00BC050A"/>
    <w:rsid w:val="00BC066A"/>
    <w:rsid w:val="00BC122C"/>
    <w:rsid w:val="00BC17A9"/>
    <w:rsid w:val="00BC1866"/>
    <w:rsid w:val="00BC1DBD"/>
    <w:rsid w:val="00BC2414"/>
    <w:rsid w:val="00BC322A"/>
    <w:rsid w:val="00BC5092"/>
    <w:rsid w:val="00BC526B"/>
    <w:rsid w:val="00BC5737"/>
    <w:rsid w:val="00BC5EB0"/>
    <w:rsid w:val="00BC65A7"/>
    <w:rsid w:val="00BD1747"/>
    <w:rsid w:val="00BD3C68"/>
    <w:rsid w:val="00BD421D"/>
    <w:rsid w:val="00BD4493"/>
    <w:rsid w:val="00BD5052"/>
    <w:rsid w:val="00BD6B87"/>
    <w:rsid w:val="00BD6CFA"/>
    <w:rsid w:val="00BD73FC"/>
    <w:rsid w:val="00BD79B1"/>
    <w:rsid w:val="00BE03D0"/>
    <w:rsid w:val="00BE04D9"/>
    <w:rsid w:val="00BE08EF"/>
    <w:rsid w:val="00BE0BCC"/>
    <w:rsid w:val="00BE1722"/>
    <w:rsid w:val="00BE348F"/>
    <w:rsid w:val="00BE4614"/>
    <w:rsid w:val="00BE4E6F"/>
    <w:rsid w:val="00BE5100"/>
    <w:rsid w:val="00BE529D"/>
    <w:rsid w:val="00BE53DD"/>
    <w:rsid w:val="00BE573E"/>
    <w:rsid w:val="00BE59E2"/>
    <w:rsid w:val="00BE6584"/>
    <w:rsid w:val="00BE6637"/>
    <w:rsid w:val="00BE6F2B"/>
    <w:rsid w:val="00BE749B"/>
    <w:rsid w:val="00BE7D8D"/>
    <w:rsid w:val="00BF10E8"/>
    <w:rsid w:val="00BF2033"/>
    <w:rsid w:val="00BF3158"/>
    <w:rsid w:val="00BF3169"/>
    <w:rsid w:val="00BF34E0"/>
    <w:rsid w:val="00BF51B7"/>
    <w:rsid w:val="00BF56BE"/>
    <w:rsid w:val="00BF6676"/>
    <w:rsid w:val="00BF7BD9"/>
    <w:rsid w:val="00C004DD"/>
    <w:rsid w:val="00C00953"/>
    <w:rsid w:val="00C00F38"/>
    <w:rsid w:val="00C021B2"/>
    <w:rsid w:val="00C0314D"/>
    <w:rsid w:val="00C03312"/>
    <w:rsid w:val="00C03532"/>
    <w:rsid w:val="00C03605"/>
    <w:rsid w:val="00C039A5"/>
    <w:rsid w:val="00C03A04"/>
    <w:rsid w:val="00C03C67"/>
    <w:rsid w:val="00C046F7"/>
    <w:rsid w:val="00C064FE"/>
    <w:rsid w:val="00C066AB"/>
    <w:rsid w:val="00C06EA1"/>
    <w:rsid w:val="00C10C0B"/>
    <w:rsid w:val="00C10DD5"/>
    <w:rsid w:val="00C1122F"/>
    <w:rsid w:val="00C11A6C"/>
    <w:rsid w:val="00C11F76"/>
    <w:rsid w:val="00C12989"/>
    <w:rsid w:val="00C13567"/>
    <w:rsid w:val="00C13C61"/>
    <w:rsid w:val="00C14D9F"/>
    <w:rsid w:val="00C15A27"/>
    <w:rsid w:val="00C15FEF"/>
    <w:rsid w:val="00C165A1"/>
    <w:rsid w:val="00C16F1F"/>
    <w:rsid w:val="00C1776A"/>
    <w:rsid w:val="00C20301"/>
    <w:rsid w:val="00C20BBA"/>
    <w:rsid w:val="00C20FFB"/>
    <w:rsid w:val="00C22519"/>
    <w:rsid w:val="00C22725"/>
    <w:rsid w:val="00C22C7B"/>
    <w:rsid w:val="00C22F12"/>
    <w:rsid w:val="00C2305C"/>
    <w:rsid w:val="00C233D0"/>
    <w:rsid w:val="00C2380D"/>
    <w:rsid w:val="00C24162"/>
    <w:rsid w:val="00C24E78"/>
    <w:rsid w:val="00C2509D"/>
    <w:rsid w:val="00C26C06"/>
    <w:rsid w:val="00C2796E"/>
    <w:rsid w:val="00C27A2E"/>
    <w:rsid w:val="00C302BD"/>
    <w:rsid w:val="00C32176"/>
    <w:rsid w:val="00C344DC"/>
    <w:rsid w:val="00C34ABD"/>
    <w:rsid w:val="00C353CF"/>
    <w:rsid w:val="00C35F0A"/>
    <w:rsid w:val="00C35F43"/>
    <w:rsid w:val="00C363A9"/>
    <w:rsid w:val="00C36603"/>
    <w:rsid w:val="00C36C55"/>
    <w:rsid w:val="00C37088"/>
    <w:rsid w:val="00C3715E"/>
    <w:rsid w:val="00C40316"/>
    <w:rsid w:val="00C408C2"/>
    <w:rsid w:val="00C408D5"/>
    <w:rsid w:val="00C40B77"/>
    <w:rsid w:val="00C41401"/>
    <w:rsid w:val="00C41D3C"/>
    <w:rsid w:val="00C43801"/>
    <w:rsid w:val="00C44A07"/>
    <w:rsid w:val="00C44BDC"/>
    <w:rsid w:val="00C45BFB"/>
    <w:rsid w:val="00C45DCE"/>
    <w:rsid w:val="00C46085"/>
    <w:rsid w:val="00C46D15"/>
    <w:rsid w:val="00C47127"/>
    <w:rsid w:val="00C47BE7"/>
    <w:rsid w:val="00C50C7D"/>
    <w:rsid w:val="00C50FF9"/>
    <w:rsid w:val="00C52889"/>
    <w:rsid w:val="00C52D5A"/>
    <w:rsid w:val="00C52E8B"/>
    <w:rsid w:val="00C54B14"/>
    <w:rsid w:val="00C56C58"/>
    <w:rsid w:val="00C56CCC"/>
    <w:rsid w:val="00C60320"/>
    <w:rsid w:val="00C60A94"/>
    <w:rsid w:val="00C6352A"/>
    <w:rsid w:val="00C63D29"/>
    <w:rsid w:val="00C64538"/>
    <w:rsid w:val="00C65B2D"/>
    <w:rsid w:val="00C65C5D"/>
    <w:rsid w:val="00C65DA0"/>
    <w:rsid w:val="00C6656A"/>
    <w:rsid w:val="00C66C03"/>
    <w:rsid w:val="00C71104"/>
    <w:rsid w:val="00C711E5"/>
    <w:rsid w:val="00C716F1"/>
    <w:rsid w:val="00C72816"/>
    <w:rsid w:val="00C730CB"/>
    <w:rsid w:val="00C731FC"/>
    <w:rsid w:val="00C73586"/>
    <w:rsid w:val="00C73782"/>
    <w:rsid w:val="00C73F9C"/>
    <w:rsid w:val="00C74107"/>
    <w:rsid w:val="00C80D90"/>
    <w:rsid w:val="00C81245"/>
    <w:rsid w:val="00C81B05"/>
    <w:rsid w:val="00C82179"/>
    <w:rsid w:val="00C83607"/>
    <w:rsid w:val="00C836EE"/>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1F02"/>
    <w:rsid w:val="00C92840"/>
    <w:rsid w:val="00C934E0"/>
    <w:rsid w:val="00C94A2F"/>
    <w:rsid w:val="00C94BDC"/>
    <w:rsid w:val="00C961CA"/>
    <w:rsid w:val="00C96242"/>
    <w:rsid w:val="00C96454"/>
    <w:rsid w:val="00C96747"/>
    <w:rsid w:val="00CA08DA"/>
    <w:rsid w:val="00CA0FB8"/>
    <w:rsid w:val="00CA15F3"/>
    <w:rsid w:val="00CA2680"/>
    <w:rsid w:val="00CA3312"/>
    <w:rsid w:val="00CA4D23"/>
    <w:rsid w:val="00CA50CD"/>
    <w:rsid w:val="00CA522F"/>
    <w:rsid w:val="00CA563C"/>
    <w:rsid w:val="00CA567B"/>
    <w:rsid w:val="00CA6716"/>
    <w:rsid w:val="00CA6B37"/>
    <w:rsid w:val="00CA7483"/>
    <w:rsid w:val="00CA7FB2"/>
    <w:rsid w:val="00CB036A"/>
    <w:rsid w:val="00CB0D34"/>
    <w:rsid w:val="00CB1C4E"/>
    <w:rsid w:val="00CB2A98"/>
    <w:rsid w:val="00CB3818"/>
    <w:rsid w:val="00CB43AC"/>
    <w:rsid w:val="00CB5197"/>
    <w:rsid w:val="00CB6164"/>
    <w:rsid w:val="00CB6930"/>
    <w:rsid w:val="00CB79F7"/>
    <w:rsid w:val="00CC18C0"/>
    <w:rsid w:val="00CC1939"/>
    <w:rsid w:val="00CC23EB"/>
    <w:rsid w:val="00CC42D4"/>
    <w:rsid w:val="00CC4364"/>
    <w:rsid w:val="00CC5ABF"/>
    <w:rsid w:val="00CC64E3"/>
    <w:rsid w:val="00CC7712"/>
    <w:rsid w:val="00CC774A"/>
    <w:rsid w:val="00CD179A"/>
    <w:rsid w:val="00CD2030"/>
    <w:rsid w:val="00CD2536"/>
    <w:rsid w:val="00CD3DB8"/>
    <w:rsid w:val="00CD3F00"/>
    <w:rsid w:val="00CD407F"/>
    <w:rsid w:val="00CD4ED2"/>
    <w:rsid w:val="00CD548B"/>
    <w:rsid w:val="00CD5740"/>
    <w:rsid w:val="00CD6E49"/>
    <w:rsid w:val="00CD704E"/>
    <w:rsid w:val="00CD7420"/>
    <w:rsid w:val="00CD799F"/>
    <w:rsid w:val="00CD7A68"/>
    <w:rsid w:val="00CE0137"/>
    <w:rsid w:val="00CE0BA7"/>
    <w:rsid w:val="00CE19D0"/>
    <w:rsid w:val="00CE1D09"/>
    <w:rsid w:val="00CE2942"/>
    <w:rsid w:val="00CE2FAA"/>
    <w:rsid w:val="00CE36EF"/>
    <w:rsid w:val="00CE3B18"/>
    <w:rsid w:val="00CE3FC3"/>
    <w:rsid w:val="00CE4C13"/>
    <w:rsid w:val="00CE552B"/>
    <w:rsid w:val="00CE6ACB"/>
    <w:rsid w:val="00CE6D09"/>
    <w:rsid w:val="00CE72DC"/>
    <w:rsid w:val="00CF0105"/>
    <w:rsid w:val="00CF0E4D"/>
    <w:rsid w:val="00CF19C6"/>
    <w:rsid w:val="00CF230D"/>
    <w:rsid w:val="00CF2A98"/>
    <w:rsid w:val="00CF43C6"/>
    <w:rsid w:val="00CF5489"/>
    <w:rsid w:val="00CF7615"/>
    <w:rsid w:val="00CF7796"/>
    <w:rsid w:val="00CF7823"/>
    <w:rsid w:val="00CF78DA"/>
    <w:rsid w:val="00D003F8"/>
    <w:rsid w:val="00D0052C"/>
    <w:rsid w:val="00D01540"/>
    <w:rsid w:val="00D01AFE"/>
    <w:rsid w:val="00D01B9F"/>
    <w:rsid w:val="00D02757"/>
    <w:rsid w:val="00D02A5B"/>
    <w:rsid w:val="00D02FB7"/>
    <w:rsid w:val="00D04613"/>
    <w:rsid w:val="00D05C77"/>
    <w:rsid w:val="00D07581"/>
    <w:rsid w:val="00D07739"/>
    <w:rsid w:val="00D10769"/>
    <w:rsid w:val="00D11642"/>
    <w:rsid w:val="00D116C7"/>
    <w:rsid w:val="00D13AC5"/>
    <w:rsid w:val="00D13C39"/>
    <w:rsid w:val="00D149CF"/>
    <w:rsid w:val="00D14A15"/>
    <w:rsid w:val="00D14C59"/>
    <w:rsid w:val="00D14E5F"/>
    <w:rsid w:val="00D14FB2"/>
    <w:rsid w:val="00D15B6C"/>
    <w:rsid w:val="00D164EA"/>
    <w:rsid w:val="00D16754"/>
    <w:rsid w:val="00D17548"/>
    <w:rsid w:val="00D17604"/>
    <w:rsid w:val="00D17A20"/>
    <w:rsid w:val="00D17A85"/>
    <w:rsid w:val="00D17CC6"/>
    <w:rsid w:val="00D2041E"/>
    <w:rsid w:val="00D20454"/>
    <w:rsid w:val="00D20D10"/>
    <w:rsid w:val="00D2153B"/>
    <w:rsid w:val="00D23801"/>
    <w:rsid w:val="00D25AEC"/>
    <w:rsid w:val="00D25B2F"/>
    <w:rsid w:val="00D27D36"/>
    <w:rsid w:val="00D27E9B"/>
    <w:rsid w:val="00D3037E"/>
    <w:rsid w:val="00D305AC"/>
    <w:rsid w:val="00D30BF9"/>
    <w:rsid w:val="00D31FFD"/>
    <w:rsid w:val="00D32074"/>
    <w:rsid w:val="00D32376"/>
    <w:rsid w:val="00D326DD"/>
    <w:rsid w:val="00D33DBD"/>
    <w:rsid w:val="00D341C9"/>
    <w:rsid w:val="00D3447D"/>
    <w:rsid w:val="00D3488B"/>
    <w:rsid w:val="00D34A8C"/>
    <w:rsid w:val="00D35F32"/>
    <w:rsid w:val="00D361DE"/>
    <w:rsid w:val="00D37427"/>
    <w:rsid w:val="00D3793E"/>
    <w:rsid w:val="00D37E78"/>
    <w:rsid w:val="00D37FB2"/>
    <w:rsid w:val="00D404C7"/>
    <w:rsid w:val="00D41A6A"/>
    <w:rsid w:val="00D420E0"/>
    <w:rsid w:val="00D4233A"/>
    <w:rsid w:val="00D42A1E"/>
    <w:rsid w:val="00D43E3F"/>
    <w:rsid w:val="00D44B3D"/>
    <w:rsid w:val="00D45047"/>
    <w:rsid w:val="00D453A0"/>
    <w:rsid w:val="00D46787"/>
    <w:rsid w:val="00D4691A"/>
    <w:rsid w:val="00D46C4C"/>
    <w:rsid w:val="00D51635"/>
    <w:rsid w:val="00D51F18"/>
    <w:rsid w:val="00D52DA3"/>
    <w:rsid w:val="00D52E5A"/>
    <w:rsid w:val="00D53537"/>
    <w:rsid w:val="00D5360E"/>
    <w:rsid w:val="00D54E49"/>
    <w:rsid w:val="00D54E9E"/>
    <w:rsid w:val="00D551C8"/>
    <w:rsid w:val="00D55972"/>
    <w:rsid w:val="00D564BB"/>
    <w:rsid w:val="00D565FA"/>
    <w:rsid w:val="00D5674B"/>
    <w:rsid w:val="00D568ED"/>
    <w:rsid w:val="00D56BF9"/>
    <w:rsid w:val="00D56E3F"/>
    <w:rsid w:val="00D571B4"/>
    <w:rsid w:val="00D6014E"/>
    <w:rsid w:val="00D6063B"/>
    <w:rsid w:val="00D61F15"/>
    <w:rsid w:val="00D624A9"/>
    <w:rsid w:val="00D630E7"/>
    <w:rsid w:val="00D640BA"/>
    <w:rsid w:val="00D6444B"/>
    <w:rsid w:val="00D64C56"/>
    <w:rsid w:val="00D65A49"/>
    <w:rsid w:val="00D66410"/>
    <w:rsid w:val="00D66472"/>
    <w:rsid w:val="00D66D20"/>
    <w:rsid w:val="00D66F17"/>
    <w:rsid w:val="00D67CDB"/>
    <w:rsid w:val="00D700E5"/>
    <w:rsid w:val="00D70900"/>
    <w:rsid w:val="00D71B77"/>
    <w:rsid w:val="00D725CA"/>
    <w:rsid w:val="00D74A87"/>
    <w:rsid w:val="00D755DE"/>
    <w:rsid w:val="00D7587B"/>
    <w:rsid w:val="00D75CE3"/>
    <w:rsid w:val="00D76186"/>
    <w:rsid w:val="00D771E9"/>
    <w:rsid w:val="00D7771F"/>
    <w:rsid w:val="00D817F1"/>
    <w:rsid w:val="00D825BC"/>
    <w:rsid w:val="00D82706"/>
    <w:rsid w:val="00D8312E"/>
    <w:rsid w:val="00D8414C"/>
    <w:rsid w:val="00D844B1"/>
    <w:rsid w:val="00D86C20"/>
    <w:rsid w:val="00D86DD4"/>
    <w:rsid w:val="00D90998"/>
    <w:rsid w:val="00D909BB"/>
    <w:rsid w:val="00D91D92"/>
    <w:rsid w:val="00D92529"/>
    <w:rsid w:val="00D92870"/>
    <w:rsid w:val="00D94BD0"/>
    <w:rsid w:val="00D973C9"/>
    <w:rsid w:val="00D9781A"/>
    <w:rsid w:val="00DA041C"/>
    <w:rsid w:val="00DA1613"/>
    <w:rsid w:val="00DA29C5"/>
    <w:rsid w:val="00DA2AEB"/>
    <w:rsid w:val="00DA330A"/>
    <w:rsid w:val="00DA4300"/>
    <w:rsid w:val="00DA5AAB"/>
    <w:rsid w:val="00DA5F70"/>
    <w:rsid w:val="00DA671A"/>
    <w:rsid w:val="00DA6858"/>
    <w:rsid w:val="00DA7233"/>
    <w:rsid w:val="00DA7CBB"/>
    <w:rsid w:val="00DB08FA"/>
    <w:rsid w:val="00DB1637"/>
    <w:rsid w:val="00DB1CD7"/>
    <w:rsid w:val="00DB2086"/>
    <w:rsid w:val="00DB2651"/>
    <w:rsid w:val="00DB28B4"/>
    <w:rsid w:val="00DB2A1C"/>
    <w:rsid w:val="00DB30B1"/>
    <w:rsid w:val="00DB31FF"/>
    <w:rsid w:val="00DB3ECD"/>
    <w:rsid w:val="00DB4717"/>
    <w:rsid w:val="00DB75E7"/>
    <w:rsid w:val="00DB79D5"/>
    <w:rsid w:val="00DB7F8E"/>
    <w:rsid w:val="00DC00E8"/>
    <w:rsid w:val="00DC0F8C"/>
    <w:rsid w:val="00DC12C8"/>
    <w:rsid w:val="00DC1C61"/>
    <w:rsid w:val="00DC36E8"/>
    <w:rsid w:val="00DC5C68"/>
    <w:rsid w:val="00DC6AB5"/>
    <w:rsid w:val="00DC6F31"/>
    <w:rsid w:val="00DC7004"/>
    <w:rsid w:val="00DC7FFD"/>
    <w:rsid w:val="00DD0277"/>
    <w:rsid w:val="00DD1129"/>
    <w:rsid w:val="00DD1B11"/>
    <w:rsid w:val="00DD1B33"/>
    <w:rsid w:val="00DD1CE2"/>
    <w:rsid w:val="00DD645B"/>
    <w:rsid w:val="00DD6667"/>
    <w:rsid w:val="00DD6D82"/>
    <w:rsid w:val="00DD7594"/>
    <w:rsid w:val="00DD786C"/>
    <w:rsid w:val="00DD7E6D"/>
    <w:rsid w:val="00DE045E"/>
    <w:rsid w:val="00DE1240"/>
    <w:rsid w:val="00DE1AA5"/>
    <w:rsid w:val="00DE1E1F"/>
    <w:rsid w:val="00DE231A"/>
    <w:rsid w:val="00DE23D6"/>
    <w:rsid w:val="00DE2825"/>
    <w:rsid w:val="00DE29B9"/>
    <w:rsid w:val="00DE2CB6"/>
    <w:rsid w:val="00DE2DDE"/>
    <w:rsid w:val="00DE30B8"/>
    <w:rsid w:val="00DE395F"/>
    <w:rsid w:val="00DE423F"/>
    <w:rsid w:val="00DE4978"/>
    <w:rsid w:val="00DE5039"/>
    <w:rsid w:val="00DE5414"/>
    <w:rsid w:val="00DE5BAE"/>
    <w:rsid w:val="00DE7566"/>
    <w:rsid w:val="00DE7E46"/>
    <w:rsid w:val="00DF066D"/>
    <w:rsid w:val="00DF0C37"/>
    <w:rsid w:val="00DF135C"/>
    <w:rsid w:val="00DF24FD"/>
    <w:rsid w:val="00DF2506"/>
    <w:rsid w:val="00DF2F26"/>
    <w:rsid w:val="00DF301A"/>
    <w:rsid w:val="00DF3469"/>
    <w:rsid w:val="00DF3BE2"/>
    <w:rsid w:val="00DF4E2C"/>
    <w:rsid w:val="00DF4E34"/>
    <w:rsid w:val="00DF4F1B"/>
    <w:rsid w:val="00DF5ACC"/>
    <w:rsid w:val="00DF5CAC"/>
    <w:rsid w:val="00DF5CF7"/>
    <w:rsid w:val="00DF5DC3"/>
    <w:rsid w:val="00DF6A93"/>
    <w:rsid w:val="00DF75EC"/>
    <w:rsid w:val="00DF7D56"/>
    <w:rsid w:val="00E002D6"/>
    <w:rsid w:val="00E00E96"/>
    <w:rsid w:val="00E0133D"/>
    <w:rsid w:val="00E0199E"/>
    <w:rsid w:val="00E019ED"/>
    <w:rsid w:val="00E01B31"/>
    <w:rsid w:val="00E01E09"/>
    <w:rsid w:val="00E02392"/>
    <w:rsid w:val="00E0312F"/>
    <w:rsid w:val="00E03889"/>
    <w:rsid w:val="00E04C48"/>
    <w:rsid w:val="00E05C97"/>
    <w:rsid w:val="00E05DA6"/>
    <w:rsid w:val="00E06065"/>
    <w:rsid w:val="00E06A81"/>
    <w:rsid w:val="00E07901"/>
    <w:rsid w:val="00E079C6"/>
    <w:rsid w:val="00E10BFA"/>
    <w:rsid w:val="00E1262D"/>
    <w:rsid w:val="00E1273C"/>
    <w:rsid w:val="00E128A2"/>
    <w:rsid w:val="00E1434A"/>
    <w:rsid w:val="00E146CF"/>
    <w:rsid w:val="00E14BED"/>
    <w:rsid w:val="00E15BA6"/>
    <w:rsid w:val="00E17711"/>
    <w:rsid w:val="00E211F7"/>
    <w:rsid w:val="00E23501"/>
    <w:rsid w:val="00E23C05"/>
    <w:rsid w:val="00E2407B"/>
    <w:rsid w:val="00E2425F"/>
    <w:rsid w:val="00E242F0"/>
    <w:rsid w:val="00E245B0"/>
    <w:rsid w:val="00E2461C"/>
    <w:rsid w:val="00E247E2"/>
    <w:rsid w:val="00E24B86"/>
    <w:rsid w:val="00E24EF9"/>
    <w:rsid w:val="00E27F00"/>
    <w:rsid w:val="00E301A0"/>
    <w:rsid w:val="00E302AD"/>
    <w:rsid w:val="00E30431"/>
    <w:rsid w:val="00E304EB"/>
    <w:rsid w:val="00E329D0"/>
    <w:rsid w:val="00E330AD"/>
    <w:rsid w:val="00E33746"/>
    <w:rsid w:val="00E342B3"/>
    <w:rsid w:val="00E3451F"/>
    <w:rsid w:val="00E3469B"/>
    <w:rsid w:val="00E34B80"/>
    <w:rsid w:val="00E3590B"/>
    <w:rsid w:val="00E36ADF"/>
    <w:rsid w:val="00E36B53"/>
    <w:rsid w:val="00E37585"/>
    <w:rsid w:val="00E40652"/>
    <w:rsid w:val="00E41B64"/>
    <w:rsid w:val="00E41F4B"/>
    <w:rsid w:val="00E4203F"/>
    <w:rsid w:val="00E422B5"/>
    <w:rsid w:val="00E42C35"/>
    <w:rsid w:val="00E42EE0"/>
    <w:rsid w:val="00E43ACE"/>
    <w:rsid w:val="00E43E70"/>
    <w:rsid w:val="00E447D5"/>
    <w:rsid w:val="00E44995"/>
    <w:rsid w:val="00E4557B"/>
    <w:rsid w:val="00E460C8"/>
    <w:rsid w:val="00E469D5"/>
    <w:rsid w:val="00E46CD5"/>
    <w:rsid w:val="00E500D9"/>
    <w:rsid w:val="00E51AB5"/>
    <w:rsid w:val="00E51DFD"/>
    <w:rsid w:val="00E52345"/>
    <w:rsid w:val="00E52763"/>
    <w:rsid w:val="00E53948"/>
    <w:rsid w:val="00E53DED"/>
    <w:rsid w:val="00E5411A"/>
    <w:rsid w:val="00E55119"/>
    <w:rsid w:val="00E55509"/>
    <w:rsid w:val="00E5619A"/>
    <w:rsid w:val="00E563AE"/>
    <w:rsid w:val="00E565F4"/>
    <w:rsid w:val="00E568D9"/>
    <w:rsid w:val="00E56E35"/>
    <w:rsid w:val="00E57005"/>
    <w:rsid w:val="00E60B3B"/>
    <w:rsid w:val="00E61029"/>
    <w:rsid w:val="00E6177F"/>
    <w:rsid w:val="00E62BF6"/>
    <w:rsid w:val="00E6376A"/>
    <w:rsid w:val="00E638B2"/>
    <w:rsid w:val="00E64A96"/>
    <w:rsid w:val="00E6575A"/>
    <w:rsid w:val="00E65B70"/>
    <w:rsid w:val="00E66288"/>
    <w:rsid w:val="00E662CD"/>
    <w:rsid w:val="00E67427"/>
    <w:rsid w:val="00E676F1"/>
    <w:rsid w:val="00E70088"/>
    <w:rsid w:val="00E705FE"/>
    <w:rsid w:val="00E70C7F"/>
    <w:rsid w:val="00E73271"/>
    <w:rsid w:val="00E735DA"/>
    <w:rsid w:val="00E73F5C"/>
    <w:rsid w:val="00E74214"/>
    <w:rsid w:val="00E74762"/>
    <w:rsid w:val="00E74D52"/>
    <w:rsid w:val="00E75855"/>
    <w:rsid w:val="00E758BB"/>
    <w:rsid w:val="00E75D63"/>
    <w:rsid w:val="00E7609C"/>
    <w:rsid w:val="00E80278"/>
    <w:rsid w:val="00E80724"/>
    <w:rsid w:val="00E80E3F"/>
    <w:rsid w:val="00E814F5"/>
    <w:rsid w:val="00E82556"/>
    <w:rsid w:val="00E83A40"/>
    <w:rsid w:val="00E84688"/>
    <w:rsid w:val="00E85288"/>
    <w:rsid w:val="00E85CBE"/>
    <w:rsid w:val="00E86566"/>
    <w:rsid w:val="00E875F5"/>
    <w:rsid w:val="00E905D8"/>
    <w:rsid w:val="00E906F6"/>
    <w:rsid w:val="00E92527"/>
    <w:rsid w:val="00E92A93"/>
    <w:rsid w:val="00E93620"/>
    <w:rsid w:val="00E951D5"/>
    <w:rsid w:val="00E9567F"/>
    <w:rsid w:val="00E959A0"/>
    <w:rsid w:val="00E969FC"/>
    <w:rsid w:val="00E97045"/>
    <w:rsid w:val="00E97B8E"/>
    <w:rsid w:val="00E97DA3"/>
    <w:rsid w:val="00E97E70"/>
    <w:rsid w:val="00EA0CE1"/>
    <w:rsid w:val="00EA1086"/>
    <w:rsid w:val="00EA270C"/>
    <w:rsid w:val="00EA3185"/>
    <w:rsid w:val="00EA36EA"/>
    <w:rsid w:val="00EA443F"/>
    <w:rsid w:val="00EA466B"/>
    <w:rsid w:val="00EA5CB5"/>
    <w:rsid w:val="00EA5CF4"/>
    <w:rsid w:val="00EA67AD"/>
    <w:rsid w:val="00EA72FC"/>
    <w:rsid w:val="00EA7E45"/>
    <w:rsid w:val="00EB09B9"/>
    <w:rsid w:val="00EB30BE"/>
    <w:rsid w:val="00EB3404"/>
    <w:rsid w:val="00EB3599"/>
    <w:rsid w:val="00EB3C52"/>
    <w:rsid w:val="00EB5799"/>
    <w:rsid w:val="00EB76F7"/>
    <w:rsid w:val="00EB7CB1"/>
    <w:rsid w:val="00EC01B9"/>
    <w:rsid w:val="00EC04E1"/>
    <w:rsid w:val="00EC0569"/>
    <w:rsid w:val="00EC084D"/>
    <w:rsid w:val="00EC0C7B"/>
    <w:rsid w:val="00EC1C35"/>
    <w:rsid w:val="00EC1F63"/>
    <w:rsid w:val="00EC358F"/>
    <w:rsid w:val="00EC3F0C"/>
    <w:rsid w:val="00EC5C49"/>
    <w:rsid w:val="00EC5E45"/>
    <w:rsid w:val="00EC5ED6"/>
    <w:rsid w:val="00EC608C"/>
    <w:rsid w:val="00EC61C2"/>
    <w:rsid w:val="00EC6DE5"/>
    <w:rsid w:val="00ED0557"/>
    <w:rsid w:val="00ED0CF0"/>
    <w:rsid w:val="00ED34D4"/>
    <w:rsid w:val="00ED3D84"/>
    <w:rsid w:val="00ED42FF"/>
    <w:rsid w:val="00ED5E6C"/>
    <w:rsid w:val="00ED766C"/>
    <w:rsid w:val="00ED76FB"/>
    <w:rsid w:val="00EE05C2"/>
    <w:rsid w:val="00EE0D01"/>
    <w:rsid w:val="00EE30EE"/>
    <w:rsid w:val="00EE3C6D"/>
    <w:rsid w:val="00EE4028"/>
    <w:rsid w:val="00EE4C6E"/>
    <w:rsid w:val="00EE5135"/>
    <w:rsid w:val="00EE558C"/>
    <w:rsid w:val="00EE61BE"/>
    <w:rsid w:val="00EE6DE6"/>
    <w:rsid w:val="00EE790F"/>
    <w:rsid w:val="00EF057C"/>
    <w:rsid w:val="00EF1D14"/>
    <w:rsid w:val="00EF334E"/>
    <w:rsid w:val="00EF4685"/>
    <w:rsid w:val="00EF4FEE"/>
    <w:rsid w:val="00EF6873"/>
    <w:rsid w:val="00EF6F24"/>
    <w:rsid w:val="00EF7143"/>
    <w:rsid w:val="00F0080B"/>
    <w:rsid w:val="00F00BE1"/>
    <w:rsid w:val="00F01B31"/>
    <w:rsid w:val="00F02D9C"/>
    <w:rsid w:val="00F038D5"/>
    <w:rsid w:val="00F03AB9"/>
    <w:rsid w:val="00F03F4E"/>
    <w:rsid w:val="00F0439A"/>
    <w:rsid w:val="00F06479"/>
    <w:rsid w:val="00F06958"/>
    <w:rsid w:val="00F076C5"/>
    <w:rsid w:val="00F10B0A"/>
    <w:rsid w:val="00F120D9"/>
    <w:rsid w:val="00F124BE"/>
    <w:rsid w:val="00F125DE"/>
    <w:rsid w:val="00F12638"/>
    <w:rsid w:val="00F12A9F"/>
    <w:rsid w:val="00F13137"/>
    <w:rsid w:val="00F14C13"/>
    <w:rsid w:val="00F211DE"/>
    <w:rsid w:val="00F21D2A"/>
    <w:rsid w:val="00F2254A"/>
    <w:rsid w:val="00F22B7B"/>
    <w:rsid w:val="00F22EDB"/>
    <w:rsid w:val="00F23570"/>
    <w:rsid w:val="00F24232"/>
    <w:rsid w:val="00F24E8D"/>
    <w:rsid w:val="00F2526C"/>
    <w:rsid w:val="00F261F0"/>
    <w:rsid w:val="00F27170"/>
    <w:rsid w:val="00F30016"/>
    <w:rsid w:val="00F3058F"/>
    <w:rsid w:val="00F30CE5"/>
    <w:rsid w:val="00F3144A"/>
    <w:rsid w:val="00F31C75"/>
    <w:rsid w:val="00F32543"/>
    <w:rsid w:val="00F33277"/>
    <w:rsid w:val="00F339D7"/>
    <w:rsid w:val="00F33CE0"/>
    <w:rsid w:val="00F3402A"/>
    <w:rsid w:val="00F340CD"/>
    <w:rsid w:val="00F341B5"/>
    <w:rsid w:val="00F341CC"/>
    <w:rsid w:val="00F342DC"/>
    <w:rsid w:val="00F34E67"/>
    <w:rsid w:val="00F35E63"/>
    <w:rsid w:val="00F36AE4"/>
    <w:rsid w:val="00F36B6C"/>
    <w:rsid w:val="00F36D10"/>
    <w:rsid w:val="00F370DC"/>
    <w:rsid w:val="00F37487"/>
    <w:rsid w:val="00F37566"/>
    <w:rsid w:val="00F37C18"/>
    <w:rsid w:val="00F37E5B"/>
    <w:rsid w:val="00F40CAB"/>
    <w:rsid w:val="00F40D09"/>
    <w:rsid w:val="00F4352E"/>
    <w:rsid w:val="00F43960"/>
    <w:rsid w:val="00F43C3C"/>
    <w:rsid w:val="00F44B59"/>
    <w:rsid w:val="00F459C7"/>
    <w:rsid w:val="00F45D8C"/>
    <w:rsid w:val="00F468CA"/>
    <w:rsid w:val="00F47C5C"/>
    <w:rsid w:val="00F50173"/>
    <w:rsid w:val="00F510A6"/>
    <w:rsid w:val="00F53166"/>
    <w:rsid w:val="00F53A12"/>
    <w:rsid w:val="00F54856"/>
    <w:rsid w:val="00F55337"/>
    <w:rsid w:val="00F5539B"/>
    <w:rsid w:val="00F5565E"/>
    <w:rsid w:val="00F55D35"/>
    <w:rsid w:val="00F56AF3"/>
    <w:rsid w:val="00F56CB9"/>
    <w:rsid w:val="00F57650"/>
    <w:rsid w:val="00F579FC"/>
    <w:rsid w:val="00F57FD9"/>
    <w:rsid w:val="00F6089D"/>
    <w:rsid w:val="00F60C74"/>
    <w:rsid w:val="00F61841"/>
    <w:rsid w:val="00F62773"/>
    <w:rsid w:val="00F62FE5"/>
    <w:rsid w:val="00F64DD3"/>
    <w:rsid w:val="00F64F51"/>
    <w:rsid w:val="00F66122"/>
    <w:rsid w:val="00F666FD"/>
    <w:rsid w:val="00F67099"/>
    <w:rsid w:val="00F672F1"/>
    <w:rsid w:val="00F67A35"/>
    <w:rsid w:val="00F72620"/>
    <w:rsid w:val="00F733CC"/>
    <w:rsid w:val="00F73930"/>
    <w:rsid w:val="00F74118"/>
    <w:rsid w:val="00F759AD"/>
    <w:rsid w:val="00F75BDF"/>
    <w:rsid w:val="00F765E8"/>
    <w:rsid w:val="00F7768D"/>
    <w:rsid w:val="00F80F3C"/>
    <w:rsid w:val="00F8200C"/>
    <w:rsid w:val="00F856F0"/>
    <w:rsid w:val="00F85D77"/>
    <w:rsid w:val="00F86D88"/>
    <w:rsid w:val="00F87FA7"/>
    <w:rsid w:val="00F9002C"/>
    <w:rsid w:val="00F90255"/>
    <w:rsid w:val="00F90898"/>
    <w:rsid w:val="00F90A10"/>
    <w:rsid w:val="00F911DD"/>
    <w:rsid w:val="00F914C8"/>
    <w:rsid w:val="00F914EA"/>
    <w:rsid w:val="00F91839"/>
    <w:rsid w:val="00F91CC0"/>
    <w:rsid w:val="00F928CE"/>
    <w:rsid w:val="00F92EAE"/>
    <w:rsid w:val="00F92EEE"/>
    <w:rsid w:val="00F945B2"/>
    <w:rsid w:val="00F9473C"/>
    <w:rsid w:val="00F947A1"/>
    <w:rsid w:val="00F977CB"/>
    <w:rsid w:val="00FA0942"/>
    <w:rsid w:val="00FA2910"/>
    <w:rsid w:val="00FA3D8C"/>
    <w:rsid w:val="00FA40A3"/>
    <w:rsid w:val="00FA427F"/>
    <w:rsid w:val="00FA45CD"/>
    <w:rsid w:val="00FA5B17"/>
    <w:rsid w:val="00FA6924"/>
    <w:rsid w:val="00FB01CC"/>
    <w:rsid w:val="00FB1350"/>
    <w:rsid w:val="00FB16CA"/>
    <w:rsid w:val="00FB26BD"/>
    <w:rsid w:val="00FB2DE1"/>
    <w:rsid w:val="00FB33FA"/>
    <w:rsid w:val="00FB3B56"/>
    <w:rsid w:val="00FB3BA6"/>
    <w:rsid w:val="00FB4D65"/>
    <w:rsid w:val="00FB56CA"/>
    <w:rsid w:val="00FB5954"/>
    <w:rsid w:val="00FB5B4B"/>
    <w:rsid w:val="00FB6695"/>
    <w:rsid w:val="00FC0253"/>
    <w:rsid w:val="00FC085C"/>
    <w:rsid w:val="00FC0CDF"/>
    <w:rsid w:val="00FC0D7C"/>
    <w:rsid w:val="00FC163A"/>
    <w:rsid w:val="00FC16FB"/>
    <w:rsid w:val="00FC183A"/>
    <w:rsid w:val="00FC19F5"/>
    <w:rsid w:val="00FC3D1C"/>
    <w:rsid w:val="00FC51C4"/>
    <w:rsid w:val="00FC5656"/>
    <w:rsid w:val="00FC5F90"/>
    <w:rsid w:val="00FC64F3"/>
    <w:rsid w:val="00FC72E0"/>
    <w:rsid w:val="00FD08A7"/>
    <w:rsid w:val="00FD1295"/>
    <w:rsid w:val="00FD29E9"/>
    <w:rsid w:val="00FD2E55"/>
    <w:rsid w:val="00FD2FA9"/>
    <w:rsid w:val="00FD3572"/>
    <w:rsid w:val="00FD36D4"/>
    <w:rsid w:val="00FD510B"/>
    <w:rsid w:val="00FD52F8"/>
    <w:rsid w:val="00FD5360"/>
    <w:rsid w:val="00FD54CC"/>
    <w:rsid w:val="00FD6B34"/>
    <w:rsid w:val="00FD6C8C"/>
    <w:rsid w:val="00FD6DBB"/>
    <w:rsid w:val="00FD795C"/>
    <w:rsid w:val="00FE06A2"/>
    <w:rsid w:val="00FE0CE6"/>
    <w:rsid w:val="00FE0FBC"/>
    <w:rsid w:val="00FE169D"/>
    <w:rsid w:val="00FE28C8"/>
    <w:rsid w:val="00FE2C3A"/>
    <w:rsid w:val="00FE4CFC"/>
    <w:rsid w:val="00FE5E92"/>
    <w:rsid w:val="00FE62CD"/>
    <w:rsid w:val="00FE6871"/>
    <w:rsid w:val="00FE79EF"/>
    <w:rsid w:val="00FF025A"/>
    <w:rsid w:val="00FF088B"/>
    <w:rsid w:val="00FF0AC4"/>
    <w:rsid w:val="00FF0D1C"/>
    <w:rsid w:val="00FF10AF"/>
    <w:rsid w:val="00FF1304"/>
    <w:rsid w:val="00FF18BB"/>
    <w:rsid w:val="00FF22C2"/>
    <w:rsid w:val="00FF23FB"/>
    <w:rsid w:val="00FF3298"/>
    <w:rsid w:val="00FF334E"/>
    <w:rsid w:val="00FF394B"/>
    <w:rsid w:val="00FF4EB5"/>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2DD7E46-3B39-4E3D-9D16-9ADC5352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7F79-AAD8-4FA6-98AA-9C1B9A9D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2982</Words>
  <Characters>16105</Characters>
  <Application>Microsoft Office Word</Application>
  <DocSecurity>4</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19049</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2012-07-03T13:51:00Z</cp:lastPrinted>
  <dcterms:created xsi:type="dcterms:W3CDTF">2015-05-07T12:47:00Z</dcterms:created>
  <dcterms:modified xsi:type="dcterms:W3CDTF">2015-05-07T12:47:00Z</dcterms:modified>
</cp:coreProperties>
</file>