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7178AF"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7178AF">
        <w:rPr>
          <w:rFonts w:ascii="Times New Roman" w:hAnsi="Times New Roman"/>
          <w:b/>
          <w:i w:val="0"/>
          <w:color w:val="000000"/>
          <w:sz w:val="22"/>
          <w:szCs w:val="22"/>
        </w:rPr>
        <w:t>Sess</w:t>
      </w:r>
      <w:r w:rsidR="003D0153" w:rsidRPr="007178AF">
        <w:rPr>
          <w:rFonts w:ascii="Times New Roman" w:hAnsi="Times New Roman"/>
          <w:b/>
          <w:i w:val="0"/>
          <w:color w:val="000000"/>
          <w:sz w:val="22"/>
          <w:szCs w:val="22"/>
        </w:rPr>
        <w:t>ões</w:t>
      </w:r>
      <w:r w:rsidRPr="007178AF">
        <w:rPr>
          <w:rFonts w:ascii="Times New Roman" w:hAnsi="Times New Roman"/>
          <w:b/>
          <w:i w:val="0"/>
          <w:color w:val="000000"/>
          <w:sz w:val="22"/>
          <w:szCs w:val="22"/>
        </w:rPr>
        <w:t xml:space="preserve">: </w:t>
      </w:r>
      <w:r w:rsidR="00A23110">
        <w:rPr>
          <w:rFonts w:ascii="Times New Roman" w:hAnsi="Times New Roman"/>
          <w:b/>
          <w:i w:val="0"/>
          <w:color w:val="000000"/>
          <w:sz w:val="22"/>
          <w:szCs w:val="22"/>
        </w:rPr>
        <w:t xml:space="preserve">19 e </w:t>
      </w:r>
      <w:r w:rsidR="0053655B" w:rsidRPr="007178AF">
        <w:rPr>
          <w:rFonts w:ascii="Times New Roman" w:hAnsi="Times New Roman"/>
          <w:b/>
          <w:i w:val="0"/>
          <w:color w:val="000000"/>
          <w:sz w:val="22"/>
          <w:szCs w:val="22"/>
        </w:rPr>
        <w:t>20</w:t>
      </w:r>
      <w:r w:rsidR="000227F4" w:rsidRPr="007178AF">
        <w:rPr>
          <w:rFonts w:ascii="Times New Roman" w:hAnsi="Times New Roman"/>
          <w:b/>
          <w:i w:val="0"/>
          <w:color w:val="000000"/>
          <w:sz w:val="22"/>
          <w:szCs w:val="22"/>
        </w:rPr>
        <w:t xml:space="preserve"> </w:t>
      </w:r>
      <w:r w:rsidR="00AE591D" w:rsidRPr="007178AF">
        <w:rPr>
          <w:rFonts w:ascii="Times New Roman" w:hAnsi="Times New Roman"/>
          <w:b/>
          <w:i w:val="0"/>
          <w:color w:val="000000"/>
          <w:sz w:val="22"/>
          <w:szCs w:val="22"/>
        </w:rPr>
        <w:t xml:space="preserve">de </w:t>
      </w:r>
      <w:r w:rsidR="00083514" w:rsidRPr="007178AF">
        <w:rPr>
          <w:rFonts w:ascii="Times New Roman" w:hAnsi="Times New Roman"/>
          <w:b/>
          <w:i w:val="0"/>
          <w:color w:val="000000"/>
          <w:sz w:val="22"/>
          <w:szCs w:val="22"/>
        </w:rPr>
        <w:t>junho</w:t>
      </w:r>
      <w:r w:rsidR="00025753" w:rsidRPr="007178AF">
        <w:rPr>
          <w:rFonts w:ascii="Times New Roman" w:hAnsi="Times New Roman"/>
          <w:b/>
          <w:i w:val="0"/>
          <w:color w:val="000000"/>
          <w:sz w:val="22"/>
          <w:szCs w:val="22"/>
        </w:rPr>
        <w:t xml:space="preserve"> </w:t>
      </w:r>
      <w:r w:rsidRPr="007178AF">
        <w:rPr>
          <w:rFonts w:ascii="Times New Roman" w:hAnsi="Times New Roman"/>
          <w:b/>
          <w:i w:val="0"/>
          <w:color w:val="000000"/>
          <w:sz w:val="22"/>
          <w:szCs w:val="22"/>
        </w:rPr>
        <w:t>de 201</w:t>
      </w:r>
      <w:r w:rsidR="00025753" w:rsidRPr="007178AF">
        <w:rPr>
          <w:rFonts w:ascii="Times New Roman" w:hAnsi="Times New Roman"/>
          <w:b/>
          <w:i w:val="0"/>
          <w:color w:val="000000"/>
          <w:sz w:val="22"/>
          <w:szCs w:val="22"/>
        </w:rPr>
        <w:t>2</w:t>
      </w:r>
    </w:p>
    <w:p w:rsidR="002D35F5" w:rsidRPr="007178AF" w:rsidRDefault="002D35F5" w:rsidP="006564F2">
      <w:pPr>
        <w:pStyle w:val="Corpodetexto2"/>
        <w:spacing w:after="0" w:line="240" w:lineRule="auto"/>
        <w:ind w:left="0"/>
        <w:rPr>
          <w:sz w:val="22"/>
          <w:szCs w:val="22"/>
        </w:rPr>
      </w:pPr>
      <w:r w:rsidRPr="007178AF">
        <w:rPr>
          <w:sz w:val="22"/>
          <w:szCs w:val="22"/>
        </w:rPr>
        <w:t>Este Informativo, elaborado a partir das deliberações tomadas pelo Tribunal nas sessões de julgamento das Câmaras e do Plenário, contém resumos de algumas decisões proferidas na</w:t>
      </w:r>
      <w:r w:rsidR="003D0153" w:rsidRPr="007178AF">
        <w:rPr>
          <w:sz w:val="22"/>
          <w:szCs w:val="22"/>
        </w:rPr>
        <w:t>s</w:t>
      </w:r>
      <w:r w:rsidRPr="007178AF">
        <w:rPr>
          <w:sz w:val="22"/>
          <w:szCs w:val="22"/>
        </w:rPr>
        <w:t xml:space="preserve"> data</w:t>
      </w:r>
      <w:r w:rsidR="003D0153" w:rsidRPr="007178AF">
        <w:rPr>
          <w:sz w:val="22"/>
          <w:szCs w:val="22"/>
        </w:rPr>
        <w:t>s</w:t>
      </w:r>
      <w:r w:rsidRPr="007178AF">
        <w:rPr>
          <w:sz w:val="22"/>
          <w:szCs w:val="22"/>
        </w:rPr>
        <w:t xml:space="preserve"> acima indicada</w:t>
      </w:r>
      <w:r w:rsidR="003D0153" w:rsidRPr="007178AF">
        <w:rPr>
          <w:sz w:val="22"/>
          <w:szCs w:val="22"/>
        </w:rPr>
        <w:t>s</w:t>
      </w:r>
      <w:r w:rsidRPr="007178AF">
        <w:rPr>
          <w:sz w:val="22"/>
          <w:szCs w:val="22"/>
        </w:rPr>
        <w:t>, relativas a licitações e contratos, e tem por finalidade facilitar o acompanhamento, pelo leitor, d</w:t>
      </w:r>
      <w:r w:rsidR="000E5EAB" w:rsidRPr="007178AF">
        <w:rPr>
          <w:sz w:val="22"/>
          <w:szCs w:val="22"/>
        </w:rPr>
        <w:t>o</w:t>
      </w:r>
      <w:r w:rsidRPr="007178AF">
        <w:rPr>
          <w:sz w:val="22"/>
          <w:szCs w:val="22"/>
        </w:rPr>
        <w:t xml:space="preserve">s aspectos relevantes que envolvem o tema. </w:t>
      </w:r>
      <w:r w:rsidR="000E5EAB" w:rsidRPr="007178AF">
        <w:rPr>
          <w:sz w:val="22"/>
          <w:szCs w:val="22"/>
        </w:rPr>
        <w:t>A</w:t>
      </w:r>
      <w:r w:rsidRPr="007178AF">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445AC4" w:rsidRDefault="00445AC4" w:rsidP="00445AC4">
      <w:pPr>
        <w:pBdr>
          <w:top w:val="threeDEmboss" w:sz="24" w:space="5" w:color="auto"/>
        </w:pBdr>
        <w:tabs>
          <w:tab w:val="left" w:pos="284"/>
        </w:tabs>
        <w:spacing w:after="0"/>
        <w:ind w:left="0"/>
        <w:jc w:val="center"/>
        <w:rPr>
          <w:b/>
          <w:bCs/>
          <w:smallCaps/>
          <w:sz w:val="22"/>
          <w:szCs w:val="22"/>
        </w:rPr>
      </w:pPr>
    </w:p>
    <w:p w:rsidR="009C5EDE" w:rsidRPr="007178AF" w:rsidRDefault="002D35F5" w:rsidP="00445AC4">
      <w:pPr>
        <w:pBdr>
          <w:top w:val="threeDEmboss" w:sz="24" w:space="5" w:color="auto"/>
        </w:pBdr>
        <w:tabs>
          <w:tab w:val="left" w:pos="284"/>
        </w:tabs>
        <w:spacing w:after="0"/>
        <w:ind w:left="0"/>
        <w:jc w:val="center"/>
        <w:rPr>
          <w:b/>
          <w:bCs/>
          <w:smallCaps/>
          <w:sz w:val="22"/>
          <w:szCs w:val="22"/>
        </w:rPr>
      </w:pPr>
      <w:r w:rsidRPr="007178AF">
        <w:rPr>
          <w:b/>
          <w:bCs/>
          <w:smallCaps/>
          <w:sz w:val="22"/>
          <w:szCs w:val="22"/>
        </w:rPr>
        <w:t>S</w:t>
      </w:r>
      <w:r w:rsidR="00FF7C62" w:rsidRPr="007178AF">
        <w:rPr>
          <w:b/>
          <w:bCs/>
          <w:smallCaps/>
          <w:sz w:val="22"/>
          <w:szCs w:val="22"/>
        </w:rPr>
        <w:t>UMÁRIO</w:t>
      </w:r>
    </w:p>
    <w:p w:rsidR="0084005B" w:rsidRPr="007178AF" w:rsidRDefault="0084005B" w:rsidP="00445AC4">
      <w:pPr>
        <w:autoSpaceDE w:val="0"/>
        <w:autoSpaceDN w:val="0"/>
        <w:adjustRightInd w:val="0"/>
        <w:spacing w:after="0"/>
        <w:ind w:left="0"/>
        <w:rPr>
          <w:b/>
          <w:sz w:val="22"/>
          <w:szCs w:val="22"/>
          <w:lang w:eastAsia="pt-BR"/>
        </w:rPr>
      </w:pPr>
      <w:r w:rsidRPr="007178AF">
        <w:rPr>
          <w:b/>
          <w:sz w:val="22"/>
          <w:szCs w:val="22"/>
          <w:lang w:eastAsia="pt-BR"/>
        </w:rPr>
        <w:t>Plenário</w:t>
      </w:r>
    </w:p>
    <w:p w:rsidR="0053655B" w:rsidRPr="007178AF" w:rsidRDefault="0053655B" w:rsidP="00445AC4">
      <w:pPr>
        <w:pStyle w:val="Default"/>
        <w:spacing w:before="60"/>
        <w:jc w:val="both"/>
        <w:rPr>
          <w:sz w:val="22"/>
          <w:szCs w:val="22"/>
        </w:rPr>
      </w:pPr>
      <w:r w:rsidRPr="007178AF">
        <w:rPr>
          <w:sz w:val="22"/>
          <w:szCs w:val="22"/>
        </w:rPr>
        <w:t xml:space="preserve">A utilização do Regime Diferenciado de Contratações Públicas – RDC em obras com término posterior à Copa do Mundo de 2014 - ou às Olimpíadas de 2016, conforme o caso - só é legítima nas situações em que ao menos fração do empreendimento tenha efetivo proveito para a realização desses eventos esportivos, e desde que reste evidenciada a inviabilidade técnica e econômica do parcelamento das frações da empreitada a serem concluídas a </w:t>
      </w:r>
      <w:r w:rsidRPr="007178AF">
        <w:rPr>
          <w:b/>
          <w:sz w:val="22"/>
          <w:szCs w:val="22"/>
        </w:rPr>
        <w:t>posteriori</w:t>
      </w:r>
      <w:r w:rsidRPr="007178AF">
        <w:rPr>
          <w:sz w:val="22"/>
          <w:szCs w:val="22"/>
        </w:rPr>
        <w:t>, em respeito ao disposto nos art</w:t>
      </w:r>
      <w:r w:rsidR="006919FB">
        <w:rPr>
          <w:sz w:val="22"/>
          <w:szCs w:val="22"/>
        </w:rPr>
        <w:t>igos</w:t>
      </w:r>
      <w:r w:rsidRPr="007178AF">
        <w:rPr>
          <w:sz w:val="22"/>
          <w:szCs w:val="22"/>
        </w:rPr>
        <w:t xml:space="preserve"> 1º, incisos de I a III; 39 e 42 da Lei 12.462/2011, c/c o art. 23, § 1º, da Lei 8.666/93.</w:t>
      </w:r>
    </w:p>
    <w:p w:rsidR="0053655B" w:rsidRPr="007178AF" w:rsidRDefault="0053655B" w:rsidP="00445AC4">
      <w:pPr>
        <w:pStyle w:val="Default"/>
        <w:spacing w:before="60"/>
        <w:jc w:val="both"/>
        <w:rPr>
          <w:sz w:val="22"/>
          <w:szCs w:val="22"/>
        </w:rPr>
      </w:pPr>
      <w:r w:rsidRPr="007178AF">
        <w:rPr>
          <w:sz w:val="22"/>
          <w:szCs w:val="22"/>
        </w:rPr>
        <w:t>A pontuação do item técnica, em licitações do tipo técnica e preço, deve ser obtida a partir de critérios consistentemente estruturados e de julgamento fundamentado, capazes de minimizar o grau de subjetividade inerente a esse tipo de licitação.</w:t>
      </w:r>
    </w:p>
    <w:p w:rsidR="007C0033" w:rsidRPr="007178AF" w:rsidRDefault="007C0033" w:rsidP="00445AC4">
      <w:pPr>
        <w:pStyle w:val="Default"/>
        <w:spacing w:before="60"/>
        <w:jc w:val="both"/>
        <w:rPr>
          <w:sz w:val="22"/>
          <w:szCs w:val="22"/>
        </w:rPr>
      </w:pPr>
      <w:r w:rsidRPr="007178AF">
        <w:rPr>
          <w:sz w:val="22"/>
          <w:szCs w:val="22"/>
        </w:rPr>
        <w:t>Licitação de obra pública</w:t>
      </w:r>
    </w:p>
    <w:p w:rsidR="009E4562" w:rsidRPr="007178AF" w:rsidRDefault="007C0033" w:rsidP="00445AC4">
      <w:pPr>
        <w:pStyle w:val="Default"/>
        <w:spacing w:before="60"/>
        <w:ind w:firstLine="708"/>
        <w:jc w:val="both"/>
        <w:rPr>
          <w:sz w:val="22"/>
          <w:szCs w:val="22"/>
        </w:rPr>
      </w:pPr>
      <w:r w:rsidRPr="007178AF">
        <w:rPr>
          <w:sz w:val="22"/>
          <w:szCs w:val="22"/>
        </w:rPr>
        <w:t>1.</w:t>
      </w:r>
      <w:r w:rsidR="00054C16" w:rsidRPr="007178AF">
        <w:rPr>
          <w:sz w:val="22"/>
          <w:szCs w:val="22"/>
        </w:rPr>
        <w:t xml:space="preserve"> A realização de certame licitatório com base em projeto básico elaborado sem a existência de licença ambiental prévia configura, em avaliação preliminar, afronta aos comandos contidos no art. 10 da Lei 6.938/1981</w:t>
      </w:r>
      <w:r w:rsidR="00311663" w:rsidRPr="007178AF">
        <w:rPr>
          <w:sz w:val="22"/>
          <w:szCs w:val="22"/>
        </w:rPr>
        <w:t xml:space="preserve">, no </w:t>
      </w:r>
      <w:r w:rsidR="00054C16" w:rsidRPr="007178AF">
        <w:rPr>
          <w:sz w:val="22"/>
          <w:szCs w:val="22"/>
        </w:rPr>
        <w:t xml:space="preserve">art. 6º, inciso IX, c/c o art. 12, inciso VII, da Lei 8.666/1993 e </w:t>
      </w:r>
      <w:r w:rsidR="00311663" w:rsidRPr="007178AF">
        <w:rPr>
          <w:sz w:val="22"/>
          <w:szCs w:val="22"/>
        </w:rPr>
        <w:t>n</w:t>
      </w:r>
      <w:r w:rsidR="00054C16" w:rsidRPr="007178AF">
        <w:rPr>
          <w:sz w:val="22"/>
          <w:szCs w:val="22"/>
        </w:rPr>
        <w:t>o art. 8º, inciso I, da Resolução/Conama 237/1997</w:t>
      </w:r>
      <w:r w:rsidR="00603D1C" w:rsidRPr="007178AF">
        <w:rPr>
          <w:sz w:val="22"/>
          <w:szCs w:val="22"/>
        </w:rPr>
        <w:t>.</w:t>
      </w:r>
    </w:p>
    <w:p w:rsidR="00054C16" w:rsidRPr="007178AF" w:rsidRDefault="0009655D" w:rsidP="00445AC4">
      <w:pPr>
        <w:pStyle w:val="Default"/>
        <w:spacing w:before="60"/>
        <w:ind w:firstLine="708"/>
        <w:jc w:val="both"/>
        <w:rPr>
          <w:sz w:val="22"/>
          <w:szCs w:val="22"/>
        </w:rPr>
      </w:pPr>
      <w:r w:rsidRPr="007178AF">
        <w:rPr>
          <w:sz w:val="22"/>
          <w:szCs w:val="22"/>
        </w:rPr>
        <w:t xml:space="preserve">2.  A falta de definição adequada, em projeto básico de obra, de quantitativos de serviços que a integram e de prazo </w:t>
      </w:r>
      <w:r w:rsidR="00FD6B34" w:rsidRPr="007178AF">
        <w:rPr>
          <w:sz w:val="22"/>
          <w:szCs w:val="22"/>
        </w:rPr>
        <w:t>realista</w:t>
      </w:r>
      <w:r w:rsidRPr="007178AF">
        <w:rPr>
          <w:sz w:val="22"/>
          <w:szCs w:val="22"/>
        </w:rPr>
        <w:t xml:space="preserve"> para sua conclusão consubstancia, em avaliação precária, afronta aos comandos contidos nos artigos 6º, inciso IX e 7º, § 2º, incisos I e II, da Lei nº 8.443/1992</w:t>
      </w:r>
      <w:r w:rsidR="00603D1C" w:rsidRPr="007178AF">
        <w:rPr>
          <w:sz w:val="22"/>
          <w:szCs w:val="22"/>
        </w:rPr>
        <w:t>.</w:t>
      </w:r>
    </w:p>
    <w:p w:rsidR="00A831FB" w:rsidRPr="007178AF" w:rsidRDefault="00A831FB" w:rsidP="00D4170E">
      <w:pPr>
        <w:pStyle w:val="Default"/>
        <w:spacing w:beforeLines="60" w:before="144"/>
        <w:jc w:val="both"/>
        <w:rPr>
          <w:sz w:val="22"/>
          <w:szCs w:val="22"/>
        </w:rPr>
      </w:pPr>
    </w:p>
    <w:p w:rsidR="00445AC4" w:rsidRDefault="00445AC4" w:rsidP="00445AC4">
      <w:pPr>
        <w:pBdr>
          <w:top w:val="threeDEmboss" w:sz="24" w:space="0" w:color="auto"/>
        </w:pBdr>
        <w:tabs>
          <w:tab w:val="left" w:pos="284"/>
          <w:tab w:val="left" w:pos="2590"/>
        </w:tabs>
        <w:spacing w:after="0"/>
        <w:ind w:left="0"/>
        <w:jc w:val="center"/>
        <w:rPr>
          <w:b/>
          <w:sz w:val="22"/>
          <w:szCs w:val="22"/>
        </w:rPr>
      </w:pPr>
    </w:p>
    <w:p w:rsidR="00440C8D" w:rsidRDefault="007C0033" w:rsidP="00445AC4">
      <w:pPr>
        <w:pBdr>
          <w:top w:val="threeDEmboss" w:sz="24" w:space="0" w:color="auto"/>
        </w:pBdr>
        <w:tabs>
          <w:tab w:val="left" w:pos="284"/>
          <w:tab w:val="left" w:pos="2590"/>
        </w:tabs>
        <w:spacing w:after="0"/>
        <w:ind w:left="0"/>
        <w:jc w:val="center"/>
        <w:rPr>
          <w:b/>
          <w:sz w:val="22"/>
          <w:szCs w:val="22"/>
        </w:rPr>
      </w:pPr>
      <w:r w:rsidRPr="007178AF">
        <w:rPr>
          <w:b/>
          <w:sz w:val="22"/>
          <w:szCs w:val="22"/>
        </w:rPr>
        <w:t>PLENÁRIO</w:t>
      </w:r>
    </w:p>
    <w:p w:rsidR="00445AC4" w:rsidRDefault="00445AC4" w:rsidP="00445AC4">
      <w:pPr>
        <w:pBdr>
          <w:top w:val="threeDEmboss" w:sz="24" w:space="0" w:color="auto"/>
        </w:pBdr>
        <w:tabs>
          <w:tab w:val="left" w:pos="284"/>
          <w:tab w:val="left" w:pos="2590"/>
        </w:tabs>
        <w:spacing w:after="0"/>
        <w:ind w:left="0"/>
        <w:jc w:val="center"/>
        <w:rPr>
          <w:b/>
          <w:sz w:val="22"/>
          <w:szCs w:val="22"/>
        </w:rPr>
      </w:pPr>
    </w:p>
    <w:p w:rsidR="0053655B" w:rsidRPr="007178AF" w:rsidRDefault="0053655B" w:rsidP="00445AC4">
      <w:pPr>
        <w:pStyle w:val="Default"/>
        <w:jc w:val="both"/>
        <w:rPr>
          <w:b/>
          <w:sz w:val="22"/>
          <w:szCs w:val="22"/>
        </w:rPr>
      </w:pPr>
      <w:r w:rsidRPr="007178AF">
        <w:rPr>
          <w:b/>
          <w:sz w:val="22"/>
          <w:szCs w:val="22"/>
        </w:rPr>
        <w:t xml:space="preserve">A utilização do Regime Diferenciado de Contratações Públicas – RDC em obras com término posterior à Copa do Mundo de 2014 - ou às Olimpíadas de 2016, conforme o caso - só é legítima nas situações em que ao menos fração do empreendimento tenha efetivo proveito para a realização desses eventos esportivos e desde que reste evidenciada a inviabilidade técnica e econômica do parcelamento das frações da empreitada a serem concluídas a </w:t>
      </w:r>
      <w:r w:rsidRPr="006919FB">
        <w:rPr>
          <w:b/>
          <w:i/>
          <w:sz w:val="22"/>
          <w:szCs w:val="22"/>
        </w:rPr>
        <w:t>posteriori</w:t>
      </w:r>
      <w:r w:rsidRPr="006919FB">
        <w:rPr>
          <w:b/>
          <w:sz w:val="22"/>
          <w:szCs w:val="22"/>
        </w:rPr>
        <w:t>,</w:t>
      </w:r>
      <w:r w:rsidRPr="007178AF">
        <w:rPr>
          <w:b/>
          <w:sz w:val="22"/>
          <w:szCs w:val="22"/>
        </w:rPr>
        <w:t xml:space="preserve"> em respeito ao disposto nos art</w:t>
      </w:r>
      <w:r w:rsidR="006919FB">
        <w:rPr>
          <w:b/>
          <w:sz w:val="22"/>
          <w:szCs w:val="22"/>
        </w:rPr>
        <w:t>igos</w:t>
      </w:r>
      <w:r w:rsidRPr="007178AF">
        <w:rPr>
          <w:b/>
          <w:sz w:val="22"/>
          <w:szCs w:val="22"/>
        </w:rPr>
        <w:t xml:space="preserve"> 1º, incisos de I a III; 39 e 42 da Lei 12.462/2011, c/c o art. 23, § 1º, da Lei 8.666/93</w:t>
      </w:r>
    </w:p>
    <w:p w:rsidR="0053655B" w:rsidRPr="007178AF" w:rsidRDefault="0053655B" w:rsidP="0053655B">
      <w:pPr>
        <w:pStyle w:val="Default"/>
        <w:jc w:val="both"/>
        <w:rPr>
          <w:b/>
          <w:sz w:val="22"/>
          <w:szCs w:val="22"/>
        </w:rPr>
      </w:pPr>
      <w:r w:rsidRPr="007178AF">
        <w:rPr>
          <w:sz w:val="22"/>
          <w:szCs w:val="22"/>
        </w:rPr>
        <w:t>A Empresa Brasileira de Infraestrutura Aeroportuária – Infraero opôs embargos de declaração em que apontou supostas omissões e contradições na fundamentação do Acórdão nº 1.036/2012-Plenário, por meio do qual o Tribunal decidira: “</w:t>
      </w:r>
      <w:r w:rsidRPr="007178AF">
        <w:rPr>
          <w:i/>
          <w:sz w:val="22"/>
          <w:szCs w:val="22"/>
        </w:rPr>
        <w:t xml:space="preserve">9.1. alertar o Ministério do Esporte, o Ministério das Cidades, a </w:t>
      </w:r>
      <w:r w:rsidRPr="007178AF">
        <w:rPr>
          <w:bCs/>
          <w:i/>
          <w:sz w:val="22"/>
          <w:szCs w:val="22"/>
          <w:u w:val="single"/>
        </w:rPr>
        <w:t>Infraero</w:t>
      </w:r>
      <w:r w:rsidRPr="007178AF">
        <w:rPr>
          <w:i/>
          <w:sz w:val="22"/>
          <w:szCs w:val="22"/>
        </w:rPr>
        <w:t xml:space="preserve">, a Secretaria dos Portos, o Grupo Executivo da Copa do Mundo FIFA 2014 (GECOPA) e o Comitê Gestor da Copa do Mundo FIFA 2014 (CGCOPA) que a utilização do Regime Diferenciado de Contratação Pública (RDC) envolve, como pré-requisito, </w:t>
      </w:r>
      <w:r w:rsidRPr="007178AF">
        <w:rPr>
          <w:i/>
          <w:sz w:val="22"/>
          <w:szCs w:val="22"/>
          <w:u w:val="single"/>
        </w:rPr>
        <w:t>a necessidade de as ações objeto dos certames estarem concluídas anteriormente à Copa do Mundo de 2014, tal qual expressamente previsto no art. 1º da Lei 12.462/2011</w:t>
      </w:r>
      <w:r w:rsidRPr="007178AF">
        <w:rPr>
          <w:sz w:val="22"/>
          <w:szCs w:val="22"/>
        </w:rPr>
        <w:t>” – grifou-se. Ao apreciar o recurso, que também alegou dificuldades variadas para a observância de tal orientação, o relator reiterou as ponderações contidas no Voto condutor da decisão embargada. Anotou, com suporte no panorama normativo delineado nos comandos contidos nos arts. 1º, incisos de I a III; 39 e 42 da Lei 12.462/2011, c/c o art. 23, § 1º, da Lei 8.666/93, que as parcelas da obra a serem concluídas até a Copa ou às Olimpíadas podem se submeter ao RDC. E que, na hipótese de não ser possível, a conclusão do empreendimento antes desses eventos, impõe-se, como regra, seu parcelamento e a utilização do regime geral de licitação para a contratação do remanescente dessas obras. Ressalvou, porém, que, “</w:t>
      </w:r>
      <w:r w:rsidRPr="007178AF">
        <w:rPr>
          <w:i/>
          <w:sz w:val="22"/>
          <w:szCs w:val="22"/>
          <w:u w:val="single"/>
        </w:rPr>
        <w:t>Configurada a inviabilidade técnica e econômica de se parcelar o restante da empreitada, o empreendimento como um todo pode ser licitado pelo novo Regime</w:t>
      </w:r>
      <w:r w:rsidRPr="007178AF">
        <w:rPr>
          <w:sz w:val="22"/>
          <w:szCs w:val="22"/>
        </w:rPr>
        <w:t>”</w:t>
      </w:r>
      <w:r w:rsidR="007178AF" w:rsidRPr="007178AF">
        <w:rPr>
          <w:sz w:val="22"/>
          <w:szCs w:val="22"/>
        </w:rPr>
        <w:t xml:space="preserve"> – grifou-se</w:t>
      </w:r>
      <w:r w:rsidRPr="007178AF">
        <w:rPr>
          <w:sz w:val="22"/>
          <w:szCs w:val="22"/>
        </w:rPr>
        <w:t>. Nessa hipótese, porém, seria necessária “</w:t>
      </w:r>
      <w:r w:rsidRPr="007178AF">
        <w:rPr>
          <w:i/>
          <w:sz w:val="22"/>
          <w:szCs w:val="22"/>
        </w:rPr>
        <w:t xml:space="preserve">a demonstração objetiva de que a ampliação da competitividade decorrente do parcelamento da empreitada não é vantajosa, em face dos </w:t>
      </w:r>
      <w:r w:rsidR="007178AF" w:rsidRPr="007178AF">
        <w:rPr>
          <w:i/>
          <w:sz w:val="22"/>
          <w:szCs w:val="22"/>
        </w:rPr>
        <w:t>‘</w:t>
      </w:r>
      <w:r w:rsidRPr="007178AF">
        <w:rPr>
          <w:i/>
          <w:sz w:val="22"/>
          <w:szCs w:val="22"/>
        </w:rPr>
        <w:t>custos</w:t>
      </w:r>
      <w:r w:rsidR="007178AF" w:rsidRPr="007178AF">
        <w:rPr>
          <w:i/>
          <w:sz w:val="22"/>
          <w:szCs w:val="22"/>
        </w:rPr>
        <w:t>’</w:t>
      </w:r>
      <w:r w:rsidRPr="007178AF">
        <w:rPr>
          <w:i/>
          <w:sz w:val="22"/>
          <w:szCs w:val="22"/>
        </w:rPr>
        <w:t xml:space="preserve"> práticos e econômicos dessa opção</w:t>
      </w:r>
      <w:r w:rsidRPr="007178AF">
        <w:rPr>
          <w:sz w:val="22"/>
          <w:szCs w:val="22"/>
        </w:rPr>
        <w:t>”. O Relator, então, com o intuito de “</w:t>
      </w:r>
      <w:r w:rsidRPr="007178AF">
        <w:rPr>
          <w:i/>
          <w:sz w:val="22"/>
          <w:szCs w:val="22"/>
        </w:rPr>
        <w:t>retirar qualquer mácula a anuviar a boa compreensão da decisão embargada</w:t>
      </w:r>
      <w:r w:rsidRPr="007178AF">
        <w:rPr>
          <w:sz w:val="22"/>
          <w:szCs w:val="22"/>
        </w:rPr>
        <w:t xml:space="preserve">”, propôs a reedição do comando decisório acima transcrito, </w:t>
      </w:r>
      <w:r w:rsidR="007178AF" w:rsidRPr="007178AF">
        <w:rPr>
          <w:sz w:val="22"/>
          <w:szCs w:val="22"/>
        </w:rPr>
        <w:t>com nova redação</w:t>
      </w:r>
      <w:r w:rsidRPr="007178AF">
        <w:rPr>
          <w:sz w:val="22"/>
          <w:szCs w:val="22"/>
        </w:rPr>
        <w:t xml:space="preserve">: </w:t>
      </w:r>
      <w:r w:rsidRPr="007178AF">
        <w:rPr>
          <w:i/>
          <w:sz w:val="22"/>
          <w:szCs w:val="22"/>
        </w:rPr>
        <w:t xml:space="preserve">"9.1. alertar o Ministério do Esporte, o Ministério das Cidades, a Infraero, a Secretaria dos Portos, o Grupo Executivo da Copa do Mundo FIFA 2014 (GECOPA) e o Comitê Gestor da Copa do Mundo FIFA 2014 (CGCOPA) que a utilização do RDC em obras com término posterior à Copa do Mundo de 2014 – ou às Olimpíadas de 2016, conforme o caso – só é legítima nas situações em que ao menos fração do empreendimento tenha efetivo proveito para a realização desses megaeventos esportivos, cumulativamente com a necessidade de se demonstrar a inviabilidade técnica e econômica do parcelamento das frações da empreitada a serem concluídas a posteriori, em atendimento ao disposto nos arts. 1º, incisos de I a III; 39 e 42 da Lei 12.462/2011, c/c o art. 23, § 1º, da Lei 8.666/93." </w:t>
      </w:r>
      <w:r w:rsidRPr="007178AF">
        <w:rPr>
          <w:sz w:val="22"/>
          <w:szCs w:val="22"/>
        </w:rPr>
        <w:t>O Tribunal decidiu conhecer os embargos opostos pela Infraero e acatá-los parcialmente para conferir ao subitem 9.1 da decisão recorrida a nova redação sugerida pelo relator. Precedente</w:t>
      </w:r>
      <w:r w:rsidR="007D068B">
        <w:rPr>
          <w:sz w:val="22"/>
          <w:szCs w:val="22"/>
        </w:rPr>
        <w:t>s</w:t>
      </w:r>
      <w:r w:rsidRPr="007178AF">
        <w:rPr>
          <w:sz w:val="22"/>
          <w:szCs w:val="22"/>
        </w:rPr>
        <w:t xml:space="preserve"> mencionado</w:t>
      </w:r>
      <w:r w:rsidR="007D068B">
        <w:rPr>
          <w:sz w:val="22"/>
          <w:szCs w:val="22"/>
        </w:rPr>
        <w:t>s</w:t>
      </w:r>
      <w:r w:rsidRPr="007178AF">
        <w:rPr>
          <w:sz w:val="22"/>
          <w:szCs w:val="22"/>
        </w:rPr>
        <w:t>: Acórdão</w:t>
      </w:r>
      <w:r w:rsidR="007D068B">
        <w:rPr>
          <w:sz w:val="22"/>
          <w:szCs w:val="22"/>
        </w:rPr>
        <w:t>s</w:t>
      </w:r>
      <w:r w:rsidRPr="007178AF">
        <w:rPr>
          <w:sz w:val="22"/>
          <w:szCs w:val="22"/>
        </w:rPr>
        <w:t xml:space="preserve"> </w:t>
      </w:r>
      <w:r w:rsidR="007D068B">
        <w:rPr>
          <w:sz w:val="22"/>
          <w:szCs w:val="22"/>
        </w:rPr>
        <w:t xml:space="preserve">nºs. </w:t>
      </w:r>
      <w:r w:rsidRPr="007178AF">
        <w:rPr>
          <w:sz w:val="22"/>
          <w:szCs w:val="22"/>
        </w:rPr>
        <w:t>12.462/2011</w:t>
      </w:r>
      <w:r w:rsidR="007D068B">
        <w:rPr>
          <w:sz w:val="22"/>
          <w:szCs w:val="22"/>
        </w:rPr>
        <w:t xml:space="preserve"> e 1.324/2012, ambos do </w:t>
      </w:r>
      <w:r w:rsidRPr="007178AF">
        <w:rPr>
          <w:sz w:val="22"/>
          <w:szCs w:val="22"/>
        </w:rPr>
        <w:t xml:space="preserve">Plenário. </w:t>
      </w:r>
      <w:r w:rsidRPr="007178AF">
        <w:rPr>
          <w:b/>
          <w:i/>
          <w:sz w:val="22"/>
          <w:szCs w:val="22"/>
        </w:rPr>
        <w:t>Acórdão nº. 1538/2012-Plenário, TC 010.765/2010-7, rel. Min. Valmir Campelo, 20.6.2012.</w:t>
      </w:r>
    </w:p>
    <w:p w:rsidR="0053655B" w:rsidRPr="007178AF" w:rsidRDefault="0053655B" w:rsidP="0053655B">
      <w:pPr>
        <w:pStyle w:val="Default"/>
        <w:rPr>
          <w:sz w:val="22"/>
          <w:szCs w:val="22"/>
        </w:rPr>
      </w:pPr>
    </w:p>
    <w:p w:rsidR="0053655B" w:rsidRPr="007178AF" w:rsidRDefault="0053655B" w:rsidP="0053655B">
      <w:pPr>
        <w:pStyle w:val="Default"/>
        <w:jc w:val="both"/>
        <w:rPr>
          <w:b/>
          <w:sz w:val="22"/>
          <w:szCs w:val="22"/>
        </w:rPr>
      </w:pPr>
      <w:r w:rsidRPr="007178AF">
        <w:rPr>
          <w:b/>
          <w:sz w:val="22"/>
          <w:szCs w:val="22"/>
        </w:rPr>
        <w:t xml:space="preserve">A pontuação do item técnica, em licitações do tipo técnica e preço, deve ser obtida a partir de critérios  </w:t>
      </w:r>
      <w:r w:rsidR="00DF5CAC" w:rsidRPr="00DF5CAC">
        <w:rPr>
          <w:b/>
          <w:sz w:val="22"/>
          <w:szCs w:val="22"/>
        </w:rPr>
        <w:t>consistentemente estruturados</w:t>
      </w:r>
      <w:r w:rsidRPr="007178AF">
        <w:rPr>
          <w:b/>
          <w:sz w:val="22"/>
          <w:szCs w:val="22"/>
        </w:rPr>
        <w:t xml:space="preserve"> e de julgamento fundamentado, capazes de minimizar o grau de subjetividade inerente a esse tipo de licitação      </w:t>
      </w:r>
    </w:p>
    <w:p w:rsidR="0053655B" w:rsidRPr="007178AF" w:rsidRDefault="0053655B" w:rsidP="007178AF">
      <w:pPr>
        <w:pStyle w:val="Default"/>
        <w:jc w:val="both"/>
        <w:rPr>
          <w:b/>
          <w:sz w:val="22"/>
          <w:szCs w:val="22"/>
        </w:rPr>
      </w:pPr>
      <w:r w:rsidRPr="007178AF">
        <w:rPr>
          <w:sz w:val="22"/>
          <w:szCs w:val="22"/>
          <w:lang w:eastAsia="ar-SA"/>
        </w:rPr>
        <w:t>Representação efetuada por empresa apontou possíveis irregularidades na Concorrência 5.548/7066-2011, do tipo técnica e preço, conduzida pela Caixa Econômica Federal (Caixa), cujo objeto é a contratação de empresa para prestação de serviços técnicos especializados em assessoria de imprensa, com atuação em todo o território nacional e lotação nas unidades da federação São Paulo e Rio de Janeiro. Em face de aparentes vícios identificados na condução desse certame, o relator submeteu ao Plenário proposta de modificação de medida cautelar anteriormente concedida para autorizar o seguimento do certame, sem permitir</w:t>
      </w:r>
      <w:r w:rsidR="00DF5CAC">
        <w:rPr>
          <w:sz w:val="22"/>
          <w:szCs w:val="22"/>
          <w:lang w:eastAsia="ar-SA"/>
        </w:rPr>
        <w:t>,</w:t>
      </w:r>
      <w:r w:rsidRPr="007178AF">
        <w:rPr>
          <w:sz w:val="22"/>
          <w:szCs w:val="22"/>
          <w:lang w:eastAsia="ar-SA"/>
        </w:rPr>
        <w:t xml:space="preserve"> porém</w:t>
      </w:r>
      <w:r w:rsidR="00DF5CAC">
        <w:rPr>
          <w:sz w:val="22"/>
          <w:szCs w:val="22"/>
          <w:lang w:eastAsia="ar-SA"/>
        </w:rPr>
        <w:t>,</w:t>
      </w:r>
      <w:r w:rsidRPr="007178AF">
        <w:rPr>
          <w:sz w:val="22"/>
          <w:szCs w:val="22"/>
          <w:lang w:eastAsia="ar-SA"/>
        </w:rPr>
        <w:t xml:space="preserve"> a adjudicação do objeto da licitação, nem a consequente contratação da empresa vencedora. Procedeu, em seguida, ao exame detido de todos os aspectos suscitados pela autora da representação. Destaque-se, entre eles, a alegada </w:t>
      </w:r>
      <w:r w:rsidRPr="007178AF">
        <w:rPr>
          <w:sz w:val="22"/>
          <w:szCs w:val="22"/>
        </w:rPr>
        <w:t>obscuridade dos critérios de julgamento das propostas técnicas (ausência de critérios objetivos). Consoante previsão contida no edital, a pontuação da proposta técnica seria distribuída pelos itens ‘</w:t>
      </w:r>
      <w:r w:rsidRPr="007178AF">
        <w:rPr>
          <w:i/>
          <w:sz w:val="22"/>
          <w:szCs w:val="22"/>
        </w:rPr>
        <w:t>Conhecimento Caixa e Diagnóstico da Situação’</w:t>
      </w:r>
      <w:r w:rsidRPr="007178AF">
        <w:rPr>
          <w:sz w:val="22"/>
          <w:szCs w:val="22"/>
        </w:rPr>
        <w:t>, ‘</w:t>
      </w:r>
      <w:r w:rsidRPr="007178AF">
        <w:rPr>
          <w:i/>
          <w:sz w:val="22"/>
          <w:szCs w:val="22"/>
        </w:rPr>
        <w:t>Planejamento e Soluções de Imprensa</w:t>
      </w:r>
      <w:r w:rsidRPr="007178AF">
        <w:rPr>
          <w:sz w:val="22"/>
          <w:szCs w:val="22"/>
        </w:rPr>
        <w:t>’, ‘</w:t>
      </w:r>
      <w:r w:rsidRPr="007178AF">
        <w:rPr>
          <w:i/>
          <w:sz w:val="22"/>
          <w:szCs w:val="22"/>
        </w:rPr>
        <w:t>Capacidade de Atendimento</w:t>
      </w:r>
      <w:r w:rsidRPr="007178AF">
        <w:rPr>
          <w:sz w:val="22"/>
          <w:szCs w:val="22"/>
        </w:rPr>
        <w:t>’, ‘</w:t>
      </w:r>
      <w:r w:rsidRPr="007178AF">
        <w:rPr>
          <w:i/>
          <w:sz w:val="22"/>
          <w:szCs w:val="22"/>
        </w:rPr>
        <w:t>Outros Serviços Prestados</w:t>
      </w:r>
      <w:r w:rsidRPr="007178AF">
        <w:rPr>
          <w:sz w:val="22"/>
          <w:szCs w:val="22"/>
        </w:rPr>
        <w:t>’.</w:t>
      </w:r>
      <w:r w:rsidRPr="007178AF">
        <w:rPr>
          <w:sz w:val="22"/>
          <w:szCs w:val="22"/>
          <w:lang w:eastAsia="ar-SA"/>
        </w:rPr>
        <w:t xml:space="preserve"> A unidade técnica anotou que o instrumento convocatório esclareceu o que se pretendia para o cumprimento de cada item. O Relator, ao endossar, a análise e conclusão da unidade técnica, ressaltou que o julgamento</w:t>
      </w:r>
      <w:r w:rsidR="00DF5CAC">
        <w:rPr>
          <w:sz w:val="22"/>
          <w:szCs w:val="22"/>
          <w:lang w:eastAsia="ar-SA"/>
        </w:rPr>
        <w:t>,</w:t>
      </w:r>
      <w:r w:rsidRPr="007178AF">
        <w:rPr>
          <w:sz w:val="22"/>
          <w:szCs w:val="22"/>
          <w:lang w:eastAsia="ar-SA"/>
        </w:rPr>
        <w:t xml:space="preserve"> a partir de critérios objetivos</w:t>
      </w:r>
      <w:r w:rsidR="00DF5CAC">
        <w:rPr>
          <w:sz w:val="22"/>
          <w:szCs w:val="22"/>
          <w:lang w:eastAsia="ar-SA"/>
        </w:rPr>
        <w:t>,</w:t>
      </w:r>
      <w:r w:rsidRPr="007178AF">
        <w:rPr>
          <w:sz w:val="22"/>
          <w:szCs w:val="22"/>
          <w:lang w:eastAsia="ar-SA"/>
        </w:rPr>
        <w:t xml:space="preserve"> deve nortear as licitações públicas, conforme imposto pelos comandos contidos nos arts. 44, § 1º, e 45 da Lei nº 8.666/1993. Registrou, porém, que “</w:t>
      </w:r>
      <w:r w:rsidRPr="007178AF">
        <w:rPr>
          <w:i/>
          <w:sz w:val="22"/>
          <w:szCs w:val="22"/>
        </w:rPr>
        <w:t xml:space="preserve">o critério de julgamento </w:t>
      </w:r>
      <w:r w:rsidRPr="007178AF">
        <w:rPr>
          <w:b/>
          <w:i/>
          <w:sz w:val="22"/>
          <w:szCs w:val="22"/>
        </w:rPr>
        <w:t>absolutamente objetivo</w:t>
      </w:r>
      <w:r w:rsidRPr="007178AF">
        <w:rPr>
          <w:i/>
          <w:sz w:val="22"/>
          <w:szCs w:val="22"/>
        </w:rPr>
        <w:t xml:space="preserve"> só é possível na licitação do tipo menor preço</w:t>
      </w:r>
      <w:r w:rsidRPr="007178AF">
        <w:rPr>
          <w:sz w:val="22"/>
          <w:szCs w:val="22"/>
        </w:rPr>
        <w:t xml:space="preserve">”. O que se pode exigir em certames como o sob exame </w:t>
      </w:r>
      <w:r w:rsidR="00DF5CAC" w:rsidRPr="007178AF">
        <w:rPr>
          <w:sz w:val="22"/>
          <w:szCs w:val="22"/>
        </w:rPr>
        <w:t>–</w:t>
      </w:r>
      <w:r w:rsidRPr="007178AF">
        <w:rPr>
          <w:sz w:val="22"/>
          <w:szCs w:val="22"/>
        </w:rPr>
        <w:t xml:space="preserve"> do tipo ‘técnica e preço’ – “</w:t>
      </w:r>
      <w:r w:rsidRPr="007178AF">
        <w:rPr>
          <w:i/>
          <w:sz w:val="22"/>
          <w:szCs w:val="22"/>
        </w:rPr>
        <w:t>é o menor nível possível de subjetividade no seu julgamento, com avaliações devidamente fundamentadas por parte dos membros da comissão de licitação</w:t>
      </w:r>
      <w:r w:rsidRPr="007178AF">
        <w:rPr>
          <w:sz w:val="22"/>
          <w:szCs w:val="22"/>
        </w:rPr>
        <w:t>”. Isso se consegue por meio da estipulação de “</w:t>
      </w:r>
      <w:r w:rsidRPr="007178AF">
        <w:rPr>
          <w:i/>
          <w:sz w:val="22"/>
          <w:szCs w:val="22"/>
        </w:rPr>
        <w:t>parâmetros bem definidos no edital, para a atribuição de notas aos diversos fatores avaliatórios nele previstos, cuja conjugação, na forma igualmente estabelecida no ato convocatório, há de ser suficiente para mitigar eventuais resquícios de imprecisão na maneira de julgar as propostas oferecidas ...</w:t>
      </w:r>
      <w:r w:rsidRPr="007178AF">
        <w:rPr>
          <w:sz w:val="22"/>
          <w:szCs w:val="22"/>
        </w:rPr>
        <w:t xml:space="preserve">”.  Acrescentou que o edital impugnado estabeleceu o que seria avaliado em cada item da proposta técnica e a composição de seus subitens, com as respectivas pontuações mínimas e máximas. Além disso, ressaltou que as notas das licitantes foram atribuídas após avaliação fundamentada da comissão de licitação. Considerou também que as licitantes que participaram do certame tiveram suas propostas técnicas classificadas e que a empresa vencedora, além de apresentar a melhor pontuação técnica, ofertou preço 3% acima da proposta de menor valor.  O Relator, ao final, em linha de consonância com a proposta da unidade técnica, considerou insubsistente a impugnação da autora da representação sobre esse aspecto e os demais por ela suscitados. </w:t>
      </w:r>
      <w:r w:rsidR="007178AF" w:rsidRPr="007178AF">
        <w:rPr>
          <w:sz w:val="22"/>
          <w:szCs w:val="22"/>
        </w:rPr>
        <w:t xml:space="preserve">O Tribunal, ao acolher proposta do relator, decidiu conhecer a representação e, no mérito, julgá-la improcedente, revogando, em consequência, a medida cautelar anteriormente adotada. </w:t>
      </w:r>
      <w:r w:rsidRPr="007178AF">
        <w:rPr>
          <w:b/>
          <w:i/>
          <w:sz w:val="22"/>
          <w:szCs w:val="22"/>
        </w:rPr>
        <w:t xml:space="preserve">Acórdão nº. 1542/2012-Plenário, TC </w:t>
      </w:r>
      <w:r w:rsidRPr="007178AF">
        <w:rPr>
          <w:b/>
          <w:bCs/>
          <w:i/>
          <w:sz w:val="22"/>
          <w:szCs w:val="22"/>
        </w:rPr>
        <w:t>037.751/2011-5</w:t>
      </w:r>
      <w:r w:rsidRPr="007178AF">
        <w:rPr>
          <w:b/>
          <w:i/>
          <w:sz w:val="22"/>
          <w:szCs w:val="22"/>
        </w:rPr>
        <w:t>, rel. Min. Valmir Campelo, 20.6.2012.</w:t>
      </w:r>
    </w:p>
    <w:p w:rsidR="00445AC4" w:rsidRDefault="00445AC4" w:rsidP="00445AC4">
      <w:pPr>
        <w:pStyle w:val="Default"/>
        <w:jc w:val="both"/>
        <w:rPr>
          <w:b/>
          <w:sz w:val="22"/>
          <w:szCs w:val="22"/>
        </w:rPr>
      </w:pPr>
    </w:p>
    <w:p w:rsidR="00445AC4" w:rsidRDefault="00445AC4" w:rsidP="00445AC4">
      <w:pPr>
        <w:pStyle w:val="Default"/>
        <w:jc w:val="both"/>
        <w:rPr>
          <w:b/>
          <w:sz w:val="22"/>
          <w:szCs w:val="22"/>
        </w:rPr>
      </w:pPr>
    </w:p>
    <w:p w:rsidR="00445AC4" w:rsidRDefault="00445AC4" w:rsidP="00445AC4">
      <w:pPr>
        <w:pStyle w:val="Default"/>
        <w:jc w:val="both"/>
        <w:rPr>
          <w:b/>
          <w:sz w:val="22"/>
          <w:szCs w:val="22"/>
        </w:rPr>
      </w:pPr>
    </w:p>
    <w:p w:rsidR="000F4166" w:rsidRDefault="000F4166" w:rsidP="00445AC4">
      <w:pPr>
        <w:pStyle w:val="Default"/>
        <w:jc w:val="both"/>
        <w:rPr>
          <w:b/>
          <w:sz w:val="22"/>
          <w:szCs w:val="22"/>
        </w:rPr>
      </w:pPr>
    </w:p>
    <w:p w:rsidR="007C0033" w:rsidRPr="007178AF" w:rsidRDefault="007C0033" w:rsidP="00445AC4">
      <w:pPr>
        <w:pStyle w:val="Default"/>
        <w:spacing w:before="60"/>
        <w:jc w:val="both"/>
        <w:rPr>
          <w:b/>
          <w:sz w:val="22"/>
          <w:szCs w:val="22"/>
        </w:rPr>
      </w:pPr>
      <w:r w:rsidRPr="007178AF">
        <w:rPr>
          <w:b/>
          <w:sz w:val="22"/>
          <w:szCs w:val="22"/>
        </w:rPr>
        <w:t>Licitação de obra pública</w:t>
      </w:r>
    </w:p>
    <w:p w:rsidR="004F3E0F" w:rsidRPr="007178AF" w:rsidRDefault="00A831FB" w:rsidP="00445AC4">
      <w:pPr>
        <w:pStyle w:val="Default"/>
        <w:spacing w:before="60"/>
        <w:jc w:val="both"/>
        <w:rPr>
          <w:b/>
          <w:sz w:val="22"/>
          <w:szCs w:val="22"/>
        </w:rPr>
      </w:pPr>
      <w:r w:rsidRPr="007178AF">
        <w:rPr>
          <w:b/>
          <w:sz w:val="22"/>
          <w:szCs w:val="22"/>
        </w:rPr>
        <w:t xml:space="preserve">1.  </w:t>
      </w:r>
      <w:r w:rsidR="00311663" w:rsidRPr="007178AF">
        <w:rPr>
          <w:b/>
          <w:sz w:val="22"/>
          <w:szCs w:val="22"/>
        </w:rPr>
        <w:t>A realização de certame licitatório com base em projeto básico elaborado sem a existência de licença ambiental prévia configura, em avaliação preliminar, afronta aos comandos contidos no art. 10 da Lei 6.938/1981, no art. 6º, inciso IX, c/c o art. 12, inciso VII, da Lei 8.666/1993 e no art. 8º, inciso I, da Resolução/Conama 237/1997</w:t>
      </w:r>
    </w:p>
    <w:p w:rsidR="00491039" w:rsidRDefault="000F4B18" w:rsidP="00445AC4">
      <w:pPr>
        <w:pStyle w:val="Default"/>
        <w:jc w:val="both"/>
        <w:rPr>
          <w:i/>
          <w:sz w:val="22"/>
          <w:szCs w:val="22"/>
        </w:rPr>
      </w:pPr>
      <w:r w:rsidRPr="007178AF">
        <w:rPr>
          <w:sz w:val="22"/>
          <w:szCs w:val="22"/>
        </w:rPr>
        <w:t>Representação formulada p</w:t>
      </w:r>
      <w:r w:rsidR="004F09A1" w:rsidRPr="007178AF">
        <w:rPr>
          <w:sz w:val="22"/>
          <w:szCs w:val="22"/>
        </w:rPr>
        <w:t xml:space="preserve">or </w:t>
      </w:r>
      <w:r w:rsidRPr="007178AF">
        <w:rPr>
          <w:sz w:val="22"/>
          <w:szCs w:val="22"/>
        </w:rPr>
        <w:t xml:space="preserve">Secretaria de Fiscalização de Obras apontou possíveis </w:t>
      </w:r>
      <w:r w:rsidRPr="007178AF">
        <w:rPr>
          <w:iCs/>
          <w:sz w:val="22"/>
          <w:szCs w:val="22"/>
        </w:rPr>
        <w:t xml:space="preserve">irregularidades </w:t>
      </w:r>
      <w:r w:rsidRPr="007178AF">
        <w:rPr>
          <w:sz w:val="22"/>
          <w:szCs w:val="22"/>
        </w:rPr>
        <w:t>no Edital d</w:t>
      </w:r>
      <w:r w:rsidR="00FD6B34" w:rsidRPr="007178AF">
        <w:rPr>
          <w:sz w:val="22"/>
          <w:szCs w:val="22"/>
        </w:rPr>
        <w:t>a</w:t>
      </w:r>
      <w:r w:rsidRPr="007178AF">
        <w:rPr>
          <w:sz w:val="22"/>
          <w:szCs w:val="22"/>
        </w:rPr>
        <w:t xml:space="preserve"> Concorrência 1/2012 – TRE/RJ</w:t>
      </w:r>
      <w:r w:rsidRPr="007178AF">
        <w:rPr>
          <w:iCs/>
          <w:sz w:val="22"/>
          <w:szCs w:val="22"/>
        </w:rPr>
        <w:t xml:space="preserve">, lançado pelo </w:t>
      </w:r>
      <w:r w:rsidRPr="007178AF">
        <w:rPr>
          <w:sz w:val="22"/>
          <w:szCs w:val="22"/>
        </w:rPr>
        <w:t>Tribunal Regional Eleitoral no Estado do Rio de Janeiro</w:t>
      </w:r>
      <w:r w:rsidRPr="007178AF">
        <w:rPr>
          <w:iCs/>
          <w:sz w:val="22"/>
          <w:szCs w:val="22"/>
        </w:rPr>
        <w:t xml:space="preserve"> para contratação da execução </w:t>
      </w:r>
      <w:r w:rsidRPr="007178AF">
        <w:rPr>
          <w:sz w:val="22"/>
          <w:szCs w:val="22"/>
        </w:rPr>
        <w:t>das obras de construção do edifício-sede desse órgão. Entre as ocorrências relacionadas, destaque-se</w:t>
      </w:r>
      <w:r w:rsidR="007B66B8" w:rsidRPr="007178AF">
        <w:rPr>
          <w:sz w:val="22"/>
          <w:szCs w:val="22"/>
        </w:rPr>
        <w:t xml:space="preserve">, inicialmente, a ausência de licença ambiental prévia (LP) para o empreendimento. </w:t>
      </w:r>
      <w:r w:rsidR="004F09A1" w:rsidRPr="007178AF">
        <w:rPr>
          <w:sz w:val="22"/>
          <w:szCs w:val="22"/>
        </w:rPr>
        <w:t>Verificou-se</w:t>
      </w:r>
      <w:r w:rsidR="00865089" w:rsidRPr="007178AF">
        <w:rPr>
          <w:sz w:val="22"/>
          <w:szCs w:val="22"/>
        </w:rPr>
        <w:t xml:space="preserve"> </w:t>
      </w:r>
      <w:r w:rsidR="004F09A1" w:rsidRPr="007178AF">
        <w:rPr>
          <w:sz w:val="22"/>
          <w:szCs w:val="22"/>
        </w:rPr>
        <w:t xml:space="preserve">que o pedido de </w:t>
      </w:r>
      <w:r w:rsidR="00865089" w:rsidRPr="007178AF">
        <w:rPr>
          <w:sz w:val="22"/>
          <w:szCs w:val="22"/>
        </w:rPr>
        <w:t xml:space="preserve">licença </w:t>
      </w:r>
      <w:r w:rsidR="004F09A1" w:rsidRPr="007178AF">
        <w:rPr>
          <w:sz w:val="22"/>
          <w:szCs w:val="22"/>
        </w:rPr>
        <w:t xml:space="preserve">havia sido </w:t>
      </w:r>
      <w:r w:rsidR="00865089" w:rsidRPr="007178AF">
        <w:rPr>
          <w:sz w:val="22"/>
          <w:szCs w:val="22"/>
        </w:rPr>
        <w:t xml:space="preserve">dirigido à </w:t>
      </w:r>
      <w:r w:rsidR="007B66B8" w:rsidRPr="007178AF">
        <w:rPr>
          <w:sz w:val="22"/>
          <w:szCs w:val="22"/>
        </w:rPr>
        <w:t>Prefeitura Municipal do Rio de Janeiro</w:t>
      </w:r>
      <w:r w:rsidR="00865089" w:rsidRPr="007178AF">
        <w:rPr>
          <w:sz w:val="22"/>
          <w:szCs w:val="22"/>
        </w:rPr>
        <w:t xml:space="preserve"> na </w:t>
      </w:r>
      <w:r w:rsidR="007B66B8" w:rsidRPr="007178AF">
        <w:rPr>
          <w:sz w:val="22"/>
          <w:szCs w:val="22"/>
        </w:rPr>
        <w:t>mesma data da publicação do edital</w:t>
      </w:r>
      <w:r w:rsidR="00865089" w:rsidRPr="007178AF">
        <w:rPr>
          <w:sz w:val="22"/>
          <w:szCs w:val="22"/>
        </w:rPr>
        <w:t xml:space="preserve"> (17/5/2012). A unidade técnica ressaltou, porém, que o projeto básico somente pode</w:t>
      </w:r>
      <w:r w:rsidR="00BE6F2B" w:rsidRPr="007178AF">
        <w:rPr>
          <w:sz w:val="22"/>
          <w:szCs w:val="22"/>
        </w:rPr>
        <w:t xml:space="preserve">ria ter sido </w:t>
      </w:r>
      <w:r w:rsidR="00865089" w:rsidRPr="007178AF">
        <w:rPr>
          <w:sz w:val="22"/>
          <w:szCs w:val="22"/>
        </w:rPr>
        <w:t xml:space="preserve">elaborado após a </w:t>
      </w:r>
      <w:r w:rsidR="00BE6F2B" w:rsidRPr="007178AF">
        <w:rPr>
          <w:sz w:val="22"/>
          <w:szCs w:val="22"/>
        </w:rPr>
        <w:t xml:space="preserve">obtenção </w:t>
      </w:r>
      <w:r w:rsidR="00865089" w:rsidRPr="007178AF">
        <w:rPr>
          <w:sz w:val="22"/>
          <w:szCs w:val="22"/>
        </w:rPr>
        <w:t xml:space="preserve">da respectiva licença prévia. </w:t>
      </w:r>
      <w:r w:rsidR="00BE6F2B" w:rsidRPr="007178AF">
        <w:rPr>
          <w:sz w:val="22"/>
          <w:szCs w:val="22"/>
        </w:rPr>
        <w:t>Ponderou, a esse respeito, que “</w:t>
      </w:r>
      <w:r w:rsidR="00BE6F2B" w:rsidRPr="007178AF">
        <w:rPr>
          <w:i/>
          <w:sz w:val="22"/>
          <w:szCs w:val="22"/>
        </w:rPr>
        <w:t>o projeto básico deve obrigatoriamente conter as licenças ambientais requeridas, devendo ainda compreender o estudo de impacto ambiental antecipadamente determinado</w:t>
      </w:r>
      <w:r w:rsidR="00BE6F2B" w:rsidRPr="007178AF">
        <w:rPr>
          <w:sz w:val="22"/>
          <w:szCs w:val="22"/>
        </w:rPr>
        <w:t>...”. Garante-se, com isso, que</w:t>
      </w:r>
      <w:r w:rsidR="00BE6F2B" w:rsidRPr="007178AF">
        <w:rPr>
          <w:i/>
          <w:sz w:val="22"/>
          <w:szCs w:val="22"/>
        </w:rPr>
        <w:t xml:space="preserve"> </w:t>
      </w:r>
      <w:r w:rsidR="00BE6F2B" w:rsidRPr="007178AF">
        <w:rPr>
          <w:sz w:val="22"/>
          <w:szCs w:val="22"/>
        </w:rPr>
        <w:t>“</w:t>
      </w:r>
      <w:r w:rsidR="00BE6F2B" w:rsidRPr="007178AF">
        <w:rPr>
          <w:i/>
          <w:sz w:val="22"/>
          <w:szCs w:val="22"/>
        </w:rPr>
        <w:t>o empreendimento seja concebido e orçado levando-se em conta as medidas mitigadoras, compensatórias e/ou corretivas do meio ambiente, em cumprimento ao disposto na legislação aplicável, qual seja: art. 10 da Lei 6.938/1981; art. 6º, inciso IX, c/c o art. 12, inciso VII, da Lei 8.666/1993 e o art. 8º, inciso I, da Resolução/Conama 237/1997</w:t>
      </w:r>
      <w:r w:rsidR="00BE6F2B" w:rsidRPr="007178AF">
        <w:rPr>
          <w:sz w:val="22"/>
          <w:szCs w:val="22"/>
        </w:rPr>
        <w:t xml:space="preserve">”. A relatora do feito, ao </w:t>
      </w:r>
      <w:r w:rsidR="00504655" w:rsidRPr="007178AF">
        <w:rPr>
          <w:sz w:val="22"/>
          <w:szCs w:val="22"/>
        </w:rPr>
        <w:t>endossar a análise da unidade técnica, ressaltou que a jurisprudência do TCU é pacífica no sentido que “</w:t>
      </w:r>
      <w:r w:rsidR="00504655" w:rsidRPr="007178AF">
        <w:rPr>
          <w:i/>
          <w:sz w:val="22"/>
          <w:szCs w:val="22"/>
        </w:rPr>
        <w:t>a Licença Prévia (LP) deve existir antes da instauração da licitação, pois o atendimento das exigências ambientais é determinante na própria concepção do objeto</w:t>
      </w:r>
      <w:r w:rsidR="00504655" w:rsidRPr="007178AF">
        <w:rPr>
          <w:sz w:val="22"/>
          <w:szCs w:val="22"/>
        </w:rPr>
        <w:t xml:space="preserve">”. </w:t>
      </w:r>
      <w:r w:rsidR="00C16F1F" w:rsidRPr="007178AF">
        <w:rPr>
          <w:sz w:val="22"/>
          <w:szCs w:val="22"/>
        </w:rPr>
        <w:t>Ao avaliar a pertinência de adoção da medida cautelar sugerida na representação, considerou que tal omissão</w:t>
      </w:r>
      <w:r w:rsidR="00901F83" w:rsidRPr="007178AF">
        <w:rPr>
          <w:sz w:val="22"/>
          <w:szCs w:val="22"/>
        </w:rPr>
        <w:t xml:space="preserve"> configura</w:t>
      </w:r>
      <w:r w:rsidR="006F10D4" w:rsidRPr="007178AF">
        <w:rPr>
          <w:sz w:val="22"/>
          <w:szCs w:val="22"/>
        </w:rPr>
        <w:t>,</w:t>
      </w:r>
      <w:r w:rsidR="00C16F1F" w:rsidRPr="007178AF">
        <w:rPr>
          <w:sz w:val="22"/>
          <w:szCs w:val="22"/>
        </w:rPr>
        <w:t xml:space="preserve"> juntamente com outros indícios de irregularidades identificados</w:t>
      </w:r>
      <w:r w:rsidR="006F10D4" w:rsidRPr="007178AF">
        <w:rPr>
          <w:sz w:val="22"/>
          <w:szCs w:val="22"/>
        </w:rPr>
        <w:t xml:space="preserve">, </w:t>
      </w:r>
      <w:r w:rsidR="00C16F1F" w:rsidRPr="007178AF">
        <w:rPr>
          <w:sz w:val="22"/>
          <w:szCs w:val="22"/>
        </w:rPr>
        <w:t>o requisito da fumaça do bom direito</w:t>
      </w:r>
      <w:r w:rsidR="006F10D4" w:rsidRPr="007178AF">
        <w:rPr>
          <w:sz w:val="22"/>
          <w:szCs w:val="22"/>
        </w:rPr>
        <w:t>. O perigo na demora, por sua vez, result</w:t>
      </w:r>
      <w:r w:rsidR="00FD6B34" w:rsidRPr="007178AF">
        <w:rPr>
          <w:sz w:val="22"/>
          <w:szCs w:val="22"/>
        </w:rPr>
        <w:t>a</w:t>
      </w:r>
      <w:r w:rsidR="006F10D4" w:rsidRPr="007178AF">
        <w:rPr>
          <w:sz w:val="22"/>
          <w:szCs w:val="22"/>
        </w:rPr>
        <w:t xml:space="preserve"> da </w:t>
      </w:r>
      <w:r w:rsidR="00C16F1F" w:rsidRPr="007178AF">
        <w:rPr>
          <w:sz w:val="22"/>
          <w:szCs w:val="22"/>
        </w:rPr>
        <w:t>previsão de entrega dos documentos pelas licitantes para 18/6/2012</w:t>
      </w:r>
      <w:r w:rsidR="006F10D4" w:rsidRPr="007178AF">
        <w:rPr>
          <w:sz w:val="22"/>
          <w:szCs w:val="22"/>
        </w:rPr>
        <w:t xml:space="preserve"> e </w:t>
      </w:r>
      <w:r w:rsidR="00FD6B34" w:rsidRPr="007178AF">
        <w:rPr>
          <w:sz w:val="22"/>
          <w:szCs w:val="22"/>
        </w:rPr>
        <w:t xml:space="preserve">da </w:t>
      </w:r>
      <w:r w:rsidR="006F10D4" w:rsidRPr="007178AF">
        <w:rPr>
          <w:sz w:val="22"/>
          <w:szCs w:val="22"/>
        </w:rPr>
        <w:t xml:space="preserve">iminente </w:t>
      </w:r>
      <w:r w:rsidR="00C16F1F" w:rsidRPr="007178AF">
        <w:rPr>
          <w:sz w:val="22"/>
          <w:szCs w:val="22"/>
        </w:rPr>
        <w:t>assinatura de contrato</w:t>
      </w:r>
      <w:r w:rsidR="006F10D4" w:rsidRPr="007178AF">
        <w:rPr>
          <w:sz w:val="22"/>
          <w:szCs w:val="22"/>
        </w:rPr>
        <w:t xml:space="preserve"> provavelmente viciado. </w:t>
      </w:r>
      <w:r w:rsidR="00FD6B34" w:rsidRPr="007178AF">
        <w:rPr>
          <w:sz w:val="22"/>
          <w:szCs w:val="22"/>
        </w:rPr>
        <w:t>A relatora, então, t</w:t>
      </w:r>
      <w:r w:rsidR="00504655" w:rsidRPr="007178AF">
        <w:rPr>
          <w:sz w:val="22"/>
          <w:szCs w:val="22"/>
        </w:rPr>
        <w:t>ambém por esse motivo</w:t>
      </w:r>
      <w:r w:rsidR="00FD6B34" w:rsidRPr="007178AF">
        <w:rPr>
          <w:sz w:val="22"/>
          <w:szCs w:val="22"/>
        </w:rPr>
        <w:t>,</w:t>
      </w:r>
      <w:r w:rsidR="00504655" w:rsidRPr="007178AF">
        <w:rPr>
          <w:sz w:val="22"/>
          <w:szCs w:val="22"/>
        </w:rPr>
        <w:t xml:space="preserve"> decidiu determinar a suspensão cautelar da Concorrência 1/2012 – TRE/RJ e promover </w:t>
      </w:r>
      <w:r w:rsidR="00FD6B34" w:rsidRPr="007178AF">
        <w:rPr>
          <w:sz w:val="22"/>
          <w:szCs w:val="22"/>
        </w:rPr>
        <w:t xml:space="preserve">a </w:t>
      </w:r>
      <w:r w:rsidR="00504655" w:rsidRPr="007178AF">
        <w:rPr>
          <w:sz w:val="22"/>
          <w:szCs w:val="22"/>
        </w:rPr>
        <w:t xml:space="preserve">oitiva do órgão. O Tribunal, em seguida, endossou essa providência. Precedentes mencionados: </w:t>
      </w:r>
      <w:r w:rsidR="00A32D77" w:rsidRPr="007178AF">
        <w:rPr>
          <w:sz w:val="22"/>
          <w:szCs w:val="22"/>
        </w:rPr>
        <w:t xml:space="preserve">Acórdãos nºs. </w:t>
      </w:r>
      <w:r w:rsidR="00311663" w:rsidRPr="007178AF">
        <w:rPr>
          <w:sz w:val="22"/>
          <w:szCs w:val="22"/>
        </w:rPr>
        <w:t xml:space="preserve">2.886/2008, </w:t>
      </w:r>
      <w:r w:rsidR="00A32D77" w:rsidRPr="007178AF">
        <w:rPr>
          <w:sz w:val="22"/>
          <w:szCs w:val="22"/>
        </w:rPr>
        <w:t>1.580/2009, 1.620/2009, 1.726/2009, 2.013/2009, 2.367/2009</w:t>
      </w:r>
      <w:r w:rsidR="00FD6B34" w:rsidRPr="007178AF">
        <w:rPr>
          <w:sz w:val="22"/>
          <w:szCs w:val="22"/>
        </w:rPr>
        <w:t xml:space="preserve">, </w:t>
      </w:r>
      <w:r w:rsidR="00311663" w:rsidRPr="007178AF">
        <w:rPr>
          <w:sz w:val="22"/>
          <w:szCs w:val="22"/>
        </w:rPr>
        <w:t>870/2010</w:t>
      </w:r>
      <w:r w:rsidR="00FD6B34" w:rsidRPr="007178AF">
        <w:rPr>
          <w:sz w:val="22"/>
          <w:szCs w:val="22"/>
        </w:rPr>
        <w:t xml:space="preserve"> e</w:t>
      </w:r>
      <w:r w:rsidR="00311663" w:rsidRPr="007178AF">
        <w:rPr>
          <w:sz w:val="22"/>
          <w:szCs w:val="22"/>
        </w:rPr>
        <w:t xml:space="preserve"> 958/2010</w:t>
      </w:r>
      <w:r w:rsidR="00A32D77" w:rsidRPr="007178AF">
        <w:rPr>
          <w:sz w:val="22"/>
          <w:szCs w:val="22"/>
        </w:rPr>
        <w:t>, todos do Plenário</w:t>
      </w:r>
      <w:r w:rsidR="00311663" w:rsidRPr="007178AF">
        <w:rPr>
          <w:sz w:val="22"/>
          <w:szCs w:val="22"/>
        </w:rPr>
        <w:t xml:space="preserve"> e</w:t>
      </w:r>
      <w:r w:rsidR="00A32D77" w:rsidRPr="007178AF">
        <w:rPr>
          <w:sz w:val="22"/>
          <w:szCs w:val="22"/>
        </w:rPr>
        <w:t xml:space="preserve"> 5.157/2009</w:t>
      </w:r>
      <w:r w:rsidR="00FD6B34" w:rsidRPr="007178AF">
        <w:rPr>
          <w:sz w:val="22"/>
          <w:szCs w:val="22"/>
        </w:rPr>
        <w:t xml:space="preserve"> da </w:t>
      </w:r>
      <w:r w:rsidR="00A32D77" w:rsidRPr="007178AF">
        <w:rPr>
          <w:sz w:val="22"/>
          <w:szCs w:val="22"/>
        </w:rPr>
        <w:t>2ª Câmara</w:t>
      </w:r>
      <w:r w:rsidR="00491039" w:rsidRPr="007178AF">
        <w:rPr>
          <w:sz w:val="22"/>
          <w:szCs w:val="22"/>
        </w:rPr>
        <w:t>.</w:t>
      </w:r>
      <w:r w:rsidR="00A32D77" w:rsidRPr="007178AF">
        <w:rPr>
          <w:sz w:val="22"/>
          <w:szCs w:val="22"/>
        </w:rPr>
        <w:t xml:space="preserve"> </w:t>
      </w:r>
      <w:r w:rsidR="00491039" w:rsidRPr="007178AF">
        <w:rPr>
          <w:b/>
          <w:i/>
          <w:sz w:val="22"/>
          <w:szCs w:val="22"/>
        </w:rPr>
        <w:t>Comunicação de Cautelar, TC 017.008/2012-3, rel. Min. Ana Arraes, 20.6.2012.</w:t>
      </w:r>
      <w:r w:rsidR="00491039" w:rsidRPr="007178AF">
        <w:rPr>
          <w:i/>
          <w:sz w:val="22"/>
          <w:szCs w:val="22"/>
        </w:rPr>
        <w:t xml:space="preserve"> </w:t>
      </w:r>
    </w:p>
    <w:p w:rsidR="00445AC4" w:rsidRPr="007178AF" w:rsidRDefault="00445AC4" w:rsidP="00445AC4">
      <w:pPr>
        <w:pStyle w:val="Default"/>
        <w:jc w:val="both"/>
        <w:rPr>
          <w:i/>
          <w:sz w:val="22"/>
          <w:szCs w:val="22"/>
        </w:rPr>
      </w:pPr>
    </w:p>
    <w:p w:rsidR="00054C16" w:rsidRPr="007178AF" w:rsidRDefault="00054C16" w:rsidP="00445AC4">
      <w:pPr>
        <w:pStyle w:val="Default"/>
        <w:spacing w:before="60"/>
        <w:jc w:val="both"/>
        <w:rPr>
          <w:b/>
          <w:sz w:val="22"/>
          <w:szCs w:val="22"/>
        </w:rPr>
      </w:pPr>
      <w:r w:rsidRPr="007178AF">
        <w:rPr>
          <w:b/>
          <w:sz w:val="22"/>
          <w:szCs w:val="22"/>
        </w:rPr>
        <w:t xml:space="preserve">Licitação de obra pública </w:t>
      </w:r>
    </w:p>
    <w:p w:rsidR="00F261F0" w:rsidRPr="007178AF" w:rsidRDefault="00A831FB" w:rsidP="00445AC4">
      <w:pPr>
        <w:pStyle w:val="Default"/>
        <w:spacing w:before="60"/>
        <w:jc w:val="both"/>
        <w:rPr>
          <w:b/>
          <w:sz w:val="22"/>
          <w:szCs w:val="22"/>
        </w:rPr>
      </w:pPr>
      <w:r w:rsidRPr="007178AF">
        <w:rPr>
          <w:b/>
          <w:sz w:val="22"/>
          <w:szCs w:val="22"/>
        </w:rPr>
        <w:t xml:space="preserve">2.  </w:t>
      </w:r>
      <w:r w:rsidR="00311663" w:rsidRPr="007178AF">
        <w:rPr>
          <w:b/>
          <w:sz w:val="22"/>
          <w:szCs w:val="22"/>
        </w:rPr>
        <w:t xml:space="preserve">A falta de definição adequada, em projeto básico de obra, de quantitativos de serviços que a integram e de prazo </w:t>
      </w:r>
      <w:r w:rsidR="00FD6B34" w:rsidRPr="007178AF">
        <w:rPr>
          <w:b/>
          <w:sz w:val="22"/>
          <w:szCs w:val="22"/>
        </w:rPr>
        <w:t xml:space="preserve">realista </w:t>
      </w:r>
      <w:r w:rsidR="00311663" w:rsidRPr="007178AF">
        <w:rPr>
          <w:b/>
          <w:sz w:val="22"/>
          <w:szCs w:val="22"/>
        </w:rPr>
        <w:t>para sua conclusão consubstancia, em avaliação precária, afronta aos comandos contidos nos artigos 6º, inciso IX e 7º, § 2º, incisos I e II, da Lei nº 8.443/1992</w:t>
      </w:r>
    </w:p>
    <w:p w:rsidR="002C15D5" w:rsidRPr="007178AF" w:rsidRDefault="00491039" w:rsidP="0053655B">
      <w:pPr>
        <w:pStyle w:val="Default"/>
        <w:spacing w:before="60"/>
        <w:jc w:val="both"/>
        <w:rPr>
          <w:sz w:val="22"/>
          <w:szCs w:val="22"/>
        </w:rPr>
      </w:pPr>
      <w:r w:rsidRPr="007178AF">
        <w:rPr>
          <w:sz w:val="22"/>
          <w:szCs w:val="22"/>
        </w:rPr>
        <w:t xml:space="preserve">Ainda na representação sobre possíveis </w:t>
      </w:r>
      <w:r w:rsidRPr="007178AF">
        <w:rPr>
          <w:iCs/>
          <w:sz w:val="22"/>
          <w:szCs w:val="22"/>
        </w:rPr>
        <w:t xml:space="preserve">irregularidades </w:t>
      </w:r>
      <w:r w:rsidRPr="007178AF">
        <w:rPr>
          <w:sz w:val="22"/>
          <w:szCs w:val="22"/>
        </w:rPr>
        <w:t xml:space="preserve">no edital da </w:t>
      </w:r>
      <w:r w:rsidR="00FD6B34" w:rsidRPr="007178AF">
        <w:rPr>
          <w:sz w:val="22"/>
          <w:szCs w:val="22"/>
        </w:rPr>
        <w:t>c</w:t>
      </w:r>
      <w:r w:rsidRPr="007178AF">
        <w:rPr>
          <w:sz w:val="22"/>
          <w:szCs w:val="22"/>
        </w:rPr>
        <w:t>oncorrência para construção do edifício-sede do</w:t>
      </w:r>
      <w:r w:rsidR="004F3E0F" w:rsidRPr="007178AF">
        <w:rPr>
          <w:sz w:val="22"/>
          <w:szCs w:val="22"/>
        </w:rPr>
        <w:t xml:space="preserve"> TRE/RJ</w:t>
      </w:r>
      <w:r w:rsidRPr="007178AF">
        <w:rPr>
          <w:sz w:val="22"/>
          <w:szCs w:val="22"/>
        </w:rPr>
        <w:t xml:space="preserve">, foram identificadas </w:t>
      </w:r>
      <w:r w:rsidR="004F3E0F" w:rsidRPr="007178AF">
        <w:rPr>
          <w:sz w:val="22"/>
          <w:szCs w:val="22"/>
        </w:rPr>
        <w:t xml:space="preserve">outras possíveis </w:t>
      </w:r>
      <w:r w:rsidR="000F4B18" w:rsidRPr="007178AF">
        <w:rPr>
          <w:sz w:val="22"/>
          <w:szCs w:val="22"/>
        </w:rPr>
        <w:t>deficiência</w:t>
      </w:r>
      <w:r w:rsidRPr="007178AF">
        <w:rPr>
          <w:sz w:val="22"/>
          <w:szCs w:val="22"/>
        </w:rPr>
        <w:t>s</w:t>
      </w:r>
      <w:r w:rsidR="000F4B18" w:rsidRPr="007178AF">
        <w:rPr>
          <w:sz w:val="22"/>
          <w:szCs w:val="22"/>
        </w:rPr>
        <w:t xml:space="preserve"> </w:t>
      </w:r>
      <w:r w:rsidRPr="007178AF">
        <w:rPr>
          <w:sz w:val="22"/>
          <w:szCs w:val="22"/>
        </w:rPr>
        <w:t xml:space="preserve">no </w:t>
      </w:r>
      <w:r w:rsidR="000F4B18" w:rsidRPr="007178AF">
        <w:rPr>
          <w:sz w:val="22"/>
          <w:szCs w:val="22"/>
        </w:rPr>
        <w:t xml:space="preserve">projeto básico </w:t>
      </w:r>
      <w:r w:rsidRPr="007178AF">
        <w:rPr>
          <w:sz w:val="22"/>
          <w:szCs w:val="22"/>
        </w:rPr>
        <w:t>da licitação</w:t>
      </w:r>
      <w:r w:rsidR="008D4846" w:rsidRPr="007178AF">
        <w:rPr>
          <w:sz w:val="22"/>
          <w:szCs w:val="22"/>
        </w:rPr>
        <w:t>:</w:t>
      </w:r>
      <w:r w:rsidR="004F3E0F" w:rsidRPr="007178AF">
        <w:rPr>
          <w:sz w:val="22"/>
          <w:szCs w:val="22"/>
        </w:rPr>
        <w:t xml:space="preserve"> </w:t>
      </w:r>
      <w:r w:rsidR="008D4846" w:rsidRPr="007178AF">
        <w:rPr>
          <w:sz w:val="22"/>
          <w:szCs w:val="22"/>
        </w:rPr>
        <w:t xml:space="preserve">a) não </w:t>
      </w:r>
      <w:r w:rsidR="000F4B18" w:rsidRPr="007178AF">
        <w:rPr>
          <w:sz w:val="22"/>
          <w:szCs w:val="22"/>
        </w:rPr>
        <w:t>disponibilização de elementos fundamentais para a satisfatória caracterização do objeto, em especial projetos estrutural, de fundações, de terraplenagem e de instalações elétricas, além do detalhamento dos estudos geológicos/geotécnicos do terreno</w:t>
      </w:r>
      <w:r w:rsidR="008D4846" w:rsidRPr="007178AF">
        <w:rPr>
          <w:sz w:val="22"/>
          <w:szCs w:val="22"/>
        </w:rPr>
        <w:t>; b) falhas na quantificação de itens que integram serviços</w:t>
      </w:r>
      <w:r w:rsidR="0072603B" w:rsidRPr="007178AF">
        <w:rPr>
          <w:sz w:val="22"/>
          <w:szCs w:val="22"/>
        </w:rPr>
        <w:t xml:space="preserve"> relevantes</w:t>
      </w:r>
      <w:r w:rsidR="008D4846" w:rsidRPr="007178AF">
        <w:rPr>
          <w:sz w:val="22"/>
          <w:szCs w:val="22"/>
        </w:rPr>
        <w:t xml:space="preserve">, como </w:t>
      </w:r>
      <w:r w:rsidR="0072603B" w:rsidRPr="007178AF">
        <w:rPr>
          <w:sz w:val="22"/>
          <w:szCs w:val="22"/>
        </w:rPr>
        <w:t xml:space="preserve">o consumo de aço em relação ao volume de concreto (191 Kg/m³, quando a literatura especializada e a </w:t>
      </w:r>
      <w:r w:rsidR="0072603B" w:rsidRPr="007178AF">
        <w:rPr>
          <w:b/>
          <w:sz w:val="22"/>
          <w:szCs w:val="22"/>
        </w:rPr>
        <w:t>praxe</w:t>
      </w:r>
      <w:r w:rsidR="0072603B" w:rsidRPr="007178AF">
        <w:rPr>
          <w:sz w:val="22"/>
          <w:szCs w:val="22"/>
        </w:rPr>
        <w:t xml:space="preserve"> indicam intervalo de consumo entre 83 a 100 Kg/m³); c) aparente impossibilidade de execução das obras no prazo fixado no edital</w:t>
      </w:r>
      <w:r w:rsidR="0000092D" w:rsidRPr="007178AF">
        <w:rPr>
          <w:sz w:val="22"/>
          <w:szCs w:val="22"/>
        </w:rPr>
        <w:t xml:space="preserve"> (12 meses)</w:t>
      </w:r>
      <w:r w:rsidR="0072603B" w:rsidRPr="007178AF">
        <w:rPr>
          <w:sz w:val="22"/>
          <w:szCs w:val="22"/>
        </w:rPr>
        <w:t>, tendo em vista a</w:t>
      </w:r>
      <w:r w:rsidR="0000092D" w:rsidRPr="007178AF">
        <w:rPr>
          <w:sz w:val="22"/>
          <w:szCs w:val="22"/>
        </w:rPr>
        <w:t xml:space="preserve">s características e </w:t>
      </w:r>
      <w:r w:rsidR="0072603B" w:rsidRPr="007178AF">
        <w:rPr>
          <w:sz w:val="22"/>
          <w:szCs w:val="22"/>
        </w:rPr>
        <w:t xml:space="preserve">magnitude </w:t>
      </w:r>
      <w:r w:rsidR="0000092D" w:rsidRPr="007178AF">
        <w:rPr>
          <w:sz w:val="22"/>
          <w:szCs w:val="22"/>
        </w:rPr>
        <w:t>do empreendimento licitado</w:t>
      </w:r>
      <w:r w:rsidR="00E951D5" w:rsidRPr="007178AF">
        <w:rPr>
          <w:sz w:val="22"/>
          <w:szCs w:val="22"/>
        </w:rPr>
        <w:t>. A relatora do feito, ao examinar</w:t>
      </w:r>
      <w:r w:rsidR="004F3E0F" w:rsidRPr="007178AF">
        <w:rPr>
          <w:sz w:val="22"/>
          <w:szCs w:val="22"/>
        </w:rPr>
        <w:t xml:space="preserve"> </w:t>
      </w:r>
      <w:r w:rsidR="00E951D5" w:rsidRPr="007178AF">
        <w:rPr>
          <w:sz w:val="22"/>
          <w:szCs w:val="22"/>
        </w:rPr>
        <w:t xml:space="preserve">esclarecimentos </w:t>
      </w:r>
      <w:r w:rsidR="004F3E0F" w:rsidRPr="007178AF">
        <w:rPr>
          <w:sz w:val="22"/>
          <w:szCs w:val="22"/>
        </w:rPr>
        <w:t xml:space="preserve">voluntariamente </w:t>
      </w:r>
      <w:r w:rsidR="00E951D5" w:rsidRPr="007178AF">
        <w:rPr>
          <w:sz w:val="22"/>
          <w:szCs w:val="22"/>
        </w:rPr>
        <w:t xml:space="preserve">apresentados pelo </w:t>
      </w:r>
      <w:r w:rsidR="004F3E0F" w:rsidRPr="007178AF">
        <w:rPr>
          <w:sz w:val="22"/>
          <w:szCs w:val="22"/>
        </w:rPr>
        <w:t xml:space="preserve">órgão </w:t>
      </w:r>
      <w:r w:rsidR="00E951D5" w:rsidRPr="007178AF">
        <w:rPr>
          <w:sz w:val="22"/>
          <w:szCs w:val="22"/>
        </w:rPr>
        <w:t xml:space="preserve">acerca dos aspectos acima suscitados, considerou, em linha de consonância com a unidade técnica, que as deficiências do projeto básico </w:t>
      </w:r>
      <w:r w:rsidR="004F3E0F" w:rsidRPr="007178AF">
        <w:rPr>
          <w:sz w:val="22"/>
          <w:szCs w:val="22"/>
        </w:rPr>
        <w:t xml:space="preserve">violam </w:t>
      </w:r>
      <w:r w:rsidR="00E951D5" w:rsidRPr="007178AF">
        <w:rPr>
          <w:sz w:val="22"/>
          <w:szCs w:val="22"/>
        </w:rPr>
        <w:t xml:space="preserve">dispositivos da Lei 8.666/1993, </w:t>
      </w:r>
      <w:r w:rsidRPr="007178AF">
        <w:rPr>
          <w:sz w:val="22"/>
          <w:szCs w:val="22"/>
        </w:rPr>
        <w:t xml:space="preserve">entre os quais os contidos nos </w:t>
      </w:r>
      <w:r w:rsidR="00E951D5" w:rsidRPr="007178AF">
        <w:rPr>
          <w:sz w:val="22"/>
          <w:szCs w:val="22"/>
        </w:rPr>
        <w:t>artigos 6º, inciso IX; 7º, § 2º, incisos I e II</w:t>
      </w:r>
      <w:r w:rsidR="00C16F1F" w:rsidRPr="007178AF">
        <w:rPr>
          <w:sz w:val="22"/>
          <w:szCs w:val="22"/>
        </w:rPr>
        <w:t>.</w:t>
      </w:r>
      <w:r w:rsidR="00E951D5" w:rsidRPr="007178AF">
        <w:rPr>
          <w:sz w:val="22"/>
          <w:szCs w:val="22"/>
        </w:rPr>
        <w:t xml:space="preserve"> </w:t>
      </w:r>
      <w:r w:rsidR="0000092D" w:rsidRPr="007178AF">
        <w:rPr>
          <w:sz w:val="22"/>
          <w:szCs w:val="22"/>
        </w:rPr>
        <w:t xml:space="preserve"> </w:t>
      </w:r>
      <w:r w:rsidR="005B4812" w:rsidRPr="007178AF">
        <w:rPr>
          <w:sz w:val="22"/>
          <w:szCs w:val="22"/>
        </w:rPr>
        <w:t>Ressaltou, também, em face da previsão de entrega dos documentos pelas licitantes para 18/6/2012, a “</w:t>
      </w:r>
      <w:r w:rsidR="005B4812" w:rsidRPr="007178AF">
        <w:rPr>
          <w:i/>
          <w:sz w:val="22"/>
          <w:szCs w:val="22"/>
        </w:rPr>
        <w:t>iminência da assinatura de contrato decorrente de licitação eivada de graves vícios</w:t>
      </w:r>
      <w:r w:rsidR="005B4812" w:rsidRPr="007178AF">
        <w:rPr>
          <w:sz w:val="22"/>
          <w:szCs w:val="22"/>
        </w:rPr>
        <w:t xml:space="preserve">”, o que configura o requisito do perigo na demora. Também por esses motivos, decidiu a relatora determinar a suspensão cautelar da </w:t>
      </w:r>
      <w:r w:rsidR="003047D2" w:rsidRPr="007178AF">
        <w:rPr>
          <w:sz w:val="22"/>
          <w:szCs w:val="22"/>
        </w:rPr>
        <w:t xml:space="preserve">Concorrência 1/2012 – TRE/RJ e promover oitiva do órgão. O Tribunal endossou tais providências. </w:t>
      </w:r>
      <w:r w:rsidR="003047D2" w:rsidRPr="007178AF">
        <w:rPr>
          <w:b/>
          <w:i/>
          <w:sz w:val="22"/>
          <w:szCs w:val="22"/>
        </w:rPr>
        <w:t>Comunicação de Cautelar, TC 017.008/2012-3, rel. Min. Ana Arraes, 20.6.2012.</w:t>
      </w:r>
      <w:r w:rsidR="003047D2" w:rsidRPr="007178AF">
        <w:rPr>
          <w:i/>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7178AF" w:rsidTr="0030360F">
        <w:trPr>
          <w:trHeight w:val="779"/>
          <w:jc w:val="center"/>
        </w:trPr>
        <w:tc>
          <w:tcPr>
            <w:tcW w:w="0" w:type="auto"/>
            <w:vAlign w:val="center"/>
          </w:tcPr>
          <w:p w:rsidR="007334B1" w:rsidRPr="007178AF" w:rsidRDefault="00C10DD5" w:rsidP="006564F2">
            <w:pPr>
              <w:pStyle w:val="enter-3pt"/>
              <w:tabs>
                <w:tab w:val="left" w:pos="2590"/>
              </w:tabs>
              <w:spacing w:line="240" w:lineRule="auto"/>
              <w:rPr>
                <w:b/>
                <w:i/>
                <w:sz w:val="22"/>
                <w:szCs w:val="22"/>
              </w:rPr>
            </w:pPr>
            <w:r w:rsidRPr="007178AF">
              <w:rPr>
                <w:b/>
                <w:i/>
                <w:sz w:val="22"/>
                <w:szCs w:val="22"/>
              </w:rPr>
              <w:t>Elaboração: Secretaria das Sessões</w:t>
            </w:r>
          </w:p>
          <w:p w:rsidR="007334B1" w:rsidRPr="007178AF" w:rsidRDefault="007334B1" w:rsidP="006564F2">
            <w:pPr>
              <w:pStyle w:val="enter-3pt"/>
              <w:tabs>
                <w:tab w:val="left" w:pos="2590"/>
              </w:tabs>
              <w:spacing w:line="240" w:lineRule="auto"/>
              <w:rPr>
                <w:b/>
                <w:i/>
                <w:sz w:val="22"/>
                <w:szCs w:val="22"/>
              </w:rPr>
            </w:pPr>
            <w:r w:rsidRPr="007178AF">
              <w:rPr>
                <w:b/>
                <w:i/>
                <w:sz w:val="22"/>
                <w:szCs w:val="22"/>
              </w:rPr>
              <w:t xml:space="preserve">Contato: </w:t>
            </w:r>
            <w:hyperlink r:id="rId8" w:history="1">
              <w:r w:rsidRPr="007178AF">
                <w:rPr>
                  <w:rStyle w:val="Hyperlink"/>
                  <w:b/>
                  <w:i/>
                  <w:color w:val="auto"/>
                  <w:sz w:val="22"/>
                  <w:szCs w:val="22"/>
                </w:rPr>
                <w:t>infojuris@tcu.gov.br</w:t>
              </w:r>
            </w:hyperlink>
          </w:p>
        </w:tc>
      </w:tr>
    </w:tbl>
    <w:p w:rsidR="00F3058F" w:rsidRPr="007178AF" w:rsidRDefault="00F3058F" w:rsidP="0053655B">
      <w:pPr>
        <w:pStyle w:val="PargrafodaLista"/>
        <w:widowControl w:val="0"/>
        <w:autoSpaceDE w:val="0"/>
        <w:autoSpaceDN w:val="0"/>
        <w:adjustRightInd w:val="0"/>
        <w:ind w:left="0"/>
        <w:jc w:val="both"/>
        <w:rPr>
          <w:b/>
          <w:color w:val="FF0000"/>
          <w:sz w:val="22"/>
        </w:rPr>
      </w:pPr>
    </w:p>
    <w:sectPr w:rsidR="00F3058F" w:rsidRPr="007178AF"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5A5" w:rsidRDefault="00DD55A5" w:rsidP="008B0547">
      <w:pPr>
        <w:spacing w:after="0"/>
      </w:pPr>
      <w:r>
        <w:separator/>
      </w:r>
    </w:p>
  </w:endnote>
  <w:endnote w:type="continuationSeparator" w:id="0">
    <w:p w:rsidR="00DD55A5" w:rsidRDefault="00DD55A5"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EE6D8B"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CE5A6B">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5A5" w:rsidRDefault="00DD55A5" w:rsidP="008B0547">
      <w:pPr>
        <w:spacing w:after="0"/>
      </w:pPr>
      <w:r>
        <w:separator/>
      </w:r>
    </w:p>
  </w:footnote>
  <w:footnote w:type="continuationSeparator" w:id="0">
    <w:p w:rsidR="00DD55A5" w:rsidRDefault="00DD55A5"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D62DD8"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D62DD8" w:rsidP="00080148">
    <w:pPr>
      <w:spacing w:after="0"/>
      <w:rPr>
        <w:rFonts w:ascii="Arial" w:hAnsi="Arial" w:cs="Arial"/>
        <w:b/>
      </w:rPr>
    </w:pPr>
    <w:r w:rsidRPr="00EE6D8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3E824"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rmativo de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AB1BB4">
      <w:rPr>
        <w:rFonts w:ascii="Arial" w:hAnsi="Arial" w:cs="Arial"/>
        <w:noProof/>
        <w:lang w:eastAsia="pt-BR"/>
      </w:rPr>
      <w:t>1</w:t>
    </w:r>
    <w:r w:rsidR="000227F4">
      <w:rPr>
        <w:rFonts w:ascii="Arial" w:hAnsi="Arial" w:cs="Arial"/>
        <w:noProof/>
        <w:lang w:eastAsia="pt-BR"/>
      </w:rPr>
      <w:t>1</w:t>
    </w:r>
    <w:r w:rsidR="00A82229">
      <w:rPr>
        <w:rFonts w:ascii="Arial" w:hAnsi="Arial" w:cs="Arial"/>
        <w:noProof/>
        <w:lang w:eastAsia="pt-BR"/>
      </w:rPr>
      <w:t>1</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4">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0BF56F5"/>
    <w:multiLevelType w:val="hybridMultilevel"/>
    <w:tmpl w:val="464A0018"/>
    <w:lvl w:ilvl="0" w:tplc="ABBE07CA">
      <w:start w:val="2"/>
      <w:numFmt w:val="decimal"/>
      <w:lvlText w:val="%1."/>
      <w:lvlJc w:val="left"/>
      <w:pPr>
        <w:ind w:left="644" w:hanging="360"/>
      </w:pPr>
      <w:rPr>
        <w:rFonts w:cs="Times New Roman" w:hint="default"/>
      </w:rPr>
    </w:lvl>
    <w:lvl w:ilvl="1" w:tplc="04160019">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27">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8">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31">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9"/>
  </w:num>
  <w:num w:numId="3">
    <w:abstractNumId w:val="8"/>
  </w:num>
  <w:num w:numId="4">
    <w:abstractNumId w:val="0"/>
  </w:num>
  <w:num w:numId="5">
    <w:abstractNumId w:val="11"/>
  </w:num>
  <w:num w:numId="6">
    <w:abstractNumId w:val="18"/>
  </w:num>
  <w:num w:numId="7">
    <w:abstractNumId w:val="29"/>
  </w:num>
  <w:num w:numId="8">
    <w:abstractNumId w:val="25"/>
  </w:num>
  <w:num w:numId="9">
    <w:abstractNumId w:val="21"/>
  </w:num>
  <w:num w:numId="10">
    <w:abstractNumId w:val="6"/>
  </w:num>
  <w:num w:numId="11">
    <w:abstractNumId w:val="31"/>
  </w:num>
  <w:num w:numId="12">
    <w:abstractNumId w:val="4"/>
  </w:num>
  <w:num w:numId="13">
    <w:abstractNumId w:val="17"/>
  </w:num>
  <w:num w:numId="14">
    <w:abstractNumId w:val="28"/>
  </w:num>
  <w:num w:numId="15">
    <w:abstractNumId w:val="15"/>
  </w:num>
  <w:num w:numId="16">
    <w:abstractNumId w:val="2"/>
  </w:num>
  <w:num w:numId="17">
    <w:abstractNumId w:val="13"/>
  </w:num>
  <w:num w:numId="18">
    <w:abstractNumId w:val="30"/>
    <w:lvlOverride w:ilvl="0">
      <w:startOverride w:val="1"/>
    </w:lvlOverride>
  </w:num>
  <w:num w:numId="19">
    <w:abstractNumId w:val="23"/>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2"/>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6E8"/>
    <w:rsid w:val="0000092D"/>
    <w:rsid w:val="0000153E"/>
    <w:rsid w:val="00001878"/>
    <w:rsid w:val="00001B69"/>
    <w:rsid w:val="00003CEA"/>
    <w:rsid w:val="00004614"/>
    <w:rsid w:val="00004D04"/>
    <w:rsid w:val="00005435"/>
    <w:rsid w:val="00005BA5"/>
    <w:rsid w:val="00005E1E"/>
    <w:rsid w:val="00005F57"/>
    <w:rsid w:val="0000636F"/>
    <w:rsid w:val="000069F3"/>
    <w:rsid w:val="0001037C"/>
    <w:rsid w:val="000118BC"/>
    <w:rsid w:val="000118CC"/>
    <w:rsid w:val="00011BA0"/>
    <w:rsid w:val="00011D5A"/>
    <w:rsid w:val="00012468"/>
    <w:rsid w:val="00013851"/>
    <w:rsid w:val="00013A1F"/>
    <w:rsid w:val="000145F8"/>
    <w:rsid w:val="000161F7"/>
    <w:rsid w:val="0001636D"/>
    <w:rsid w:val="00016A5D"/>
    <w:rsid w:val="0001776E"/>
    <w:rsid w:val="000179E2"/>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71FA"/>
    <w:rsid w:val="0002751C"/>
    <w:rsid w:val="00027B2E"/>
    <w:rsid w:val="000300A2"/>
    <w:rsid w:val="00032198"/>
    <w:rsid w:val="00032CA1"/>
    <w:rsid w:val="00033551"/>
    <w:rsid w:val="0003422F"/>
    <w:rsid w:val="00037DCE"/>
    <w:rsid w:val="00041450"/>
    <w:rsid w:val="000431BD"/>
    <w:rsid w:val="000438FC"/>
    <w:rsid w:val="000460E4"/>
    <w:rsid w:val="0004660A"/>
    <w:rsid w:val="00046CF7"/>
    <w:rsid w:val="00050483"/>
    <w:rsid w:val="0005133B"/>
    <w:rsid w:val="00051AAB"/>
    <w:rsid w:val="00051D57"/>
    <w:rsid w:val="0005205F"/>
    <w:rsid w:val="00052B15"/>
    <w:rsid w:val="0005356E"/>
    <w:rsid w:val="000540FC"/>
    <w:rsid w:val="0005412B"/>
    <w:rsid w:val="00054432"/>
    <w:rsid w:val="0005485B"/>
    <w:rsid w:val="00054C16"/>
    <w:rsid w:val="00054FBE"/>
    <w:rsid w:val="00055D4F"/>
    <w:rsid w:val="000562CD"/>
    <w:rsid w:val="0005656B"/>
    <w:rsid w:val="00056A5A"/>
    <w:rsid w:val="00056D51"/>
    <w:rsid w:val="0006028E"/>
    <w:rsid w:val="00060CE3"/>
    <w:rsid w:val="00061C2E"/>
    <w:rsid w:val="000622E0"/>
    <w:rsid w:val="000647B1"/>
    <w:rsid w:val="00065A8B"/>
    <w:rsid w:val="00065E95"/>
    <w:rsid w:val="00066E66"/>
    <w:rsid w:val="00066F26"/>
    <w:rsid w:val="0006707B"/>
    <w:rsid w:val="000675D5"/>
    <w:rsid w:val="00067E95"/>
    <w:rsid w:val="00070785"/>
    <w:rsid w:val="0007259B"/>
    <w:rsid w:val="00072916"/>
    <w:rsid w:val="00072F56"/>
    <w:rsid w:val="00074384"/>
    <w:rsid w:val="00074AC5"/>
    <w:rsid w:val="00077A56"/>
    <w:rsid w:val="00077BA4"/>
    <w:rsid w:val="00080148"/>
    <w:rsid w:val="000807D4"/>
    <w:rsid w:val="00081635"/>
    <w:rsid w:val="00081DFB"/>
    <w:rsid w:val="00083514"/>
    <w:rsid w:val="000835D8"/>
    <w:rsid w:val="00084282"/>
    <w:rsid w:val="00084727"/>
    <w:rsid w:val="00086A39"/>
    <w:rsid w:val="00086BAA"/>
    <w:rsid w:val="00087006"/>
    <w:rsid w:val="00087894"/>
    <w:rsid w:val="00090D8A"/>
    <w:rsid w:val="0009133A"/>
    <w:rsid w:val="000916AF"/>
    <w:rsid w:val="000929ED"/>
    <w:rsid w:val="00092C2E"/>
    <w:rsid w:val="00094A7D"/>
    <w:rsid w:val="00094C5B"/>
    <w:rsid w:val="00094EEC"/>
    <w:rsid w:val="00095069"/>
    <w:rsid w:val="00095D98"/>
    <w:rsid w:val="0009649A"/>
    <w:rsid w:val="0009655D"/>
    <w:rsid w:val="0009748C"/>
    <w:rsid w:val="0009780B"/>
    <w:rsid w:val="00097863"/>
    <w:rsid w:val="00097ABD"/>
    <w:rsid w:val="00097BF6"/>
    <w:rsid w:val="000A0EF8"/>
    <w:rsid w:val="000A152A"/>
    <w:rsid w:val="000A1EBD"/>
    <w:rsid w:val="000A2C56"/>
    <w:rsid w:val="000A402F"/>
    <w:rsid w:val="000A4632"/>
    <w:rsid w:val="000A47EA"/>
    <w:rsid w:val="000A57DA"/>
    <w:rsid w:val="000A599E"/>
    <w:rsid w:val="000A6269"/>
    <w:rsid w:val="000A62BD"/>
    <w:rsid w:val="000A6645"/>
    <w:rsid w:val="000A77BB"/>
    <w:rsid w:val="000B0ECB"/>
    <w:rsid w:val="000B0FEA"/>
    <w:rsid w:val="000B2AFA"/>
    <w:rsid w:val="000B4B33"/>
    <w:rsid w:val="000B4C5B"/>
    <w:rsid w:val="000B4EBB"/>
    <w:rsid w:val="000B5DB2"/>
    <w:rsid w:val="000B5DD4"/>
    <w:rsid w:val="000B639F"/>
    <w:rsid w:val="000B6475"/>
    <w:rsid w:val="000B6BC1"/>
    <w:rsid w:val="000C0013"/>
    <w:rsid w:val="000C02AD"/>
    <w:rsid w:val="000C049A"/>
    <w:rsid w:val="000C22BE"/>
    <w:rsid w:val="000C22C0"/>
    <w:rsid w:val="000C28CC"/>
    <w:rsid w:val="000C2CBC"/>
    <w:rsid w:val="000C3DAB"/>
    <w:rsid w:val="000C4611"/>
    <w:rsid w:val="000C4A10"/>
    <w:rsid w:val="000C4AC9"/>
    <w:rsid w:val="000C5799"/>
    <w:rsid w:val="000C5FDE"/>
    <w:rsid w:val="000C61FA"/>
    <w:rsid w:val="000C7281"/>
    <w:rsid w:val="000C7D11"/>
    <w:rsid w:val="000D14D9"/>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A4B"/>
    <w:rsid w:val="000E1D37"/>
    <w:rsid w:val="000E2D47"/>
    <w:rsid w:val="000E3B31"/>
    <w:rsid w:val="000E3C6D"/>
    <w:rsid w:val="000E504D"/>
    <w:rsid w:val="000E5EAB"/>
    <w:rsid w:val="000E7FD4"/>
    <w:rsid w:val="000F2133"/>
    <w:rsid w:val="000F28E9"/>
    <w:rsid w:val="000F2975"/>
    <w:rsid w:val="000F2D05"/>
    <w:rsid w:val="000F2F92"/>
    <w:rsid w:val="000F2FD9"/>
    <w:rsid w:val="000F4166"/>
    <w:rsid w:val="000F4B18"/>
    <w:rsid w:val="000F6986"/>
    <w:rsid w:val="000F6D85"/>
    <w:rsid w:val="000F7B66"/>
    <w:rsid w:val="000F7CEE"/>
    <w:rsid w:val="000F7D84"/>
    <w:rsid w:val="001005A8"/>
    <w:rsid w:val="00101707"/>
    <w:rsid w:val="00102D37"/>
    <w:rsid w:val="001041ED"/>
    <w:rsid w:val="00104AAD"/>
    <w:rsid w:val="001060EF"/>
    <w:rsid w:val="001104BA"/>
    <w:rsid w:val="001125A2"/>
    <w:rsid w:val="00112676"/>
    <w:rsid w:val="00112A5F"/>
    <w:rsid w:val="0011373A"/>
    <w:rsid w:val="00113A1F"/>
    <w:rsid w:val="00114511"/>
    <w:rsid w:val="001156BA"/>
    <w:rsid w:val="00115911"/>
    <w:rsid w:val="0011691F"/>
    <w:rsid w:val="00116BAB"/>
    <w:rsid w:val="00117E95"/>
    <w:rsid w:val="001203BE"/>
    <w:rsid w:val="00121782"/>
    <w:rsid w:val="00122F63"/>
    <w:rsid w:val="00123E6B"/>
    <w:rsid w:val="00125476"/>
    <w:rsid w:val="00125B0B"/>
    <w:rsid w:val="00125F9A"/>
    <w:rsid w:val="00126026"/>
    <w:rsid w:val="00126198"/>
    <w:rsid w:val="001263AF"/>
    <w:rsid w:val="00126A9F"/>
    <w:rsid w:val="00130032"/>
    <w:rsid w:val="00130A0C"/>
    <w:rsid w:val="00130EF3"/>
    <w:rsid w:val="001316FC"/>
    <w:rsid w:val="0013322B"/>
    <w:rsid w:val="00133EA9"/>
    <w:rsid w:val="00133FBC"/>
    <w:rsid w:val="001351D5"/>
    <w:rsid w:val="00135D01"/>
    <w:rsid w:val="0013735A"/>
    <w:rsid w:val="00137B22"/>
    <w:rsid w:val="00137FE3"/>
    <w:rsid w:val="00140FED"/>
    <w:rsid w:val="00141D7A"/>
    <w:rsid w:val="001420D1"/>
    <w:rsid w:val="001420FE"/>
    <w:rsid w:val="00142621"/>
    <w:rsid w:val="00142C16"/>
    <w:rsid w:val="001444A2"/>
    <w:rsid w:val="00144987"/>
    <w:rsid w:val="00151F92"/>
    <w:rsid w:val="0015258E"/>
    <w:rsid w:val="00152ECC"/>
    <w:rsid w:val="001532E4"/>
    <w:rsid w:val="00155D65"/>
    <w:rsid w:val="0015699C"/>
    <w:rsid w:val="00156A48"/>
    <w:rsid w:val="00156C90"/>
    <w:rsid w:val="00156DDB"/>
    <w:rsid w:val="00157614"/>
    <w:rsid w:val="001576E2"/>
    <w:rsid w:val="00157AFE"/>
    <w:rsid w:val="00157C0F"/>
    <w:rsid w:val="001612C0"/>
    <w:rsid w:val="0016352E"/>
    <w:rsid w:val="001665B9"/>
    <w:rsid w:val="001667C0"/>
    <w:rsid w:val="00166C60"/>
    <w:rsid w:val="00171E89"/>
    <w:rsid w:val="001737F7"/>
    <w:rsid w:val="001744E7"/>
    <w:rsid w:val="0017459B"/>
    <w:rsid w:val="00174E4D"/>
    <w:rsid w:val="00176287"/>
    <w:rsid w:val="00176375"/>
    <w:rsid w:val="001766A9"/>
    <w:rsid w:val="00180774"/>
    <w:rsid w:val="00181339"/>
    <w:rsid w:val="00181680"/>
    <w:rsid w:val="00181848"/>
    <w:rsid w:val="00183A7D"/>
    <w:rsid w:val="001847D6"/>
    <w:rsid w:val="00184DD0"/>
    <w:rsid w:val="0018776F"/>
    <w:rsid w:val="00190FE2"/>
    <w:rsid w:val="00192052"/>
    <w:rsid w:val="0019284D"/>
    <w:rsid w:val="00194053"/>
    <w:rsid w:val="001956E2"/>
    <w:rsid w:val="00195F77"/>
    <w:rsid w:val="00196098"/>
    <w:rsid w:val="001A0B42"/>
    <w:rsid w:val="001A0CC1"/>
    <w:rsid w:val="001A204B"/>
    <w:rsid w:val="001A2A67"/>
    <w:rsid w:val="001A2B80"/>
    <w:rsid w:val="001A3198"/>
    <w:rsid w:val="001A31E4"/>
    <w:rsid w:val="001A330B"/>
    <w:rsid w:val="001A37F4"/>
    <w:rsid w:val="001A4C6F"/>
    <w:rsid w:val="001A58D8"/>
    <w:rsid w:val="001A5C45"/>
    <w:rsid w:val="001A60A2"/>
    <w:rsid w:val="001A75FE"/>
    <w:rsid w:val="001A79D3"/>
    <w:rsid w:val="001A7BF5"/>
    <w:rsid w:val="001B1669"/>
    <w:rsid w:val="001B19FF"/>
    <w:rsid w:val="001B2580"/>
    <w:rsid w:val="001B2931"/>
    <w:rsid w:val="001B3729"/>
    <w:rsid w:val="001B3BEF"/>
    <w:rsid w:val="001B3E8E"/>
    <w:rsid w:val="001B4316"/>
    <w:rsid w:val="001B4F90"/>
    <w:rsid w:val="001B5333"/>
    <w:rsid w:val="001B5426"/>
    <w:rsid w:val="001B6823"/>
    <w:rsid w:val="001B7F4F"/>
    <w:rsid w:val="001C0575"/>
    <w:rsid w:val="001C08D8"/>
    <w:rsid w:val="001C0A66"/>
    <w:rsid w:val="001C1568"/>
    <w:rsid w:val="001C1903"/>
    <w:rsid w:val="001C23B5"/>
    <w:rsid w:val="001C2950"/>
    <w:rsid w:val="001C437E"/>
    <w:rsid w:val="001C5C51"/>
    <w:rsid w:val="001C6A2C"/>
    <w:rsid w:val="001C6E55"/>
    <w:rsid w:val="001C71E3"/>
    <w:rsid w:val="001C72D6"/>
    <w:rsid w:val="001D03C7"/>
    <w:rsid w:val="001D0FAF"/>
    <w:rsid w:val="001D1478"/>
    <w:rsid w:val="001D1E52"/>
    <w:rsid w:val="001D35B4"/>
    <w:rsid w:val="001D5190"/>
    <w:rsid w:val="001D56C3"/>
    <w:rsid w:val="001D74CE"/>
    <w:rsid w:val="001D7622"/>
    <w:rsid w:val="001D79D0"/>
    <w:rsid w:val="001E0BF1"/>
    <w:rsid w:val="001E1E28"/>
    <w:rsid w:val="001E2620"/>
    <w:rsid w:val="001E4147"/>
    <w:rsid w:val="001E5B5B"/>
    <w:rsid w:val="001E5CBA"/>
    <w:rsid w:val="001E7019"/>
    <w:rsid w:val="001E71F9"/>
    <w:rsid w:val="001E747D"/>
    <w:rsid w:val="001E76DA"/>
    <w:rsid w:val="001E7C3D"/>
    <w:rsid w:val="001E7F81"/>
    <w:rsid w:val="001F00DF"/>
    <w:rsid w:val="001F1E8F"/>
    <w:rsid w:val="001F553C"/>
    <w:rsid w:val="001F64D1"/>
    <w:rsid w:val="001F6BB0"/>
    <w:rsid w:val="00200260"/>
    <w:rsid w:val="002002CE"/>
    <w:rsid w:val="0020066F"/>
    <w:rsid w:val="0020107A"/>
    <w:rsid w:val="0020135D"/>
    <w:rsid w:val="00201FED"/>
    <w:rsid w:val="00202061"/>
    <w:rsid w:val="00202EAD"/>
    <w:rsid w:val="00203A6F"/>
    <w:rsid w:val="00206C2E"/>
    <w:rsid w:val="0021001C"/>
    <w:rsid w:val="00211816"/>
    <w:rsid w:val="002139A2"/>
    <w:rsid w:val="00217566"/>
    <w:rsid w:val="00217B1B"/>
    <w:rsid w:val="00221D51"/>
    <w:rsid w:val="00223BB9"/>
    <w:rsid w:val="00224F04"/>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A81"/>
    <w:rsid w:val="00236F05"/>
    <w:rsid w:val="002371E3"/>
    <w:rsid w:val="002401FC"/>
    <w:rsid w:val="002415A6"/>
    <w:rsid w:val="00242061"/>
    <w:rsid w:val="00243011"/>
    <w:rsid w:val="002435FC"/>
    <w:rsid w:val="002442D9"/>
    <w:rsid w:val="00244BA7"/>
    <w:rsid w:val="00245351"/>
    <w:rsid w:val="00245432"/>
    <w:rsid w:val="0024593F"/>
    <w:rsid w:val="002476B6"/>
    <w:rsid w:val="00247E76"/>
    <w:rsid w:val="00247E8F"/>
    <w:rsid w:val="002510D5"/>
    <w:rsid w:val="00252BB0"/>
    <w:rsid w:val="00253242"/>
    <w:rsid w:val="00254590"/>
    <w:rsid w:val="002549FC"/>
    <w:rsid w:val="00254B75"/>
    <w:rsid w:val="002551C8"/>
    <w:rsid w:val="00257D8A"/>
    <w:rsid w:val="00261488"/>
    <w:rsid w:val="0026222C"/>
    <w:rsid w:val="00262359"/>
    <w:rsid w:val="002633D9"/>
    <w:rsid w:val="0026340E"/>
    <w:rsid w:val="0026362E"/>
    <w:rsid w:val="002639CA"/>
    <w:rsid w:val="002642F2"/>
    <w:rsid w:val="002649A7"/>
    <w:rsid w:val="00264FC3"/>
    <w:rsid w:val="002663B7"/>
    <w:rsid w:val="002666C5"/>
    <w:rsid w:val="00266B83"/>
    <w:rsid w:val="00266C8A"/>
    <w:rsid w:val="00267E01"/>
    <w:rsid w:val="00270EAC"/>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95E"/>
    <w:rsid w:val="00281B57"/>
    <w:rsid w:val="00281D9E"/>
    <w:rsid w:val="002830F6"/>
    <w:rsid w:val="002836D4"/>
    <w:rsid w:val="00283F64"/>
    <w:rsid w:val="00284CE8"/>
    <w:rsid w:val="00287326"/>
    <w:rsid w:val="0029043B"/>
    <w:rsid w:val="00290A06"/>
    <w:rsid w:val="00291703"/>
    <w:rsid w:val="00291766"/>
    <w:rsid w:val="002920C1"/>
    <w:rsid w:val="0029211E"/>
    <w:rsid w:val="00293198"/>
    <w:rsid w:val="0029450E"/>
    <w:rsid w:val="0029551E"/>
    <w:rsid w:val="00297A00"/>
    <w:rsid w:val="002A03ED"/>
    <w:rsid w:val="002A040F"/>
    <w:rsid w:val="002A190F"/>
    <w:rsid w:val="002A2129"/>
    <w:rsid w:val="002A2FA2"/>
    <w:rsid w:val="002A33F4"/>
    <w:rsid w:val="002A3796"/>
    <w:rsid w:val="002A3B3F"/>
    <w:rsid w:val="002A5A02"/>
    <w:rsid w:val="002A5F01"/>
    <w:rsid w:val="002A5FBE"/>
    <w:rsid w:val="002A6CE6"/>
    <w:rsid w:val="002B059A"/>
    <w:rsid w:val="002B1293"/>
    <w:rsid w:val="002B1A3E"/>
    <w:rsid w:val="002B1AD6"/>
    <w:rsid w:val="002B2414"/>
    <w:rsid w:val="002B2B16"/>
    <w:rsid w:val="002B32DD"/>
    <w:rsid w:val="002B3968"/>
    <w:rsid w:val="002B4001"/>
    <w:rsid w:val="002B409B"/>
    <w:rsid w:val="002B4392"/>
    <w:rsid w:val="002B56C3"/>
    <w:rsid w:val="002B5AD5"/>
    <w:rsid w:val="002B5C5A"/>
    <w:rsid w:val="002B6038"/>
    <w:rsid w:val="002B6422"/>
    <w:rsid w:val="002B71BA"/>
    <w:rsid w:val="002B7B4D"/>
    <w:rsid w:val="002C15D5"/>
    <w:rsid w:val="002C208E"/>
    <w:rsid w:val="002C2F67"/>
    <w:rsid w:val="002C45B6"/>
    <w:rsid w:val="002C4633"/>
    <w:rsid w:val="002C506F"/>
    <w:rsid w:val="002C5912"/>
    <w:rsid w:val="002C662D"/>
    <w:rsid w:val="002C78D8"/>
    <w:rsid w:val="002C7B61"/>
    <w:rsid w:val="002C7B6D"/>
    <w:rsid w:val="002C7C2B"/>
    <w:rsid w:val="002D0B7C"/>
    <w:rsid w:val="002D0D1A"/>
    <w:rsid w:val="002D155C"/>
    <w:rsid w:val="002D1637"/>
    <w:rsid w:val="002D1688"/>
    <w:rsid w:val="002D1819"/>
    <w:rsid w:val="002D1B69"/>
    <w:rsid w:val="002D1BA5"/>
    <w:rsid w:val="002D3043"/>
    <w:rsid w:val="002D35F5"/>
    <w:rsid w:val="002D47FE"/>
    <w:rsid w:val="002D532D"/>
    <w:rsid w:val="002D739A"/>
    <w:rsid w:val="002D73BD"/>
    <w:rsid w:val="002D76AB"/>
    <w:rsid w:val="002D786D"/>
    <w:rsid w:val="002E0188"/>
    <w:rsid w:val="002E0209"/>
    <w:rsid w:val="002E0C55"/>
    <w:rsid w:val="002E0CBF"/>
    <w:rsid w:val="002E1545"/>
    <w:rsid w:val="002E1910"/>
    <w:rsid w:val="002E2433"/>
    <w:rsid w:val="002E28BA"/>
    <w:rsid w:val="002E361C"/>
    <w:rsid w:val="002E3943"/>
    <w:rsid w:val="002E3F7C"/>
    <w:rsid w:val="002E4254"/>
    <w:rsid w:val="002E4F13"/>
    <w:rsid w:val="002E4FB7"/>
    <w:rsid w:val="002E63EE"/>
    <w:rsid w:val="002E6712"/>
    <w:rsid w:val="002E6FDB"/>
    <w:rsid w:val="002F104B"/>
    <w:rsid w:val="002F1C09"/>
    <w:rsid w:val="002F1E70"/>
    <w:rsid w:val="002F3839"/>
    <w:rsid w:val="002F3866"/>
    <w:rsid w:val="002F4613"/>
    <w:rsid w:val="002F4696"/>
    <w:rsid w:val="002F5678"/>
    <w:rsid w:val="002F5F3B"/>
    <w:rsid w:val="002F693C"/>
    <w:rsid w:val="002F69BB"/>
    <w:rsid w:val="002F6FAD"/>
    <w:rsid w:val="002F7702"/>
    <w:rsid w:val="002F797B"/>
    <w:rsid w:val="002F7C6D"/>
    <w:rsid w:val="003020F4"/>
    <w:rsid w:val="003023A1"/>
    <w:rsid w:val="003025C7"/>
    <w:rsid w:val="0030360F"/>
    <w:rsid w:val="00303790"/>
    <w:rsid w:val="00303984"/>
    <w:rsid w:val="00304161"/>
    <w:rsid w:val="00304643"/>
    <w:rsid w:val="003047D2"/>
    <w:rsid w:val="00304A73"/>
    <w:rsid w:val="00304DFD"/>
    <w:rsid w:val="003057F7"/>
    <w:rsid w:val="003063A5"/>
    <w:rsid w:val="00306864"/>
    <w:rsid w:val="003069F9"/>
    <w:rsid w:val="00310208"/>
    <w:rsid w:val="0031058F"/>
    <w:rsid w:val="0031089E"/>
    <w:rsid w:val="00310D69"/>
    <w:rsid w:val="00311663"/>
    <w:rsid w:val="003147B7"/>
    <w:rsid w:val="00314844"/>
    <w:rsid w:val="003149A9"/>
    <w:rsid w:val="0031528D"/>
    <w:rsid w:val="00317E59"/>
    <w:rsid w:val="00320465"/>
    <w:rsid w:val="00320B02"/>
    <w:rsid w:val="00322065"/>
    <w:rsid w:val="00322440"/>
    <w:rsid w:val="00322496"/>
    <w:rsid w:val="00322AE7"/>
    <w:rsid w:val="003250C3"/>
    <w:rsid w:val="00325246"/>
    <w:rsid w:val="00325869"/>
    <w:rsid w:val="00325D35"/>
    <w:rsid w:val="00326448"/>
    <w:rsid w:val="0032650F"/>
    <w:rsid w:val="0032662E"/>
    <w:rsid w:val="00326854"/>
    <w:rsid w:val="003275E4"/>
    <w:rsid w:val="00330069"/>
    <w:rsid w:val="00330144"/>
    <w:rsid w:val="003304A1"/>
    <w:rsid w:val="0033244F"/>
    <w:rsid w:val="00332EF9"/>
    <w:rsid w:val="00335707"/>
    <w:rsid w:val="00337743"/>
    <w:rsid w:val="00337E16"/>
    <w:rsid w:val="00340E66"/>
    <w:rsid w:val="00340F10"/>
    <w:rsid w:val="00341D56"/>
    <w:rsid w:val="00342A44"/>
    <w:rsid w:val="003436D7"/>
    <w:rsid w:val="00343FC9"/>
    <w:rsid w:val="00344520"/>
    <w:rsid w:val="0034481B"/>
    <w:rsid w:val="0034486B"/>
    <w:rsid w:val="003449A9"/>
    <w:rsid w:val="00344D92"/>
    <w:rsid w:val="003455A2"/>
    <w:rsid w:val="00345760"/>
    <w:rsid w:val="00345BD4"/>
    <w:rsid w:val="0034675B"/>
    <w:rsid w:val="0034796E"/>
    <w:rsid w:val="00347B56"/>
    <w:rsid w:val="00347E1A"/>
    <w:rsid w:val="003506E7"/>
    <w:rsid w:val="00350BE7"/>
    <w:rsid w:val="00350E87"/>
    <w:rsid w:val="00353B7C"/>
    <w:rsid w:val="00353BE4"/>
    <w:rsid w:val="0035402B"/>
    <w:rsid w:val="0035438E"/>
    <w:rsid w:val="00355828"/>
    <w:rsid w:val="00356418"/>
    <w:rsid w:val="00356D90"/>
    <w:rsid w:val="00356E38"/>
    <w:rsid w:val="003576DA"/>
    <w:rsid w:val="00357CBE"/>
    <w:rsid w:val="003609A7"/>
    <w:rsid w:val="00360C13"/>
    <w:rsid w:val="00361487"/>
    <w:rsid w:val="00361661"/>
    <w:rsid w:val="00362905"/>
    <w:rsid w:val="00363230"/>
    <w:rsid w:val="00364D53"/>
    <w:rsid w:val="0036772F"/>
    <w:rsid w:val="00370BC7"/>
    <w:rsid w:val="003717C6"/>
    <w:rsid w:val="003719DE"/>
    <w:rsid w:val="00371A33"/>
    <w:rsid w:val="00372E83"/>
    <w:rsid w:val="00374B8C"/>
    <w:rsid w:val="00375080"/>
    <w:rsid w:val="00376C51"/>
    <w:rsid w:val="00377407"/>
    <w:rsid w:val="003775AA"/>
    <w:rsid w:val="00380026"/>
    <w:rsid w:val="0038073F"/>
    <w:rsid w:val="00380993"/>
    <w:rsid w:val="00381780"/>
    <w:rsid w:val="003824E4"/>
    <w:rsid w:val="00382610"/>
    <w:rsid w:val="00383CFE"/>
    <w:rsid w:val="0038430C"/>
    <w:rsid w:val="0038475D"/>
    <w:rsid w:val="00384BEF"/>
    <w:rsid w:val="003853FF"/>
    <w:rsid w:val="00385609"/>
    <w:rsid w:val="003856A4"/>
    <w:rsid w:val="00385DAB"/>
    <w:rsid w:val="00385DE6"/>
    <w:rsid w:val="0038696B"/>
    <w:rsid w:val="00387553"/>
    <w:rsid w:val="00387CA6"/>
    <w:rsid w:val="00387CBD"/>
    <w:rsid w:val="003900C7"/>
    <w:rsid w:val="00390154"/>
    <w:rsid w:val="0039039F"/>
    <w:rsid w:val="00390480"/>
    <w:rsid w:val="00390ED6"/>
    <w:rsid w:val="00391B5C"/>
    <w:rsid w:val="00392509"/>
    <w:rsid w:val="003925E5"/>
    <w:rsid w:val="00392CD3"/>
    <w:rsid w:val="00393FCC"/>
    <w:rsid w:val="003943E5"/>
    <w:rsid w:val="00394793"/>
    <w:rsid w:val="00394D47"/>
    <w:rsid w:val="00397D8E"/>
    <w:rsid w:val="003A105C"/>
    <w:rsid w:val="003A2222"/>
    <w:rsid w:val="003A3262"/>
    <w:rsid w:val="003A39F5"/>
    <w:rsid w:val="003A434B"/>
    <w:rsid w:val="003A5479"/>
    <w:rsid w:val="003A5C1B"/>
    <w:rsid w:val="003A6CF4"/>
    <w:rsid w:val="003A7C7F"/>
    <w:rsid w:val="003B023B"/>
    <w:rsid w:val="003B0304"/>
    <w:rsid w:val="003B043F"/>
    <w:rsid w:val="003B155C"/>
    <w:rsid w:val="003B1E19"/>
    <w:rsid w:val="003B2E10"/>
    <w:rsid w:val="003B33CE"/>
    <w:rsid w:val="003B343D"/>
    <w:rsid w:val="003B391B"/>
    <w:rsid w:val="003B416D"/>
    <w:rsid w:val="003B43C3"/>
    <w:rsid w:val="003B4936"/>
    <w:rsid w:val="003B4F8A"/>
    <w:rsid w:val="003B56D7"/>
    <w:rsid w:val="003B5882"/>
    <w:rsid w:val="003B6508"/>
    <w:rsid w:val="003B7CC1"/>
    <w:rsid w:val="003C1911"/>
    <w:rsid w:val="003C1B4F"/>
    <w:rsid w:val="003C1CD8"/>
    <w:rsid w:val="003C2288"/>
    <w:rsid w:val="003C331C"/>
    <w:rsid w:val="003C3336"/>
    <w:rsid w:val="003C39E6"/>
    <w:rsid w:val="003C3A11"/>
    <w:rsid w:val="003C526E"/>
    <w:rsid w:val="003C6DEB"/>
    <w:rsid w:val="003C6EFC"/>
    <w:rsid w:val="003C73CA"/>
    <w:rsid w:val="003C748D"/>
    <w:rsid w:val="003C7585"/>
    <w:rsid w:val="003C7A5C"/>
    <w:rsid w:val="003D0153"/>
    <w:rsid w:val="003D0AAF"/>
    <w:rsid w:val="003D3574"/>
    <w:rsid w:val="003D660C"/>
    <w:rsid w:val="003D73BD"/>
    <w:rsid w:val="003D7CCE"/>
    <w:rsid w:val="003E0864"/>
    <w:rsid w:val="003E0BAC"/>
    <w:rsid w:val="003E0D8C"/>
    <w:rsid w:val="003E154A"/>
    <w:rsid w:val="003E15A3"/>
    <w:rsid w:val="003E1B68"/>
    <w:rsid w:val="003E2601"/>
    <w:rsid w:val="003E65D7"/>
    <w:rsid w:val="003E7483"/>
    <w:rsid w:val="003F0515"/>
    <w:rsid w:val="003F14AB"/>
    <w:rsid w:val="003F163F"/>
    <w:rsid w:val="003F1ACE"/>
    <w:rsid w:val="003F1CE1"/>
    <w:rsid w:val="003F2D7E"/>
    <w:rsid w:val="003F413A"/>
    <w:rsid w:val="003F5154"/>
    <w:rsid w:val="003F5249"/>
    <w:rsid w:val="003F54FB"/>
    <w:rsid w:val="003F5D3A"/>
    <w:rsid w:val="003F6572"/>
    <w:rsid w:val="003F6BD4"/>
    <w:rsid w:val="003F6C4D"/>
    <w:rsid w:val="003F6D1F"/>
    <w:rsid w:val="00400C90"/>
    <w:rsid w:val="00400F7F"/>
    <w:rsid w:val="004023F7"/>
    <w:rsid w:val="004036AF"/>
    <w:rsid w:val="00403A0F"/>
    <w:rsid w:val="0040424B"/>
    <w:rsid w:val="00404D1E"/>
    <w:rsid w:val="00405316"/>
    <w:rsid w:val="00406623"/>
    <w:rsid w:val="0041153E"/>
    <w:rsid w:val="00412488"/>
    <w:rsid w:val="00412B7F"/>
    <w:rsid w:val="00412CEF"/>
    <w:rsid w:val="004141A8"/>
    <w:rsid w:val="00414E59"/>
    <w:rsid w:val="004169D8"/>
    <w:rsid w:val="00417048"/>
    <w:rsid w:val="00420098"/>
    <w:rsid w:val="004201AF"/>
    <w:rsid w:val="004217F1"/>
    <w:rsid w:val="00422BF5"/>
    <w:rsid w:val="00423D0C"/>
    <w:rsid w:val="00425FF9"/>
    <w:rsid w:val="00426328"/>
    <w:rsid w:val="004266DC"/>
    <w:rsid w:val="00427B3B"/>
    <w:rsid w:val="00427EBF"/>
    <w:rsid w:val="0043072D"/>
    <w:rsid w:val="00431085"/>
    <w:rsid w:val="004313B0"/>
    <w:rsid w:val="00431AA2"/>
    <w:rsid w:val="00432278"/>
    <w:rsid w:val="00434EDF"/>
    <w:rsid w:val="00435269"/>
    <w:rsid w:val="004362AB"/>
    <w:rsid w:val="004367E0"/>
    <w:rsid w:val="0043763C"/>
    <w:rsid w:val="00440C8D"/>
    <w:rsid w:val="00441101"/>
    <w:rsid w:val="004415FB"/>
    <w:rsid w:val="00441CE3"/>
    <w:rsid w:val="00441D69"/>
    <w:rsid w:val="004421F5"/>
    <w:rsid w:val="004425E2"/>
    <w:rsid w:val="0044284D"/>
    <w:rsid w:val="00443050"/>
    <w:rsid w:val="0044434A"/>
    <w:rsid w:val="0044437F"/>
    <w:rsid w:val="00445A25"/>
    <w:rsid w:val="00445AC4"/>
    <w:rsid w:val="00445E76"/>
    <w:rsid w:val="0044620A"/>
    <w:rsid w:val="00446606"/>
    <w:rsid w:val="004471BC"/>
    <w:rsid w:val="00447217"/>
    <w:rsid w:val="00447B50"/>
    <w:rsid w:val="00450515"/>
    <w:rsid w:val="00451471"/>
    <w:rsid w:val="00452756"/>
    <w:rsid w:val="00452C60"/>
    <w:rsid w:val="00453704"/>
    <w:rsid w:val="00453FC2"/>
    <w:rsid w:val="00454D9A"/>
    <w:rsid w:val="0045665B"/>
    <w:rsid w:val="004573D3"/>
    <w:rsid w:val="00457F93"/>
    <w:rsid w:val="00460682"/>
    <w:rsid w:val="004617A9"/>
    <w:rsid w:val="00461B70"/>
    <w:rsid w:val="0046258E"/>
    <w:rsid w:val="00462DCA"/>
    <w:rsid w:val="0046384E"/>
    <w:rsid w:val="00464CF4"/>
    <w:rsid w:val="00466E73"/>
    <w:rsid w:val="0046706B"/>
    <w:rsid w:val="00467815"/>
    <w:rsid w:val="00471284"/>
    <w:rsid w:val="00472FB0"/>
    <w:rsid w:val="00473696"/>
    <w:rsid w:val="00473721"/>
    <w:rsid w:val="00473A4B"/>
    <w:rsid w:val="0047491E"/>
    <w:rsid w:val="00474A6A"/>
    <w:rsid w:val="0047658E"/>
    <w:rsid w:val="00477DE9"/>
    <w:rsid w:val="0048285F"/>
    <w:rsid w:val="00482D16"/>
    <w:rsid w:val="00482E4C"/>
    <w:rsid w:val="00482E4F"/>
    <w:rsid w:val="004831CC"/>
    <w:rsid w:val="004836D8"/>
    <w:rsid w:val="004837C6"/>
    <w:rsid w:val="00483998"/>
    <w:rsid w:val="00483FC1"/>
    <w:rsid w:val="00484250"/>
    <w:rsid w:val="00484E4C"/>
    <w:rsid w:val="00485154"/>
    <w:rsid w:val="00486ABE"/>
    <w:rsid w:val="00486F3A"/>
    <w:rsid w:val="004873C2"/>
    <w:rsid w:val="004878ED"/>
    <w:rsid w:val="00487B7C"/>
    <w:rsid w:val="0049004B"/>
    <w:rsid w:val="00490C52"/>
    <w:rsid w:val="00491039"/>
    <w:rsid w:val="00491438"/>
    <w:rsid w:val="00491B1C"/>
    <w:rsid w:val="004923BD"/>
    <w:rsid w:val="00492E3F"/>
    <w:rsid w:val="00493F5C"/>
    <w:rsid w:val="0049412A"/>
    <w:rsid w:val="004945E3"/>
    <w:rsid w:val="00494EB3"/>
    <w:rsid w:val="00495DB3"/>
    <w:rsid w:val="00495F43"/>
    <w:rsid w:val="004A171B"/>
    <w:rsid w:val="004A2385"/>
    <w:rsid w:val="004A2C49"/>
    <w:rsid w:val="004A2D91"/>
    <w:rsid w:val="004A3B95"/>
    <w:rsid w:val="004A7912"/>
    <w:rsid w:val="004B0194"/>
    <w:rsid w:val="004B1113"/>
    <w:rsid w:val="004B176A"/>
    <w:rsid w:val="004B1DC3"/>
    <w:rsid w:val="004B2835"/>
    <w:rsid w:val="004B326B"/>
    <w:rsid w:val="004B36AE"/>
    <w:rsid w:val="004B4672"/>
    <w:rsid w:val="004B58F5"/>
    <w:rsid w:val="004B67A4"/>
    <w:rsid w:val="004C289A"/>
    <w:rsid w:val="004C3427"/>
    <w:rsid w:val="004C61A3"/>
    <w:rsid w:val="004C6E03"/>
    <w:rsid w:val="004C780C"/>
    <w:rsid w:val="004D03BA"/>
    <w:rsid w:val="004D118A"/>
    <w:rsid w:val="004D3100"/>
    <w:rsid w:val="004D3441"/>
    <w:rsid w:val="004D349D"/>
    <w:rsid w:val="004D3E0B"/>
    <w:rsid w:val="004D42B9"/>
    <w:rsid w:val="004D45C8"/>
    <w:rsid w:val="004D6A38"/>
    <w:rsid w:val="004D6C65"/>
    <w:rsid w:val="004D708E"/>
    <w:rsid w:val="004D760C"/>
    <w:rsid w:val="004D7C91"/>
    <w:rsid w:val="004E01D4"/>
    <w:rsid w:val="004E1E98"/>
    <w:rsid w:val="004E26E4"/>
    <w:rsid w:val="004E357A"/>
    <w:rsid w:val="004E3861"/>
    <w:rsid w:val="004E5000"/>
    <w:rsid w:val="004E5599"/>
    <w:rsid w:val="004E586B"/>
    <w:rsid w:val="004E65EB"/>
    <w:rsid w:val="004E7114"/>
    <w:rsid w:val="004E7341"/>
    <w:rsid w:val="004F0244"/>
    <w:rsid w:val="004F09A1"/>
    <w:rsid w:val="004F0A27"/>
    <w:rsid w:val="004F282C"/>
    <w:rsid w:val="004F379F"/>
    <w:rsid w:val="004F3D4A"/>
    <w:rsid w:val="004F3E0F"/>
    <w:rsid w:val="004F401E"/>
    <w:rsid w:val="004F58BE"/>
    <w:rsid w:val="004F7174"/>
    <w:rsid w:val="004F7AF1"/>
    <w:rsid w:val="004F7E98"/>
    <w:rsid w:val="00500DD0"/>
    <w:rsid w:val="005010BA"/>
    <w:rsid w:val="005012AA"/>
    <w:rsid w:val="005012CF"/>
    <w:rsid w:val="005013A1"/>
    <w:rsid w:val="00502352"/>
    <w:rsid w:val="0050278D"/>
    <w:rsid w:val="00502C10"/>
    <w:rsid w:val="0050355D"/>
    <w:rsid w:val="00504655"/>
    <w:rsid w:val="00504A31"/>
    <w:rsid w:val="00504F8B"/>
    <w:rsid w:val="005055B5"/>
    <w:rsid w:val="005063A0"/>
    <w:rsid w:val="00506619"/>
    <w:rsid w:val="00507E53"/>
    <w:rsid w:val="00510257"/>
    <w:rsid w:val="00510D1D"/>
    <w:rsid w:val="00510E99"/>
    <w:rsid w:val="00511033"/>
    <w:rsid w:val="00511BBF"/>
    <w:rsid w:val="00511BDC"/>
    <w:rsid w:val="00512E62"/>
    <w:rsid w:val="0051373C"/>
    <w:rsid w:val="00513EBA"/>
    <w:rsid w:val="00513F43"/>
    <w:rsid w:val="00515E7B"/>
    <w:rsid w:val="00516F04"/>
    <w:rsid w:val="00517005"/>
    <w:rsid w:val="005174C6"/>
    <w:rsid w:val="00517868"/>
    <w:rsid w:val="00520894"/>
    <w:rsid w:val="00520BC0"/>
    <w:rsid w:val="005217F8"/>
    <w:rsid w:val="005219E0"/>
    <w:rsid w:val="0052267A"/>
    <w:rsid w:val="005226D4"/>
    <w:rsid w:val="005239DD"/>
    <w:rsid w:val="00523CA1"/>
    <w:rsid w:val="00524A9C"/>
    <w:rsid w:val="00525956"/>
    <w:rsid w:val="005266F4"/>
    <w:rsid w:val="0052675C"/>
    <w:rsid w:val="00526931"/>
    <w:rsid w:val="00526D46"/>
    <w:rsid w:val="005303B5"/>
    <w:rsid w:val="00530D4E"/>
    <w:rsid w:val="00531143"/>
    <w:rsid w:val="0053186B"/>
    <w:rsid w:val="00532A23"/>
    <w:rsid w:val="005331E8"/>
    <w:rsid w:val="0053337C"/>
    <w:rsid w:val="005340EA"/>
    <w:rsid w:val="00534A44"/>
    <w:rsid w:val="00535F4E"/>
    <w:rsid w:val="00536332"/>
    <w:rsid w:val="0053655B"/>
    <w:rsid w:val="005373DF"/>
    <w:rsid w:val="00540D81"/>
    <w:rsid w:val="00542821"/>
    <w:rsid w:val="00543514"/>
    <w:rsid w:val="005438A1"/>
    <w:rsid w:val="00543B81"/>
    <w:rsid w:val="00543C00"/>
    <w:rsid w:val="00543EB8"/>
    <w:rsid w:val="00543F41"/>
    <w:rsid w:val="00544550"/>
    <w:rsid w:val="0054482E"/>
    <w:rsid w:val="00544FCF"/>
    <w:rsid w:val="005450DC"/>
    <w:rsid w:val="005455FC"/>
    <w:rsid w:val="00545A47"/>
    <w:rsid w:val="00545FC7"/>
    <w:rsid w:val="0054634E"/>
    <w:rsid w:val="00546B67"/>
    <w:rsid w:val="005474C7"/>
    <w:rsid w:val="00550F71"/>
    <w:rsid w:val="005512D3"/>
    <w:rsid w:val="00551C0E"/>
    <w:rsid w:val="00551F46"/>
    <w:rsid w:val="005544FA"/>
    <w:rsid w:val="00554A33"/>
    <w:rsid w:val="0055525E"/>
    <w:rsid w:val="0055588A"/>
    <w:rsid w:val="0055716D"/>
    <w:rsid w:val="005571A6"/>
    <w:rsid w:val="005572CC"/>
    <w:rsid w:val="00557953"/>
    <w:rsid w:val="00557EA9"/>
    <w:rsid w:val="005603F5"/>
    <w:rsid w:val="005609A0"/>
    <w:rsid w:val="00560E55"/>
    <w:rsid w:val="00561360"/>
    <w:rsid w:val="00562E8F"/>
    <w:rsid w:val="0056301A"/>
    <w:rsid w:val="005635AD"/>
    <w:rsid w:val="005636B0"/>
    <w:rsid w:val="005640E1"/>
    <w:rsid w:val="00564EA1"/>
    <w:rsid w:val="0056534C"/>
    <w:rsid w:val="00566E81"/>
    <w:rsid w:val="005670FC"/>
    <w:rsid w:val="00567CEE"/>
    <w:rsid w:val="0057040F"/>
    <w:rsid w:val="005713F4"/>
    <w:rsid w:val="00571E64"/>
    <w:rsid w:val="00573D3B"/>
    <w:rsid w:val="00573EE2"/>
    <w:rsid w:val="00573F6A"/>
    <w:rsid w:val="0057432C"/>
    <w:rsid w:val="00575314"/>
    <w:rsid w:val="00575CC3"/>
    <w:rsid w:val="00575D10"/>
    <w:rsid w:val="00576018"/>
    <w:rsid w:val="00576D6B"/>
    <w:rsid w:val="005800F7"/>
    <w:rsid w:val="005808CA"/>
    <w:rsid w:val="00580F26"/>
    <w:rsid w:val="00581A7C"/>
    <w:rsid w:val="00582376"/>
    <w:rsid w:val="00583C0E"/>
    <w:rsid w:val="00583FDB"/>
    <w:rsid w:val="0058427E"/>
    <w:rsid w:val="005864FA"/>
    <w:rsid w:val="00586848"/>
    <w:rsid w:val="005875A3"/>
    <w:rsid w:val="00587652"/>
    <w:rsid w:val="0058773A"/>
    <w:rsid w:val="00590750"/>
    <w:rsid w:val="00590907"/>
    <w:rsid w:val="00592491"/>
    <w:rsid w:val="00592AA7"/>
    <w:rsid w:val="0059346F"/>
    <w:rsid w:val="00593875"/>
    <w:rsid w:val="005943C5"/>
    <w:rsid w:val="00594A7B"/>
    <w:rsid w:val="00596C07"/>
    <w:rsid w:val="005976DB"/>
    <w:rsid w:val="00597AA7"/>
    <w:rsid w:val="005A1EAB"/>
    <w:rsid w:val="005A270C"/>
    <w:rsid w:val="005A2D82"/>
    <w:rsid w:val="005A323A"/>
    <w:rsid w:val="005A3789"/>
    <w:rsid w:val="005A3835"/>
    <w:rsid w:val="005A389E"/>
    <w:rsid w:val="005A3AEC"/>
    <w:rsid w:val="005A40C0"/>
    <w:rsid w:val="005A47FE"/>
    <w:rsid w:val="005A6858"/>
    <w:rsid w:val="005A72F2"/>
    <w:rsid w:val="005B2194"/>
    <w:rsid w:val="005B2BC3"/>
    <w:rsid w:val="005B4350"/>
    <w:rsid w:val="005B4812"/>
    <w:rsid w:val="005B4CFA"/>
    <w:rsid w:val="005B5B3D"/>
    <w:rsid w:val="005B5CEE"/>
    <w:rsid w:val="005B6D53"/>
    <w:rsid w:val="005B6D64"/>
    <w:rsid w:val="005B7112"/>
    <w:rsid w:val="005B7166"/>
    <w:rsid w:val="005B74D2"/>
    <w:rsid w:val="005C01D1"/>
    <w:rsid w:val="005C04FD"/>
    <w:rsid w:val="005C18EE"/>
    <w:rsid w:val="005C1A79"/>
    <w:rsid w:val="005C239B"/>
    <w:rsid w:val="005C3B26"/>
    <w:rsid w:val="005C3EDF"/>
    <w:rsid w:val="005C4397"/>
    <w:rsid w:val="005C48CC"/>
    <w:rsid w:val="005C674D"/>
    <w:rsid w:val="005C7644"/>
    <w:rsid w:val="005C791C"/>
    <w:rsid w:val="005C7B31"/>
    <w:rsid w:val="005C7BF4"/>
    <w:rsid w:val="005D029E"/>
    <w:rsid w:val="005D1B66"/>
    <w:rsid w:val="005D1FDF"/>
    <w:rsid w:val="005D2B0F"/>
    <w:rsid w:val="005D323E"/>
    <w:rsid w:val="005D3352"/>
    <w:rsid w:val="005D3A17"/>
    <w:rsid w:val="005D3ACE"/>
    <w:rsid w:val="005D3D1E"/>
    <w:rsid w:val="005D6A61"/>
    <w:rsid w:val="005E06AE"/>
    <w:rsid w:val="005E111B"/>
    <w:rsid w:val="005E12DD"/>
    <w:rsid w:val="005E269C"/>
    <w:rsid w:val="005E2A11"/>
    <w:rsid w:val="005E2C16"/>
    <w:rsid w:val="005E3586"/>
    <w:rsid w:val="005E386D"/>
    <w:rsid w:val="005E3EC0"/>
    <w:rsid w:val="005E4DEE"/>
    <w:rsid w:val="005E5FF1"/>
    <w:rsid w:val="005E6001"/>
    <w:rsid w:val="005E6566"/>
    <w:rsid w:val="005E72FB"/>
    <w:rsid w:val="005F01CE"/>
    <w:rsid w:val="005F135B"/>
    <w:rsid w:val="005F1942"/>
    <w:rsid w:val="005F3709"/>
    <w:rsid w:val="005F3EAB"/>
    <w:rsid w:val="005F42BB"/>
    <w:rsid w:val="005F4E54"/>
    <w:rsid w:val="005F70B6"/>
    <w:rsid w:val="005F7A87"/>
    <w:rsid w:val="005F7BA0"/>
    <w:rsid w:val="005F7F41"/>
    <w:rsid w:val="006010E6"/>
    <w:rsid w:val="006011A3"/>
    <w:rsid w:val="006017DF"/>
    <w:rsid w:val="00601F0A"/>
    <w:rsid w:val="00603630"/>
    <w:rsid w:val="0060382E"/>
    <w:rsid w:val="00603CFA"/>
    <w:rsid w:val="00603D1C"/>
    <w:rsid w:val="00604DBE"/>
    <w:rsid w:val="006061B0"/>
    <w:rsid w:val="006062EA"/>
    <w:rsid w:val="006063E1"/>
    <w:rsid w:val="006065E4"/>
    <w:rsid w:val="006066D1"/>
    <w:rsid w:val="00606F56"/>
    <w:rsid w:val="00607D48"/>
    <w:rsid w:val="00610039"/>
    <w:rsid w:val="00610381"/>
    <w:rsid w:val="00610917"/>
    <w:rsid w:val="00611B68"/>
    <w:rsid w:val="00611C07"/>
    <w:rsid w:val="00611E07"/>
    <w:rsid w:val="00612045"/>
    <w:rsid w:val="0061286E"/>
    <w:rsid w:val="00612F12"/>
    <w:rsid w:val="00612F99"/>
    <w:rsid w:val="00613AC9"/>
    <w:rsid w:val="00615808"/>
    <w:rsid w:val="00620E86"/>
    <w:rsid w:val="0062155F"/>
    <w:rsid w:val="006219DD"/>
    <w:rsid w:val="00621D63"/>
    <w:rsid w:val="00622172"/>
    <w:rsid w:val="00623472"/>
    <w:rsid w:val="00623DAF"/>
    <w:rsid w:val="006242BF"/>
    <w:rsid w:val="006246FE"/>
    <w:rsid w:val="0062524C"/>
    <w:rsid w:val="00626AB6"/>
    <w:rsid w:val="00631FE7"/>
    <w:rsid w:val="006321EA"/>
    <w:rsid w:val="006324E6"/>
    <w:rsid w:val="00632ACC"/>
    <w:rsid w:val="006345C1"/>
    <w:rsid w:val="00634F76"/>
    <w:rsid w:val="00635E34"/>
    <w:rsid w:val="00637FDD"/>
    <w:rsid w:val="00641E57"/>
    <w:rsid w:val="0064260D"/>
    <w:rsid w:val="00642DBC"/>
    <w:rsid w:val="00643CED"/>
    <w:rsid w:val="00644234"/>
    <w:rsid w:val="00644878"/>
    <w:rsid w:val="00644DE2"/>
    <w:rsid w:val="00646D0E"/>
    <w:rsid w:val="006478E6"/>
    <w:rsid w:val="00650306"/>
    <w:rsid w:val="006503A5"/>
    <w:rsid w:val="00650463"/>
    <w:rsid w:val="006507FD"/>
    <w:rsid w:val="0065082F"/>
    <w:rsid w:val="00651660"/>
    <w:rsid w:val="006517B9"/>
    <w:rsid w:val="00651C0A"/>
    <w:rsid w:val="00652171"/>
    <w:rsid w:val="0065227C"/>
    <w:rsid w:val="006523C2"/>
    <w:rsid w:val="00652FFB"/>
    <w:rsid w:val="00653133"/>
    <w:rsid w:val="006532C3"/>
    <w:rsid w:val="00653E05"/>
    <w:rsid w:val="00654C9C"/>
    <w:rsid w:val="0065528E"/>
    <w:rsid w:val="00655390"/>
    <w:rsid w:val="006553D9"/>
    <w:rsid w:val="0065606D"/>
    <w:rsid w:val="006564F2"/>
    <w:rsid w:val="0065716D"/>
    <w:rsid w:val="00661BD2"/>
    <w:rsid w:val="00662B7A"/>
    <w:rsid w:val="0066326A"/>
    <w:rsid w:val="00663B35"/>
    <w:rsid w:val="00663F1B"/>
    <w:rsid w:val="0066571F"/>
    <w:rsid w:val="00666285"/>
    <w:rsid w:val="0066731A"/>
    <w:rsid w:val="00670BE7"/>
    <w:rsid w:val="00670FEA"/>
    <w:rsid w:val="00671DC9"/>
    <w:rsid w:val="0067252D"/>
    <w:rsid w:val="00672C31"/>
    <w:rsid w:val="006730AC"/>
    <w:rsid w:val="006734AA"/>
    <w:rsid w:val="006734B3"/>
    <w:rsid w:val="0067353C"/>
    <w:rsid w:val="00675BE6"/>
    <w:rsid w:val="00676163"/>
    <w:rsid w:val="006764C4"/>
    <w:rsid w:val="006777E4"/>
    <w:rsid w:val="00677C22"/>
    <w:rsid w:val="006808CC"/>
    <w:rsid w:val="00680AF4"/>
    <w:rsid w:val="00681495"/>
    <w:rsid w:val="00681F18"/>
    <w:rsid w:val="0068281F"/>
    <w:rsid w:val="00682F4C"/>
    <w:rsid w:val="006842B9"/>
    <w:rsid w:val="00684966"/>
    <w:rsid w:val="006856FD"/>
    <w:rsid w:val="00685899"/>
    <w:rsid w:val="006859DA"/>
    <w:rsid w:val="00686772"/>
    <w:rsid w:val="00687642"/>
    <w:rsid w:val="00691611"/>
    <w:rsid w:val="006919FB"/>
    <w:rsid w:val="0069213E"/>
    <w:rsid w:val="00692D30"/>
    <w:rsid w:val="00695597"/>
    <w:rsid w:val="00696A89"/>
    <w:rsid w:val="00696F75"/>
    <w:rsid w:val="00696FEC"/>
    <w:rsid w:val="00697477"/>
    <w:rsid w:val="006A037E"/>
    <w:rsid w:val="006A2019"/>
    <w:rsid w:val="006A21CC"/>
    <w:rsid w:val="006A30E6"/>
    <w:rsid w:val="006A3D41"/>
    <w:rsid w:val="006A5833"/>
    <w:rsid w:val="006A7796"/>
    <w:rsid w:val="006A7C96"/>
    <w:rsid w:val="006B0495"/>
    <w:rsid w:val="006B0DCB"/>
    <w:rsid w:val="006B2408"/>
    <w:rsid w:val="006B299D"/>
    <w:rsid w:val="006B3AF9"/>
    <w:rsid w:val="006B3C91"/>
    <w:rsid w:val="006B414C"/>
    <w:rsid w:val="006B4B0F"/>
    <w:rsid w:val="006B5474"/>
    <w:rsid w:val="006B62A0"/>
    <w:rsid w:val="006B650F"/>
    <w:rsid w:val="006C1394"/>
    <w:rsid w:val="006C32CF"/>
    <w:rsid w:val="006C335E"/>
    <w:rsid w:val="006C3A1F"/>
    <w:rsid w:val="006C53F8"/>
    <w:rsid w:val="006C54BB"/>
    <w:rsid w:val="006C56FC"/>
    <w:rsid w:val="006C5C6C"/>
    <w:rsid w:val="006C5F8C"/>
    <w:rsid w:val="006C63EB"/>
    <w:rsid w:val="006C7DE0"/>
    <w:rsid w:val="006D024B"/>
    <w:rsid w:val="006D16CA"/>
    <w:rsid w:val="006D1D06"/>
    <w:rsid w:val="006D3693"/>
    <w:rsid w:val="006D3DC7"/>
    <w:rsid w:val="006D4245"/>
    <w:rsid w:val="006D54D9"/>
    <w:rsid w:val="006D5843"/>
    <w:rsid w:val="006D68AC"/>
    <w:rsid w:val="006E0A93"/>
    <w:rsid w:val="006E4064"/>
    <w:rsid w:val="006E58EA"/>
    <w:rsid w:val="006E5BF8"/>
    <w:rsid w:val="006F0036"/>
    <w:rsid w:val="006F10D4"/>
    <w:rsid w:val="006F2F67"/>
    <w:rsid w:val="006F3CA4"/>
    <w:rsid w:val="006F4148"/>
    <w:rsid w:val="006F4DE0"/>
    <w:rsid w:val="006F4FB2"/>
    <w:rsid w:val="006F5E2D"/>
    <w:rsid w:val="006F62C5"/>
    <w:rsid w:val="006F6483"/>
    <w:rsid w:val="006F6EEB"/>
    <w:rsid w:val="006F7332"/>
    <w:rsid w:val="007025BA"/>
    <w:rsid w:val="00702BB8"/>
    <w:rsid w:val="0070385B"/>
    <w:rsid w:val="00703981"/>
    <w:rsid w:val="00703A33"/>
    <w:rsid w:val="0070407E"/>
    <w:rsid w:val="0070494F"/>
    <w:rsid w:val="00704969"/>
    <w:rsid w:val="00704BB0"/>
    <w:rsid w:val="00705423"/>
    <w:rsid w:val="00705758"/>
    <w:rsid w:val="00705E4A"/>
    <w:rsid w:val="00706997"/>
    <w:rsid w:val="0070707A"/>
    <w:rsid w:val="0070717A"/>
    <w:rsid w:val="00707244"/>
    <w:rsid w:val="00712CCC"/>
    <w:rsid w:val="007136E9"/>
    <w:rsid w:val="00713DE5"/>
    <w:rsid w:val="00714569"/>
    <w:rsid w:val="007155D9"/>
    <w:rsid w:val="007157A0"/>
    <w:rsid w:val="007174DA"/>
    <w:rsid w:val="007178AF"/>
    <w:rsid w:val="00720910"/>
    <w:rsid w:val="00720F29"/>
    <w:rsid w:val="00721038"/>
    <w:rsid w:val="007213A5"/>
    <w:rsid w:val="007224C2"/>
    <w:rsid w:val="00722C19"/>
    <w:rsid w:val="0072603B"/>
    <w:rsid w:val="00726C1E"/>
    <w:rsid w:val="00726FEB"/>
    <w:rsid w:val="0072771B"/>
    <w:rsid w:val="00727DC2"/>
    <w:rsid w:val="00731117"/>
    <w:rsid w:val="00731409"/>
    <w:rsid w:val="00731EDD"/>
    <w:rsid w:val="007332C1"/>
    <w:rsid w:val="007334B1"/>
    <w:rsid w:val="007339F3"/>
    <w:rsid w:val="00733EB2"/>
    <w:rsid w:val="00733EF8"/>
    <w:rsid w:val="00734400"/>
    <w:rsid w:val="00734898"/>
    <w:rsid w:val="00735107"/>
    <w:rsid w:val="00737424"/>
    <w:rsid w:val="00737FEC"/>
    <w:rsid w:val="00740292"/>
    <w:rsid w:val="00740FB1"/>
    <w:rsid w:val="007424E5"/>
    <w:rsid w:val="00742B07"/>
    <w:rsid w:val="00742DB5"/>
    <w:rsid w:val="00744619"/>
    <w:rsid w:val="0075064C"/>
    <w:rsid w:val="00752E39"/>
    <w:rsid w:val="00755956"/>
    <w:rsid w:val="00756142"/>
    <w:rsid w:val="007561B4"/>
    <w:rsid w:val="00756AA0"/>
    <w:rsid w:val="00757CE6"/>
    <w:rsid w:val="0076151C"/>
    <w:rsid w:val="007622F8"/>
    <w:rsid w:val="00763097"/>
    <w:rsid w:val="00763A41"/>
    <w:rsid w:val="00764CB0"/>
    <w:rsid w:val="007651A7"/>
    <w:rsid w:val="0076641B"/>
    <w:rsid w:val="0076651A"/>
    <w:rsid w:val="007666D8"/>
    <w:rsid w:val="00766D03"/>
    <w:rsid w:val="007671B6"/>
    <w:rsid w:val="007671DA"/>
    <w:rsid w:val="00767C28"/>
    <w:rsid w:val="00770C72"/>
    <w:rsid w:val="007719A8"/>
    <w:rsid w:val="0077228C"/>
    <w:rsid w:val="00772FA8"/>
    <w:rsid w:val="00773CAE"/>
    <w:rsid w:val="00774593"/>
    <w:rsid w:val="00774C88"/>
    <w:rsid w:val="00774D02"/>
    <w:rsid w:val="00776EDA"/>
    <w:rsid w:val="00777599"/>
    <w:rsid w:val="00777A2C"/>
    <w:rsid w:val="00782B59"/>
    <w:rsid w:val="00783603"/>
    <w:rsid w:val="00785646"/>
    <w:rsid w:val="00785CF8"/>
    <w:rsid w:val="0078734E"/>
    <w:rsid w:val="00787700"/>
    <w:rsid w:val="00793277"/>
    <w:rsid w:val="0079435F"/>
    <w:rsid w:val="00796068"/>
    <w:rsid w:val="00796163"/>
    <w:rsid w:val="00796CC0"/>
    <w:rsid w:val="00796CF1"/>
    <w:rsid w:val="007974AF"/>
    <w:rsid w:val="007979EA"/>
    <w:rsid w:val="00797A74"/>
    <w:rsid w:val="007A17A6"/>
    <w:rsid w:val="007A1970"/>
    <w:rsid w:val="007A19BC"/>
    <w:rsid w:val="007A1A35"/>
    <w:rsid w:val="007A2166"/>
    <w:rsid w:val="007A2B7F"/>
    <w:rsid w:val="007A3059"/>
    <w:rsid w:val="007A45A6"/>
    <w:rsid w:val="007A536B"/>
    <w:rsid w:val="007A5922"/>
    <w:rsid w:val="007A5969"/>
    <w:rsid w:val="007A63D4"/>
    <w:rsid w:val="007A7AA2"/>
    <w:rsid w:val="007A7C23"/>
    <w:rsid w:val="007B07A6"/>
    <w:rsid w:val="007B1ABA"/>
    <w:rsid w:val="007B2070"/>
    <w:rsid w:val="007B221D"/>
    <w:rsid w:val="007B259B"/>
    <w:rsid w:val="007B3F28"/>
    <w:rsid w:val="007B434A"/>
    <w:rsid w:val="007B452C"/>
    <w:rsid w:val="007B471E"/>
    <w:rsid w:val="007B5018"/>
    <w:rsid w:val="007B53E7"/>
    <w:rsid w:val="007B65B3"/>
    <w:rsid w:val="007B66B8"/>
    <w:rsid w:val="007B6A14"/>
    <w:rsid w:val="007B6DFA"/>
    <w:rsid w:val="007B7287"/>
    <w:rsid w:val="007B7637"/>
    <w:rsid w:val="007B7677"/>
    <w:rsid w:val="007B7A70"/>
    <w:rsid w:val="007C0033"/>
    <w:rsid w:val="007C08AB"/>
    <w:rsid w:val="007C38F7"/>
    <w:rsid w:val="007C4290"/>
    <w:rsid w:val="007C4E99"/>
    <w:rsid w:val="007C5151"/>
    <w:rsid w:val="007C546B"/>
    <w:rsid w:val="007C5B8D"/>
    <w:rsid w:val="007C670D"/>
    <w:rsid w:val="007C68D2"/>
    <w:rsid w:val="007C6B7A"/>
    <w:rsid w:val="007C7359"/>
    <w:rsid w:val="007D068B"/>
    <w:rsid w:val="007D0C56"/>
    <w:rsid w:val="007D0CD1"/>
    <w:rsid w:val="007D0ED0"/>
    <w:rsid w:val="007D1F01"/>
    <w:rsid w:val="007D250D"/>
    <w:rsid w:val="007D3500"/>
    <w:rsid w:val="007D3868"/>
    <w:rsid w:val="007D3E0E"/>
    <w:rsid w:val="007D4104"/>
    <w:rsid w:val="007D48CF"/>
    <w:rsid w:val="007D4A4A"/>
    <w:rsid w:val="007D560E"/>
    <w:rsid w:val="007D5F85"/>
    <w:rsid w:val="007E018B"/>
    <w:rsid w:val="007E0721"/>
    <w:rsid w:val="007E0B69"/>
    <w:rsid w:val="007E0C58"/>
    <w:rsid w:val="007E0D6F"/>
    <w:rsid w:val="007E0E05"/>
    <w:rsid w:val="007E1DD3"/>
    <w:rsid w:val="007E209F"/>
    <w:rsid w:val="007E23C8"/>
    <w:rsid w:val="007E25F0"/>
    <w:rsid w:val="007E2878"/>
    <w:rsid w:val="007E2A7E"/>
    <w:rsid w:val="007E4655"/>
    <w:rsid w:val="007E4FD0"/>
    <w:rsid w:val="007E50E4"/>
    <w:rsid w:val="007E50F7"/>
    <w:rsid w:val="007E55E0"/>
    <w:rsid w:val="007E5C50"/>
    <w:rsid w:val="007E5DED"/>
    <w:rsid w:val="007F00D0"/>
    <w:rsid w:val="007F0546"/>
    <w:rsid w:val="007F1DEB"/>
    <w:rsid w:val="007F22A5"/>
    <w:rsid w:val="007F2A0B"/>
    <w:rsid w:val="007F2E4B"/>
    <w:rsid w:val="007F421D"/>
    <w:rsid w:val="007F532E"/>
    <w:rsid w:val="007F5688"/>
    <w:rsid w:val="007F588F"/>
    <w:rsid w:val="007F66A5"/>
    <w:rsid w:val="0080038A"/>
    <w:rsid w:val="0080065F"/>
    <w:rsid w:val="008006D9"/>
    <w:rsid w:val="00800BDB"/>
    <w:rsid w:val="008011F2"/>
    <w:rsid w:val="00802DA0"/>
    <w:rsid w:val="00803139"/>
    <w:rsid w:val="008051DE"/>
    <w:rsid w:val="00805659"/>
    <w:rsid w:val="0080593E"/>
    <w:rsid w:val="0080733E"/>
    <w:rsid w:val="0080783D"/>
    <w:rsid w:val="00810CC2"/>
    <w:rsid w:val="00812C2A"/>
    <w:rsid w:val="00812FCB"/>
    <w:rsid w:val="0081324B"/>
    <w:rsid w:val="00813B80"/>
    <w:rsid w:val="00813DF0"/>
    <w:rsid w:val="0081440E"/>
    <w:rsid w:val="00816193"/>
    <w:rsid w:val="008165E4"/>
    <w:rsid w:val="00823472"/>
    <w:rsid w:val="008234BD"/>
    <w:rsid w:val="00824A8C"/>
    <w:rsid w:val="00825155"/>
    <w:rsid w:val="00825D4C"/>
    <w:rsid w:val="00825EB9"/>
    <w:rsid w:val="00827461"/>
    <w:rsid w:val="008301B7"/>
    <w:rsid w:val="008303E2"/>
    <w:rsid w:val="00830917"/>
    <w:rsid w:val="00830D99"/>
    <w:rsid w:val="0083169F"/>
    <w:rsid w:val="00831B7E"/>
    <w:rsid w:val="00833A8F"/>
    <w:rsid w:val="00833D53"/>
    <w:rsid w:val="008341F8"/>
    <w:rsid w:val="008359F3"/>
    <w:rsid w:val="00835C7F"/>
    <w:rsid w:val="00835DB6"/>
    <w:rsid w:val="00836AC2"/>
    <w:rsid w:val="00837D13"/>
    <w:rsid w:val="0084005B"/>
    <w:rsid w:val="008406D5"/>
    <w:rsid w:val="00843BED"/>
    <w:rsid w:val="008444E7"/>
    <w:rsid w:val="008447C8"/>
    <w:rsid w:val="00844C5B"/>
    <w:rsid w:val="008451F5"/>
    <w:rsid w:val="00845856"/>
    <w:rsid w:val="00847B37"/>
    <w:rsid w:val="008501A4"/>
    <w:rsid w:val="008505A1"/>
    <w:rsid w:val="00850817"/>
    <w:rsid w:val="00851D16"/>
    <w:rsid w:val="00851E54"/>
    <w:rsid w:val="0085292E"/>
    <w:rsid w:val="00852B02"/>
    <w:rsid w:val="00852B27"/>
    <w:rsid w:val="00853F97"/>
    <w:rsid w:val="0085433A"/>
    <w:rsid w:val="00854A85"/>
    <w:rsid w:val="00854B32"/>
    <w:rsid w:val="00854DD3"/>
    <w:rsid w:val="0085553C"/>
    <w:rsid w:val="00855F2B"/>
    <w:rsid w:val="00856252"/>
    <w:rsid w:val="00856C76"/>
    <w:rsid w:val="008570DF"/>
    <w:rsid w:val="00857634"/>
    <w:rsid w:val="00857FFB"/>
    <w:rsid w:val="0086124E"/>
    <w:rsid w:val="00861B74"/>
    <w:rsid w:val="00864A10"/>
    <w:rsid w:val="00865089"/>
    <w:rsid w:val="008652C9"/>
    <w:rsid w:val="00866084"/>
    <w:rsid w:val="00866992"/>
    <w:rsid w:val="00866CA9"/>
    <w:rsid w:val="00867E32"/>
    <w:rsid w:val="00870AAD"/>
    <w:rsid w:val="00872942"/>
    <w:rsid w:val="0087469C"/>
    <w:rsid w:val="0087504D"/>
    <w:rsid w:val="00875991"/>
    <w:rsid w:val="00875BB5"/>
    <w:rsid w:val="008771B6"/>
    <w:rsid w:val="00877865"/>
    <w:rsid w:val="00877FDD"/>
    <w:rsid w:val="00880FED"/>
    <w:rsid w:val="00881415"/>
    <w:rsid w:val="0088186D"/>
    <w:rsid w:val="00882A96"/>
    <w:rsid w:val="008841C8"/>
    <w:rsid w:val="00885367"/>
    <w:rsid w:val="008855A4"/>
    <w:rsid w:val="00885989"/>
    <w:rsid w:val="00887082"/>
    <w:rsid w:val="0088722F"/>
    <w:rsid w:val="00887C8D"/>
    <w:rsid w:val="00887DC7"/>
    <w:rsid w:val="00891FCC"/>
    <w:rsid w:val="00892BB8"/>
    <w:rsid w:val="00893014"/>
    <w:rsid w:val="0089513A"/>
    <w:rsid w:val="008961D5"/>
    <w:rsid w:val="008965FF"/>
    <w:rsid w:val="00896755"/>
    <w:rsid w:val="00896F38"/>
    <w:rsid w:val="008A019D"/>
    <w:rsid w:val="008A086B"/>
    <w:rsid w:val="008A0F0E"/>
    <w:rsid w:val="008A2417"/>
    <w:rsid w:val="008A4D6C"/>
    <w:rsid w:val="008A5D49"/>
    <w:rsid w:val="008A5D4A"/>
    <w:rsid w:val="008A6952"/>
    <w:rsid w:val="008A69D6"/>
    <w:rsid w:val="008A6BDC"/>
    <w:rsid w:val="008A751E"/>
    <w:rsid w:val="008A756C"/>
    <w:rsid w:val="008B0547"/>
    <w:rsid w:val="008B11A3"/>
    <w:rsid w:val="008B1FE5"/>
    <w:rsid w:val="008B2AD7"/>
    <w:rsid w:val="008B3A74"/>
    <w:rsid w:val="008B3D72"/>
    <w:rsid w:val="008B3DF6"/>
    <w:rsid w:val="008B434A"/>
    <w:rsid w:val="008B58F9"/>
    <w:rsid w:val="008B5DA7"/>
    <w:rsid w:val="008B7B55"/>
    <w:rsid w:val="008C1AFD"/>
    <w:rsid w:val="008C25D0"/>
    <w:rsid w:val="008C26D0"/>
    <w:rsid w:val="008C2ABC"/>
    <w:rsid w:val="008C3730"/>
    <w:rsid w:val="008C39CB"/>
    <w:rsid w:val="008C3A5B"/>
    <w:rsid w:val="008C3D50"/>
    <w:rsid w:val="008C4823"/>
    <w:rsid w:val="008C5B71"/>
    <w:rsid w:val="008C6BCE"/>
    <w:rsid w:val="008C6D01"/>
    <w:rsid w:val="008C7039"/>
    <w:rsid w:val="008D0E23"/>
    <w:rsid w:val="008D2382"/>
    <w:rsid w:val="008D2F21"/>
    <w:rsid w:val="008D3521"/>
    <w:rsid w:val="008D3570"/>
    <w:rsid w:val="008D421A"/>
    <w:rsid w:val="008D4846"/>
    <w:rsid w:val="008D5667"/>
    <w:rsid w:val="008D675C"/>
    <w:rsid w:val="008D6F5D"/>
    <w:rsid w:val="008D7CB3"/>
    <w:rsid w:val="008E003A"/>
    <w:rsid w:val="008E15E3"/>
    <w:rsid w:val="008E2045"/>
    <w:rsid w:val="008E4C62"/>
    <w:rsid w:val="008E727E"/>
    <w:rsid w:val="008E72E1"/>
    <w:rsid w:val="008E7D97"/>
    <w:rsid w:val="008F0B17"/>
    <w:rsid w:val="008F0F1C"/>
    <w:rsid w:val="008F2902"/>
    <w:rsid w:val="008F3912"/>
    <w:rsid w:val="008F4047"/>
    <w:rsid w:val="008F4111"/>
    <w:rsid w:val="008F4593"/>
    <w:rsid w:val="008F660B"/>
    <w:rsid w:val="008F695F"/>
    <w:rsid w:val="009005CE"/>
    <w:rsid w:val="00900CF2"/>
    <w:rsid w:val="00901376"/>
    <w:rsid w:val="0090188B"/>
    <w:rsid w:val="00901F83"/>
    <w:rsid w:val="009021A4"/>
    <w:rsid w:val="00902A54"/>
    <w:rsid w:val="00903309"/>
    <w:rsid w:val="00904305"/>
    <w:rsid w:val="00904362"/>
    <w:rsid w:val="0090441C"/>
    <w:rsid w:val="009045D3"/>
    <w:rsid w:val="00904986"/>
    <w:rsid w:val="00904EC5"/>
    <w:rsid w:val="00910C0D"/>
    <w:rsid w:val="00912C43"/>
    <w:rsid w:val="0091308F"/>
    <w:rsid w:val="0091406E"/>
    <w:rsid w:val="009149EC"/>
    <w:rsid w:val="00914B48"/>
    <w:rsid w:val="0091511B"/>
    <w:rsid w:val="00916A57"/>
    <w:rsid w:val="009172D7"/>
    <w:rsid w:val="00917AFB"/>
    <w:rsid w:val="00917B6F"/>
    <w:rsid w:val="00917E84"/>
    <w:rsid w:val="00922061"/>
    <w:rsid w:val="009226F4"/>
    <w:rsid w:val="0092336E"/>
    <w:rsid w:val="009236AA"/>
    <w:rsid w:val="009239AA"/>
    <w:rsid w:val="009245B5"/>
    <w:rsid w:val="009245D0"/>
    <w:rsid w:val="00924AB4"/>
    <w:rsid w:val="00925EF2"/>
    <w:rsid w:val="00925F3C"/>
    <w:rsid w:val="00926204"/>
    <w:rsid w:val="009269E3"/>
    <w:rsid w:val="009332F5"/>
    <w:rsid w:val="00934BAF"/>
    <w:rsid w:val="00934F6D"/>
    <w:rsid w:val="00935493"/>
    <w:rsid w:val="00935C40"/>
    <w:rsid w:val="00935F4D"/>
    <w:rsid w:val="009361D3"/>
    <w:rsid w:val="009373EF"/>
    <w:rsid w:val="009377EA"/>
    <w:rsid w:val="0093795C"/>
    <w:rsid w:val="00937DCB"/>
    <w:rsid w:val="00937F7E"/>
    <w:rsid w:val="0094001E"/>
    <w:rsid w:val="00940576"/>
    <w:rsid w:val="009440DE"/>
    <w:rsid w:val="0094429F"/>
    <w:rsid w:val="009444E6"/>
    <w:rsid w:val="00944A8E"/>
    <w:rsid w:val="009455E6"/>
    <w:rsid w:val="0094589B"/>
    <w:rsid w:val="00947AEE"/>
    <w:rsid w:val="00950775"/>
    <w:rsid w:val="009509C0"/>
    <w:rsid w:val="00952B9C"/>
    <w:rsid w:val="009530DC"/>
    <w:rsid w:val="00953B70"/>
    <w:rsid w:val="00955E2A"/>
    <w:rsid w:val="00956330"/>
    <w:rsid w:val="00956348"/>
    <w:rsid w:val="00956BA7"/>
    <w:rsid w:val="00956FD8"/>
    <w:rsid w:val="009575F7"/>
    <w:rsid w:val="00957E4B"/>
    <w:rsid w:val="0096021A"/>
    <w:rsid w:val="00960F73"/>
    <w:rsid w:val="00961346"/>
    <w:rsid w:val="00961A86"/>
    <w:rsid w:val="009642CA"/>
    <w:rsid w:val="00964559"/>
    <w:rsid w:val="00964BE5"/>
    <w:rsid w:val="009652B6"/>
    <w:rsid w:val="0096655D"/>
    <w:rsid w:val="00970E8A"/>
    <w:rsid w:val="00971139"/>
    <w:rsid w:val="00971F5D"/>
    <w:rsid w:val="00972B10"/>
    <w:rsid w:val="00973F4A"/>
    <w:rsid w:val="0097401F"/>
    <w:rsid w:val="0097465C"/>
    <w:rsid w:val="00974E53"/>
    <w:rsid w:val="00975E28"/>
    <w:rsid w:val="00976F32"/>
    <w:rsid w:val="00981234"/>
    <w:rsid w:val="00981FA0"/>
    <w:rsid w:val="0098263A"/>
    <w:rsid w:val="00983541"/>
    <w:rsid w:val="00984366"/>
    <w:rsid w:val="009848A7"/>
    <w:rsid w:val="00984E80"/>
    <w:rsid w:val="0098690F"/>
    <w:rsid w:val="009870A0"/>
    <w:rsid w:val="00987994"/>
    <w:rsid w:val="00987C66"/>
    <w:rsid w:val="00987EE5"/>
    <w:rsid w:val="009900F0"/>
    <w:rsid w:val="00991CD8"/>
    <w:rsid w:val="00991EBE"/>
    <w:rsid w:val="009928B3"/>
    <w:rsid w:val="00992B6B"/>
    <w:rsid w:val="00992C88"/>
    <w:rsid w:val="00993C2E"/>
    <w:rsid w:val="00993D33"/>
    <w:rsid w:val="00994618"/>
    <w:rsid w:val="00997905"/>
    <w:rsid w:val="00997C8A"/>
    <w:rsid w:val="009A0E89"/>
    <w:rsid w:val="009A0F40"/>
    <w:rsid w:val="009A1339"/>
    <w:rsid w:val="009A188A"/>
    <w:rsid w:val="009A1A95"/>
    <w:rsid w:val="009A1C41"/>
    <w:rsid w:val="009A2CCC"/>
    <w:rsid w:val="009A3006"/>
    <w:rsid w:val="009A3994"/>
    <w:rsid w:val="009A4241"/>
    <w:rsid w:val="009B03E8"/>
    <w:rsid w:val="009B09BF"/>
    <w:rsid w:val="009B1B10"/>
    <w:rsid w:val="009B2FB9"/>
    <w:rsid w:val="009B3134"/>
    <w:rsid w:val="009B4598"/>
    <w:rsid w:val="009B5D6F"/>
    <w:rsid w:val="009B62AF"/>
    <w:rsid w:val="009B6745"/>
    <w:rsid w:val="009B68AF"/>
    <w:rsid w:val="009B74EA"/>
    <w:rsid w:val="009B7AB9"/>
    <w:rsid w:val="009C33CA"/>
    <w:rsid w:val="009C4B6D"/>
    <w:rsid w:val="009C5EDE"/>
    <w:rsid w:val="009C6ECD"/>
    <w:rsid w:val="009C72E6"/>
    <w:rsid w:val="009D0928"/>
    <w:rsid w:val="009D1B99"/>
    <w:rsid w:val="009D1DD8"/>
    <w:rsid w:val="009D2884"/>
    <w:rsid w:val="009D2A4F"/>
    <w:rsid w:val="009D3B41"/>
    <w:rsid w:val="009D5393"/>
    <w:rsid w:val="009D5445"/>
    <w:rsid w:val="009D565F"/>
    <w:rsid w:val="009D6026"/>
    <w:rsid w:val="009D65B9"/>
    <w:rsid w:val="009D70EE"/>
    <w:rsid w:val="009D733B"/>
    <w:rsid w:val="009E04DC"/>
    <w:rsid w:val="009E0FB3"/>
    <w:rsid w:val="009E1C20"/>
    <w:rsid w:val="009E3B5A"/>
    <w:rsid w:val="009E3E85"/>
    <w:rsid w:val="009E4562"/>
    <w:rsid w:val="009E488C"/>
    <w:rsid w:val="009E5105"/>
    <w:rsid w:val="009E593F"/>
    <w:rsid w:val="009E59A1"/>
    <w:rsid w:val="009E66EE"/>
    <w:rsid w:val="009F015D"/>
    <w:rsid w:val="009F20C6"/>
    <w:rsid w:val="009F37BF"/>
    <w:rsid w:val="009F4326"/>
    <w:rsid w:val="009F7078"/>
    <w:rsid w:val="009F7BB2"/>
    <w:rsid w:val="009F7FA6"/>
    <w:rsid w:val="00A0082F"/>
    <w:rsid w:val="00A00AE7"/>
    <w:rsid w:val="00A01593"/>
    <w:rsid w:val="00A016AA"/>
    <w:rsid w:val="00A0244C"/>
    <w:rsid w:val="00A02A53"/>
    <w:rsid w:val="00A033FF"/>
    <w:rsid w:val="00A0409E"/>
    <w:rsid w:val="00A046C7"/>
    <w:rsid w:val="00A04E2C"/>
    <w:rsid w:val="00A04EDA"/>
    <w:rsid w:val="00A06137"/>
    <w:rsid w:val="00A063FE"/>
    <w:rsid w:val="00A06EDB"/>
    <w:rsid w:val="00A07ACC"/>
    <w:rsid w:val="00A11259"/>
    <w:rsid w:val="00A122A9"/>
    <w:rsid w:val="00A131A1"/>
    <w:rsid w:val="00A1329C"/>
    <w:rsid w:val="00A138CF"/>
    <w:rsid w:val="00A14503"/>
    <w:rsid w:val="00A14E25"/>
    <w:rsid w:val="00A14E81"/>
    <w:rsid w:val="00A16896"/>
    <w:rsid w:val="00A16A60"/>
    <w:rsid w:val="00A17A3D"/>
    <w:rsid w:val="00A203C2"/>
    <w:rsid w:val="00A2062A"/>
    <w:rsid w:val="00A2066E"/>
    <w:rsid w:val="00A20765"/>
    <w:rsid w:val="00A21E19"/>
    <w:rsid w:val="00A22B7C"/>
    <w:rsid w:val="00A23110"/>
    <w:rsid w:val="00A236A1"/>
    <w:rsid w:val="00A239A8"/>
    <w:rsid w:val="00A24599"/>
    <w:rsid w:val="00A25B79"/>
    <w:rsid w:val="00A27FF0"/>
    <w:rsid w:val="00A300CB"/>
    <w:rsid w:val="00A30683"/>
    <w:rsid w:val="00A3115F"/>
    <w:rsid w:val="00A31BFC"/>
    <w:rsid w:val="00A32209"/>
    <w:rsid w:val="00A32BA0"/>
    <w:rsid w:val="00A32D77"/>
    <w:rsid w:val="00A33030"/>
    <w:rsid w:val="00A34307"/>
    <w:rsid w:val="00A35A7A"/>
    <w:rsid w:val="00A378A2"/>
    <w:rsid w:val="00A407B6"/>
    <w:rsid w:val="00A40CDE"/>
    <w:rsid w:val="00A418FF"/>
    <w:rsid w:val="00A41D00"/>
    <w:rsid w:val="00A422EE"/>
    <w:rsid w:val="00A43FBD"/>
    <w:rsid w:val="00A43FD4"/>
    <w:rsid w:val="00A44703"/>
    <w:rsid w:val="00A4679A"/>
    <w:rsid w:val="00A473D7"/>
    <w:rsid w:val="00A52DA1"/>
    <w:rsid w:val="00A53AA9"/>
    <w:rsid w:val="00A54367"/>
    <w:rsid w:val="00A54CCB"/>
    <w:rsid w:val="00A57301"/>
    <w:rsid w:val="00A5757E"/>
    <w:rsid w:val="00A60F52"/>
    <w:rsid w:val="00A61DFE"/>
    <w:rsid w:val="00A62AA8"/>
    <w:rsid w:val="00A630D8"/>
    <w:rsid w:val="00A637A4"/>
    <w:rsid w:val="00A63B4C"/>
    <w:rsid w:val="00A63F67"/>
    <w:rsid w:val="00A6526F"/>
    <w:rsid w:val="00A6604B"/>
    <w:rsid w:val="00A664AD"/>
    <w:rsid w:val="00A664E7"/>
    <w:rsid w:val="00A66E7F"/>
    <w:rsid w:val="00A66F54"/>
    <w:rsid w:val="00A673A7"/>
    <w:rsid w:val="00A6786C"/>
    <w:rsid w:val="00A67917"/>
    <w:rsid w:val="00A679B0"/>
    <w:rsid w:val="00A67F19"/>
    <w:rsid w:val="00A70225"/>
    <w:rsid w:val="00A70904"/>
    <w:rsid w:val="00A709BB"/>
    <w:rsid w:val="00A72239"/>
    <w:rsid w:val="00A740EA"/>
    <w:rsid w:val="00A74597"/>
    <w:rsid w:val="00A74A7D"/>
    <w:rsid w:val="00A756FE"/>
    <w:rsid w:val="00A75C52"/>
    <w:rsid w:val="00A767B2"/>
    <w:rsid w:val="00A7717C"/>
    <w:rsid w:val="00A77CCE"/>
    <w:rsid w:val="00A80B0C"/>
    <w:rsid w:val="00A81367"/>
    <w:rsid w:val="00A81B11"/>
    <w:rsid w:val="00A82229"/>
    <w:rsid w:val="00A8244E"/>
    <w:rsid w:val="00A82B9E"/>
    <w:rsid w:val="00A82D16"/>
    <w:rsid w:val="00A831FB"/>
    <w:rsid w:val="00A84186"/>
    <w:rsid w:val="00A846F1"/>
    <w:rsid w:val="00A857B4"/>
    <w:rsid w:val="00A85B14"/>
    <w:rsid w:val="00A875C0"/>
    <w:rsid w:val="00A87C15"/>
    <w:rsid w:val="00A925D7"/>
    <w:rsid w:val="00A92706"/>
    <w:rsid w:val="00A92CF1"/>
    <w:rsid w:val="00A943F8"/>
    <w:rsid w:val="00A962D6"/>
    <w:rsid w:val="00A9704A"/>
    <w:rsid w:val="00A97AD0"/>
    <w:rsid w:val="00AA0776"/>
    <w:rsid w:val="00AA0874"/>
    <w:rsid w:val="00AA0C5B"/>
    <w:rsid w:val="00AA1110"/>
    <w:rsid w:val="00AA1377"/>
    <w:rsid w:val="00AA1D1B"/>
    <w:rsid w:val="00AA2167"/>
    <w:rsid w:val="00AA34B8"/>
    <w:rsid w:val="00AA421C"/>
    <w:rsid w:val="00AA4590"/>
    <w:rsid w:val="00AA49AF"/>
    <w:rsid w:val="00AA4F2F"/>
    <w:rsid w:val="00AA57CE"/>
    <w:rsid w:val="00AA5ADC"/>
    <w:rsid w:val="00AA5E45"/>
    <w:rsid w:val="00AA6E1B"/>
    <w:rsid w:val="00AA7211"/>
    <w:rsid w:val="00AA7540"/>
    <w:rsid w:val="00AA780F"/>
    <w:rsid w:val="00AB0B9C"/>
    <w:rsid w:val="00AB1BB4"/>
    <w:rsid w:val="00AB27AA"/>
    <w:rsid w:val="00AB2A85"/>
    <w:rsid w:val="00AB3E6B"/>
    <w:rsid w:val="00AB4D0B"/>
    <w:rsid w:val="00AB51C8"/>
    <w:rsid w:val="00AB5586"/>
    <w:rsid w:val="00AB6406"/>
    <w:rsid w:val="00AB65B4"/>
    <w:rsid w:val="00AB7B25"/>
    <w:rsid w:val="00AC0BAE"/>
    <w:rsid w:val="00AC0E78"/>
    <w:rsid w:val="00AC126F"/>
    <w:rsid w:val="00AC13F7"/>
    <w:rsid w:val="00AC1BD7"/>
    <w:rsid w:val="00AC1E9C"/>
    <w:rsid w:val="00AC2005"/>
    <w:rsid w:val="00AC3256"/>
    <w:rsid w:val="00AC3304"/>
    <w:rsid w:val="00AC426D"/>
    <w:rsid w:val="00AC43D2"/>
    <w:rsid w:val="00AC4A94"/>
    <w:rsid w:val="00AC4B34"/>
    <w:rsid w:val="00AC66A0"/>
    <w:rsid w:val="00AC6DE2"/>
    <w:rsid w:val="00AC737D"/>
    <w:rsid w:val="00AD0007"/>
    <w:rsid w:val="00AD05A6"/>
    <w:rsid w:val="00AD2262"/>
    <w:rsid w:val="00AD283D"/>
    <w:rsid w:val="00AD3920"/>
    <w:rsid w:val="00AD4D66"/>
    <w:rsid w:val="00AD5922"/>
    <w:rsid w:val="00AD5F80"/>
    <w:rsid w:val="00AD6555"/>
    <w:rsid w:val="00AD6F4A"/>
    <w:rsid w:val="00AE05EA"/>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8E1"/>
    <w:rsid w:val="00AF09C7"/>
    <w:rsid w:val="00AF1474"/>
    <w:rsid w:val="00AF15A7"/>
    <w:rsid w:val="00AF1A40"/>
    <w:rsid w:val="00AF20FB"/>
    <w:rsid w:val="00AF37F7"/>
    <w:rsid w:val="00AF4BF4"/>
    <w:rsid w:val="00AF551F"/>
    <w:rsid w:val="00AF5706"/>
    <w:rsid w:val="00B0025D"/>
    <w:rsid w:val="00B006D8"/>
    <w:rsid w:val="00B02238"/>
    <w:rsid w:val="00B03337"/>
    <w:rsid w:val="00B035B0"/>
    <w:rsid w:val="00B03D35"/>
    <w:rsid w:val="00B0487B"/>
    <w:rsid w:val="00B05065"/>
    <w:rsid w:val="00B05194"/>
    <w:rsid w:val="00B0540F"/>
    <w:rsid w:val="00B0688D"/>
    <w:rsid w:val="00B06AA0"/>
    <w:rsid w:val="00B06B45"/>
    <w:rsid w:val="00B06D33"/>
    <w:rsid w:val="00B074B3"/>
    <w:rsid w:val="00B10AD8"/>
    <w:rsid w:val="00B13DA6"/>
    <w:rsid w:val="00B149B2"/>
    <w:rsid w:val="00B154B5"/>
    <w:rsid w:val="00B1664E"/>
    <w:rsid w:val="00B17303"/>
    <w:rsid w:val="00B1744E"/>
    <w:rsid w:val="00B20833"/>
    <w:rsid w:val="00B21343"/>
    <w:rsid w:val="00B219AA"/>
    <w:rsid w:val="00B21A5B"/>
    <w:rsid w:val="00B221C7"/>
    <w:rsid w:val="00B25143"/>
    <w:rsid w:val="00B25825"/>
    <w:rsid w:val="00B2585D"/>
    <w:rsid w:val="00B25962"/>
    <w:rsid w:val="00B266FA"/>
    <w:rsid w:val="00B26A9C"/>
    <w:rsid w:val="00B26C40"/>
    <w:rsid w:val="00B26D82"/>
    <w:rsid w:val="00B27359"/>
    <w:rsid w:val="00B30BA2"/>
    <w:rsid w:val="00B3194F"/>
    <w:rsid w:val="00B31DDF"/>
    <w:rsid w:val="00B32EB9"/>
    <w:rsid w:val="00B33FC2"/>
    <w:rsid w:val="00B3423E"/>
    <w:rsid w:val="00B347F1"/>
    <w:rsid w:val="00B34A99"/>
    <w:rsid w:val="00B3502B"/>
    <w:rsid w:val="00B35755"/>
    <w:rsid w:val="00B35774"/>
    <w:rsid w:val="00B3599F"/>
    <w:rsid w:val="00B35C3E"/>
    <w:rsid w:val="00B36473"/>
    <w:rsid w:val="00B408FD"/>
    <w:rsid w:val="00B40BEA"/>
    <w:rsid w:val="00B40EC3"/>
    <w:rsid w:val="00B4140A"/>
    <w:rsid w:val="00B414C9"/>
    <w:rsid w:val="00B41D9D"/>
    <w:rsid w:val="00B44029"/>
    <w:rsid w:val="00B44FFA"/>
    <w:rsid w:val="00B45428"/>
    <w:rsid w:val="00B475CB"/>
    <w:rsid w:val="00B47943"/>
    <w:rsid w:val="00B47DE3"/>
    <w:rsid w:val="00B50446"/>
    <w:rsid w:val="00B506FA"/>
    <w:rsid w:val="00B50A6E"/>
    <w:rsid w:val="00B512D2"/>
    <w:rsid w:val="00B527BF"/>
    <w:rsid w:val="00B52AF7"/>
    <w:rsid w:val="00B52C0E"/>
    <w:rsid w:val="00B52DC6"/>
    <w:rsid w:val="00B530FD"/>
    <w:rsid w:val="00B53920"/>
    <w:rsid w:val="00B53C03"/>
    <w:rsid w:val="00B53C9C"/>
    <w:rsid w:val="00B54B68"/>
    <w:rsid w:val="00B55219"/>
    <w:rsid w:val="00B558FE"/>
    <w:rsid w:val="00B55D4A"/>
    <w:rsid w:val="00B56396"/>
    <w:rsid w:val="00B5639B"/>
    <w:rsid w:val="00B60C3E"/>
    <w:rsid w:val="00B615CB"/>
    <w:rsid w:val="00B61E41"/>
    <w:rsid w:val="00B63E30"/>
    <w:rsid w:val="00B645FA"/>
    <w:rsid w:val="00B64775"/>
    <w:rsid w:val="00B64F04"/>
    <w:rsid w:val="00B657AB"/>
    <w:rsid w:val="00B65AF9"/>
    <w:rsid w:val="00B663CD"/>
    <w:rsid w:val="00B67B4F"/>
    <w:rsid w:val="00B702CD"/>
    <w:rsid w:val="00B72EBB"/>
    <w:rsid w:val="00B73288"/>
    <w:rsid w:val="00B74FE2"/>
    <w:rsid w:val="00B763BE"/>
    <w:rsid w:val="00B7749A"/>
    <w:rsid w:val="00B779BB"/>
    <w:rsid w:val="00B77B07"/>
    <w:rsid w:val="00B77BB8"/>
    <w:rsid w:val="00B800EC"/>
    <w:rsid w:val="00B81718"/>
    <w:rsid w:val="00B85A97"/>
    <w:rsid w:val="00B8600B"/>
    <w:rsid w:val="00B86278"/>
    <w:rsid w:val="00B86AF6"/>
    <w:rsid w:val="00B86E2A"/>
    <w:rsid w:val="00B877AA"/>
    <w:rsid w:val="00B87C87"/>
    <w:rsid w:val="00B87E3D"/>
    <w:rsid w:val="00B909E7"/>
    <w:rsid w:val="00B9389E"/>
    <w:rsid w:val="00B946A8"/>
    <w:rsid w:val="00B94EB5"/>
    <w:rsid w:val="00B966FB"/>
    <w:rsid w:val="00B96EA4"/>
    <w:rsid w:val="00B97282"/>
    <w:rsid w:val="00B97A3E"/>
    <w:rsid w:val="00B97A65"/>
    <w:rsid w:val="00BA101D"/>
    <w:rsid w:val="00BA2F02"/>
    <w:rsid w:val="00BA2FFD"/>
    <w:rsid w:val="00BA3492"/>
    <w:rsid w:val="00BA428A"/>
    <w:rsid w:val="00BA4ED9"/>
    <w:rsid w:val="00BA5023"/>
    <w:rsid w:val="00BA5365"/>
    <w:rsid w:val="00BA58B6"/>
    <w:rsid w:val="00BA62AD"/>
    <w:rsid w:val="00BA6DBD"/>
    <w:rsid w:val="00BB0267"/>
    <w:rsid w:val="00BB078B"/>
    <w:rsid w:val="00BB0DE7"/>
    <w:rsid w:val="00BB0E0C"/>
    <w:rsid w:val="00BB37AF"/>
    <w:rsid w:val="00BB4769"/>
    <w:rsid w:val="00BB4C08"/>
    <w:rsid w:val="00BB4FDA"/>
    <w:rsid w:val="00BB61BE"/>
    <w:rsid w:val="00BB6AC3"/>
    <w:rsid w:val="00BB779D"/>
    <w:rsid w:val="00BC050A"/>
    <w:rsid w:val="00BC066A"/>
    <w:rsid w:val="00BC122C"/>
    <w:rsid w:val="00BC17A9"/>
    <w:rsid w:val="00BC1866"/>
    <w:rsid w:val="00BC1DBD"/>
    <w:rsid w:val="00BC2414"/>
    <w:rsid w:val="00BC322A"/>
    <w:rsid w:val="00BC5092"/>
    <w:rsid w:val="00BC526B"/>
    <w:rsid w:val="00BC5737"/>
    <w:rsid w:val="00BC5EB0"/>
    <w:rsid w:val="00BC65A7"/>
    <w:rsid w:val="00BD1747"/>
    <w:rsid w:val="00BD3C68"/>
    <w:rsid w:val="00BD421D"/>
    <w:rsid w:val="00BD4493"/>
    <w:rsid w:val="00BD5052"/>
    <w:rsid w:val="00BD6B87"/>
    <w:rsid w:val="00BD6CFA"/>
    <w:rsid w:val="00BD73FC"/>
    <w:rsid w:val="00BD79B1"/>
    <w:rsid w:val="00BE03D0"/>
    <w:rsid w:val="00BE04D9"/>
    <w:rsid w:val="00BE08EF"/>
    <w:rsid w:val="00BE0BCC"/>
    <w:rsid w:val="00BE4614"/>
    <w:rsid w:val="00BE4E6F"/>
    <w:rsid w:val="00BE5100"/>
    <w:rsid w:val="00BE529D"/>
    <w:rsid w:val="00BE53DD"/>
    <w:rsid w:val="00BE573E"/>
    <w:rsid w:val="00BE59E2"/>
    <w:rsid w:val="00BE6584"/>
    <w:rsid w:val="00BE6637"/>
    <w:rsid w:val="00BE6F2B"/>
    <w:rsid w:val="00BE749B"/>
    <w:rsid w:val="00BE7D8D"/>
    <w:rsid w:val="00BF10E8"/>
    <w:rsid w:val="00BF2033"/>
    <w:rsid w:val="00BF3158"/>
    <w:rsid w:val="00BF3169"/>
    <w:rsid w:val="00BF34E0"/>
    <w:rsid w:val="00BF51B7"/>
    <w:rsid w:val="00BF51F4"/>
    <w:rsid w:val="00BF56BE"/>
    <w:rsid w:val="00BF6676"/>
    <w:rsid w:val="00BF7BD9"/>
    <w:rsid w:val="00C004DD"/>
    <w:rsid w:val="00C00953"/>
    <w:rsid w:val="00C00F38"/>
    <w:rsid w:val="00C021B2"/>
    <w:rsid w:val="00C0314D"/>
    <w:rsid w:val="00C03312"/>
    <w:rsid w:val="00C03532"/>
    <w:rsid w:val="00C039A5"/>
    <w:rsid w:val="00C03A04"/>
    <w:rsid w:val="00C03C67"/>
    <w:rsid w:val="00C046F7"/>
    <w:rsid w:val="00C064FE"/>
    <w:rsid w:val="00C066AB"/>
    <w:rsid w:val="00C06EA1"/>
    <w:rsid w:val="00C10C0B"/>
    <w:rsid w:val="00C10DD5"/>
    <w:rsid w:val="00C1122F"/>
    <w:rsid w:val="00C11A6C"/>
    <w:rsid w:val="00C11F76"/>
    <w:rsid w:val="00C12989"/>
    <w:rsid w:val="00C13567"/>
    <w:rsid w:val="00C13C61"/>
    <w:rsid w:val="00C14D9F"/>
    <w:rsid w:val="00C15A27"/>
    <w:rsid w:val="00C15FEF"/>
    <w:rsid w:val="00C165A1"/>
    <w:rsid w:val="00C16F1F"/>
    <w:rsid w:val="00C1776A"/>
    <w:rsid w:val="00C20301"/>
    <w:rsid w:val="00C20BBA"/>
    <w:rsid w:val="00C20FFB"/>
    <w:rsid w:val="00C22519"/>
    <w:rsid w:val="00C22725"/>
    <w:rsid w:val="00C22C7B"/>
    <w:rsid w:val="00C22F12"/>
    <w:rsid w:val="00C2305C"/>
    <w:rsid w:val="00C233D0"/>
    <w:rsid w:val="00C2380D"/>
    <w:rsid w:val="00C24162"/>
    <w:rsid w:val="00C24E78"/>
    <w:rsid w:val="00C2509D"/>
    <w:rsid w:val="00C26C06"/>
    <w:rsid w:val="00C2796E"/>
    <w:rsid w:val="00C27A2E"/>
    <w:rsid w:val="00C302BD"/>
    <w:rsid w:val="00C32176"/>
    <w:rsid w:val="00C344DC"/>
    <w:rsid w:val="00C34ABD"/>
    <w:rsid w:val="00C353CF"/>
    <w:rsid w:val="00C35F0A"/>
    <w:rsid w:val="00C35F43"/>
    <w:rsid w:val="00C363A9"/>
    <w:rsid w:val="00C36603"/>
    <w:rsid w:val="00C36C55"/>
    <w:rsid w:val="00C37088"/>
    <w:rsid w:val="00C3715E"/>
    <w:rsid w:val="00C40316"/>
    <w:rsid w:val="00C408C2"/>
    <w:rsid w:val="00C408D5"/>
    <w:rsid w:val="00C40B77"/>
    <w:rsid w:val="00C41401"/>
    <w:rsid w:val="00C41D3C"/>
    <w:rsid w:val="00C43801"/>
    <w:rsid w:val="00C44A07"/>
    <w:rsid w:val="00C44BDC"/>
    <w:rsid w:val="00C45BFB"/>
    <w:rsid w:val="00C45DCE"/>
    <w:rsid w:val="00C46085"/>
    <w:rsid w:val="00C46D15"/>
    <w:rsid w:val="00C47127"/>
    <w:rsid w:val="00C50C7D"/>
    <w:rsid w:val="00C50FF9"/>
    <w:rsid w:val="00C52889"/>
    <w:rsid w:val="00C52D5A"/>
    <w:rsid w:val="00C54B14"/>
    <w:rsid w:val="00C56C58"/>
    <w:rsid w:val="00C56CCC"/>
    <w:rsid w:val="00C60320"/>
    <w:rsid w:val="00C60A94"/>
    <w:rsid w:val="00C6352A"/>
    <w:rsid w:val="00C63D29"/>
    <w:rsid w:val="00C64538"/>
    <w:rsid w:val="00C65B2D"/>
    <w:rsid w:val="00C65C5D"/>
    <w:rsid w:val="00C65DA0"/>
    <w:rsid w:val="00C6656A"/>
    <w:rsid w:val="00C66C03"/>
    <w:rsid w:val="00C71104"/>
    <w:rsid w:val="00C711E5"/>
    <w:rsid w:val="00C72816"/>
    <w:rsid w:val="00C730CB"/>
    <w:rsid w:val="00C731FC"/>
    <w:rsid w:val="00C73586"/>
    <w:rsid w:val="00C73782"/>
    <w:rsid w:val="00C73F9C"/>
    <w:rsid w:val="00C74107"/>
    <w:rsid w:val="00C80D90"/>
    <w:rsid w:val="00C81245"/>
    <w:rsid w:val="00C81B05"/>
    <w:rsid w:val="00C82179"/>
    <w:rsid w:val="00C83607"/>
    <w:rsid w:val="00C836EE"/>
    <w:rsid w:val="00C83ADF"/>
    <w:rsid w:val="00C83AEE"/>
    <w:rsid w:val="00C84CAA"/>
    <w:rsid w:val="00C85531"/>
    <w:rsid w:val="00C85563"/>
    <w:rsid w:val="00C85AC7"/>
    <w:rsid w:val="00C85B0B"/>
    <w:rsid w:val="00C87F13"/>
    <w:rsid w:val="00C9003E"/>
    <w:rsid w:val="00C9045E"/>
    <w:rsid w:val="00C90466"/>
    <w:rsid w:val="00C906CD"/>
    <w:rsid w:val="00C90962"/>
    <w:rsid w:val="00C90C8A"/>
    <w:rsid w:val="00C90F10"/>
    <w:rsid w:val="00C9133D"/>
    <w:rsid w:val="00C918B8"/>
    <w:rsid w:val="00C91F02"/>
    <w:rsid w:val="00C92840"/>
    <w:rsid w:val="00C934E0"/>
    <w:rsid w:val="00C94A2F"/>
    <w:rsid w:val="00C94BDC"/>
    <w:rsid w:val="00C961CA"/>
    <w:rsid w:val="00C96242"/>
    <w:rsid w:val="00C96454"/>
    <w:rsid w:val="00C96747"/>
    <w:rsid w:val="00CA08DA"/>
    <w:rsid w:val="00CA0FB8"/>
    <w:rsid w:val="00CA15F3"/>
    <w:rsid w:val="00CA2680"/>
    <w:rsid w:val="00CA3312"/>
    <w:rsid w:val="00CA4D23"/>
    <w:rsid w:val="00CA50CD"/>
    <w:rsid w:val="00CA522F"/>
    <w:rsid w:val="00CA563C"/>
    <w:rsid w:val="00CA567B"/>
    <w:rsid w:val="00CA6716"/>
    <w:rsid w:val="00CA6B37"/>
    <w:rsid w:val="00CA7483"/>
    <w:rsid w:val="00CA7FB2"/>
    <w:rsid w:val="00CB036A"/>
    <w:rsid w:val="00CB0D34"/>
    <w:rsid w:val="00CB1C4E"/>
    <w:rsid w:val="00CB2A98"/>
    <w:rsid w:val="00CB3818"/>
    <w:rsid w:val="00CB43AC"/>
    <w:rsid w:val="00CB5197"/>
    <w:rsid w:val="00CB6164"/>
    <w:rsid w:val="00CB6930"/>
    <w:rsid w:val="00CB79F7"/>
    <w:rsid w:val="00CC18C0"/>
    <w:rsid w:val="00CC1939"/>
    <w:rsid w:val="00CC23EB"/>
    <w:rsid w:val="00CC42D4"/>
    <w:rsid w:val="00CC4364"/>
    <w:rsid w:val="00CC5ABF"/>
    <w:rsid w:val="00CC64E3"/>
    <w:rsid w:val="00CC7712"/>
    <w:rsid w:val="00CC774A"/>
    <w:rsid w:val="00CD179A"/>
    <w:rsid w:val="00CD2030"/>
    <w:rsid w:val="00CD2536"/>
    <w:rsid w:val="00CD3DB8"/>
    <w:rsid w:val="00CD407F"/>
    <w:rsid w:val="00CD4ED2"/>
    <w:rsid w:val="00CD548B"/>
    <w:rsid w:val="00CD5740"/>
    <w:rsid w:val="00CD6E49"/>
    <w:rsid w:val="00CD704E"/>
    <w:rsid w:val="00CD7420"/>
    <w:rsid w:val="00CD799F"/>
    <w:rsid w:val="00CD7A68"/>
    <w:rsid w:val="00CE0137"/>
    <w:rsid w:val="00CE0BA7"/>
    <w:rsid w:val="00CE19D0"/>
    <w:rsid w:val="00CE2942"/>
    <w:rsid w:val="00CE2FAA"/>
    <w:rsid w:val="00CE36EF"/>
    <w:rsid w:val="00CE3FC3"/>
    <w:rsid w:val="00CE4C13"/>
    <w:rsid w:val="00CE552B"/>
    <w:rsid w:val="00CE5A6B"/>
    <w:rsid w:val="00CE6ACB"/>
    <w:rsid w:val="00CE6D09"/>
    <w:rsid w:val="00CE72DC"/>
    <w:rsid w:val="00CF0105"/>
    <w:rsid w:val="00CF0E4D"/>
    <w:rsid w:val="00CF19C6"/>
    <w:rsid w:val="00CF230D"/>
    <w:rsid w:val="00CF2A98"/>
    <w:rsid w:val="00CF43C6"/>
    <w:rsid w:val="00CF5489"/>
    <w:rsid w:val="00CF7615"/>
    <w:rsid w:val="00CF7796"/>
    <w:rsid w:val="00CF7823"/>
    <w:rsid w:val="00CF78DA"/>
    <w:rsid w:val="00D003F8"/>
    <w:rsid w:val="00D0052C"/>
    <w:rsid w:val="00D01540"/>
    <w:rsid w:val="00D01AFE"/>
    <w:rsid w:val="00D01B9F"/>
    <w:rsid w:val="00D02757"/>
    <w:rsid w:val="00D02A5B"/>
    <w:rsid w:val="00D02FB7"/>
    <w:rsid w:val="00D04613"/>
    <w:rsid w:val="00D05C77"/>
    <w:rsid w:val="00D07581"/>
    <w:rsid w:val="00D07739"/>
    <w:rsid w:val="00D10769"/>
    <w:rsid w:val="00D11642"/>
    <w:rsid w:val="00D116C7"/>
    <w:rsid w:val="00D13AC5"/>
    <w:rsid w:val="00D13C39"/>
    <w:rsid w:val="00D149CF"/>
    <w:rsid w:val="00D14A15"/>
    <w:rsid w:val="00D14C59"/>
    <w:rsid w:val="00D14E5F"/>
    <w:rsid w:val="00D14FB2"/>
    <w:rsid w:val="00D15B6C"/>
    <w:rsid w:val="00D164EA"/>
    <w:rsid w:val="00D16754"/>
    <w:rsid w:val="00D17548"/>
    <w:rsid w:val="00D17604"/>
    <w:rsid w:val="00D17A85"/>
    <w:rsid w:val="00D17CC6"/>
    <w:rsid w:val="00D2041E"/>
    <w:rsid w:val="00D20454"/>
    <w:rsid w:val="00D20D10"/>
    <w:rsid w:val="00D2153B"/>
    <w:rsid w:val="00D23801"/>
    <w:rsid w:val="00D25AEC"/>
    <w:rsid w:val="00D25B2F"/>
    <w:rsid w:val="00D27D36"/>
    <w:rsid w:val="00D27E9B"/>
    <w:rsid w:val="00D3037E"/>
    <w:rsid w:val="00D305AC"/>
    <w:rsid w:val="00D30BF9"/>
    <w:rsid w:val="00D31FFD"/>
    <w:rsid w:val="00D32074"/>
    <w:rsid w:val="00D32376"/>
    <w:rsid w:val="00D326DD"/>
    <w:rsid w:val="00D33DBD"/>
    <w:rsid w:val="00D341C9"/>
    <w:rsid w:val="00D3447D"/>
    <w:rsid w:val="00D3488B"/>
    <w:rsid w:val="00D34A8C"/>
    <w:rsid w:val="00D35F32"/>
    <w:rsid w:val="00D361DE"/>
    <w:rsid w:val="00D37427"/>
    <w:rsid w:val="00D3793E"/>
    <w:rsid w:val="00D37E78"/>
    <w:rsid w:val="00D37FB2"/>
    <w:rsid w:val="00D404C7"/>
    <w:rsid w:val="00D4170E"/>
    <w:rsid w:val="00D41A6A"/>
    <w:rsid w:val="00D420E0"/>
    <w:rsid w:val="00D4233A"/>
    <w:rsid w:val="00D43E3F"/>
    <w:rsid w:val="00D44B3D"/>
    <w:rsid w:val="00D453A0"/>
    <w:rsid w:val="00D46787"/>
    <w:rsid w:val="00D4691A"/>
    <w:rsid w:val="00D46C4C"/>
    <w:rsid w:val="00D51635"/>
    <w:rsid w:val="00D51F18"/>
    <w:rsid w:val="00D52DA3"/>
    <w:rsid w:val="00D52E5A"/>
    <w:rsid w:val="00D53537"/>
    <w:rsid w:val="00D5360E"/>
    <w:rsid w:val="00D54E49"/>
    <w:rsid w:val="00D54E9E"/>
    <w:rsid w:val="00D551C8"/>
    <w:rsid w:val="00D55972"/>
    <w:rsid w:val="00D564BB"/>
    <w:rsid w:val="00D565FA"/>
    <w:rsid w:val="00D5674B"/>
    <w:rsid w:val="00D568ED"/>
    <w:rsid w:val="00D56BF9"/>
    <w:rsid w:val="00D56E3F"/>
    <w:rsid w:val="00D571B4"/>
    <w:rsid w:val="00D6014E"/>
    <w:rsid w:val="00D6063B"/>
    <w:rsid w:val="00D61F15"/>
    <w:rsid w:val="00D624A9"/>
    <w:rsid w:val="00D62DD8"/>
    <w:rsid w:val="00D630E7"/>
    <w:rsid w:val="00D640BA"/>
    <w:rsid w:val="00D6444B"/>
    <w:rsid w:val="00D64C56"/>
    <w:rsid w:val="00D66410"/>
    <w:rsid w:val="00D66472"/>
    <w:rsid w:val="00D66F17"/>
    <w:rsid w:val="00D700E5"/>
    <w:rsid w:val="00D70900"/>
    <w:rsid w:val="00D71B77"/>
    <w:rsid w:val="00D725CA"/>
    <w:rsid w:val="00D74A87"/>
    <w:rsid w:val="00D755DE"/>
    <w:rsid w:val="00D7587B"/>
    <w:rsid w:val="00D75CE3"/>
    <w:rsid w:val="00D76186"/>
    <w:rsid w:val="00D771E9"/>
    <w:rsid w:val="00D7771F"/>
    <w:rsid w:val="00D817F1"/>
    <w:rsid w:val="00D825BC"/>
    <w:rsid w:val="00D8312E"/>
    <w:rsid w:val="00D8414C"/>
    <w:rsid w:val="00D844B1"/>
    <w:rsid w:val="00D86C20"/>
    <w:rsid w:val="00D86DD4"/>
    <w:rsid w:val="00D90998"/>
    <w:rsid w:val="00D909BB"/>
    <w:rsid w:val="00D91D92"/>
    <w:rsid w:val="00D92529"/>
    <w:rsid w:val="00D92870"/>
    <w:rsid w:val="00D94BD0"/>
    <w:rsid w:val="00D973C9"/>
    <w:rsid w:val="00DA1613"/>
    <w:rsid w:val="00DA29C5"/>
    <w:rsid w:val="00DA2AEB"/>
    <w:rsid w:val="00DA330A"/>
    <w:rsid w:val="00DA4300"/>
    <w:rsid w:val="00DA5AAB"/>
    <w:rsid w:val="00DA671A"/>
    <w:rsid w:val="00DA6858"/>
    <w:rsid w:val="00DA7233"/>
    <w:rsid w:val="00DA7CBB"/>
    <w:rsid w:val="00DB08FA"/>
    <w:rsid w:val="00DB1637"/>
    <w:rsid w:val="00DB1CD7"/>
    <w:rsid w:val="00DB2086"/>
    <w:rsid w:val="00DB2651"/>
    <w:rsid w:val="00DB2A1C"/>
    <w:rsid w:val="00DB30B1"/>
    <w:rsid w:val="00DB31FF"/>
    <w:rsid w:val="00DB3ECD"/>
    <w:rsid w:val="00DB4717"/>
    <w:rsid w:val="00DB75E7"/>
    <w:rsid w:val="00DB79D5"/>
    <w:rsid w:val="00DB7F8E"/>
    <w:rsid w:val="00DC00E8"/>
    <w:rsid w:val="00DC0F8C"/>
    <w:rsid w:val="00DC12C8"/>
    <w:rsid w:val="00DC1C61"/>
    <w:rsid w:val="00DC36E8"/>
    <w:rsid w:val="00DC5C68"/>
    <w:rsid w:val="00DC6AB5"/>
    <w:rsid w:val="00DC6F31"/>
    <w:rsid w:val="00DC7004"/>
    <w:rsid w:val="00DC7FFD"/>
    <w:rsid w:val="00DD0277"/>
    <w:rsid w:val="00DD1129"/>
    <w:rsid w:val="00DD1B11"/>
    <w:rsid w:val="00DD1B33"/>
    <w:rsid w:val="00DD1CE2"/>
    <w:rsid w:val="00DD55A5"/>
    <w:rsid w:val="00DD645B"/>
    <w:rsid w:val="00DD6667"/>
    <w:rsid w:val="00DD6D82"/>
    <w:rsid w:val="00DD786C"/>
    <w:rsid w:val="00DD7E6D"/>
    <w:rsid w:val="00DE045E"/>
    <w:rsid w:val="00DE1240"/>
    <w:rsid w:val="00DE1AA5"/>
    <w:rsid w:val="00DE1E1F"/>
    <w:rsid w:val="00DE231A"/>
    <w:rsid w:val="00DE23D6"/>
    <w:rsid w:val="00DE2825"/>
    <w:rsid w:val="00DE29B9"/>
    <w:rsid w:val="00DE2CB6"/>
    <w:rsid w:val="00DE2DDE"/>
    <w:rsid w:val="00DE30B8"/>
    <w:rsid w:val="00DE395F"/>
    <w:rsid w:val="00DE423F"/>
    <w:rsid w:val="00DE4978"/>
    <w:rsid w:val="00DE5039"/>
    <w:rsid w:val="00DE5414"/>
    <w:rsid w:val="00DE5BAE"/>
    <w:rsid w:val="00DE7566"/>
    <w:rsid w:val="00DE7E46"/>
    <w:rsid w:val="00DF066D"/>
    <w:rsid w:val="00DF0C37"/>
    <w:rsid w:val="00DF135C"/>
    <w:rsid w:val="00DF24FD"/>
    <w:rsid w:val="00DF2506"/>
    <w:rsid w:val="00DF2F26"/>
    <w:rsid w:val="00DF301A"/>
    <w:rsid w:val="00DF3469"/>
    <w:rsid w:val="00DF3BE2"/>
    <w:rsid w:val="00DF4E2C"/>
    <w:rsid w:val="00DF4E34"/>
    <w:rsid w:val="00DF4F1B"/>
    <w:rsid w:val="00DF5ACC"/>
    <w:rsid w:val="00DF5CAC"/>
    <w:rsid w:val="00DF5CF7"/>
    <w:rsid w:val="00DF6A93"/>
    <w:rsid w:val="00DF75EC"/>
    <w:rsid w:val="00DF7D56"/>
    <w:rsid w:val="00E002D6"/>
    <w:rsid w:val="00E00E96"/>
    <w:rsid w:val="00E0133D"/>
    <w:rsid w:val="00E0199E"/>
    <w:rsid w:val="00E019ED"/>
    <w:rsid w:val="00E01B31"/>
    <w:rsid w:val="00E01E09"/>
    <w:rsid w:val="00E02392"/>
    <w:rsid w:val="00E0312F"/>
    <w:rsid w:val="00E03889"/>
    <w:rsid w:val="00E04C48"/>
    <w:rsid w:val="00E05C97"/>
    <w:rsid w:val="00E05DA6"/>
    <w:rsid w:val="00E06065"/>
    <w:rsid w:val="00E06A81"/>
    <w:rsid w:val="00E07901"/>
    <w:rsid w:val="00E079C6"/>
    <w:rsid w:val="00E10BFA"/>
    <w:rsid w:val="00E1262D"/>
    <w:rsid w:val="00E1273C"/>
    <w:rsid w:val="00E128A2"/>
    <w:rsid w:val="00E1434A"/>
    <w:rsid w:val="00E146CF"/>
    <w:rsid w:val="00E14BED"/>
    <w:rsid w:val="00E15BA6"/>
    <w:rsid w:val="00E17711"/>
    <w:rsid w:val="00E211F7"/>
    <w:rsid w:val="00E23501"/>
    <w:rsid w:val="00E23C05"/>
    <w:rsid w:val="00E2407B"/>
    <w:rsid w:val="00E2425F"/>
    <w:rsid w:val="00E242F0"/>
    <w:rsid w:val="00E245B0"/>
    <w:rsid w:val="00E2461C"/>
    <w:rsid w:val="00E247E2"/>
    <w:rsid w:val="00E24B86"/>
    <w:rsid w:val="00E24EF9"/>
    <w:rsid w:val="00E27F00"/>
    <w:rsid w:val="00E302AD"/>
    <w:rsid w:val="00E30431"/>
    <w:rsid w:val="00E304EB"/>
    <w:rsid w:val="00E329D0"/>
    <w:rsid w:val="00E330AD"/>
    <w:rsid w:val="00E33746"/>
    <w:rsid w:val="00E342B3"/>
    <w:rsid w:val="00E3451F"/>
    <w:rsid w:val="00E3469B"/>
    <w:rsid w:val="00E34B80"/>
    <w:rsid w:val="00E3590B"/>
    <w:rsid w:val="00E36ADF"/>
    <w:rsid w:val="00E36B53"/>
    <w:rsid w:val="00E37585"/>
    <w:rsid w:val="00E40652"/>
    <w:rsid w:val="00E41B64"/>
    <w:rsid w:val="00E4203F"/>
    <w:rsid w:val="00E422B5"/>
    <w:rsid w:val="00E42C35"/>
    <w:rsid w:val="00E43E70"/>
    <w:rsid w:val="00E447D5"/>
    <w:rsid w:val="00E44995"/>
    <w:rsid w:val="00E4557B"/>
    <w:rsid w:val="00E460C8"/>
    <w:rsid w:val="00E469D5"/>
    <w:rsid w:val="00E46CD5"/>
    <w:rsid w:val="00E500D9"/>
    <w:rsid w:val="00E51AB5"/>
    <w:rsid w:val="00E51DFD"/>
    <w:rsid w:val="00E52345"/>
    <w:rsid w:val="00E52763"/>
    <w:rsid w:val="00E53948"/>
    <w:rsid w:val="00E5411A"/>
    <w:rsid w:val="00E55509"/>
    <w:rsid w:val="00E5619A"/>
    <w:rsid w:val="00E563AE"/>
    <w:rsid w:val="00E565F4"/>
    <w:rsid w:val="00E568D9"/>
    <w:rsid w:val="00E56E35"/>
    <w:rsid w:val="00E60B3B"/>
    <w:rsid w:val="00E61029"/>
    <w:rsid w:val="00E6177F"/>
    <w:rsid w:val="00E62BF6"/>
    <w:rsid w:val="00E638B2"/>
    <w:rsid w:val="00E64A96"/>
    <w:rsid w:val="00E65B70"/>
    <w:rsid w:val="00E66288"/>
    <w:rsid w:val="00E662CD"/>
    <w:rsid w:val="00E67427"/>
    <w:rsid w:val="00E676F1"/>
    <w:rsid w:val="00E70088"/>
    <w:rsid w:val="00E705FE"/>
    <w:rsid w:val="00E70C7F"/>
    <w:rsid w:val="00E73271"/>
    <w:rsid w:val="00E735DA"/>
    <w:rsid w:val="00E73F5C"/>
    <w:rsid w:val="00E74214"/>
    <w:rsid w:val="00E74762"/>
    <w:rsid w:val="00E74D52"/>
    <w:rsid w:val="00E75855"/>
    <w:rsid w:val="00E75D63"/>
    <w:rsid w:val="00E7609C"/>
    <w:rsid w:val="00E80278"/>
    <w:rsid w:val="00E80724"/>
    <w:rsid w:val="00E80E3F"/>
    <w:rsid w:val="00E814F5"/>
    <w:rsid w:val="00E82556"/>
    <w:rsid w:val="00E83A40"/>
    <w:rsid w:val="00E84688"/>
    <w:rsid w:val="00E85288"/>
    <w:rsid w:val="00E85CBE"/>
    <w:rsid w:val="00E86566"/>
    <w:rsid w:val="00E875F5"/>
    <w:rsid w:val="00E905D8"/>
    <w:rsid w:val="00E906F6"/>
    <w:rsid w:val="00E92527"/>
    <w:rsid w:val="00E92A93"/>
    <w:rsid w:val="00E93620"/>
    <w:rsid w:val="00E951D5"/>
    <w:rsid w:val="00E9567F"/>
    <w:rsid w:val="00E959A0"/>
    <w:rsid w:val="00E969FC"/>
    <w:rsid w:val="00E97045"/>
    <w:rsid w:val="00E97B8E"/>
    <w:rsid w:val="00E97DA3"/>
    <w:rsid w:val="00EA1086"/>
    <w:rsid w:val="00EA270C"/>
    <w:rsid w:val="00EA3185"/>
    <w:rsid w:val="00EA36EA"/>
    <w:rsid w:val="00EA443F"/>
    <w:rsid w:val="00EA466B"/>
    <w:rsid w:val="00EA5CB5"/>
    <w:rsid w:val="00EA5CF4"/>
    <w:rsid w:val="00EA67AD"/>
    <w:rsid w:val="00EA72FC"/>
    <w:rsid w:val="00EA7E45"/>
    <w:rsid w:val="00EB09B9"/>
    <w:rsid w:val="00EB3404"/>
    <w:rsid w:val="00EB3599"/>
    <w:rsid w:val="00EB3C52"/>
    <w:rsid w:val="00EB5799"/>
    <w:rsid w:val="00EB76F7"/>
    <w:rsid w:val="00EB7CB1"/>
    <w:rsid w:val="00EC01B9"/>
    <w:rsid w:val="00EC04E1"/>
    <w:rsid w:val="00EC0569"/>
    <w:rsid w:val="00EC084D"/>
    <w:rsid w:val="00EC0C7B"/>
    <w:rsid w:val="00EC1C35"/>
    <w:rsid w:val="00EC1F63"/>
    <w:rsid w:val="00EC358F"/>
    <w:rsid w:val="00EC3F0C"/>
    <w:rsid w:val="00EC5C49"/>
    <w:rsid w:val="00EC5E45"/>
    <w:rsid w:val="00EC5ED6"/>
    <w:rsid w:val="00EC608C"/>
    <w:rsid w:val="00EC61C2"/>
    <w:rsid w:val="00EC6DE5"/>
    <w:rsid w:val="00ED0557"/>
    <w:rsid w:val="00ED0CF0"/>
    <w:rsid w:val="00ED34D4"/>
    <w:rsid w:val="00ED3D84"/>
    <w:rsid w:val="00ED42FF"/>
    <w:rsid w:val="00ED5E6C"/>
    <w:rsid w:val="00ED766C"/>
    <w:rsid w:val="00ED76FB"/>
    <w:rsid w:val="00EE05C2"/>
    <w:rsid w:val="00EE0D01"/>
    <w:rsid w:val="00EE30EE"/>
    <w:rsid w:val="00EE3C6D"/>
    <w:rsid w:val="00EE4028"/>
    <w:rsid w:val="00EE4C6E"/>
    <w:rsid w:val="00EE5135"/>
    <w:rsid w:val="00EE558C"/>
    <w:rsid w:val="00EE61BE"/>
    <w:rsid w:val="00EE6D8B"/>
    <w:rsid w:val="00EE6DE6"/>
    <w:rsid w:val="00EF057C"/>
    <w:rsid w:val="00EF1D14"/>
    <w:rsid w:val="00EF4685"/>
    <w:rsid w:val="00EF4FEE"/>
    <w:rsid w:val="00EF6873"/>
    <w:rsid w:val="00EF6F24"/>
    <w:rsid w:val="00EF7143"/>
    <w:rsid w:val="00F0080B"/>
    <w:rsid w:val="00F00BE1"/>
    <w:rsid w:val="00F01B31"/>
    <w:rsid w:val="00F02D9C"/>
    <w:rsid w:val="00F038D5"/>
    <w:rsid w:val="00F03AB9"/>
    <w:rsid w:val="00F03F4E"/>
    <w:rsid w:val="00F0439A"/>
    <w:rsid w:val="00F06479"/>
    <w:rsid w:val="00F076C5"/>
    <w:rsid w:val="00F10B0A"/>
    <w:rsid w:val="00F120D9"/>
    <w:rsid w:val="00F124BE"/>
    <w:rsid w:val="00F125DE"/>
    <w:rsid w:val="00F12A9F"/>
    <w:rsid w:val="00F13137"/>
    <w:rsid w:val="00F14C13"/>
    <w:rsid w:val="00F211DE"/>
    <w:rsid w:val="00F2254A"/>
    <w:rsid w:val="00F22B7B"/>
    <w:rsid w:val="00F22EDB"/>
    <w:rsid w:val="00F23570"/>
    <w:rsid w:val="00F24232"/>
    <w:rsid w:val="00F24E8D"/>
    <w:rsid w:val="00F2526C"/>
    <w:rsid w:val="00F261F0"/>
    <w:rsid w:val="00F27170"/>
    <w:rsid w:val="00F30016"/>
    <w:rsid w:val="00F3058F"/>
    <w:rsid w:val="00F30CE5"/>
    <w:rsid w:val="00F3144A"/>
    <w:rsid w:val="00F31C75"/>
    <w:rsid w:val="00F32543"/>
    <w:rsid w:val="00F33277"/>
    <w:rsid w:val="00F339D7"/>
    <w:rsid w:val="00F33CE0"/>
    <w:rsid w:val="00F3402A"/>
    <w:rsid w:val="00F340CD"/>
    <w:rsid w:val="00F341B5"/>
    <w:rsid w:val="00F341CC"/>
    <w:rsid w:val="00F342DC"/>
    <w:rsid w:val="00F34E67"/>
    <w:rsid w:val="00F35E63"/>
    <w:rsid w:val="00F36B6C"/>
    <w:rsid w:val="00F36D10"/>
    <w:rsid w:val="00F370DC"/>
    <w:rsid w:val="00F37566"/>
    <w:rsid w:val="00F37C18"/>
    <w:rsid w:val="00F37E5B"/>
    <w:rsid w:val="00F40CAB"/>
    <w:rsid w:val="00F4352E"/>
    <w:rsid w:val="00F43960"/>
    <w:rsid w:val="00F43C3C"/>
    <w:rsid w:val="00F459C7"/>
    <w:rsid w:val="00F45D8C"/>
    <w:rsid w:val="00F468CA"/>
    <w:rsid w:val="00F47C5C"/>
    <w:rsid w:val="00F50173"/>
    <w:rsid w:val="00F53166"/>
    <w:rsid w:val="00F54856"/>
    <w:rsid w:val="00F55337"/>
    <w:rsid w:val="00F5539B"/>
    <w:rsid w:val="00F5565E"/>
    <w:rsid w:val="00F55D35"/>
    <w:rsid w:val="00F56AF3"/>
    <w:rsid w:val="00F56CB9"/>
    <w:rsid w:val="00F57650"/>
    <w:rsid w:val="00F579FC"/>
    <w:rsid w:val="00F57FD9"/>
    <w:rsid w:val="00F6089D"/>
    <w:rsid w:val="00F60C74"/>
    <w:rsid w:val="00F61841"/>
    <w:rsid w:val="00F62773"/>
    <w:rsid w:val="00F62FE5"/>
    <w:rsid w:val="00F64DD3"/>
    <w:rsid w:val="00F64F51"/>
    <w:rsid w:val="00F66122"/>
    <w:rsid w:val="00F666FD"/>
    <w:rsid w:val="00F67099"/>
    <w:rsid w:val="00F672F1"/>
    <w:rsid w:val="00F67A35"/>
    <w:rsid w:val="00F72620"/>
    <w:rsid w:val="00F73930"/>
    <w:rsid w:val="00F759AD"/>
    <w:rsid w:val="00F765E8"/>
    <w:rsid w:val="00F7768D"/>
    <w:rsid w:val="00F80F3C"/>
    <w:rsid w:val="00F8200C"/>
    <w:rsid w:val="00F856F0"/>
    <w:rsid w:val="00F85D77"/>
    <w:rsid w:val="00F86D88"/>
    <w:rsid w:val="00F87FA7"/>
    <w:rsid w:val="00F9002C"/>
    <w:rsid w:val="00F90255"/>
    <w:rsid w:val="00F90898"/>
    <w:rsid w:val="00F911DD"/>
    <w:rsid w:val="00F914C8"/>
    <w:rsid w:val="00F914EA"/>
    <w:rsid w:val="00F91839"/>
    <w:rsid w:val="00F91CC0"/>
    <w:rsid w:val="00F92EAE"/>
    <w:rsid w:val="00F92EEE"/>
    <w:rsid w:val="00F945B2"/>
    <w:rsid w:val="00F9473C"/>
    <w:rsid w:val="00F947A1"/>
    <w:rsid w:val="00FA0942"/>
    <w:rsid w:val="00FA3D8C"/>
    <w:rsid w:val="00FA40A3"/>
    <w:rsid w:val="00FA427F"/>
    <w:rsid w:val="00FA45CD"/>
    <w:rsid w:val="00FA5B17"/>
    <w:rsid w:val="00FA6924"/>
    <w:rsid w:val="00FB16CA"/>
    <w:rsid w:val="00FB26BD"/>
    <w:rsid w:val="00FB2DE1"/>
    <w:rsid w:val="00FB33FA"/>
    <w:rsid w:val="00FB3B56"/>
    <w:rsid w:val="00FB3BA6"/>
    <w:rsid w:val="00FB4D65"/>
    <w:rsid w:val="00FB56CA"/>
    <w:rsid w:val="00FB5954"/>
    <w:rsid w:val="00FB5B4B"/>
    <w:rsid w:val="00FB6695"/>
    <w:rsid w:val="00FC0253"/>
    <w:rsid w:val="00FC085C"/>
    <w:rsid w:val="00FC0CDF"/>
    <w:rsid w:val="00FC0D7C"/>
    <w:rsid w:val="00FC163A"/>
    <w:rsid w:val="00FC183A"/>
    <w:rsid w:val="00FC19F5"/>
    <w:rsid w:val="00FC3D1C"/>
    <w:rsid w:val="00FC51C4"/>
    <w:rsid w:val="00FC5656"/>
    <w:rsid w:val="00FC5F90"/>
    <w:rsid w:val="00FC64F3"/>
    <w:rsid w:val="00FC72E0"/>
    <w:rsid w:val="00FD08A7"/>
    <w:rsid w:val="00FD1295"/>
    <w:rsid w:val="00FD29E9"/>
    <w:rsid w:val="00FD2E55"/>
    <w:rsid w:val="00FD2FA9"/>
    <w:rsid w:val="00FD3572"/>
    <w:rsid w:val="00FD36D4"/>
    <w:rsid w:val="00FD510B"/>
    <w:rsid w:val="00FD5360"/>
    <w:rsid w:val="00FD54CC"/>
    <w:rsid w:val="00FD6B34"/>
    <w:rsid w:val="00FD6C8C"/>
    <w:rsid w:val="00FD6DBB"/>
    <w:rsid w:val="00FD795C"/>
    <w:rsid w:val="00FE06A2"/>
    <w:rsid w:val="00FE0CE6"/>
    <w:rsid w:val="00FE0FBC"/>
    <w:rsid w:val="00FE169D"/>
    <w:rsid w:val="00FE28C8"/>
    <w:rsid w:val="00FE2C3A"/>
    <w:rsid w:val="00FE4CFC"/>
    <w:rsid w:val="00FE5E92"/>
    <w:rsid w:val="00FE62CD"/>
    <w:rsid w:val="00FE6871"/>
    <w:rsid w:val="00FE79EF"/>
    <w:rsid w:val="00FF025A"/>
    <w:rsid w:val="00FF088B"/>
    <w:rsid w:val="00FF0AC4"/>
    <w:rsid w:val="00FF0D1C"/>
    <w:rsid w:val="00FF10AF"/>
    <w:rsid w:val="00FF1304"/>
    <w:rsid w:val="00FF18BB"/>
    <w:rsid w:val="00FF22C2"/>
    <w:rsid w:val="00FF23FB"/>
    <w:rsid w:val="00FF3298"/>
    <w:rsid w:val="00FF334E"/>
    <w:rsid w:val="00FF394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FDEFE8-39DF-4C8A-B99B-DB37292E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BFE1-C356-4338-9AC8-A53D92F1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2236</Words>
  <Characters>12077</Characters>
  <Application>Microsoft Office Word</Application>
  <DocSecurity>4</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14285</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2012-06-26T14:01:00Z</cp:lastPrinted>
  <dcterms:created xsi:type="dcterms:W3CDTF">2015-05-07T12:47:00Z</dcterms:created>
  <dcterms:modified xsi:type="dcterms:W3CDTF">2015-05-07T12:47:00Z</dcterms:modified>
</cp:coreProperties>
</file>