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7C68D2" w:rsidRDefault="009444E6" w:rsidP="007C68D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0E5EAB">
        <w:rPr>
          <w:rFonts w:ascii="Times New Roman" w:hAnsi="Times New Roman"/>
          <w:b/>
          <w:i w:val="0"/>
          <w:color w:val="000000"/>
          <w:sz w:val="22"/>
          <w:szCs w:val="22"/>
        </w:rPr>
        <w:t>ão</w:t>
      </w:r>
      <w:r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0E5EAB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5E2A11"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0E5EAB">
        <w:rPr>
          <w:rFonts w:ascii="Times New Roman" w:hAnsi="Times New Roman"/>
          <w:b/>
          <w:i w:val="0"/>
          <w:color w:val="000000"/>
          <w:sz w:val="22"/>
          <w:szCs w:val="22"/>
        </w:rPr>
        <w:t>maio</w:t>
      </w:r>
      <w:r w:rsidR="00025753"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7C68D2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7C68D2" w:rsidRDefault="002D35F5" w:rsidP="007C68D2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7C68D2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 data acima indicada, relativas a licitações e contratos, e tem por finalidade facilitar o acompanhamento, pelo leitor, d</w:t>
      </w:r>
      <w:r w:rsidR="000E5EAB">
        <w:rPr>
          <w:sz w:val="22"/>
          <w:szCs w:val="22"/>
        </w:rPr>
        <w:t>o</w:t>
      </w:r>
      <w:r w:rsidRPr="007C68D2">
        <w:rPr>
          <w:sz w:val="22"/>
          <w:szCs w:val="22"/>
        </w:rPr>
        <w:t xml:space="preserve">s aspectos relevantes que envolvem o tema. </w:t>
      </w:r>
      <w:r w:rsidR="000E5EAB">
        <w:rPr>
          <w:sz w:val="22"/>
          <w:szCs w:val="22"/>
        </w:rPr>
        <w:t>A</w:t>
      </w:r>
      <w:r w:rsidRPr="007C68D2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72F1" w:rsidRPr="007C68D2" w:rsidRDefault="002D35F5" w:rsidP="00AB6842">
      <w:pPr>
        <w:pBdr>
          <w:top w:val="threeDEmboss" w:sz="24" w:space="5" w:color="auto"/>
        </w:pBdr>
        <w:tabs>
          <w:tab w:val="left" w:pos="284"/>
        </w:tabs>
        <w:spacing w:beforeLines="60" w:before="144" w:after="0"/>
        <w:ind w:left="0"/>
        <w:jc w:val="center"/>
        <w:rPr>
          <w:b/>
          <w:bCs/>
          <w:smallCaps/>
          <w:sz w:val="22"/>
          <w:szCs w:val="22"/>
        </w:rPr>
      </w:pPr>
      <w:r w:rsidRPr="007C68D2">
        <w:rPr>
          <w:b/>
          <w:bCs/>
          <w:smallCaps/>
          <w:sz w:val="22"/>
          <w:szCs w:val="22"/>
        </w:rPr>
        <w:t>S</w:t>
      </w:r>
      <w:r w:rsidR="00FF7C62" w:rsidRPr="007C68D2">
        <w:rPr>
          <w:b/>
          <w:bCs/>
          <w:smallCaps/>
          <w:sz w:val="22"/>
          <w:szCs w:val="22"/>
        </w:rPr>
        <w:t>UMÁRIO</w:t>
      </w:r>
    </w:p>
    <w:p w:rsidR="0084005B" w:rsidRPr="007C68D2" w:rsidRDefault="0084005B" w:rsidP="00DE552E">
      <w:pPr>
        <w:autoSpaceDE w:val="0"/>
        <w:autoSpaceDN w:val="0"/>
        <w:adjustRightInd w:val="0"/>
        <w:spacing w:beforeLines="60" w:before="144" w:after="0"/>
        <w:ind w:left="0"/>
        <w:rPr>
          <w:b/>
          <w:sz w:val="22"/>
          <w:szCs w:val="22"/>
          <w:lang w:eastAsia="pt-BR"/>
        </w:rPr>
      </w:pPr>
      <w:r w:rsidRPr="007C68D2">
        <w:rPr>
          <w:b/>
          <w:sz w:val="22"/>
          <w:szCs w:val="22"/>
          <w:lang w:eastAsia="pt-BR"/>
        </w:rPr>
        <w:t>Plenário</w:t>
      </w:r>
    </w:p>
    <w:p w:rsidR="000006E8" w:rsidRDefault="000006E8" w:rsidP="00DB2A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Acompanhamento das </w:t>
      </w:r>
      <w:r w:rsidR="0018776F">
        <w:rPr>
          <w:sz w:val="22"/>
          <w:szCs w:val="22"/>
        </w:rPr>
        <w:t>o</w:t>
      </w:r>
      <w:r>
        <w:rPr>
          <w:sz w:val="22"/>
          <w:szCs w:val="22"/>
        </w:rPr>
        <w:t>bras para a Copa do Mundo</w:t>
      </w:r>
    </w:p>
    <w:p w:rsidR="00DB2A1C" w:rsidRPr="00DB2A1C" w:rsidRDefault="00D6063B" w:rsidP="00D6063B">
      <w:pPr>
        <w:pStyle w:val="Default"/>
        <w:tabs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06E8">
        <w:rPr>
          <w:sz w:val="22"/>
          <w:szCs w:val="22"/>
        </w:rPr>
        <w:t>1</w:t>
      </w:r>
      <w:r>
        <w:rPr>
          <w:sz w:val="22"/>
          <w:szCs w:val="22"/>
        </w:rPr>
        <w:t xml:space="preserve"> - </w:t>
      </w:r>
      <w:r w:rsidR="00DB2A1C" w:rsidRPr="00DB2A1C">
        <w:rPr>
          <w:sz w:val="22"/>
          <w:szCs w:val="22"/>
        </w:rPr>
        <w:t>As obras que t</w:t>
      </w:r>
      <w:r w:rsidR="00DB2A1C">
        <w:rPr>
          <w:sz w:val="22"/>
          <w:szCs w:val="22"/>
        </w:rPr>
        <w:t>ê</w:t>
      </w:r>
      <w:r w:rsidR="00DB2A1C" w:rsidRPr="00DB2A1C">
        <w:rPr>
          <w:sz w:val="22"/>
          <w:szCs w:val="22"/>
        </w:rPr>
        <w:t xml:space="preserve">m por objetivo viabilizar a Copa do Mundo de 2014 somente podem ser licitadas e contratadas sob o Regime Diferenciado de Contratação Pública, instituído pela Lei 12.462/2011, caso </w:t>
      </w:r>
      <w:r w:rsidR="008A019D">
        <w:rPr>
          <w:sz w:val="22"/>
          <w:szCs w:val="22"/>
        </w:rPr>
        <w:t xml:space="preserve">  </w:t>
      </w:r>
      <w:r w:rsidR="00DB2A1C" w:rsidRPr="00DB2A1C">
        <w:rPr>
          <w:sz w:val="22"/>
          <w:szCs w:val="22"/>
        </w:rPr>
        <w:t>possam ser concluídas anteriormente ao início do evento</w:t>
      </w:r>
      <w:r w:rsidR="009C6ECD">
        <w:rPr>
          <w:sz w:val="22"/>
          <w:szCs w:val="22"/>
        </w:rPr>
        <w:t>.</w:t>
      </w:r>
    </w:p>
    <w:p w:rsidR="00353BE4" w:rsidRPr="003F6C4D" w:rsidRDefault="00D6063B" w:rsidP="00D6063B">
      <w:pPr>
        <w:pStyle w:val="Default"/>
        <w:tabs>
          <w:tab w:val="left" w:pos="567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06E8" w:rsidRPr="003F6C4D">
        <w:rPr>
          <w:sz w:val="22"/>
          <w:szCs w:val="22"/>
        </w:rPr>
        <w:t>2</w:t>
      </w:r>
      <w:r w:rsidRPr="003F6C4D">
        <w:rPr>
          <w:sz w:val="22"/>
          <w:szCs w:val="22"/>
        </w:rPr>
        <w:t xml:space="preserve"> - </w:t>
      </w:r>
      <w:r w:rsidR="003F6C4D" w:rsidRPr="003F6C4D">
        <w:rPr>
          <w:sz w:val="22"/>
          <w:szCs w:val="22"/>
        </w:rPr>
        <w:t>A extrapolação do prazo limite para conclusão das obras para a Copa do Mundo de Futebol de 2014 pode implicar a perda das condições especiais de endividamento dos entes da Federação, estabelecidas pela Resolução do Senado Federal nº 43/2001, comprometendo o fluxo de recursos para os empreendimentos</w:t>
      </w:r>
      <w:r w:rsidR="009C6ECD" w:rsidRPr="003F6C4D">
        <w:rPr>
          <w:sz w:val="22"/>
          <w:szCs w:val="22"/>
        </w:rPr>
        <w:t>.</w:t>
      </w:r>
    </w:p>
    <w:p w:rsidR="002E63EE" w:rsidRPr="002E63EE" w:rsidRDefault="002E63EE" w:rsidP="002E63EE">
      <w:pPr>
        <w:pStyle w:val="Default"/>
        <w:spacing w:before="60"/>
        <w:jc w:val="both"/>
        <w:rPr>
          <w:sz w:val="22"/>
          <w:szCs w:val="22"/>
        </w:rPr>
      </w:pPr>
      <w:r w:rsidRPr="003F6C4D">
        <w:rPr>
          <w:sz w:val="22"/>
          <w:szCs w:val="22"/>
        </w:rPr>
        <w:t>A oferta de taxa de</w:t>
      </w:r>
      <w:r w:rsidRPr="002E63EE">
        <w:rPr>
          <w:sz w:val="22"/>
          <w:szCs w:val="22"/>
        </w:rPr>
        <w:t xml:space="preserve"> administração negativa ou de valor zero, em pregão para prestação de serviços de fornecimento de vale-alimentação, não implica inexequibilidade da respectiva pr</w:t>
      </w:r>
      <w:r w:rsidR="00CD6E49">
        <w:rPr>
          <w:sz w:val="22"/>
          <w:szCs w:val="22"/>
        </w:rPr>
        <w:t>o</w:t>
      </w:r>
      <w:r w:rsidRPr="002E63EE">
        <w:rPr>
          <w:sz w:val="22"/>
          <w:szCs w:val="22"/>
        </w:rPr>
        <w:t xml:space="preserve">posta, a qual só pode ser aferida </w:t>
      </w:r>
      <w:r w:rsidR="00DB2A1C">
        <w:rPr>
          <w:sz w:val="22"/>
          <w:szCs w:val="22"/>
        </w:rPr>
        <w:t xml:space="preserve">a partir da avaliação dos </w:t>
      </w:r>
      <w:r w:rsidRPr="002E63EE">
        <w:rPr>
          <w:sz w:val="22"/>
          <w:szCs w:val="22"/>
        </w:rPr>
        <w:t>requisitos objetivos especificados no edital da licitação</w:t>
      </w:r>
      <w:r w:rsidR="009C6ECD">
        <w:rPr>
          <w:sz w:val="22"/>
          <w:szCs w:val="22"/>
        </w:rPr>
        <w:t>.</w:t>
      </w:r>
      <w:r w:rsidRPr="002E63EE">
        <w:rPr>
          <w:sz w:val="22"/>
          <w:szCs w:val="22"/>
        </w:rPr>
        <w:t xml:space="preserve"> </w:t>
      </w:r>
    </w:p>
    <w:p w:rsidR="00C72816" w:rsidRDefault="00C72816" w:rsidP="002E63EE">
      <w:pPr>
        <w:pStyle w:val="TCU-Ac-itens1a8"/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Contratação de </w:t>
      </w:r>
      <w:r w:rsidR="00D6063B">
        <w:rPr>
          <w:sz w:val="22"/>
          <w:szCs w:val="22"/>
        </w:rPr>
        <w:t>pr</w:t>
      </w:r>
      <w:r>
        <w:rPr>
          <w:sz w:val="22"/>
          <w:szCs w:val="22"/>
        </w:rPr>
        <w:t>ojetos</w:t>
      </w:r>
      <w:r w:rsidR="00D6063B">
        <w:rPr>
          <w:sz w:val="22"/>
          <w:szCs w:val="22"/>
        </w:rPr>
        <w:t xml:space="preserve"> de obra pública</w:t>
      </w:r>
    </w:p>
    <w:p w:rsidR="002E63EE" w:rsidRPr="002E63EE" w:rsidRDefault="00D6063B" w:rsidP="00D6063B">
      <w:pPr>
        <w:pStyle w:val="TCU-Ac-itens1a8"/>
        <w:tabs>
          <w:tab w:val="left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C72816">
        <w:rPr>
          <w:sz w:val="22"/>
          <w:szCs w:val="22"/>
        </w:rPr>
        <w:t>1</w:t>
      </w:r>
      <w:r>
        <w:rPr>
          <w:sz w:val="22"/>
          <w:szCs w:val="22"/>
        </w:rPr>
        <w:t xml:space="preserve"> -</w:t>
      </w:r>
      <w:r w:rsidR="00C72816">
        <w:rPr>
          <w:sz w:val="22"/>
          <w:szCs w:val="22"/>
        </w:rPr>
        <w:t xml:space="preserve"> </w:t>
      </w:r>
      <w:r w:rsidR="002E63EE" w:rsidRPr="002E63EE">
        <w:rPr>
          <w:sz w:val="22"/>
          <w:szCs w:val="22"/>
        </w:rPr>
        <w:t>É ilícita a exigência de número mínimo de atestados de capacidade técnica, assim como a fixação de quantitativo mínimo nesses atestados superior a 50% dos quantitativos dos bens ou serviços pretendidos, a não ser que a especificidade do objeto recomende o estabelecimento de tais requisitos</w:t>
      </w:r>
      <w:r w:rsidR="009C6ECD">
        <w:rPr>
          <w:sz w:val="22"/>
          <w:szCs w:val="22"/>
        </w:rPr>
        <w:t>.</w:t>
      </w:r>
      <w:r w:rsidR="002E63EE" w:rsidRPr="002E63EE">
        <w:rPr>
          <w:sz w:val="22"/>
          <w:szCs w:val="22"/>
        </w:rPr>
        <w:t xml:space="preserve"> </w:t>
      </w:r>
    </w:p>
    <w:p w:rsidR="002E63EE" w:rsidRDefault="00D6063B" w:rsidP="00D6063B">
      <w:pPr>
        <w:pStyle w:val="TCU-Ac-itens1a8"/>
        <w:tabs>
          <w:tab w:val="clear" w:pos="1134"/>
          <w:tab w:val="left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C72816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="002E63EE" w:rsidRPr="002E63EE">
        <w:rPr>
          <w:sz w:val="22"/>
          <w:szCs w:val="22"/>
        </w:rPr>
        <w:t>É ilegal a inabilitação de empresas em razão da falta de apresentação de declarações que não constavam do rol dos documentos especificados no edital como necessários à superação dessa fase do certame</w:t>
      </w:r>
      <w:r w:rsidR="009C6ECD">
        <w:rPr>
          <w:sz w:val="22"/>
          <w:szCs w:val="22"/>
        </w:rPr>
        <w:t>.</w:t>
      </w:r>
    </w:p>
    <w:p w:rsidR="009C6ECD" w:rsidRPr="002E63EE" w:rsidRDefault="009C6ECD" w:rsidP="009C6ECD">
      <w:pPr>
        <w:pStyle w:val="Default"/>
        <w:spacing w:before="60"/>
        <w:jc w:val="both"/>
        <w:rPr>
          <w:sz w:val="22"/>
          <w:szCs w:val="22"/>
        </w:rPr>
      </w:pPr>
      <w:r w:rsidRPr="00DB2A1C">
        <w:rPr>
          <w:sz w:val="22"/>
          <w:szCs w:val="22"/>
        </w:rPr>
        <w:t>Os órgãos e entidades</w:t>
      </w:r>
      <w:r w:rsidRPr="002E63EE">
        <w:rPr>
          <w:sz w:val="22"/>
          <w:szCs w:val="22"/>
        </w:rPr>
        <w:t xml:space="preserve"> da administração pública estão obrigados a exigir das empresas contratadas, por ocasião de cada ato de pagamento, a apresentação da certidão negativa de débitos trabalhistas, de modo a dar efetivo cumprimento às disposições constantes dos artigos 27, IV, 29, V, e 55, XIII, da Lei nº 8.666/1993, c/c os artigos 1º e 4º da Lei nº 12.440/2011</w:t>
      </w:r>
      <w:r>
        <w:rPr>
          <w:sz w:val="22"/>
          <w:szCs w:val="22"/>
        </w:rPr>
        <w:t>.</w:t>
      </w:r>
    </w:p>
    <w:p w:rsidR="009C6ECD" w:rsidRDefault="009C6ECD" w:rsidP="00D6063B">
      <w:pPr>
        <w:pStyle w:val="TCU-Ac-itens1a8"/>
        <w:tabs>
          <w:tab w:val="clear" w:pos="1134"/>
          <w:tab w:val="left" w:pos="567"/>
        </w:tabs>
        <w:spacing w:before="60"/>
        <w:rPr>
          <w:sz w:val="22"/>
          <w:szCs w:val="22"/>
        </w:rPr>
      </w:pPr>
    </w:p>
    <w:p w:rsidR="003C6DEB" w:rsidRDefault="00C26C06" w:rsidP="00AB6842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sz w:val="22"/>
          <w:szCs w:val="22"/>
        </w:rPr>
      </w:pPr>
      <w:r w:rsidRPr="007C68D2">
        <w:rPr>
          <w:b/>
          <w:sz w:val="22"/>
          <w:szCs w:val="22"/>
        </w:rPr>
        <w:t>PLENÁRIO</w:t>
      </w:r>
    </w:p>
    <w:p w:rsidR="00AB6842" w:rsidRPr="007C68D2" w:rsidRDefault="00AB6842" w:rsidP="00AB6842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612F99" w:rsidRDefault="003F6C4D" w:rsidP="00612F99">
      <w:pPr>
        <w:pStyle w:val="Default"/>
        <w:jc w:val="both"/>
        <w:rPr>
          <w:b/>
          <w:sz w:val="22"/>
          <w:szCs w:val="22"/>
        </w:rPr>
      </w:pPr>
      <w:r w:rsidRPr="003F6C4D">
        <w:rPr>
          <w:b/>
          <w:sz w:val="22"/>
          <w:szCs w:val="22"/>
        </w:rPr>
        <w:t xml:space="preserve">Acompanhamento das </w:t>
      </w:r>
      <w:r w:rsidR="0018776F">
        <w:rPr>
          <w:b/>
          <w:sz w:val="22"/>
          <w:szCs w:val="22"/>
        </w:rPr>
        <w:t>o</w:t>
      </w:r>
      <w:r w:rsidRPr="003F6C4D">
        <w:rPr>
          <w:b/>
          <w:sz w:val="22"/>
          <w:szCs w:val="22"/>
        </w:rPr>
        <w:t>bras para a Copa do Mundo</w:t>
      </w:r>
      <w:r w:rsidR="001877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</w:t>
      </w:r>
      <w:r w:rsidR="0018776F">
        <w:rPr>
          <w:b/>
          <w:sz w:val="22"/>
          <w:szCs w:val="22"/>
        </w:rPr>
        <w:t xml:space="preserve"> - </w:t>
      </w:r>
      <w:r w:rsidR="00DB2A1C" w:rsidRPr="00DB2A1C">
        <w:rPr>
          <w:b/>
          <w:sz w:val="22"/>
          <w:szCs w:val="22"/>
        </w:rPr>
        <w:t>As obras que têm por objetivo viabilizar a Copa do Mundo de 2014 somente podem ser licitadas e contratadas sob o Regime Diferenciado de Contratação Pública, instituído pela Lei 12.462/2011, caso possam ser concluídas anteriormente ao início do evento</w:t>
      </w:r>
    </w:p>
    <w:p w:rsidR="00916A57" w:rsidRPr="007C68D2" w:rsidRDefault="00CE72DC" w:rsidP="007C68D2">
      <w:pPr>
        <w:pStyle w:val="Default"/>
        <w:jc w:val="both"/>
        <w:rPr>
          <w:b/>
          <w:sz w:val="22"/>
          <w:szCs w:val="22"/>
        </w:rPr>
      </w:pPr>
      <w:r w:rsidRPr="007C68D2">
        <w:rPr>
          <w:sz w:val="22"/>
          <w:szCs w:val="22"/>
        </w:rPr>
        <w:t xml:space="preserve">Acompanhamento dos procedimentos adotados pela Caixa Econômica Federal (CAIXA) para a concessão de financiamentos destinados a obras de mobilidade urbana para a Copa do Mundo de Futebol de 2014 </w:t>
      </w:r>
      <w:r w:rsidR="005E6566" w:rsidRPr="007C68D2">
        <w:rPr>
          <w:sz w:val="22"/>
          <w:szCs w:val="22"/>
        </w:rPr>
        <w:t>identificou o</w:t>
      </w:r>
      <w:r w:rsidRPr="007C68D2">
        <w:rPr>
          <w:sz w:val="22"/>
          <w:szCs w:val="22"/>
        </w:rPr>
        <w:t xml:space="preserve"> baixo volume de recursos </w:t>
      </w:r>
      <w:r w:rsidR="005E6566" w:rsidRPr="007C68D2">
        <w:rPr>
          <w:sz w:val="22"/>
          <w:szCs w:val="22"/>
        </w:rPr>
        <w:t xml:space="preserve">já </w:t>
      </w:r>
      <w:r w:rsidRPr="007C68D2">
        <w:rPr>
          <w:sz w:val="22"/>
          <w:szCs w:val="22"/>
        </w:rPr>
        <w:t xml:space="preserve">repassados para esse fim. </w:t>
      </w:r>
      <w:r w:rsidR="005E6566" w:rsidRPr="007C68D2">
        <w:rPr>
          <w:sz w:val="22"/>
          <w:szCs w:val="22"/>
        </w:rPr>
        <w:t xml:space="preserve">Verificou-se que </w:t>
      </w:r>
      <w:r w:rsidRPr="007C68D2">
        <w:rPr>
          <w:sz w:val="22"/>
          <w:szCs w:val="22"/>
        </w:rPr>
        <w:t>até março de 2012, somente 4,1% dos R$ 5,3</w:t>
      </w:r>
      <w:r w:rsidR="008A019D">
        <w:rPr>
          <w:sz w:val="22"/>
          <w:szCs w:val="22"/>
        </w:rPr>
        <w:t>,</w:t>
      </w:r>
      <w:r w:rsidRPr="007C68D2">
        <w:rPr>
          <w:sz w:val="22"/>
          <w:szCs w:val="22"/>
        </w:rPr>
        <w:t xml:space="preserve">5 bilhões previstos </w:t>
      </w:r>
      <w:r w:rsidR="001C6A2C">
        <w:rPr>
          <w:sz w:val="22"/>
          <w:szCs w:val="22"/>
        </w:rPr>
        <w:t>haviam sido</w:t>
      </w:r>
      <w:r w:rsidRPr="007C68D2">
        <w:rPr>
          <w:sz w:val="22"/>
          <w:szCs w:val="22"/>
        </w:rPr>
        <w:t xml:space="preserve"> executados. Além dos impactos para a realização do citado evento, observou </w:t>
      </w:r>
      <w:r w:rsidR="005E6566" w:rsidRPr="007C68D2">
        <w:rPr>
          <w:sz w:val="22"/>
          <w:szCs w:val="22"/>
        </w:rPr>
        <w:t xml:space="preserve">o relator que </w:t>
      </w:r>
      <w:r w:rsidRPr="007C68D2">
        <w:rPr>
          <w:sz w:val="22"/>
          <w:szCs w:val="22"/>
        </w:rPr>
        <w:t>“</w:t>
      </w:r>
      <w:r w:rsidRPr="007C68D2">
        <w:rPr>
          <w:i/>
          <w:sz w:val="22"/>
          <w:szCs w:val="22"/>
        </w:rPr>
        <w:t>existe um ‘regime de exceção’ para as obras da Copa, estabelecido tanto por meio do Regime Diferenciado de Contratação Pública (RDC), como da resolução do Senado Federal nº 43/2001</w:t>
      </w:r>
      <w:r w:rsidRPr="007C68D2">
        <w:rPr>
          <w:sz w:val="22"/>
          <w:szCs w:val="22"/>
        </w:rPr>
        <w:t xml:space="preserve">”, </w:t>
      </w:r>
      <w:r w:rsidR="006062EA" w:rsidRPr="007C68D2">
        <w:rPr>
          <w:sz w:val="22"/>
          <w:szCs w:val="22"/>
        </w:rPr>
        <w:t xml:space="preserve">a </w:t>
      </w:r>
      <w:r w:rsidRPr="007C68D2">
        <w:rPr>
          <w:sz w:val="22"/>
          <w:szCs w:val="22"/>
        </w:rPr>
        <w:t>qu</w:t>
      </w:r>
      <w:r w:rsidR="006062EA" w:rsidRPr="007C68D2">
        <w:rPr>
          <w:sz w:val="22"/>
          <w:szCs w:val="22"/>
        </w:rPr>
        <w:t>al v</w:t>
      </w:r>
      <w:r w:rsidRPr="007C68D2">
        <w:rPr>
          <w:sz w:val="22"/>
          <w:szCs w:val="22"/>
        </w:rPr>
        <w:t xml:space="preserve">ersa sobre </w:t>
      </w:r>
      <w:r w:rsidR="006062EA" w:rsidRPr="007C68D2">
        <w:rPr>
          <w:sz w:val="22"/>
          <w:szCs w:val="22"/>
        </w:rPr>
        <w:t xml:space="preserve">os </w:t>
      </w:r>
      <w:r w:rsidRPr="007C68D2">
        <w:rPr>
          <w:sz w:val="22"/>
          <w:szCs w:val="22"/>
        </w:rPr>
        <w:t>limites de endividamento dos entes da federação e d</w:t>
      </w:r>
      <w:r w:rsidR="006062EA" w:rsidRPr="007C68D2">
        <w:rPr>
          <w:sz w:val="22"/>
          <w:szCs w:val="22"/>
        </w:rPr>
        <w:t xml:space="preserve">as respectivas </w:t>
      </w:r>
      <w:r w:rsidRPr="007C68D2">
        <w:rPr>
          <w:sz w:val="22"/>
          <w:szCs w:val="22"/>
        </w:rPr>
        <w:t xml:space="preserve">operações de crédito. </w:t>
      </w:r>
      <w:r w:rsidR="006062EA" w:rsidRPr="007C68D2">
        <w:rPr>
          <w:sz w:val="22"/>
          <w:szCs w:val="22"/>
        </w:rPr>
        <w:t>Acrescentou que, p</w:t>
      </w:r>
      <w:r w:rsidRPr="007C68D2">
        <w:rPr>
          <w:sz w:val="22"/>
          <w:szCs w:val="22"/>
        </w:rPr>
        <w:t>or meio desses instrumentos, foram criadas “</w:t>
      </w:r>
      <w:r w:rsidRPr="007C68D2">
        <w:rPr>
          <w:i/>
          <w:sz w:val="22"/>
          <w:szCs w:val="22"/>
        </w:rPr>
        <w:t>condições excepcionalíssimas</w:t>
      </w:r>
      <w:r w:rsidRPr="007C68D2">
        <w:rPr>
          <w:sz w:val="22"/>
          <w:szCs w:val="22"/>
        </w:rPr>
        <w:t>” para viabilizar o Mundial de Futebol.</w:t>
      </w:r>
      <w:r w:rsidR="00005BA5">
        <w:rPr>
          <w:sz w:val="22"/>
          <w:szCs w:val="22"/>
        </w:rPr>
        <w:t xml:space="preserve"> </w:t>
      </w:r>
      <w:r w:rsidR="004E5599">
        <w:rPr>
          <w:sz w:val="22"/>
          <w:szCs w:val="22"/>
        </w:rPr>
        <w:t xml:space="preserve">Anotou, também, </w:t>
      </w:r>
      <w:r w:rsidR="00005BA5">
        <w:rPr>
          <w:sz w:val="22"/>
          <w:szCs w:val="22"/>
        </w:rPr>
        <w:t xml:space="preserve">que </w:t>
      </w:r>
      <w:r w:rsidR="004E5599">
        <w:rPr>
          <w:sz w:val="22"/>
          <w:szCs w:val="22"/>
        </w:rPr>
        <w:t>o</w:t>
      </w:r>
      <w:r w:rsidRPr="007C68D2">
        <w:rPr>
          <w:sz w:val="22"/>
          <w:szCs w:val="22"/>
        </w:rPr>
        <w:t xml:space="preserve"> art. 1º da Lei 12.462/2011</w:t>
      </w:r>
      <w:r w:rsidR="004E5599">
        <w:rPr>
          <w:sz w:val="22"/>
          <w:szCs w:val="22"/>
        </w:rPr>
        <w:t xml:space="preserve"> delimita os empreendimentos que podem ser licitados e contratados sob esse regime especial.</w:t>
      </w:r>
      <w:r w:rsidRPr="007C68D2">
        <w:rPr>
          <w:sz w:val="22"/>
          <w:szCs w:val="22"/>
        </w:rPr>
        <w:t xml:space="preserve"> </w:t>
      </w:r>
      <w:r w:rsidR="004E5599" w:rsidRPr="007C68D2">
        <w:rPr>
          <w:sz w:val="22"/>
          <w:szCs w:val="22"/>
        </w:rPr>
        <w:t>E mais</w:t>
      </w:r>
      <w:r w:rsidR="004E5599">
        <w:rPr>
          <w:sz w:val="22"/>
          <w:szCs w:val="22"/>
        </w:rPr>
        <w:t>:</w:t>
      </w:r>
      <w:r w:rsidR="004E5599" w:rsidRPr="007C68D2">
        <w:rPr>
          <w:sz w:val="22"/>
          <w:szCs w:val="22"/>
        </w:rPr>
        <w:t xml:space="preserve"> </w:t>
      </w:r>
      <w:r w:rsidRPr="007C68D2">
        <w:rPr>
          <w:sz w:val="22"/>
          <w:szCs w:val="22"/>
        </w:rPr>
        <w:t>“</w:t>
      </w:r>
      <w:r w:rsidRPr="007C68D2">
        <w:rPr>
          <w:i/>
          <w:sz w:val="22"/>
          <w:szCs w:val="22"/>
        </w:rPr>
        <w:t>Nos moldes do Decreto 7.581/2011, somente as obras incluídas na matriz de responsabilidades é que podem ser licitadas mediante o RDC</w:t>
      </w:r>
      <w:r w:rsidRPr="007C68D2">
        <w:rPr>
          <w:sz w:val="22"/>
          <w:szCs w:val="22"/>
        </w:rPr>
        <w:t>”</w:t>
      </w:r>
      <w:r w:rsidR="004E5599">
        <w:rPr>
          <w:sz w:val="22"/>
          <w:szCs w:val="22"/>
        </w:rPr>
        <w:t xml:space="preserve">. Tendo em vista tal panorama fático e normativo, acrescentou, afigura-se necessária </w:t>
      </w:r>
      <w:r w:rsidRPr="007C68D2">
        <w:rPr>
          <w:sz w:val="22"/>
          <w:szCs w:val="22"/>
        </w:rPr>
        <w:t>a atualização dessa matriz. “</w:t>
      </w:r>
      <w:r w:rsidRPr="007C68D2">
        <w:rPr>
          <w:i/>
          <w:sz w:val="22"/>
          <w:szCs w:val="22"/>
        </w:rPr>
        <w:t xml:space="preserve">Mas não só incluindo ações; </w:t>
      </w:r>
      <w:r w:rsidRPr="004E5599">
        <w:rPr>
          <w:i/>
          <w:sz w:val="22"/>
          <w:szCs w:val="22"/>
          <w:u w:val="single"/>
        </w:rPr>
        <w:t>deve</w:t>
      </w:r>
      <w:r w:rsidR="001C6A2C" w:rsidRPr="004E5599">
        <w:rPr>
          <w:i/>
          <w:sz w:val="22"/>
          <w:szCs w:val="22"/>
          <w:u w:val="single"/>
        </w:rPr>
        <w:t>m</w:t>
      </w:r>
      <w:r w:rsidRPr="004E5599">
        <w:rPr>
          <w:i/>
          <w:sz w:val="22"/>
          <w:szCs w:val="22"/>
          <w:u w:val="single"/>
        </w:rPr>
        <w:t>-se retirar aquelas obras que sabidamente não t</w:t>
      </w:r>
      <w:r w:rsidR="001C6A2C" w:rsidRPr="004E5599">
        <w:rPr>
          <w:i/>
          <w:sz w:val="22"/>
          <w:szCs w:val="22"/>
          <w:u w:val="single"/>
        </w:rPr>
        <w:t>ê</w:t>
      </w:r>
      <w:r w:rsidRPr="004E5599">
        <w:rPr>
          <w:i/>
          <w:sz w:val="22"/>
          <w:szCs w:val="22"/>
          <w:u w:val="single"/>
        </w:rPr>
        <w:t>m condições de ficarem prontas</w:t>
      </w:r>
      <w:r w:rsidR="001C6A2C">
        <w:rPr>
          <w:sz w:val="22"/>
          <w:szCs w:val="22"/>
        </w:rPr>
        <w:t>”</w:t>
      </w:r>
      <w:r w:rsidR="004E5599">
        <w:rPr>
          <w:sz w:val="22"/>
          <w:szCs w:val="22"/>
        </w:rPr>
        <w:t xml:space="preserve"> – grifou-se</w:t>
      </w:r>
      <w:r w:rsidRPr="007C68D2">
        <w:rPr>
          <w:sz w:val="22"/>
          <w:szCs w:val="22"/>
        </w:rPr>
        <w:t>. Em face desse contexto</w:t>
      </w:r>
      <w:r w:rsidR="008A019D">
        <w:rPr>
          <w:sz w:val="22"/>
          <w:szCs w:val="22"/>
        </w:rPr>
        <w:t xml:space="preserve">, </w:t>
      </w:r>
      <w:r w:rsidRPr="007C68D2">
        <w:rPr>
          <w:sz w:val="22"/>
          <w:szCs w:val="22"/>
        </w:rPr>
        <w:t>ao acolher proposta do relator, o Tribunal decidiu: I) “</w:t>
      </w:r>
      <w:r w:rsidRPr="007C68D2">
        <w:rPr>
          <w:i/>
          <w:sz w:val="22"/>
          <w:szCs w:val="22"/>
        </w:rPr>
        <w:t>alertar o Ministério do Esporte, o Ministério das Cidades, a Infraero, a Secretaria dos Portos, o Grupo Executivo da Copa do Mundo FIFA 2014 (</w:t>
      </w:r>
      <w:r w:rsidR="00583FDB">
        <w:rPr>
          <w:i/>
          <w:sz w:val="22"/>
          <w:szCs w:val="22"/>
        </w:rPr>
        <w:t>...)</w:t>
      </w:r>
      <w:r w:rsidRPr="007C68D2">
        <w:rPr>
          <w:i/>
          <w:sz w:val="22"/>
          <w:szCs w:val="22"/>
        </w:rPr>
        <w:t xml:space="preserve"> e o Comitê Gestor da Copa do Mundo FIFA 2014 (</w:t>
      </w:r>
      <w:r w:rsidR="00583FDB">
        <w:rPr>
          <w:i/>
          <w:sz w:val="22"/>
          <w:szCs w:val="22"/>
        </w:rPr>
        <w:t>...)</w:t>
      </w:r>
      <w:r w:rsidRPr="007C68D2">
        <w:rPr>
          <w:i/>
          <w:sz w:val="22"/>
          <w:szCs w:val="22"/>
        </w:rPr>
        <w:t xml:space="preserve"> que a utilização do Regime Diferenciado de Contratação Pública  (RDC) envolve, como pré-requisito, a necessidade de as ações objeto dos certames estarem concluídas anteriormente à Copa do Mundo de 2014, tal qual expressamente previsto no art. 1º da Lei 12.462/2011</w:t>
      </w:r>
      <w:r w:rsidRPr="007C68D2">
        <w:rPr>
          <w:sz w:val="22"/>
          <w:szCs w:val="22"/>
        </w:rPr>
        <w:t xml:space="preserve">”; II) recomendar ao Grupo Executivo da Copa do Mundo FIFA 2014 e ao Comitê Gestor da Copa do Mundo FIFA 2014 que: a) estabeleçam prazo fatal para a apresentação dos projetos básicos aprovados das obras de mobilidade urbana constantes da matriz de responsabilidades para a Copa do Mundo de 2014; b) avaliem e critiquem os documentos apresentados e atualizem a matriz de responsabilidades para a Copa do Mundo de 2014, mantendo, unicamente, os empreendimentos cujos cronogramas forem previamente aprovados. </w:t>
      </w:r>
      <w:r w:rsidR="00D90998" w:rsidRPr="007C68D2">
        <w:rPr>
          <w:b/>
          <w:i/>
          <w:sz w:val="22"/>
          <w:szCs w:val="22"/>
        </w:rPr>
        <w:t xml:space="preserve">Acórdão n.º </w:t>
      </w:r>
      <w:r w:rsidR="00D91D92" w:rsidRPr="007C68D2">
        <w:rPr>
          <w:b/>
          <w:i/>
          <w:sz w:val="22"/>
          <w:szCs w:val="22"/>
        </w:rPr>
        <w:t>1036</w:t>
      </w:r>
      <w:r w:rsidR="00D90998" w:rsidRPr="007C68D2">
        <w:rPr>
          <w:b/>
          <w:i/>
          <w:sz w:val="22"/>
          <w:szCs w:val="22"/>
        </w:rPr>
        <w:t xml:space="preserve">/2012-Plenário, TC </w:t>
      </w:r>
      <w:r w:rsidR="00486F3A" w:rsidRPr="007C68D2">
        <w:rPr>
          <w:b/>
          <w:i/>
          <w:sz w:val="22"/>
          <w:szCs w:val="22"/>
        </w:rPr>
        <w:t>010.765/2010-7</w:t>
      </w:r>
      <w:r w:rsidR="00D90998" w:rsidRPr="007C68D2">
        <w:rPr>
          <w:b/>
          <w:i/>
          <w:sz w:val="22"/>
          <w:szCs w:val="22"/>
        </w:rPr>
        <w:t xml:space="preserve">, rel. Min. </w:t>
      </w:r>
      <w:r w:rsidR="00486F3A" w:rsidRPr="007C68D2">
        <w:rPr>
          <w:b/>
          <w:i/>
          <w:sz w:val="22"/>
          <w:szCs w:val="22"/>
        </w:rPr>
        <w:t>Valmir Campelo</w:t>
      </w:r>
      <w:r w:rsidR="00D90998" w:rsidRPr="007C68D2">
        <w:rPr>
          <w:b/>
          <w:i/>
          <w:sz w:val="22"/>
          <w:szCs w:val="22"/>
        </w:rPr>
        <w:t>, 2.</w:t>
      </w:r>
      <w:r w:rsidR="00486F3A" w:rsidRPr="007C68D2">
        <w:rPr>
          <w:b/>
          <w:i/>
          <w:sz w:val="22"/>
          <w:szCs w:val="22"/>
        </w:rPr>
        <w:t>5</w:t>
      </w:r>
      <w:r w:rsidR="00D90998" w:rsidRPr="007C68D2">
        <w:rPr>
          <w:b/>
          <w:i/>
          <w:sz w:val="22"/>
          <w:szCs w:val="22"/>
        </w:rPr>
        <w:t>.2012.</w:t>
      </w:r>
    </w:p>
    <w:p w:rsidR="008C1AFD" w:rsidRDefault="008C1AFD" w:rsidP="007C68D2">
      <w:pPr>
        <w:pStyle w:val="Default"/>
        <w:jc w:val="both"/>
        <w:rPr>
          <w:sz w:val="22"/>
          <w:szCs w:val="22"/>
        </w:rPr>
      </w:pPr>
    </w:p>
    <w:p w:rsidR="00130032" w:rsidRPr="00353BE4" w:rsidRDefault="0018776F" w:rsidP="007C68D2">
      <w:pPr>
        <w:pStyle w:val="Default"/>
        <w:jc w:val="both"/>
        <w:rPr>
          <w:b/>
          <w:sz w:val="22"/>
          <w:szCs w:val="22"/>
        </w:rPr>
      </w:pPr>
      <w:r w:rsidRPr="003F6C4D">
        <w:rPr>
          <w:b/>
          <w:sz w:val="22"/>
          <w:szCs w:val="22"/>
        </w:rPr>
        <w:t xml:space="preserve">Acompanhamento das </w:t>
      </w:r>
      <w:r>
        <w:rPr>
          <w:b/>
          <w:sz w:val="22"/>
          <w:szCs w:val="22"/>
        </w:rPr>
        <w:t>o</w:t>
      </w:r>
      <w:r w:rsidRPr="003F6C4D">
        <w:rPr>
          <w:b/>
          <w:sz w:val="22"/>
          <w:szCs w:val="22"/>
        </w:rPr>
        <w:t>bras para a Copa do Mundo</w:t>
      </w:r>
      <w:r>
        <w:rPr>
          <w:b/>
          <w:sz w:val="22"/>
          <w:szCs w:val="22"/>
        </w:rPr>
        <w:t xml:space="preserve">: </w:t>
      </w:r>
      <w:r w:rsidR="003F6C4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</w:t>
      </w:r>
      <w:r w:rsidR="00353BE4" w:rsidRPr="00353BE4">
        <w:rPr>
          <w:b/>
          <w:sz w:val="22"/>
          <w:szCs w:val="22"/>
        </w:rPr>
        <w:t xml:space="preserve">A extrapolação do prazo limite para conclusão das obras para a Copa do Mundo de Futebol de 2014 </w:t>
      </w:r>
      <w:r w:rsidR="00CD6E49">
        <w:rPr>
          <w:b/>
          <w:sz w:val="22"/>
          <w:szCs w:val="22"/>
        </w:rPr>
        <w:t xml:space="preserve">pode </w:t>
      </w:r>
      <w:r w:rsidR="00353BE4" w:rsidRPr="00353BE4">
        <w:rPr>
          <w:b/>
          <w:sz w:val="22"/>
          <w:szCs w:val="22"/>
        </w:rPr>
        <w:t>implica</w:t>
      </w:r>
      <w:r w:rsidR="00CD6E49">
        <w:rPr>
          <w:b/>
          <w:sz w:val="22"/>
          <w:szCs w:val="22"/>
        </w:rPr>
        <w:t>r</w:t>
      </w:r>
      <w:r w:rsidR="00353BE4" w:rsidRPr="00353BE4">
        <w:rPr>
          <w:b/>
          <w:sz w:val="22"/>
          <w:szCs w:val="22"/>
        </w:rPr>
        <w:t xml:space="preserve"> a perda das condições especiais de endividamento dos entes da Federação, estabelecidas pela Resolução do Senado Federal nº 43/2001,</w:t>
      </w:r>
      <w:r w:rsidR="00CD6E49">
        <w:rPr>
          <w:b/>
          <w:sz w:val="22"/>
          <w:szCs w:val="22"/>
        </w:rPr>
        <w:t xml:space="preserve"> </w:t>
      </w:r>
      <w:r w:rsidR="00353BE4" w:rsidRPr="00353BE4">
        <w:rPr>
          <w:b/>
          <w:sz w:val="22"/>
          <w:szCs w:val="22"/>
        </w:rPr>
        <w:t>compromet</w:t>
      </w:r>
      <w:r w:rsidR="00CD6E49">
        <w:rPr>
          <w:b/>
          <w:sz w:val="22"/>
          <w:szCs w:val="22"/>
        </w:rPr>
        <w:t>endo o</w:t>
      </w:r>
      <w:r w:rsidR="00353BE4" w:rsidRPr="00353BE4">
        <w:rPr>
          <w:b/>
          <w:sz w:val="22"/>
          <w:szCs w:val="22"/>
        </w:rPr>
        <w:t xml:space="preserve"> fluxo de recursos para os empreendimentos</w:t>
      </w:r>
      <w:r w:rsidR="00C91F02" w:rsidRPr="00353BE4">
        <w:rPr>
          <w:b/>
          <w:sz w:val="22"/>
          <w:szCs w:val="22"/>
        </w:rPr>
        <w:t xml:space="preserve"> </w:t>
      </w:r>
    </w:p>
    <w:p w:rsidR="00005BA5" w:rsidRPr="007C68D2" w:rsidRDefault="003A434B" w:rsidP="008A019D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Ainda no âmbito do </w:t>
      </w:r>
      <w:r w:rsidR="00005BA5" w:rsidRPr="007C68D2">
        <w:rPr>
          <w:sz w:val="22"/>
          <w:szCs w:val="22"/>
        </w:rPr>
        <w:t>Acompanhamento dos procedi</w:t>
      </w:r>
      <w:r w:rsidR="00130032">
        <w:rPr>
          <w:sz w:val="22"/>
          <w:szCs w:val="22"/>
        </w:rPr>
        <w:t>m</w:t>
      </w:r>
      <w:r w:rsidR="00005BA5" w:rsidRPr="007C68D2">
        <w:rPr>
          <w:sz w:val="22"/>
          <w:szCs w:val="22"/>
        </w:rPr>
        <w:t xml:space="preserve">entos adotados pela Caixa Econômica Federal para a concessão de financiamentos destinados </w:t>
      </w:r>
      <w:r w:rsidR="00583FDB">
        <w:rPr>
          <w:sz w:val="22"/>
          <w:szCs w:val="22"/>
        </w:rPr>
        <w:t>às</w:t>
      </w:r>
      <w:r w:rsidR="00005BA5" w:rsidRPr="007C68D2">
        <w:rPr>
          <w:sz w:val="22"/>
          <w:szCs w:val="22"/>
        </w:rPr>
        <w:t xml:space="preserve"> obras de mobilidade urbana para a Copa do Mundo de Futebol de 2014</w:t>
      </w:r>
      <w:r>
        <w:rPr>
          <w:sz w:val="22"/>
          <w:szCs w:val="22"/>
        </w:rPr>
        <w:t xml:space="preserve">, o relator enfatizou </w:t>
      </w:r>
      <w:r w:rsidR="00DF7D56">
        <w:rPr>
          <w:sz w:val="22"/>
          <w:szCs w:val="22"/>
        </w:rPr>
        <w:t xml:space="preserve">que a Resolução </w:t>
      </w:r>
      <w:r w:rsidR="00DF7D56" w:rsidRPr="00583FDB">
        <w:rPr>
          <w:sz w:val="22"/>
          <w:szCs w:val="22"/>
        </w:rPr>
        <w:t xml:space="preserve">do </w:t>
      </w:r>
      <w:r w:rsidR="00005BA5" w:rsidRPr="00583FDB">
        <w:rPr>
          <w:sz w:val="22"/>
          <w:szCs w:val="22"/>
        </w:rPr>
        <w:t>Senado Federal nº 43/2001</w:t>
      </w:r>
      <w:r w:rsidR="00DF7D56">
        <w:rPr>
          <w:sz w:val="22"/>
          <w:szCs w:val="22"/>
        </w:rPr>
        <w:t xml:space="preserve"> estabeleceu regramento específico para os </w:t>
      </w:r>
      <w:r w:rsidR="00005BA5" w:rsidRPr="007C68D2">
        <w:rPr>
          <w:sz w:val="22"/>
          <w:szCs w:val="22"/>
        </w:rPr>
        <w:t xml:space="preserve">limites de endividamento dos entes da federação e </w:t>
      </w:r>
      <w:r w:rsidR="00DF7D56">
        <w:rPr>
          <w:sz w:val="22"/>
          <w:szCs w:val="22"/>
        </w:rPr>
        <w:t>para as</w:t>
      </w:r>
      <w:r w:rsidR="00005BA5" w:rsidRPr="007C68D2">
        <w:rPr>
          <w:sz w:val="22"/>
          <w:szCs w:val="22"/>
        </w:rPr>
        <w:t xml:space="preserve"> respectivas operações de crédito. </w:t>
      </w:r>
      <w:r w:rsidR="005976DB">
        <w:rPr>
          <w:sz w:val="22"/>
          <w:szCs w:val="22"/>
        </w:rPr>
        <w:t xml:space="preserve">E mais: consoante disposto </w:t>
      </w:r>
      <w:r w:rsidR="005976DB" w:rsidRPr="005976DB">
        <w:rPr>
          <w:sz w:val="22"/>
          <w:szCs w:val="22"/>
        </w:rPr>
        <w:t>em seu art. 7º, § 3º, inciso IV</w:t>
      </w:r>
      <w:r w:rsidR="00CD6E49">
        <w:rPr>
          <w:sz w:val="22"/>
          <w:szCs w:val="22"/>
        </w:rPr>
        <w:t>, introduzido pela Resolução do Senado Federal n° 45/2001</w:t>
      </w:r>
      <w:r w:rsidR="005976DB" w:rsidRPr="005976DB">
        <w:rPr>
          <w:sz w:val="22"/>
          <w:szCs w:val="22"/>
        </w:rPr>
        <w:t xml:space="preserve"> – que regulamenta o art. 30 da Lei de Responsabilidade Fiscal, referente aos limites da dívida e das operações de crédito – </w:t>
      </w:r>
      <w:r w:rsidR="005976DB">
        <w:rPr>
          <w:sz w:val="22"/>
          <w:szCs w:val="22"/>
        </w:rPr>
        <w:t>“</w:t>
      </w:r>
      <w:r w:rsidR="005976DB" w:rsidRPr="005976DB">
        <w:rPr>
          <w:i/>
          <w:sz w:val="22"/>
          <w:szCs w:val="22"/>
        </w:rPr>
        <w:t>as contratações dos financiamentos das obras da Copa não são computadas nos limites de endividamento dos estados, municípios e do Distrito Federal</w:t>
      </w:r>
      <w:r w:rsidR="005976DB">
        <w:rPr>
          <w:sz w:val="22"/>
          <w:szCs w:val="22"/>
        </w:rPr>
        <w:t>”</w:t>
      </w:r>
      <w:r w:rsidR="005976DB" w:rsidRPr="005976DB">
        <w:rPr>
          <w:sz w:val="22"/>
          <w:szCs w:val="22"/>
        </w:rPr>
        <w:t>.</w:t>
      </w:r>
      <w:r w:rsidR="005976DB">
        <w:rPr>
          <w:sz w:val="22"/>
          <w:szCs w:val="22"/>
        </w:rPr>
        <w:t xml:space="preserve"> </w:t>
      </w:r>
      <w:r w:rsidR="005976DB" w:rsidRPr="005976DB">
        <w:rPr>
          <w:sz w:val="22"/>
          <w:szCs w:val="22"/>
        </w:rPr>
        <w:t xml:space="preserve">Caso não </w:t>
      </w:r>
      <w:r w:rsidR="005976DB">
        <w:rPr>
          <w:sz w:val="22"/>
          <w:szCs w:val="22"/>
        </w:rPr>
        <w:t xml:space="preserve">existisse tal </w:t>
      </w:r>
      <w:r w:rsidR="005976DB" w:rsidRPr="005976DB">
        <w:rPr>
          <w:sz w:val="22"/>
          <w:szCs w:val="22"/>
        </w:rPr>
        <w:t xml:space="preserve">dispositivo, </w:t>
      </w:r>
      <w:r w:rsidR="005976DB">
        <w:rPr>
          <w:sz w:val="22"/>
          <w:szCs w:val="22"/>
        </w:rPr>
        <w:t>“</w:t>
      </w:r>
      <w:r w:rsidR="005976DB" w:rsidRPr="005976DB">
        <w:rPr>
          <w:i/>
          <w:sz w:val="22"/>
          <w:szCs w:val="22"/>
        </w:rPr>
        <w:t>muitos empréstimos poderiam não passar nas condições de enquadramento, em razão da ultrapassagem do teto admissível da dívida</w:t>
      </w:r>
      <w:r w:rsidR="005976DB">
        <w:rPr>
          <w:sz w:val="22"/>
          <w:szCs w:val="22"/>
        </w:rPr>
        <w:t>”.</w:t>
      </w:r>
      <w:r w:rsidR="005976DB" w:rsidRPr="005976DB">
        <w:rPr>
          <w:sz w:val="22"/>
          <w:szCs w:val="22"/>
        </w:rPr>
        <w:t xml:space="preserve"> </w:t>
      </w:r>
      <w:r w:rsidR="00583FDB">
        <w:rPr>
          <w:sz w:val="22"/>
          <w:szCs w:val="22"/>
        </w:rPr>
        <w:t xml:space="preserve">Pontuou ainda que </w:t>
      </w:r>
      <w:r w:rsidR="00005BA5" w:rsidRPr="00AE1DF8">
        <w:rPr>
          <w:sz w:val="22"/>
          <w:szCs w:val="22"/>
        </w:rPr>
        <w:t>a extrapolação dos prazos programados de realização das obras comprometeria o fluxo de recursos financeiros para conclusão dos empreendimentos</w:t>
      </w:r>
      <w:r w:rsidR="00DF7D56" w:rsidRPr="00AE1DF8">
        <w:rPr>
          <w:sz w:val="22"/>
          <w:szCs w:val="22"/>
        </w:rPr>
        <w:t>.</w:t>
      </w:r>
      <w:r w:rsidR="00005BA5" w:rsidRPr="00AE1DF8">
        <w:rPr>
          <w:sz w:val="22"/>
          <w:szCs w:val="22"/>
        </w:rPr>
        <w:t xml:space="preserve"> </w:t>
      </w:r>
      <w:r w:rsidR="00005BA5" w:rsidRPr="007C68D2">
        <w:rPr>
          <w:sz w:val="22"/>
          <w:szCs w:val="22"/>
        </w:rPr>
        <w:t>Em face desse contexto e ao acolher proposta do relator, o Tribunal decidiu</w:t>
      </w:r>
      <w:r w:rsidR="00AE1DF8">
        <w:rPr>
          <w:sz w:val="22"/>
          <w:szCs w:val="22"/>
        </w:rPr>
        <w:t xml:space="preserve">, além das providências já explicitadas no tópico anterior deste Informativo, </w:t>
      </w:r>
      <w:r w:rsidR="00005BA5" w:rsidRPr="007C68D2">
        <w:rPr>
          <w:sz w:val="22"/>
          <w:szCs w:val="22"/>
        </w:rPr>
        <w:t>I) “</w:t>
      </w:r>
      <w:r w:rsidR="00005BA5" w:rsidRPr="007C68D2">
        <w:rPr>
          <w:i/>
          <w:sz w:val="22"/>
          <w:szCs w:val="22"/>
        </w:rPr>
        <w:t>alertar os governos dos estados e municípios sede da Copa do Mundo de 2014, bem como as respectivas assembleias estaduais e câmaras municipais que, em face da exclusão das obras destinadas ao financiamento de infraestrutura para a realização da Copa dos limites de endividamento estabelecidos na Resolução nº 43/2001 do Senado Federal, o término intempestivo desses empreendimentos, quando financiados pela Caixa Econômica Federal ou pelo BNDES, poderá ensejar o possível "desenquadramento" das operações financeiras, com a consequente interrupção do fluxo de recursos dos empréstimos para a finalização das obras</w:t>
      </w:r>
      <w:r w:rsidR="00005BA5" w:rsidRPr="007C68D2">
        <w:rPr>
          <w:sz w:val="22"/>
          <w:szCs w:val="22"/>
        </w:rPr>
        <w:t>”</w:t>
      </w:r>
      <w:r w:rsidR="00AE1DF8">
        <w:rPr>
          <w:sz w:val="22"/>
          <w:szCs w:val="22"/>
        </w:rPr>
        <w:t>.</w:t>
      </w:r>
      <w:r w:rsidR="00005BA5" w:rsidRPr="007C68D2">
        <w:rPr>
          <w:sz w:val="22"/>
          <w:szCs w:val="22"/>
        </w:rPr>
        <w:t xml:space="preserve"> </w:t>
      </w:r>
      <w:r w:rsidR="00005BA5" w:rsidRPr="007C68D2">
        <w:rPr>
          <w:b/>
          <w:i/>
          <w:sz w:val="22"/>
          <w:szCs w:val="22"/>
        </w:rPr>
        <w:t>Acórdão n.º 1036/2012-Plenário, TC 010.765/2010-7, rel. Min. Valmir Campelo, 2.5.2012.</w:t>
      </w:r>
    </w:p>
    <w:p w:rsidR="00486F3A" w:rsidRPr="007C68D2" w:rsidRDefault="00486F3A" w:rsidP="007C68D2">
      <w:pPr>
        <w:pStyle w:val="Default"/>
        <w:jc w:val="both"/>
        <w:rPr>
          <w:b/>
          <w:sz w:val="22"/>
          <w:szCs w:val="22"/>
        </w:rPr>
      </w:pPr>
    </w:p>
    <w:p w:rsidR="00EF4685" w:rsidRPr="00CD6E49" w:rsidRDefault="00CD6E49" w:rsidP="007C68D2">
      <w:pPr>
        <w:pStyle w:val="Default"/>
        <w:jc w:val="both"/>
        <w:rPr>
          <w:b/>
          <w:sz w:val="22"/>
          <w:szCs w:val="22"/>
        </w:rPr>
      </w:pPr>
      <w:r w:rsidRPr="00CD6E49">
        <w:rPr>
          <w:b/>
          <w:sz w:val="22"/>
          <w:szCs w:val="22"/>
        </w:rPr>
        <w:t>A oferta de taxa de administração negativa ou de valor zero, em pregão para prestação de serviços de fornecimento de vale-alimentação, não implica inexequibilidade da respectiva proposta, a qual só pode ser aferida a partir da avaliação dos requisitos objetivos especificados no edital da licitação</w:t>
      </w:r>
      <w:r w:rsidR="00EF4685" w:rsidRPr="00CD6E49">
        <w:rPr>
          <w:b/>
          <w:sz w:val="22"/>
          <w:szCs w:val="22"/>
        </w:rPr>
        <w:t xml:space="preserve"> </w:t>
      </w:r>
    </w:p>
    <w:p w:rsidR="00D825BC" w:rsidRDefault="00D91D92" w:rsidP="007C68D2">
      <w:pPr>
        <w:pStyle w:val="TCU-Ac-itens1a8"/>
        <w:rPr>
          <w:b/>
          <w:i/>
          <w:sz w:val="22"/>
          <w:szCs w:val="22"/>
        </w:rPr>
      </w:pPr>
      <w:r w:rsidRPr="007C68D2">
        <w:rPr>
          <w:sz w:val="22"/>
          <w:szCs w:val="22"/>
        </w:rPr>
        <w:t xml:space="preserve">Representação </w:t>
      </w:r>
      <w:r w:rsidR="00E03889" w:rsidRPr="007C68D2">
        <w:rPr>
          <w:sz w:val="22"/>
          <w:szCs w:val="22"/>
        </w:rPr>
        <w:t xml:space="preserve">formulada por empresa deu notícia de possíveis irregularidades cometidas pelo </w:t>
      </w:r>
      <w:r w:rsidR="00E03889" w:rsidRPr="007C68D2">
        <w:rPr>
          <w:snapToGrid w:val="0"/>
          <w:sz w:val="22"/>
          <w:szCs w:val="22"/>
        </w:rPr>
        <w:t>Conselho Regional de Nutricionistas do Estado de São Paulo</w:t>
      </w:r>
      <w:r w:rsidR="00D825BC" w:rsidRPr="007C68D2">
        <w:rPr>
          <w:snapToGrid w:val="0"/>
          <w:sz w:val="22"/>
          <w:szCs w:val="22"/>
        </w:rPr>
        <w:t xml:space="preserve"> (</w:t>
      </w:r>
      <w:r w:rsidR="00D825BC" w:rsidRPr="007C68D2">
        <w:rPr>
          <w:sz w:val="22"/>
          <w:szCs w:val="22"/>
        </w:rPr>
        <w:t>SESCOOP-SP)</w:t>
      </w:r>
      <w:r w:rsidR="00B73288">
        <w:rPr>
          <w:sz w:val="22"/>
          <w:szCs w:val="22"/>
        </w:rPr>
        <w:t>,</w:t>
      </w:r>
      <w:r w:rsidR="00E03889" w:rsidRPr="007C68D2">
        <w:rPr>
          <w:snapToGrid w:val="0"/>
          <w:sz w:val="22"/>
          <w:szCs w:val="22"/>
        </w:rPr>
        <w:t xml:space="preserve"> </w:t>
      </w:r>
      <w:r w:rsidR="00E03889" w:rsidRPr="007C68D2">
        <w:rPr>
          <w:sz w:val="22"/>
          <w:szCs w:val="22"/>
        </w:rPr>
        <w:t>na condução do Pregão Presencial nº 04/11</w:t>
      </w:r>
      <w:r w:rsidR="00EF4685" w:rsidRPr="007C68D2">
        <w:rPr>
          <w:sz w:val="22"/>
          <w:szCs w:val="22"/>
        </w:rPr>
        <w:t>,</w:t>
      </w:r>
      <w:r w:rsidR="00E03889" w:rsidRPr="007C68D2">
        <w:rPr>
          <w:sz w:val="22"/>
          <w:szCs w:val="22"/>
        </w:rPr>
        <w:t xml:space="preserve"> que antecedeu a contratação de empresa para prestar serviços de fornecimento de vale-alimentação, abrangendo o gerenciamento, distribuição, implementação e administração dos benefícios. </w:t>
      </w:r>
      <w:r w:rsidR="009C6ECD">
        <w:rPr>
          <w:sz w:val="22"/>
          <w:szCs w:val="22"/>
        </w:rPr>
        <w:t xml:space="preserve">Após sorteio realizado entre as </w:t>
      </w:r>
      <w:r w:rsidR="009C6ECD" w:rsidRPr="007C68D2">
        <w:rPr>
          <w:sz w:val="22"/>
          <w:szCs w:val="22"/>
        </w:rPr>
        <w:t xml:space="preserve">empresa Planinvesti – Administração e Serviços Ltda. </w:t>
      </w:r>
      <w:r w:rsidR="009C6ECD">
        <w:rPr>
          <w:sz w:val="22"/>
          <w:szCs w:val="22"/>
        </w:rPr>
        <w:t xml:space="preserve">e </w:t>
      </w:r>
      <w:r w:rsidR="009C6ECD" w:rsidRPr="007C68D2">
        <w:rPr>
          <w:sz w:val="22"/>
          <w:szCs w:val="22"/>
        </w:rPr>
        <w:t>Sodexo Pass do Brasil Serviços e Comercio S.A.</w:t>
      </w:r>
      <w:r w:rsidR="009C6ECD">
        <w:rPr>
          <w:sz w:val="22"/>
          <w:szCs w:val="22"/>
        </w:rPr>
        <w:t xml:space="preserve">, em razão de haverem apresentado </w:t>
      </w:r>
      <w:r w:rsidR="009C6ECD" w:rsidRPr="007C68D2">
        <w:rPr>
          <w:sz w:val="22"/>
          <w:szCs w:val="22"/>
        </w:rPr>
        <w:t>propostas de isenção de taxa de administração (0,00 %)</w:t>
      </w:r>
      <w:r w:rsidR="009C6ECD">
        <w:rPr>
          <w:sz w:val="22"/>
          <w:szCs w:val="22"/>
        </w:rPr>
        <w:t xml:space="preserve">, o </w:t>
      </w:r>
      <w:r w:rsidR="00E03889" w:rsidRPr="007C68D2">
        <w:rPr>
          <w:sz w:val="22"/>
          <w:szCs w:val="22"/>
        </w:rPr>
        <w:t xml:space="preserve">objeto do pregão foi adjudicado à </w:t>
      </w:r>
      <w:r w:rsidR="009C6ECD">
        <w:rPr>
          <w:sz w:val="22"/>
          <w:szCs w:val="22"/>
        </w:rPr>
        <w:t>primeira delas.</w:t>
      </w:r>
      <w:r w:rsidR="00E03889" w:rsidRPr="007C68D2">
        <w:rPr>
          <w:sz w:val="22"/>
          <w:szCs w:val="22"/>
        </w:rPr>
        <w:t xml:space="preserve"> O relator</w:t>
      </w:r>
      <w:r w:rsidR="000C0013" w:rsidRPr="007C68D2">
        <w:rPr>
          <w:sz w:val="22"/>
          <w:szCs w:val="22"/>
        </w:rPr>
        <w:t xml:space="preserve"> considerou, em face do disposto no comando contido no art. 4º, inciso XVII, da Lei nº 10.520/2002, que o pregoeiro não deveria ter realizado “</w:t>
      </w:r>
      <w:r w:rsidRPr="007C68D2">
        <w:rPr>
          <w:i/>
          <w:sz w:val="22"/>
          <w:szCs w:val="22"/>
        </w:rPr>
        <w:t>precocemente</w:t>
      </w:r>
      <w:r w:rsidR="000C0013" w:rsidRPr="007C68D2">
        <w:rPr>
          <w:sz w:val="22"/>
          <w:szCs w:val="22"/>
        </w:rPr>
        <w:t>”</w:t>
      </w:r>
      <w:r w:rsidRPr="007C68D2">
        <w:rPr>
          <w:sz w:val="22"/>
          <w:szCs w:val="22"/>
        </w:rPr>
        <w:t xml:space="preserve"> o </w:t>
      </w:r>
      <w:r w:rsidR="000C0013" w:rsidRPr="007C68D2">
        <w:rPr>
          <w:sz w:val="22"/>
          <w:szCs w:val="22"/>
        </w:rPr>
        <w:t xml:space="preserve">referido </w:t>
      </w:r>
      <w:r w:rsidRPr="007C68D2">
        <w:rPr>
          <w:sz w:val="22"/>
          <w:szCs w:val="22"/>
        </w:rPr>
        <w:t>sorteio</w:t>
      </w:r>
      <w:r w:rsidR="000C0013" w:rsidRPr="007C68D2">
        <w:rPr>
          <w:sz w:val="22"/>
          <w:szCs w:val="22"/>
        </w:rPr>
        <w:t>, mas sim negociado com as citadas empresas, a</w:t>
      </w:r>
      <w:r w:rsidR="00D825BC" w:rsidRPr="007C68D2">
        <w:rPr>
          <w:sz w:val="22"/>
          <w:szCs w:val="22"/>
        </w:rPr>
        <w:t xml:space="preserve"> </w:t>
      </w:r>
      <w:r w:rsidR="000C0013" w:rsidRPr="007C68D2">
        <w:rPr>
          <w:sz w:val="22"/>
          <w:szCs w:val="22"/>
        </w:rPr>
        <w:t xml:space="preserve">fim de obter proposta ainda melhor. Rememorou o teor da </w:t>
      </w:r>
      <w:r w:rsidR="000C0013" w:rsidRPr="007C68D2">
        <w:rPr>
          <w:snapToGrid w:val="0"/>
          <w:sz w:val="22"/>
          <w:szCs w:val="22"/>
        </w:rPr>
        <w:t>Decisão nº 38/1996 – Plenário</w:t>
      </w:r>
      <w:r w:rsidR="00D66410" w:rsidRPr="007C68D2">
        <w:rPr>
          <w:snapToGrid w:val="0"/>
          <w:sz w:val="22"/>
          <w:szCs w:val="22"/>
        </w:rPr>
        <w:t xml:space="preserve">, por meio da qual </w:t>
      </w:r>
      <w:r w:rsidR="000C0013" w:rsidRPr="007C68D2">
        <w:rPr>
          <w:snapToGrid w:val="0"/>
          <w:sz w:val="22"/>
          <w:szCs w:val="22"/>
        </w:rPr>
        <w:t>o Tribunal decidiu:</w:t>
      </w:r>
      <w:r w:rsidR="000C0013" w:rsidRPr="007C68D2">
        <w:rPr>
          <w:i/>
          <w:snapToGrid w:val="0"/>
          <w:sz w:val="22"/>
          <w:szCs w:val="22"/>
        </w:rPr>
        <w:t xml:space="preserve"> “</w:t>
      </w:r>
      <w:r w:rsidR="000C0013" w:rsidRPr="007C68D2">
        <w:rPr>
          <w:i/>
          <w:sz w:val="22"/>
          <w:szCs w:val="22"/>
        </w:rPr>
        <w:t>deixar assente que, no que pertine às licitações destinadas ao fornecimento de vales-refeição/alimentação, a admissão de ofertas de taxas negativas ou de valor zero, por parte da Administração Pública, não implica em violação ao disposto no art. 44, § 3º, da Lei nº 8.666/93, por não estar caracterizado, a priori, que essas propostas sejam inexeq</w:t>
      </w:r>
      <w:r w:rsidR="00B73288">
        <w:rPr>
          <w:i/>
          <w:sz w:val="22"/>
          <w:szCs w:val="22"/>
        </w:rPr>
        <w:t>u</w:t>
      </w:r>
      <w:r w:rsidR="000C0013" w:rsidRPr="007C68D2">
        <w:rPr>
          <w:i/>
          <w:sz w:val="22"/>
          <w:szCs w:val="22"/>
        </w:rPr>
        <w:t>íveis, devendo ser averiguada a compatibilidade da taxa oferecida em cada caso concreto, a partir de critérios objetivos previamente fixados no edital</w:t>
      </w:r>
      <w:r w:rsidR="000C0013" w:rsidRPr="007C68D2">
        <w:rPr>
          <w:sz w:val="22"/>
          <w:szCs w:val="22"/>
        </w:rPr>
        <w:t>”.</w:t>
      </w:r>
      <w:r w:rsidR="00D825BC" w:rsidRPr="007C68D2">
        <w:rPr>
          <w:sz w:val="22"/>
          <w:szCs w:val="22"/>
        </w:rPr>
        <w:t xml:space="preserve"> A despeito dessa e de outras falhas apuradas, considerou que a anulação do respectivo contrato traria </w:t>
      </w:r>
      <w:r w:rsidR="00D825BC" w:rsidRPr="007C68D2">
        <w:rPr>
          <w:snapToGrid w:val="0"/>
          <w:sz w:val="22"/>
          <w:szCs w:val="22"/>
        </w:rPr>
        <w:t>inconvenientes que suplantaria</w:t>
      </w:r>
      <w:r w:rsidR="00EF4685" w:rsidRPr="007C68D2">
        <w:rPr>
          <w:snapToGrid w:val="0"/>
          <w:sz w:val="22"/>
          <w:szCs w:val="22"/>
        </w:rPr>
        <w:t>m</w:t>
      </w:r>
      <w:r w:rsidR="00D825BC" w:rsidRPr="007C68D2">
        <w:rPr>
          <w:snapToGrid w:val="0"/>
          <w:sz w:val="22"/>
          <w:szCs w:val="22"/>
        </w:rPr>
        <w:t xml:space="preserve"> eventuais benefícios dela resultantes. O Tribunal, então, ao acolher proposta do relator, quanto ao aspecto acima </w:t>
      </w:r>
      <w:r w:rsidR="00B73288">
        <w:rPr>
          <w:snapToGrid w:val="0"/>
          <w:sz w:val="22"/>
          <w:szCs w:val="22"/>
        </w:rPr>
        <w:t>enfoca</w:t>
      </w:r>
      <w:r w:rsidR="00D825BC" w:rsidRPr="007C68D2">
        <w:rPr>
          <w:snapToGrid w:val="0"/>
          <w:sz w:val="22"/>
          <w:szCs w:val="22"/>
        </w:rPr>
        <w:t xml:space="preserve">do, decidiu determinar ao </w:t>
      </w:r>
      <w:r w:rsidR="00D825BC" w:rsidRPr="007C68D2">
        <w:rPr>
          <w:sz w:val="22"/>
          <w:szCs w:val="22"/>
        </w:rPr>
        <w:t>SESCOOP-SP que, em futuras licitações</w:t>
      </w:r>
      <w:r w:rsidR="00D825BC" w:rsidRPr="007C68D2">
        <w:rPr>
          <w:snapToGrid w:val="0"/>
          <w:sz w:val="22"/>
          <w:szCs w:val="22"/>
        </w:rPr>
        <w:t>: “</w:t>
      </w:r>
      <w:r w:rsidR="00D825BC" w:rsidRPr="007C68D2">
        <w:rPr>
          <w:i/>
          <w:sz w:val="22"/>
          <w:szCs w:val="22"/>
        </w:rPr>
        <w:t>salvo quando houver comprovada e justificada inviabilidade, passe adotar o entendimento firmado na Decisão nº 38/1996-Plenário, no sentido de que a apresentação de ofertas de taxas de administração negativas ou de valor zero não torna as propostas inexequíveis, devendo ser averiguada a compatibilidade da taxa oferecida em cada caso concreto, a partir de critérios objetivos previamente fixados no edital</w:t>
      </w:r>
      <w:r w:rsidR="00D825BC" w:rsidRPr="007C68D2">
        <w:rPr>
          <w:sz w:val="22"/>
          <w:szCs w:val="22"/>
        </w:rPr>
        <w:t>”.</w:t>
      </w:r>
      <w:r w:rsidR="00D825BC" w:rsidRPr="007C68D2">
        <w:rPr>
          <w:snapToGrid w:val="0"/>
          <w:sz w:val="22"/>
          <w:szCs w:val="22"/>
        </w:rPr>
        <w:t xml:space="preserve"> </w:t>
      </w:r>
      <w:r w:rsidR="00D825BC" w:rsidRPr="007C68D2">
        <w:rPr>
          <w:b/>
          <w:i/>
          <w:sz w:val="22"/>
          <w:szCs w:val="22"/>
        </w:rPr>
        <w:t>Acórdão n.º 1.034/2012-Plenário, TC 010.685/2011-1, rel. Min. Raimundo Carreiro, 2.5.2012.</w:t>
      </w:r>
    </w:p>
    <w:p w:rsidR="0021001C" w:rsidRDefault="0021001C" w:rsidP="007C68D2">
      <w:pPr>
        <w:pStyle w:val="TCU-Ac-itens1a8"/>
        <w:rPr>
          <w:b/>
          <w:sz w:val="22"/>
          <w:szCs w:val="22"/>
        </w:rPr>
      </w:pPr>
    </w:p>
    <w:p w:rsidR="00454D9A" w:rsidRPr="0021001C" w:rsidRDefault="003F6C4D" w:rsidP="007C68D2">
      <w:pPr>
        <w:pStyle w:val="TCU-Ac-itens1a8"/>
        <w:rPr>
          <w:b/>
          <w:sz w:val="22"/>
          <w:szCs w:val="22"/>
        </w:rPr>
      </w:pPr>
      <w:r w:rsidRPr="003F6C4D">
        <w:rPr>
          <w:b/>
          <w:sz w:val="22"/>
          <w:szCs w:val="22"/>
        </w:rPr>
        <w:t>Contratação de projetos de obra pública</w:t>
      </w:r>
      <w:r w:rsidR="0018776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</w:t>
      </w:r>
      <w:r w:rsidR="0018776F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="0021001C" w:rsidRPr="0021001C">
        <w:rPr>
          <w:b/>
          <w:sz w:val="22"/>
          <w:szCs w:val="22"/>
        </w:rPr>
        <w:t xml:space="preserve">É ilícita a exigência de número mínimo de atestados de capacidade técnica, </w:t>
      </w:r>
      <w:r w:rsidR="00DE4978">
        <w:rPr>
          <w:b/>
          <w:sz w:val="22"/>
          <w:szCs w:val="22"/>
        </w:rPr>
        <w:t>assim</w:t>
      </w:r>
      <w:r w:rsidR="0021001C" w:rsidRPr="0021001C">
        <w:rPr>
          <w:b/>
          <w:sz w:val="22"/>
          <w:szCs w:val="22"/>
        </w:rPr>
        <w:t xml:space="preserve"> como a fixação de quantitativo mínimo nesses atestados superior a 50% dos quantitativos dos bens ou serviços pretendidos</w:t>
      </w:r>
      <w:r w:rsidR="0021001C" w:rsidRPr="001E5CBA">
        <w:rPr>
          <w:b/>
          <w:sz w:val="22"/>
          <w:szCs w:val="22"/>
        </w:rPr>
        <w:t>, a não ser que a especificidade do objeto recomende</w:t>
      </w:r>
      <w:r w:rsidR="00A20765">
        <w:rPr>
          <w:b/>
          <w:sz w:val="22"/>
          <w:szCs w:val="22"/>
        </w:rPr>
        <w:t xml:space="preserve"> </w:t>
      </w:r>
      <w:r w:rsidR="00DE4978">
        <w:rPr>
          <w:b/>
          <w:sz w:val="22"/>
          <w:szCs w:val="22"/>
        </w:rPr>
        <w:t xml:space="preserve">o estabelecimento de tais requisitos </w:t>
      </w:r>
    </w:p>
    <w:p w:rsidR="001156BA" w:rsidRDefault="00454D9A" w:rsidP="007C68D2">
      <w:pPr>
        <w:pStyle w:val="TCU-Ac-itens1a8"/>
        <w:rPr>
          <w:b/>
          <w:i/>
          <w:sz w:val="22"/>
          <w:szCs w:val="22"/>
        </w:rPr>
      </w:pPr>
      <w:r w:rsidRPr="007C68D2">
        <w:rPr>
          <w:sz w:val="22"/>
          <w:szCs w:val="22"/>
        </w:rPr>
        <w:t xml:space="preserve">Representação formulada por empresa acusou </w:t>
      </w:r>
      <w:r w:rsidR="00C13567" w:rsidRPr="007C68D2">
        <w:rPr>
          <w:sz w:val="22"/>
          <w:szCs w:val="22"/>
        </w:rPr>
        <w:t>possíveis irregularidades no</w:t>
      </w:r>
      <w:r w:rsidRPr="007C68D2">
        <w:rPr>
          <w:sz w:val="22"/>
          <w:szCs w:val="22"/>
        </w:rPr>
        <w:t xml:space="preserve"> edital da Tomada de Preços n. 05/2011, do tipo técnica e preço, promovida pelo Conselho Regional de Corretores de Imóveis da 2ª Região – Creci/SP, </w:t>
      </w:r>
      <w:r w:rsidR="00C13567" w:rsidRPr="007C68D2">
        <w:rPr>
          <w:sz w:val="22"/>
          <w:szCs w:val="22"/>
        </w:rPr>
        <w:t xml:space="preserve">que tem por objeto a </w:t>
      </w:r>
      <w:r w:rsidRPr="007C68D2">
        <w:rPr>
          <w:sz w:val="22"/>
          <w:szCs w:val="22"/>
        </w:rPr>
        <w:t>contrata</w:t>
      </w:r>
      <w:r w:rsidR="00C13567" w:rsidRPr="007C68D2">
        <w:rPr>
          <w:sz w:val="22"/>
          <w:szCs w:val="22"/>
        </w:rPr>
        <w:t>ção de</w:t>
      </w:r>
      <w:r w:rsidRPr="007C68D2">
        <w:rPr>
          <w:sz w:val="22"/>
          <w:szCs w:val="22"/>
        </w:rPr>
        <w:t xml:space="preserve"> serviços de elaboração de projetos de execução da obra de reforma e adaptação da sede da entidade. O relato</w:t>
      </w:r>
      <w:r w:rsidR="00A24599" w:rsidRPr="007C68D2">
        <w:rPr>
          <w:sz w:val="22"/>
          <w:szCs w:val="22"/>
        </w:rPr>
        <w:t>r</w:t>
      </w:r>
      <w:r w:rsidRPr="007C68D2">
        <w:rPr>
          <w:sz w:val="22"/>
          <w:szCs w:val="22"/>
        </w:rPr>
        <w:t xml:space="preserve">, em consonância com a unidade técnica, considerou </w:t>
      </w:r>
      <w:r w:rsidR="00A24599" w:rsidRPr="007C68D2">
        <w:rPr>
          <w:sz w:val="22"/>
          <w:szCs w:val="22"/>
        </w:rPr>
        <w:t xml:space="preserve">configurada ilicitude nos requisitos para demonstração de capacitação técnica das licitantes. </w:t>
      </w:r>
      <w:r w:rsidR="00C13567" w:rsidRPr="007C68D2">
        <w:rPr>
          <w:sz w:val="22"/>
          <w:szCs w:val="22"/>
        </w:rPr>
        <w:t xml:space="preserve">O </w:t>
      </w:r>
      <w:r w:rsidR="00A24599" w:rsidRPr="007C68D2">
        <w:rPr>
          <w:sz w:val="22"/>
          <w:szCs w:val="22"/>
        </w:rPr>
        <w:t>edital</w:t>
      </w:r>
      <w:r w:rsidR="00C13567" w:rsidRPr="007C68D2">
        <w:rPr>
          <w:sz w:val="22"/>
          <w:szCs w:val="22"/>
        </w:rPr>
        <w:t xml:space="preserve"> exigiu</w:t>
      </w:r>
      <w:r w:rsidR="00A24599" w:rsidRPr="007C68D2">
        <w:rPr>
          <w:sz w:val="22"/>
          <w:szCs w:val="22"/>
        </w:rPr>
        <w:t xml:space="preserve"> a apresentação de </w:t>
      </w:r>
      <w:r w:rsidR="00A24599" w:rsidRPr="007C68D2">
        <w:rPr>
          <w:sz w:val="22"/>
          <w:szCs w:val="22"/>
          <w:u w:val="single"/>
        </w:rPr>
        <w:t>dois atestados ou declarações de capacidade técnica</w:t>
      </w:r>
      <w:r w:rsidR="00A24599" w:rsidRPr="007C68D2">
        <w:rPr>
          <w:sz w:val="22"/>
          <w:szCs w:val="22"/>
        </w:rPr>
        <w:t>, devendo, cada um deles, conter “</w:t>
      </w:r>
      <w:r w:rsidR="00A24599" w:rsidRPr="007C68D2">
        <w:rPr>
          <w:i/>
          <w:sz w:val="22"/>
          <w:szCs w:val="22"/>
        </w:rPr>
        <w:t>quantitativos mínimos de serviços de elaboração de projeto arquitetônico, compatíveis e pertinentes com o objeto da licitação (8.000 a 12.000 m²), com área construída não inferior a 4.000 m²</w:t>
      </w:r>
      <w:r w:rsidR="00A24599" w:rsidRPr="007C68D2">
        <w:rPr>
          <w:sz w:val="22"/>
          <w:szCs w:val="22"/>
        </w:rPr>
        <w:t>”.</w:t>
      </w:r>
      <w:r w:rsidR="008965FF" w:rsidRPr="007C68D2">
        <w:rPr>
          <w:sz w:val="22"/>
          <w:szCs w:val="22"/>
        </w:rPr>
        <w:t xml:space="preserve"> </w:t>
      </w:r>
      <w:r w:rsidR="001156BA" w:rsidRPr="007C68D2">
        <w:rPr>
          <w:sz w:val="22"/>
          <w:szCs w:val="22"/>
        </w:rPr>
        <w:t>Ressaltou que a jurisprudência do Tribunal aponta no sentido de que “</w:t>
      </w:r>
      <w:r w:rsidR="001156BA" w:rsidRPr="007C68D2">
        <w:rPr>
          <w:i/>
          <w:sz w:val="22"/>
          <w:szCs w:val="22"/>
        </w:rPr>
        <w:t>a Administração Pública deve se abster de estabelecer número mínimo de atestados de capacidade técnica, a não ser que a especificidade do objeto o recomende, situação em que os motivos de fato e de direito deverão estar devidamente explicitados no processo administrativo da licitação</w:t>
      </w:r>
      <w:r w:rsidR="001156BA" w:rsidRPr="007C68D2">
        <w:rPr>
          <w:sz w:val="22"/>
          <w:szCs w:val="22"/>
        </w:rPr>
        <w:t xml:space="preserve">”. </w:t>
      </w:r>
      <w:r w:rsidR="00C13567" w:rsidRPr="007C68D2">
        <w:rPr>
          <w:sz w:val="22"/>
          <w:szCs w:val="22"/>
        </w:rPr>
        <w:t>Asseverou que, n</w:t>
      </w:r>
      <w:r w:rsidR="001156BA" w:rsidRPr="007C68D2">
        <w:rPr>
          <w:sz w:val="22"/>
          <w:szCs w:val="22"/>
        </w:rPr>
        <w:t>o caso concreto,</w:t>
      </w:r>
      <w:r w:rsidR="00C13567" w:rsidRPr="007C68D2">
        <w:rPr>
          <w:sz w:val="22"/>
          <w:szCs w:val="22"/>
        </w:rPr>
        <w:t xml:space="preserve"> </w:t>
      </w:r>
      <w:r w:rsidR="001156BA" w:rsidRPr="007C68D2">
        <w:rPr>
          <w:sz w:val="22"/>
          <w:szCs w:val="22"/>
        </w:rPr>
        <w:t>tal circunstância não restou evidenciada. Além disso, a citada exigência demanda</w:t>
      </w:r>
      <w:r w:rsidR="00C13567" w:rsidRPr="007C68D2">
        <w:rPr>
          <w:sz w:val="22"/>
          <w:szCs w:val="22"/>
        </w:rPr>
        <w:t>va</w:t>
      </w:r>
      <w:r w:rsidR="001156BA" w:rsidRPr="007C68D2">
        <w:rPr>
          <w:sz w:val="22"/>
          <w:szCs w:val="22"/>
        </w:rPr>
        <w:t xml:space="preserve"> a comprovação de prévia elaboração de projetos para área de cerca de 8.000 m², que é “</w:t>
      </w:r>
      <w:r w:rsidR="001156BA" w:rsidRPr="007C68D2">
        <w:rPr>
          <w:i/>
          <w:sz w:val="22"/>
          <w:szCs w:val="22"/>
        </w:rPr>
        <w:t>bem superior ao limite de 50% da área construída objeto da licitação</w:t>
      </w:r>
      <w:r w:rsidR="001156BA" w:rsidRPr="007C68D2">
        <w:rPr>
          <w:sz w:val="22"/>
          <w:szCs w:val="22"/>
        </w:rPr>
        <w:t>”. Também por esse motivo, ao endossar proposta do relator, decidiu o Tribunal: I) fixar prazo ao Creci/SP para que adote providências com vistas a anular a Tomada de Preços n. 05/2011; II) determinar ao Creci/SP que “</w:t>
      </w:r>
      <w:r w:rsidR="001156BA" w:rsidRPr="007C68D2">
        <w:rPr>
          <w:i/>
          <w:sz w:val="22"/>
          <w:szCs w:val="22"/>
        </w:rPr>
        <w:t xml:space="preserve">abstenha-se de exigir número mínimo de atestados de capacidade técnica, bem como a fixação de quantitativo mínimo nesses atestados superior a 50% </w:t>
      </w:r>
      <w:r w:rsidR="00C13567" w:rsidRPr="007C68D2">
        <w:rPr>
          <w:i/>
          <w:sz w:val="22"/>
          <w:szCs w:val="22"/>
        </w:rPr>
        <w:t>(...)</w:t>
      </w:r>
      <w:r w:rsidR="001156BA" w:rsidRPr="007C68D2">
        <w:rPr>
          <w:i/>
          <w:sz w:val="22"/>
          <w:szCs w:val="22"/>
        </w:rPr>
        <w:t xml:space="preserve"> dos quantitativos dos bens e serviços que se pretende contratar, a não ser que a especificidade do objeto o recomende, situação em que os motivos de fato e de direito deverão estar devidamente explicitados no processo administrativo da licitação</w:t>
      </w:r>
      <w:r w:rsidR="001156BA" w:rsidRPr="007C68D2">
        <w:rPr>
          <w:sz w:val="22"/>
          <w:szCs w:val="22"/>
        </w:rPr>
        <w:t>”. Precedentes mencionados: Acórdãos ns. 3.157/2004, da 1ª Câmara, 124/2002, 1.937/2003, 1.341/2006, 2.143/2007, 1.557/2009, 534/2011, 1.695/2011, e 737/2012, do Plenário.</w:t>
      </w:r>
      <w:r w:rsidR="001156BA" w:rsidRPr="007C68D2">
        <w:rPr>
          <w:b/>
          <w:i/>
          <w:sz w:val="22"/>
          <w:szCs w:val="22"/>
        </w:rPr>
        <w:t xml:space="preserve"> Acórdão n.º 1.0</w:t>
      </w:r>
      <w:r w:rsidR="0034481B" w:rsidRPr="007C68D2">
        <w:rPr>
          <w:b/>
          <w:i/>
          <w:sz w:val="22"/>
          <w:szCs w:val="22"/>
        </w:rPr>
        <w:t>52</w:t>
      </w:r>
      <w:r w:rsidR="001156BA" w:rsidRPr="007C68D2">
        <w:rPr>
          <w:b/>
          <w:i/>
          <w:sz w:val="22"/>
          <w:szCs w:val="22"/>
        </w:rPr>
        <w:t xml:space="preserve">/2012-Plenário, TC </w:t>
      </w:r>
      <w:r w:rsidR="0034481B" w:rsidRPr="007C68D2">
        <w:rPr>
          <w:b/>
          <w:i/>
          <w:sz w:val="22"/>
          <w:szCs w:val="22"/>
        </w:rPr>
        <w:t>004.871/2012-0</w:t>
      </w:r>
      <w:r w:rsidR="001156BA" w:rsidRPr="007C68D2">
        <w:rPr>
          <w:b/>
          <w:i/>
          <w:sz w:val="22"/>
          <w:szCs w:val="22"/>
        </w:rPr>
        <w:t xml:space="preserve">, rel. Min. </w:t>
      </w:r>
      <w:r w:rsidR="0034481B" w:rsidRPr="007C68D2">
        <w:rPr>
          <w:b/>
          <w:i/>
          <w:sz w:val="22"/>
          <w:szCs w:val="22"/>
        </w:rPr>
        <w:t>Marcos Bemquerer Costa</w:t>
      </w:r>
      <w:r w:rsidR="001156BA" w:rsidRPr="007C68D2">
        <w:rPr>
          <w:b/>
          <w:i/>
          <w:sz w:val="22"/>
          <w:szCs w:val="22"/>
        </w:rPr>
        <w:t>, 2.5.2012.</w:t>
      </w:r>
    </w:p>
    <w:p w:rsidR="0050278D" w:rsidRPr="007C68D2" w:rsidRDefault="0050278D" w:rsidP="007C68D2">
      <w:pPr>
        <w:pStyle w:val="TCU-Ac-itens1a8"/>
        <w:rPr>
          <w:b/>
          <w:i/>
          <w:sz w:val="22"/>
          <w:szCs w:val="22"/>
        </w:rPr>
      </w:pPr>
    </w:p>
    <w:p w:rsidR="001156BA" w:rsidRPr="0050278D" w:rsidRDefault="0018776F" w:rsidP="007C68D2">
      <w:pPr>
        <w:pStyle w:val="TCU-Ac-itens1a8"/>
        <w:rPr>
          <w:b/>
          <w:sz w:val="22"/>
          <w:szCs w:val="22"/>
        </w:rPr>
      </w:pPr>
      <w:r w:rsidRPr="003F6C4D">
        <w:rPr>
          <w:b/>
          <w:sz w:val="22"/>
          <w:szCs w:val="22"/>
        </w:rPr>
        <w:t>Contratação de projetos de obra pública</w:t>
      </w:r>
      <w:r>
        <w:rPr>
          <w:b/>
          <w:sz w:val="22"/>
          <w:szCs w:val="22"/>
        </w:rPr>
        <w:t xml:space="preserve">: </w:t>
      </w:r>
      <w:r w:rsidR="003F6C4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</w:t>
      </w:r>
      <w:r w:rsidR="003F6C4D">
        <w:rPr>
          <w:b/>
          <w:sz w:val="22"/>
          <w:szCs w:val="22"/>
        </w:rPr>
        <w:t xml:space="preserve"> </w:t>
      </w:r>
      <w:r w:rsidR="0050278D">
        <w:rPr>
          <w:b/>
          <w:sz w:val="22"/>
          <w:szCs w:val="22"/>
        </w:rPr>
        <w:t>É il</w:t>
      </w:r>
      <w:r w:rsidR="00DE4978">
        <w:rPr>
          <w:b/>
          <w:sz w:val="22"/>
          <w:szCs w:val="22"/>
        </w:rPr>
        <w:t>egal</w:t>
      </w:r>
      <w:r w:rsidR="0050278D">
        <w:rPr>
          <w:b/>
          <w:sz w:val="22"/>
          <w:szCs w:val="22"/>
        </w:rPr>
        <w:t xml:space="preserve"> a</w:t>
      </w:r>
      <w:r w:rsidR="0050278D" w:rsidRPr="0050278D">
        <w:rPr>
          <w:b/>
          <w:sz w:val="22"/>
          <w:szCs w:val="22"/>
        </w:rPr>
        <w:t xml:space="preserve"> inabilitação de empresas em razão da falta de apresentação de declarações que não constavam do rol dos documentos especificados</w:t>
      </w:r>
      <w:r w:rsidR="0050278D">
        <w:rPr>
          <w:b/>
          <w:sz w:val="22"/>
          <w:szCs w:val="22"/>
        </w:rPr>
        <w:t xml:space="preserve"> </w:t>
      </w:r>
      <w:r w:rsidR="0050278D" w:rsidRPr="0050278D">
        <w:rPr>
          <w:b/>
          <w:sz w:val="22"/>
          <w:szCs w:val="22"/>
        </w:rPr>
        <w:t xml:space="preserve">no edital como necessários à </w:t>
      </w:r>
      <w:r w:rsidR="0050278D">
        <w:rPr>
          <w:b/>
          <w:sz w:val="22"/>
          <w:szCs w:val="22"/>
        </w:rPr>
        <w:t>superação dessa fase do certame</w:t>
      </w:r>
    </w:p>
    <w:p w:rsidR="0034481B" w:rsidRDefault="009C6ECD" w:rsidP="0050278D">
      <w:pPr>
        <w:widowControl w:val="0"/>
        <w:tabs>
          <w:tab w:val="left" w:pos="-31336"/>
          <w:tab w:val="left" w:pos="567"/>
        </w:tabs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Também na </w:t>
      </w:r>
      <w:r w:rsidR="00C13567" w:rsidRPr="007C68D2">
        <w:rPr>
          <w:sz w:val="22"/>
          <w:szCs w:val="22"/>
        </w:rPr>
        <w:t xml:space="preserve">Representação </w:t>
      </w:r>
      <w:r>
        <w:rPr>
          <w:sz w:val="22"/>
          <w:szCs w:val="22"/>
        </w:rPr>
        <w:t xml:space="preserve">que </w:t>
      </w:r>
      <w:r w:rsidR="00C13567" w:rsidRPr="007C68D2">
        <w:rPr>
          <w:sz w:val="22"/>
          <w:szCs w:val="22"/>
        </w:rPr>
        <w:t xml:space="preserve">acusou possíveis irregularidades no edital da </w:t>
      </w:r>
      <w:r w:rsidR="003F6C4D">
        <w:rPr>
          <w:sz w:val="22"/>
          <w:szCs w:val="22"/>
        </w:rPr>
        <w:t xml:space="preserve">referida </w:t>
      </w:r>
      <w:r w:rsidR="00C13567" w:rsidRPr="007C68D2">
        <w:rPr>
          <w:sz w:val="22"/>
          <w:szCs w:val="22"/>
        </w:rPr>
        <w:t>Tomada de Preços n</w:t>
      </w:r>
      <w:r w:rsidR="007C68D2" w:rsidRPr="007C68D2">
        <w:rPr>
          <w:sz w:val="22"/>
          <w:szCs w:val="22"/>
        </w:rPr>
        <w:t>.</w:t>
      </w:r>
      <w:r w:rsidR="00C13567" w:rsidRPr="007C68D2">
        <w:rPr>
          <w:sz w:val="22"/>
          <w:szCs w:val="22"/>
        </w:rPr>
        <w:t xml:space="preserve"> 05/2011</w:t>
      </w:r>
      <w:r w:rsidR="003F6C4D">
        <w:rPr>
          <w:sz w:val="22"/>
          <w:szCs w:val="22"/>
        </w:rPr>
        <w:t>,</w:t>
      </w:r>
      <w:r w:rsidR="00C13567" w:rsidRPr="007C68D2">
        <w:rPr>
          <w:sz w:val="22"/>
          <w:szCs w:val="22"/>
        </w:rPr>
        <w:t xml:space="preserve"> </w:t>
      </w:r>
      <w:r w:rsidR="003F6C4D">
        <w:rPr>
          <w:sz w:val="22"/>
          <w:szCs w:val="22"/>
        </w:rPr>
        <w:t>a</w:t>
      </w:r>
      <w:r w:rsidR="00FC72E0" w:rsidRPr="007C68D2">
        <w:rPr>
          <w:sz w:val="22"/>
          <w:szCs w:val="22"/>
        </w:rPr>
        <w:t xml:space="preserve"> unidade técnica registrou que a comissão permanente de licitação</w:t>
      </w:r>
      <w:r w:rsidR="0034481B" w:rsidRPr="007C68D2">
        <w:rPr>
          <w:sz w:val="22"/>
          <w:szCs w:val="22"/>
        </w:rPr>
        <w:t xml:space="preserve"> </w:t>
      </w:r>
      <w:r w:rsidR="00FC72E0" w:rsidRPr="007C68D2">
        <w:rPr>
          <w:sz w:val="22"/>
          <w:szCs w:val="22"/>
        </w:rPr>
        <w:t xml:space="preserve">decidira </w:t>
      </w:r>
      <w:r w:rsidR="0034481B" w:rsidRPr="007C68D2">
        <w:rPr>
          <w:sz w:val="22"/>
          <w:szCs w:val="22"/>
        </w:rPr>
        <w:t>inabilit</w:t>
      </w:r>
      <w:r w:rsidR="00FC72E0" w:rsidRPr="007C68D2">
        <w:rPr>
          <w:sz w:val="22"/>
          <w:szCs w:val="22"/>
        </w:rPr>
        <w:t xml:space="preserve">ar </w:t>
      </w:r>
      <w:r w:rsidR="00FC51C4" w:rsidRPr="007C68D2">
        <w:rPr>
          <w:sz w:val="22"/>
          <w:szCs w:val="22"/>
        </w:rPr>
        <w:t xml:space="preserve">sete das nove </w:t>
      </w:r>
      <w:r w:rsidR="0034481B" w:rsidRPr="007C68D2">
        <w:rPr>
          <w:sz w:val="22"/>
          <w:szCs w:val="22"/>
        </w:rPr>
        <w:t xml:space="preserve">empresas participantes </w:t>
      </w:r>
      <w:r w:rsidR="00FC72E0" w:rsidRPr="007C68D2">
        <w:rPr>
          <w:sz w:val="22"/>
          <w:szCs w:val="22"/>
        </w:rPr>
        <w:t>do certame, por</w:t>
      </w:r>
      <w:r w:rsidR="0034481B" w:rsidRPr="007C68D2">
        <w:rPr>
          <w:sz w:val="22"/>
          <w:szCs w:val="22"/>
        </w:rPr>
        <w:t xml:space="preserve"> terem </w:t>
      </w:r>
      <w:r w:rsidR="007C68D2" w:rsidRPr="007C68D2">
        <w:rPr>
          <w:sz w:val="22"/>
          <w:szCs w:val="22"/>
        </w:rPr>
        <w:t xml:space="preserve">deixado de </w:t>
      </w:r>
      <w:r w:rsidR="0034481B" w:rsidRPr="007C68D2">
        <w:rPr>
          <w:sz w:val="22"/>
          <w:szCs w:val="22"/>
        </w:rPr>
        <w:t>apresenta</w:t>
      </w:r>
      <w:r w:rsidR="007C68D2" w:rsidRPr="007C68D2">
        <w:rPr>
          <w:sz w:val="22"/>
          <w:szCs w:val="22"/>
        </w:rPr>
        <w:t>r</w:t>
      </w:r>
      <w:r w:rsidR="0034481B" w:rsidRPr="007C68D2">
        <w:rPr>
          <w:sz w:val="22"/>
          <w:szCs w:val="22"/>
        </w:rPr>
        <w:t xml:space="preserve"> </w:t>
      </w:r>
      <w:r w:rsidR="00FC72E0" w:rsidRPr="007C68D2">
        <w:rPr>
          <w:sz w:val="22"/>
          <w:szCs w:val="22"/>
        </w:rPr>
        <w:t>“</w:t>
      </w:r>
      <w:r w:rsidR="0034481B" w:rsidRPr="007C68D2">
        <w:rPr>
          <w:i/>
          <w:sz w:val="22"/>
          <w:szCs w:val="22"/>
        </w:rPr>
        <w:t>declaração de inexistência de impedimento legal para contratar com a administração</w:t>
      </w:r>
      <w:r w:rsidR="00FC72E0" w:rsidRPr="007C68D2">
        <w:rPr>
          <w:sz w:val="22"/>
          <w:szCs w:val="22"/>
        </w:rPr>
        <w:t>”</w:t>
      </w:r>
      <w:r w:rsidR="007C68D2" w:rsidRPr="007C68D2">
        <w:rPr>
          <w:sz w:val="22"/>
          <w:szCs w:val="22"/>
        </w:rPr>
        <w:t xml:space="preserve"> ou </w:t>
      </w:r>
      <w:r w:rsidR="00FC72E0" w:rsidRPr="007C68D2">
        <w:rPr>
          <w:sz w:val="22"/>
          <w:szCs w:val="22"/>
        </w:rPr>
        <w:t>“</w:t>
      </w:r>
      <w:r w:rsidR="0034481B" w:rsidRPr="007C68D2">
        <w:rPr>
          <w:i/>
          <w:sz w:val="22"/>
          <w:szCs w:val="22"/>
        </w:rPr>
        <w:t>declaração de cessão de direito patrimonial do edital</w:t>
      </w:r>
      <w:r w:rsidR="00FC72E0" w:rsidRPr="007C68D2">
        <w:rPr>
          <w:sz w:val="22"/>
          <w:szCs w:val="22"/>
        </w:rPr>
        <w:t xml:space="preserve">”. Ressaltou, no entanto, que </w:t>
      </w:r>
      <w:r w:rsidR="007C68D2" w:rsidRPr="007C68D2">
        <w:rPr>
          <w:sz w:val="22"/>
          <w:szCs w:val="22"/>
        </w:rPr>
        <w:t>essas</w:t>
      </w:r>
      <w:r w:rsidR="00267E01">
        <w:rPr>
          <w:sz w:val="22"/>
          <w:szCs w:val="22"/>
        </w:rPr>
        <w:t xml:space="preserve"> declarações não constavam da relação de documentos que deveria ter sido apresentada para fins de habilitação</w:t>
      </w:r>
      <w:r w:rsidR="00FC72E0" w:rsidRPr="007C68D2">
        <w:rPr>
          <w:sz w:val="22"/>
          <w:szCs w:val="22"/>
        </w:rPr>
        <w:t>. O relator, ao endossar o exame da</w:t>
      </w:r>
      <w:r w:rsidR="00FC51C4" w:rsidRPr="007C68D2">
        <w:rPr>
          <w:sz w:val="22"/>
          <w:szCs w:val="22"/>
        </w:rPr>
        <w:t xml:space="preserve"> unidade técnica, assim se pronunciou: “</w:t>
      </w:r>
      <w:r w:rsidR="00FC51C4" w:rsidRPr="007C68D2">
        <w:rPr>
          <w:i/>
          <w:sz w:val="22"/>
          <w:szCs w:val="22"/>
        </w:rPr>
        <w:t>Se as declarações dos Anexos XI e XIV não constavam no rol dos documentos exigidos na fase de habilitação, elas deveriam ser aceitas em outro momento, não cabendo à CPL fazer restrições que não estejam consignadas no edital</w:t>
      </w:r>
      <w:r w:rsidR="00FC51C4" w:rsidRPr="007C68D2">
        <w:rPr>
          <w:sz w:val="22"/>
          <w:szCs w:val="22"/>
        </w:rPr>
        <w:t>”. Tal procedimento implicou “</w:t>
      </w:r>
      <w:r w:rsidR="0034481B" w:rsidRPr="007C68D2">
        <w:rPr>
          <w:i/>
          <w:sz w:val="22"/>
          <w:szCs w:val="22"/>
        </w:rPr>
        <w:t>restrição indevida à competitividade do certame, mormente se considerarmos o fato de que resultou na inabilitação, só por esse motivo, de sete das nove empresas participantes</w:t>
      </w:r>
      <w:r w:rsidR="00FC51C4" w:rsidRPr="007C68D2">
        <w:rPr>
          <w:sz w:val="22"/>
          <w:szCs w:val="22"/>
        </w:rPr>
        <w:t>”</w:t>
      </w:r>
      <w:r w:rsidR="0034481B" w:rsidRPr="007C68D2">
        <w:rPr>
          <w:sz w:val="22"/>
          <w:szCs w:val="22"/>
        </w:rPr>
        <w:t>.</w:t>
      </w:r>
      <w:r w:rsidR="005C01D1" w:rsidRPr="007C68D2">
        <w:rPr>
          <w:sz w:val="22"/>
          <w:szCs w:val="22"/>
        </w:rPr>
        <w:t xml:space="preserve"> </w:t>
      </w:r>
      <w:r w:rsidR="007C68D2" w:rsidRPr="007C68D2">
        <w:rPr>
          <w:sz w:val="22"/>
          <w:szCs w:val="22"/>
        </w:rPr>
        <w:t>O Tribunal, t</w:t>
      </w:r>
      <w:r w:rsidR="005C01D1" w:rsidRPr="007C68D2">
        <w:rPr>
          <w:sz w:val="22"/>
          <w:szCs w:val="22"/>
        </w:rPr>
        <w:t>ambém por esse motivo, ao endossar proposta do relator, decidiu: I) fixar prazo ao Creci/SP para que adote providências com vistas a anular a Tomada de Preços n. 05/2011; II) determinar ao Creci/SP que</w:t>
      </w:r>
      <w:r w:rsidR="005E6566" w:rsidRPr="007C68D2">
        <w:rPr>
          <w:sz w:val="22"/>
          <w:szCs w:val="22"/>
        </w:rPr>
        <w:t xml:space="preserve">, em futuras licitações, “... </w:t>
      </w:r>
      <w:r w:rsidR="005E6566" w:rsidRPr="007C68D2">
        <w:rPr>
          <w:i/>
          <w:sz w:val="22"/>
          <w:szCs w:val="22"/>
        </w:rPr>
        <w:t>ao conduzir o procedimento, deixe de fazer exigências que não estejam expressamente previstas no edital, a exemplo do que ocorreu na Tomada de Preços n. 05/2011</w:t>
      </w:r>
      <w:r w:rsidR="005E6566" w:rsidRPr="007C68D2">
        <w:rPr>
          <w:sz w:val="22"/>
          <w:szCs w:val="22"/>
        </w:rPr>
        <w:t xml:space="preserve">”. </w:t>
      </w:r>
      <w:r w:rsidR="005C01D1" w:rsidRPr="007C68D2">
        <w:rPr>
          <w:b/>
          <w:i/>
          <w:sz w:val="22"/>
          <w:szCs w:val="22"/>
        </w:rPr>
        <w:t>Acórdão n.º 1.052/2012-Plenário, TC 004.871/2012-0, rel. Min. Marcos Bemquerer Costa, 2.5.2012.</w:t>
      </w:r>
    </w:p>
    <w:p w:rsidR="00CD6E49" w:rsidRDefault="00CD6E49" w:rsidP="0050278D">
      <w:pPr>
        <w:widowControl w:val="0"/>
        <w:tabs>
          <w:tab w:val="left" w:pos="-31336"/>
          <w:tab w:val="left" w:pos="567"/>
        </w:tabs>
        <w:spacing w:after="0"/>
        <w:ind w:left="0"/>
        <w:rPr>
          <w:b/>
          <w:i/>
          <w:sz w:val="22"/>
          <w:szCs w:val="22"/>
        </w:rPr>
      </w:pPr>
    </w:p>
    <w:p w:rsidR="00CD6E49" w:rsidRPr="000006E8" w:rsidRDefault="00CD6E49" w:rsidP="00CD6E49">
      <w:pPr>
        <w:pStyle w:val="Default"/>
        <w:jc w:val="both"/>
        <w:rPr>
          <w:b/>
          <w:sz w:val="22"/>
          <w:szCs w:val="22"/>
        </w:rPr>
      </w:pPr>
      <w:r w:rsidRPr="000006E8">
        <w:rPr>
          <w:b/>
          <w:sz w:val="22"/>
          <w:szCs w:val="22"/>
        </w:rPr>
        <w:t>Os órgãos e entidades da administração pública estão obrigados a exigir das empresas contratadas, por ocasião de cada ato de pagamento, a apresentação da certidão negativa de débitos trabalhistas, de modo a dar efetivo cumprimento às disposições constantes dos artigos 27, IV, 29, V, e 55, XIII, da Lei nº 8.666/1993, c/c os artigos 1º e 4º da Lei nº 12.440/2011</w:t>
      </w:r>
    </w:p>
    <w:p w:rsidR="00CD6E49" w:rsidRPr="00CD6E49" w:rsidRDefault="00CD6E49" w:rsidP="00CD6E49">
      <w:pPr>
        <w:widowControl w:val="0"/>
        <w:tabs>
          <w:tab w:val="left" w:pos="-31336"/>
          <w:tab w:val="left" w:pos="567"/>
        </w:tabs>
        <w:spacing w:after="0"/>
        <w:ind w:left="0"/>
        <w:rPr>
          <w:b/>
          <w:sz w:val="22"/>
          <w:szCs w:val="22"/>
        </w:rPr>
      </w:pPr>
      <w:r w:rsidRPr="007C68D2">
        <w:rPr>
          <w:sz w:val="22"/>
          <w:szCs w:val="22"/>
        </w:rPr>
        <w:t>O Tribunal Superior do Trabalho encaminhou Solicitação no sentido de que o T</w:t>
      </w:r>
      <w:r>
        <w:rPr>
          <w:sz w:val="22"/>
          <w:szCs w:val="22"/>
        </w:rPr>
        <w:t>CU</w:t>
      </w:r>
      <w:r w:rsidRPr="007C68D2">
        <w:rPr>
          <w:sz w:val="22"/>
          <w:szCs w:val="22"/>
        </w:rPr>
        <w:t xml:space="preserve"> avaliasse a possibilidade de recomendar aos órgãos e entidades da administração direta e indireta da União que passem a fazer constar dos editais de licitação a exigência da Certidão Negativa de Débitos Trabalhistas – CNDT, instituída pela Lei nº 12.440/2011, em vigor desde 4</w:t>
      </w:r>
      <w:r>
        <w:rPr>
          <w:sz w:val="22"/>
          <w:szCs w:val="22"/>
        </w:rPr>
        <w:t>/1/20</w:t>
      </w:r>
      <w:r w:rsidRPr="007C68D2">
        <w:rPr>
          <w:sz w:val="22"/>
          <w:szCs w:val="22"/>
        </w:rPr>
        <w:t xml:space="preserve">12. O relator, </w:t>
      </w:r>
      <w:r>
        <w:rPr>
          <w:sz w:val="22"/>
          <w:szCs w:val="22"/>
        </w:rPr>
        <w:t>a</w:t>
      </w:r>
      <w:r w:rsidRPr="007C68D2">
        <w:rPr>
          <w:sz w:val="22"/>
          <w:szCs w:val="22"/>
        </w:rPr>
        <w:t>o examinar o mérito da matéria, transcreveu os comandos contidos no art. 27, inciso IV, e no art. 29, inciso V, da Lei nº 8.666</w:t>
      </w:r>
      <w:r>
        <w:rPr>
          <w:sz w:val="22"/>
          <w:szCs w:val="22"/>
        </w:rPr>
        <w:t>/</w:t>
      </w:r>
      <w:r w:rsidRPr="007C68D2">
        <w:rPr>
          <w:sz w:val="22"/>
          <w:szCs w:val="22"/>
        </w:rPr>
        <w:t>1993, que foram alterados pela Lei nº 12.440/2011: “</w:t>
      </w:r>
      <w:r w:rsidRPr="007C68D2">
        <w:rPr>
          <w:i/>
          <w:sz w:val="22"/>
          <w:szCs w:val="22"/>
        </w:rPr>
        <w:t>Art. 27. Para a habilitação nas licitações exigir-se-á dos interessados, exclusivamente, documentação relativa a: (...). IV – regularidade fiscal e trabalhista; (...) Art. 29. A documentação relativa à regularidade fiscal e trabalhista, conforme o caso, consistirá em: (...) V – prova de inexistência de débitos inadimplidos perante a Justiça do Trabalho, mediante a apresentação de certidão negativa ...”.</w:t>
      </w:r>
      <w:r w:rsidRPr="007C68D2">
        <w:rPr>
          <w:sz w:val="22"/>
          <w:szCs w:val="22"/>
        </w:rPr>
        <w:t xml:space="preserve"> Registrou também a inserção do art. 642-A na CLT, pela Lei nº 12.440/2011, que dispõe sobre o conteúdo material e o procedimento de obtenção da referida </w:t>
      </w:r>
      <w:r>
        <w:rPr>
          <w:sz w:val="22"/>
          <w:szCs w:val="22"/>
        </w:rPr>
        <w:t>CNDT</w:t>
      </w:r>
      <w:r w:rsidRPr="007C68D2">
        <w:rPr>
          <w:sz w:val="22"/>
          <w:szCs w:val="22"/>
        </w:rPr>
        <w:t>. E que não seria pertinente expedi</w:t>
      </w:r>
      <w:r>
        <w:rPr>
          <w:sz w:val="22"/>
          <w:szCs w:val="22"/>
        </w:rPr>
        <w:t>r</w:t>
      </w:r>
      <w:r w:rsidRPr="007C68D2">
        <w:rPr>
          <w:sz w:val="22"/>
          <w:szCs w:val="22"/>
        </w:rPr>
        <w:t xml:space="preserve">  determinaç</w:t>
      </w:r>
      <w:r>
        <w:rPr>
          <w:sz w:val="22"/>
          <w:szCs w:val="22"/>
        </w:rPr>
        <w:t>ões</w:t>
      </w:r>
      <w:r w:rsidRPr="007C68D2">
        <w:rPr>
          <w:sz w:val="22"/>
          <w:szCs w:val="22"/>
        </w:rPr>
        <w:t xml:space="preserve"> nem recomendações genéricas à </w:t>
      </w:r>
      <w:r>
        <w:rPr>
          <w:sz w:val="22"/>
          <w:szCs w:val="22"/>
        </w:rPr>
        <w:t>a</w:t>
      </w:r>
      <w:r w:rsidRPr="007C68D2">
        <w:rPr>
          <w:sz w:val="22"/>
          <w:szCs w:val="22"/>
        </w:rPr>
        <w:t>dministração para que observe as citadas normas, visto que essa necessidade decorre da lei. Considerou, porém, plausível a preocupação do consulente,</w:t>
      </w:r>
      <w:r w:rsidRPr="007C68D2">
        <w:rPr>
          <w:i/>
          <w:sz w:val="22"/>
          <w:szCs w:val="22"/>
        </w:rPr>
        <w:t xml:space="preserve"> </w:t>
      </w:r>
      <w:r w:rsidRPr="007C68D2">
        <w:rPr>
          <w:sz w:val="22"/>
          <w:szCs w:val="22"/>
        </w:rPr>
        <w:t>“</w:t>
      </w:r>
      <w:r w:rsidRPr="007C68D2">
        <w:rPr>
          <w:i/>
          <w:sz w:val="22"/>
          <w:szCs w:val="22"/>
        </w:rPr>
        <w:t>mormente sob o ponto de vista do exercício do controle externo financeiro, até mesmo porque – não é demais lembrar – a Lei nº 8.666, de 1993, estabelece, ao teor da disposição contida no inciso XIII do seu art. 55, que o contratado deverá manter, durante a execução contratual, todas as condições de habilitação e de qualificação exigidas na licitação</w:t>
      </w:r>
      <w:r w:rsidRPr="007C68D2">
        <w:rPr>
          <w:sz w:val="22"/>
          <w:szCs w:val="22"/>
        </w:rPr>
        <w:t xml:space="preserve">”. Lembrou ainda da responsabilidade subsidiária dos entes integrantes da administração pública, em face </w:t>
      </w:r>
      <w:r>
        <w:rPr>
          <w:sz w:val="22"/>
          <w:szCs w:val="22"/>
        </w:rPr>
        <w:t xml:space="preserve">do </w:t>
      </w:r>
      <w:r w:rsidRPr="007C68D2">
        <w:rPr>
          <w:sz w:val="22"/>
          <w:szCs w:val="22"/>
        </w:rPr>
        <w:t>inadimplemento das obrigações trabalhistas das empresas por eles contratadas, consoante disposto no Enunciado nº 331 da Súmula de Jurisprudência do TST. E arrematou: “</w:t>
      </w:r>
      <w:r w:rsidRPr="007C68D2">
        <w:rPr>
          <w:i/>
          <w:sz w:val="22"/>
          <w:szCs w:val="22"/>
        </w:rPr>
        <w:t>a exigência da certidão negativa de débitos trabalhista (CNDT) ao longo da execução contratual deve contribuir para reduzir ou mesmo afastar eventuais condenações subsidiárias da administração pública federal</w:t>
      </w:r>
      <w:r w:rsidRPr="007C68D2">
        <w:rPr>
          <w:sz w:val="22"/>
          <w:szCs w:val="22"/>
        </w:rPr>
        <w:t xml:space="preserve"> ...”. O Tribunal, </w:t>
      </w:r>
      <w:r>
        <w:rPr>
          <w:sz w:val="22"/>
          <w:szCs w:val="22"/>
        </w:rPr>
        <w:t xml:space="preserve">então, </w:t>
      </w:r>
      <w:r w:rsidRPr="007C68D2">
        <w:rPr>
          <w:sz w:val="22"/>
          <w:szCs w:val="22"/>
        </w:rPr>
        <w:t>ao acolher proposta do relator, decidiu: I) conhecer da Solicitação; II) no mérito, determinar “</w:t>
      </w:r>
      <w:r w:rsidRPr="007C68D2">
        <w:rPr>
          <w:i/>
          <w:sz w:val="22"/>
          <w:szCs w:val="22"/>
        </w:rPr>
        <w:t>a todas as unidades centrais e setoriais do Sistema de Controle Interno dos Poderes Executivo, Legislativo e Judiciário da União que orientem os órgãos e entidades a eles vinculados no sentido de que exijam das empresas contratadas, por ocasião de cada ato de pagamento, a apresentação da devida certidão negativa de débitos trabalhistas, de modo a dar efetivo cumprimento às disposições constantes dos artigos 27, IV, 29, V, e 55, XIII, da Lei nº 8.666, de 1993, c/c os artigos 1º e 4º da Lei nº 12.440, de 7 de julho de 2011, atentando, em especial, para o salutar efeito do cumprimento desta nova regra sobre o novo Enunciado 331 da Súmula de Jurisprudência do TST, sem prejuízo de que a Segecex oriente as unidades técnicas do TCU nesse mesmo sentido</w:t>
      </w:r>
      <w:r w:rsidRPr="007C68D2">
        <w:rPr>
          <w:sz w:val="22"/>
          <w:szCs w:val="22"/>
        </w:rPr>
        <w:t xml:space="preserve">”. </w:t>
      </w:r>
      <w:r w:rsidRPr="007C68D2">
        <w:rPr>
          <w:b/>
          <w:i/>
          <w:sz w:val="22"/>
          <w:szCs w:val="22"/>
        </w:rPr>
        <w:t xml:space="preserve">Acórdão n.º </w:t>
      </w:r>
      <w:r w:rsidR="007F23C6" w:rsidRPr="007F23C6">
        <w:rPr>
          <w:b/>
          <w:i/>
          <w:sz w:val="22"/>
          <w:szCs w:val="22"/>
        </w:rPr>
        <w:t>1054</w:t>
      </w:r>
      <w:r w:rsidRPr="007C68D2">
        <w:rPr>
          <w:b/>
          <w:i/>
          <w:sz w:val="22"/>
          <w:szCs w:val="22"/>
        </w:rPr>
        <w:t>/2012-</w:t>
      </w:r>
      <w:r w:rsidRPr="00326854">
        <w:rPr>
          <w:b/>
          <w:i/>
          <w:sz w:val="22"/>
          <w:szCs w:val="22"/>
        </w:rPr>
        <w:t>Plenário, TC 002.741/2012-1, rel. Min. André Lu</w:t>
      </w:r>
      <w:r>
        <w:rPr>
          <w:b/>
          <w:i/>
          <w:sz w:val="22"/>
          <w:szCs w:val="22"/>
        </w:rPr>
        <w:t>í</w:t>
      </w:r>
      <w:r w:rsidRPr="00326854">
        <w:rPr>
          <w:b/>
          <w:i/>
          <w:sz w:val="22"/>
          <w:szCs w:val="22"/>
        </w:rPr>
        <w:t>s de Carvalho, 2.5.2012</w:t>
      </w:r>
      <w:r>
        <w:rPr>
          <w:b/>
          <w:i/>
          <w:sz w:val="22"/>
          <w:szCs w:val="22"/>
        </w:rPr>
        <w:t>.</w:t>
      </w:r>
    </w:p>
    <w:p w:rsidR="00DE4978" w:rsidRDefault="00DE4978" w:rsidP="0050278D">
      <w:pPr>
        <w:widowControl w:val="0"/>
        <w:tabs>
          <w:tab w:val="left" w:pos="-31336"/>
          <w:tab w:val="left" w:pos="567"/>
        </w:tabs>
        <w:spacing w:after="0"/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7C68D2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68D2" w:rsidRDefault="00C10DD5" w:rsidP="007C68D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C68D2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7C68D2" w:rsidRDefault="007334B1" w:rsidP="007C68D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C68D2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7C68D2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CB2A98" w:rsidRPr="007C68D2" w:rsidRDefault="00CB2A98" w:rsidP="007C68D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CB2A98" w:rsidRPr="007C68D2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39" w:rsidRDefault="003A3739" w:rsidP="008B0547">
      <w:pPr>
        <w:spacing w:after="0"/>
      </w:pPr>
      <w:r>
        <w:separator/>
      </w:r>
    </w:p>
  </w:endnote>
  <w:endnote w:type="continuationSeparator" w:id="0">
    <w:p w:rsidR="003A3739" w:rsidRDefault="003A373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E76AF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C80B7F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39" w:rsidRDefault="003A3739" w:rsidP="008B0547">
      <w:pPr>
        <w:spacing w:after="0"/>
      </w:pPr>
      <w:r>
        <w:separator/>
      </w:r>
    </w:p>
  </w:footnote>
  <w:footnote w:type="continuationSeparator" w:id="0">
    <w:p w:rsidR="003A3739" w:rsidRDefault="003A373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8D5919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8D5919" w:rsidP="00080148">
    <w:pPr>
      <w:spacing w:after="0"/>
      <w:rPr>
        <w:rFonts w:ascii="Arial" w:hAnsi="Arial" w:cs="Arial"/>
        <w:b/>
      </w:rPr>
    </w:pPr>
    <w:r w:rsidRPr="00E76AFC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7497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7129DA">
      <w:rPr>
        <w:rFonts w:ascii="Arial" w:hAnsi="Arial" w:cs="Arial"/>
        <w:noProof/>
        <w:lang w:eastAsia="pt-BR"/>
      </w:rPr>
      <w:t xml:space="preserve">Informativo sobre Licitações e Contratos </w:t>
    </w:r>
    <w:r w:rsidR="005875A3">
      <w:rPr>
        <w:rFonts w:ascii="Arial" w:hAnsi="Arial" w:cs="Arial"/>
        <w:noProof/>
        <w:lang w:eastAsia="pt-BR"/>
      </w:rPr>
      <w:t xml:space="preserve">nº </w:t>
    </w:r>
    <w:r w:rsidR="00AB1BB4">
      <w:rPr>
        <w:rFonts w:ascii="Arial" w:hAnsi="Arial" w:cs="Arial"/>
        <w:noProof/>
        <w:lang w:eastAsia="pt-BR"/>
      </w:rPr>
      <w:t>10</w:t>
    </w:r>
    <w:r w:rsidR="00F73930">
      <w:rPr>
        <w:rFonts w:ascii="Arial" w:hAnsi="Arial" w:cs="Arial"/>
        <w:noProof/>
        <w:lang w:eastAsia="pt-BR"/>
      </w:rPr>
      <w:t>4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8"/>
  </w:num>
  <w:num w:numId="8">
    <w:abstractNumId w:val="25"/>
  </w:num>
  <w:num w:numId="9">
    <w:abstractNumId w:val="21"/>
  </w:num>
  <w:num w:numId="10">
    <w:abstractNumId w:val="6"/>
  </w:num>
  <w:num w:numId="11">
    <w:abstractNumId w:val="30"/>
  </w:num>
  <w:num w:numId="12">
    <w:abstractNumId w:val="4"/>
  </w:num>
  <w:num w:numId="13">
    <w:abstractNumId w:val="17"/>
  </w:num>
  <w:num w:numId="14">
    <w:abstractNumId w:val="27"/>
  </w:num>
  <w:num w:numId="15">
    <w:abstractNumId w:val="15"/>
  </w:num>
  <w:num w:numId="16">
    <w:abstractNumId w:val="2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6E8"/>
    <w:rsid w:val="0000153E"/>
    <w:rsid w:val="00001878"/>
    <w:rsid w:val="00003CEA"/>
    <w:rsid w:val="00004614"/>
    <w:rsid w:val="00004D04"/>
    <w:rsid w:val="00005435"/>
    <w:rsid w:val="00005BA5"/>
    <w:rsid w:val="00005E1E"/>
    <w:rsid w:val="00005F57"/>
    <w:rsid w:val="0001037C"/>
    <w:rsid w:val="000118BC"/>
    <w:rsid w:val="000118CC"/>
    <w:rsid w:val="00011BA0"/>
    <w:rsid w:val="00011D5A"/>
    <w:rsid w:val="00012468"/>
    <w:rsid w:val="00013851"/>
    <w:rsid w:val="00013A1F"/>
    <w:rsid w:val="000145F8"/>
    <w:rsid w:val="000161F7"/>
    <w:rsid w:val="0001636D"/>
    <w:rsid w:val="0001776E"/>
    <w:rsid w:val="000179E2"/>
    <w:rsid w:val="00020C27"/>
    <w:rsid w:val="00020C75"/>
    <w:rsid w:val="00020FC8"/>
    <w:rsid w:val="00021532"/>
    <w:rsid w:val="0002237E"/>
    <w:rsid w:val="0002238E"/>
    <w:rsid w:val="0002327E"/>
    <w:rsid w:val="00023D72"/>
    <w:rsid w:val="000253D1"/>
    <w:rsid w:val="00025450"/>
    <w:rsid w:val="00025753"/>
    <w:rsid w:val="00025A32"/>
    <w:rsid w:val="000271FA"/>
    <w:rsid w:val="00027B2E"/>
    <w:rsid w:val="000300A2"/>
    <w:rsid w:val="00032198"/>
    <w:rsid w:val="00032CA1"/>
    <w:rsid w:val="00033551"/>
    <w:rsid w:val="00037DCE"/>
    <w:rsid w:val="00041450"/>
    <w:rsid w:val="000438FC"/>
    <w:rsid w:val="000460E4"/>
    <w:rsid w:val="0004660A"/>
    <w:rsid w:val="00046CF7"/>
    <w:rsid w:val="0005133B"/>
    <w:rsid w:val="00051AAB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635"/>
    <w:rsid w:val="00081DFB"/>
    <w:rsid w:val="000835D8"/>
    <w:rsid w:val="00084282"/>
    <w:rsid w:val="00084727"/>
    <w:rsid w:val="00086A39"/>
    <w:rsid w:val="00086BAA"/>
    <w:rsid w:val="00087006"/>
    <w:rsid w:val="00090D8A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7EA"/>
    <w:rsid w:val="000A57DA"/>
    <w:rsid w:val="000A599E"/>
    <w:rsid w:val="000A6269"/>
    <w:rsid w:val="000A62BD"/>
    <w:rsid w:val="000A77BB"/>
    <w:rsid w:val="000B0ECB"/>
    <w:rsid w:val="000B0FEA"/>
    <w:rsid w:val="000B2AFA"/>
    <w:rsid w:val="000B5DB2"/>
    <w:rsid w:val="000B5DD4"/>
    <w:rsid w:val="000B639F"/>
    <w:rsid w:val="000B6475"/>
    <w:rsid w:val="000B6BC1"/>
    <w:rsid w:val="000C0013"/>
    <w:rsid w:val="000C02AD"/>
    <w:rsid w:val="000C049A"/>
    <w:rsid w:val="000C22C0"/>
    <w:rsid w:val="000C28CC"/>
    <w:rsid w:val="000C3DAB"/>
    <w:rsid w:val="000C4611"/>
    <w:rsid w:val="000C4A10"/>
    <w:rsid w:val="000C5799"/>
    <w:rsid w:val="000C5FDE"/>
    <w:rsid w:val="000C61FA"/>
    <w:rsid w:val="000C7D11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D47"/>
    <w:rsid w:val="000E3B31"/>
    <w:rsid w:val="000E3C6D"/>
    <w:rsid w:val="000E504D"/>
    <w:rsid w:val="000E5EAB"/>
    <w:rsid w:val="000E7FD4"/>
    <w:rsid w:val="000F2133"/>
    <w:rsid w:val="000F2975"/>
    <w:rsid w:val="000F2D05"/>
    <w:rsid w:val="000F2F9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6BA"/>
    <w:rsid w:val="00115911"/>
    <w:rsid w:val="00116BAB"/>
    <w:rsid w:val="00117E95"/>
    <w:rsid w:val="001203BE"/>
    <w:rsid w:val="00121782"/>
    <w:rsid w:val="00122F63"/>
    <w:rsid w:val="00125476"/>
    <w:rsid w:val="00125B0B"/>
    <w:rsid w:val="00125F9A"/>
    <w:rsid w:val="00126026"/>
    <w:rsid w:val="00126198"/>
    <w:rsid w:val="001263AF"/>
    <w:rsid w:val="00130032"/>
    <w:rsid w:val="00130A0C"/>
    <w:rsid w:val="00130EF3"/>
    <w:rsid w:val="001316FC"/>
    <w:rsid w:val="00133EA9"/>
    <w:rsid w:val="00133FBC"/>
    <w:rsid w:val="00135D01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6E2"/>
    <w:rsid w:val="00157AFE"/>
    <w:rsid w:val="00157C0F"/>
    <w:rsid w:val="001612C0"/>
    <w:rsid w:val="001665B9"/>
    <w:rsid w:val="001667C0"/>
    <w:rsid w:val="00166C60"/>
    <w:rsid w:val="00171E89"/>
    <w:rsid w:val="001737F7"/>
    <w:rsid w:val="001744E7"/>
    <w:rsid w:val="0017459B"/>
    <w:rsid w:val="00176287"/>
    <w:rsid w:val="00176375"/>
    <w:rsid w:val="001766A9"/>
    <w:rsid w:val="00180774"/>
    <w:rsid w:val="00181339"/>
    <w:rsid w:val="00181680"/>
    <w:rsid w:val="00181848"/>
    <w:rsid w:val="00183A7D"/>
    <w:rsid w:val="001847D6"/>
    <w:rsid w:val="00184DD0"/>
    <w:rsid w:val="0018776F"/>
    <w:rsid w:val="00190FE2"/>
    <w:rsid w:val="00192052"/>
    <w:rsid w:val="00194053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30B"/>
    <w:rsid w:val="001A37F4"/>
    <w:rsid w:val="001A4C6F"/>
    <w:rsid w:val="001A58D8"/>
    <w:rsid w:val="001A5C45"/>
    <w:rsid w:val="001A60A2"/>
    <w:rsid w:val="001A75FE"/>
    <w:rsid w:val="001A79D3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903"/>
    <w:rsid w:val="001C23B5"/>
    <w:rsid w:val="001C2950"/>
    <w:rsid w:val="001C437E"/>
    <w:rsid w:val="001C5C51"/>
    <w:rsid w:val="001C6A2C"/>
    <w:rsid w:val="001C6E55"/>
    <w:rsid w:val="001C71E3"/>
    <w:rsid w:val="001C72D6"/>
    <w:rsid w:val="001D03C7"/>
    <w:rsid w:val="001D0FAF"/>
    <w:rsid w:val="001D1478"/>
    <w:rsid w:val="001D1E52"/>
    <w:rsid w:val="001D35B4"/>
    <w:rsid w:val="001D5190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200260"/>
    <w:rsid w:val="002002CE"/>
    <w:rsid w:val="0020066F"/>
    <w:rsid w:val="0020107A"/>
    <w:rsid w:val="0020135D"/>
    <w:rsid w:val="00201FED"/>
    <w:rsid w:val="00202EAD"/>
    <w:rsid w:val="00203A6F"/>
    <w:rsid w:val="00206C2E"/>
    <w:rsid w:val="0021001C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718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3242"/>
    <w:rsid w:val="00254590"/>
    <w:rsid w:val="002549FC"/>
    <w:rsid w:val="00257D8A"/>
    <w:rsid w:val="00261488"/>
    <w:rsid w:val="0026222C"/>
    <w:rsid w:val="00262359"/>
    <w:rsid w:val="002633D9"/>
    <w:rsid w:val="0026340E"/>
    <w:rsid w:val="0026362E"/>
    <w:rsid w:val="002639CA"/>
    <w:rsid w:val="002649A7"/>
    <w:rsid w:val="00264FC3"/>
    <w:rsid w:val="002663B7"/>
    <w:rsid w:val="002666C5"/>
    <w:rsid w:val="00266C8A"/>
    <w:rsid w:val="00267E01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30F6"/>
    <w:rsid w:val="002836D4"/>
    <w:rsid w:val="00283F64"/>
    <w:rsid w:val="00287326"/>
    <w:rsid w:val="0029043B"/>
    <w:rsid w:val="00290A06"/>
    <w:rsid w:val="00291766"/>
    <w:rsid w:val="002920C1"/>
    <w:rsid w:val="0029211E"/>
    <w:rsid w:val="00293198"/>
    <w:rsid w:val="0029450E"/>
    <w:rsid w:val="00297A00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6CE6"/>
    <w:rsid w:val="002B059A"/>
    <w:rsid w:val="002B1293"/>
    <w:rsid w:val="002B1AD6"/>
    <w:rsid w:val="002B2414"/>
    <w:rsid w:val="002B2B16"/>
    <w:rsid w:val="002B32DD"/>
    <w:rsid w:val="002B3968"/>
    <w:rsid w:val="002B4001"/>
    <w:rsid w:val="002B409B"/>
    <w:rsid w:val="002B4392"/>
    <w:rsid w:val="002B56C3"/>
    <w:rsid w:val="002B5AD5"/>
    <w:rsid w:val="002B5C5A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209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3EE"/>
    <w:rsid w:val="002E6712"/>
    <w:rsid w:val="002E6FDB"/>
    <w:rsid w:val="002F104B"/>
    <w:rsid w:val="002F1C09"/>
    <w:rsid w:val="002F1E70"/>
    <w:rsid w:val="002F3866"/>
    <w:rsid w:val="002F4696"/>
    <w:rsid w:val="002F5678"/>
    <w:rsid w:val="002F5F3B"/>
    <w:rsid w:val="002F693C"/>
    <w:rsid w:val="002F69BB"/>
    <w:rsid w:val="002F6FAD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065"/>
    <w:rsid w:val="00322440"/>
    <w:rsid w:val="00322AE7"/>
    <w:rsid w:val="00322ECE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244F"/>
    <w:rsid w:val="00332EF9"/>
    <w:rsid w:val="00335707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506E7"/>
    <w:rsid w:val="00350BE7"/>
    <w:rsid w:val="00350E87"/>
    <w:rsid w:val="00353B7C"/>
    <w:rsid w:val="00353BE4"/>
    <w:rsid w:val="0035438E"/>
    <w:rsid w:val="00355828"/>
    <w:rsid w:val="00356418"/>
    <w:rsid w:val="00356D90"/>
    <w:rsid w:val="00356E38"/>
    <w:rsid w:val="003576DA"/>
    <w:rsid w:val="00357CBE"/>
    <w:rsid w:val="00360C13"/>
    <w:rsid w:val="00361487"/>
    <w:rsid w:val="00361661"/>
    <w:rsid w:val="00362905"/>
    <w:rsid w:val="00364D53"/>
    <w:rsid w:val="0036772F"/>
    <w:rsid w:val="00370BC7"/>
    <w:rsid w:val="003719DE"/>
    <w:rsid w:val="00371A33"/>
    <w:rsid w:val="00372E83"/>
    <w:rsid w:val="00374B8C"/>
    <w:rsid w:val="00375080"/>
    <w:rsid w:val="00377407"/>
    <w:rsid w:val="00380026"/>
    <w:rsid w:val="00380993"/>
    <w:rsid w:val="00381780"/>
    <w:rsid w:val="003824E4"/>
    <w:rsid w:val="00382610"/>
    <w:rsid w:val="00383CFE"/>
    <w:rsid w:val="0038430C"/>
    <w:rsid w:val="0038475D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4793"/>
    <w:rsid w:val="00394D47"/>
    <w:rsid w:val="00397D8E"/>
    <w:rsid w:val="003A105C"/>
    <w:rsid w:val="003A2222"/>
    <w:rsid w:val="003A3262"/>
    <w:rsid w:val="003A3739"/>
    <w:rsid w:val="003A434B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16D"/>
    <w:rsid w:val="003B43C3"/>
    <w:rsid w:val="003B4936"/>
    <w:rsid w:val="003B4F8A"/>
    <w:rsid w:val="003B56D7"/>
    <w:rsid w:val="003B5882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AAF"/>
    <w:rsid w:val="003D3574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572"/>
    <w:rsid w:val="003F6C4D"/>
    <w:rsid w:val="003F6D1F"/>
    <w:rsid w:val="00400C90"/>
    <w:rsid w:val="00400F7F"/>
    <w:rsid w:val="004036AF"/>
    <w:rsid w:val="00403A0F"/>
    <w:rsid w:val="0040424B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17048"/>
    <w:rsid w:val="00420098"/>
    <w:rsid w:val="004201AF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269"/>
    <w:rsid w:val="004362AB"/>
    <w:rsid w:val="004367E0"/>
    <w:rsid w:val="0043763C"/>
    <w:rsid w:val="0044110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5A25"/>
    <w:rsid w:val="00445E76"/>
    <w:rsid w:val="00446606"/>
    <w:rsid w:val="004471BC"/>
    <w:rsid w:val="00447217"/>
    <w:rsid w:val="00447B50"/>
    <w:rsid w:val="00450515"/>
    <w:rsid w:val="00451471"/>
    <w:rsid w:val="00452756"/>
    <w:rsid w:val="00452C60"/>
    <w:rsid w:val="00453704"/>
    <w:rsid w:val="00453FC2"/>
    <w:rsid w:val="00454D9A"/>
    <w:rsid w:val="0045665B"/>
    <w:rsid w:val="004573D3"/>
    <w:rsid w:val="00457F93"/>
    <w:rsid w:val="00460682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77DE9"/>
    <w:rsid w:val="00482D16"/>
    <w:rsid w:val="00482E4C"/>
    <w:rsid w:val="004831CC"/>
    <w:rsid w:val="004836D8"/>
    <w:rsid w:val="004837C6"/>
    <w:rsid w:val="00483998"/>
    <w:rsid w:val="00483FC1"/>
    <w:rsid w:val="00484250"/>
    <w:rsid w:val="00484E4C"/>
    <w:rsid w:val="00485154"/>
    <w:rsid w:val="00486F3A"/>
    <w:rsid w:val="004873C2"/>
    <w:rsid w:val="004878ED"/>
    <w:rsid w:val="00487B7C"/>
    <w:rsid w:val="0049004B"/>
    <w:rsid w:val="00490C52"/>
    <w:rsid w:val="00491438"/>
    <w:rsid w:val="00491B1C"/>
    <w:rsid w:val="004923BD"/>
    <w:rsid w:val="00492E3F"/>
    <w:rsid w:val="00493F5C"/>
    <w:rsid w:val="004945E3"/>
    <w:rsid w:val="00494EB3"/>
    <w:rsid w:val="00495DB3"/>
    <w:rsid w:val="00495F43"/>
    <w:rsid w:val="004A171B"/>
    <w:rsid w:val="004A2385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3E0B"/>
    <w:rsid w:val="004D42B9"/>
    <w:rsid w:val="004D45C8"/>
    <w:rsid w:val="004D6A38"/>
    <w:rsid w:val="004D6C65"/>
    <w:rsid w:val="004D708E"/>
    <w:rsid w:val="004D760C"/>
    <w:rsid w:val="004D7C91"/>
    <w:rsid w:val="004E01D4"/>
    <w:rsid w:val="004E26E4"/>
    <w:rsid w:val="004E357A"/>
    <w:rsid w:val="004E3861"/>
    <w:rsid w:val="004E5000"/>
    <w:rsid w:val="004E5599"/>
    <w:rsid w:val="004E586B"/>
    <w:rsid w:val="004E65EB"/>
    <w:rsid w:val="004E7114"/>
    <w:rsid w:val="004F0244"/>
    <w:rsid w:val="004F0A27"/>
    <w:rsid w:val="004F282C"/>
    <w:rsid w:val="004F379F"/>
    <w:rsid w:val="004F3D4A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78D"/>
    <w:rsid w:val="00502C10"/>
    <w:rsid w:val="0050355D"/>
    <w:rsid w:val="00504A31"/>
    <w:rsid w:val="00504F8B"/>
    <w:rsid w:val="005055B5"/>
    <w:rsid w:val="005063A0"/>
    <w:rsid w:val="00506619"/>
    <w:rsid w:val="00507E53"/>
    <w:rsid w:val="00510257"/>
    <w:rsid w:val="00510D1D"/>
    <w:rsid w:val="00511033"/>
    <w:rsid w:val="00511BBF"/>
    <w:rsid w:val="00511BDC"/>
    <w:rsid w:val="00512E62"/>
    <w:rsid w:val="0051373C"/>
    <w:rsid w:val="00515E7B"/>
    <w:rsid w:val="00516F04"/>
    <w:rsid w:val="00517005"/>
    <w:rsid w:val="005174C6"/>
    <w:rsid w:val="00517868"/>
    <w:rsid w:val="00520894"/>
    <w:rsid w:val="00520BC0"/>
    <w:rsid w:val="005217F8"/>
    <w:rsid w:val="0052267A"/>
    <w:rsid w:val="005226D4"/>
    <w:rsid w:val="005239DD"/>
    <w:rsid w:val="00523CA1"/>
    <w:rsid w:val="00524A9C"/>
    <w:rsid w:val="00525956"/>
    <w:rsid w:val="005266F4"/>
    <w:rsid w:val="0052675C"/>
    <w:rsid w:val="00526931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73DF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C0E"/>
    <w:rsid w:val="00551F46"/>
    <w:rsid w:val="005544FA"/>
    <w:rsid w:val="00554A33"/>
    <w:rsid w:val="0055525E"/>
    <w:rsid w:val="0055588A"/>
    <w:rsid w:val="0055716D"/>
    <w:rsid w:val="005571A6"/>
    <w:rsid w:val="005572CC"/>
    <w:rsid w:val="00557953"/>
    <w:rsid w:val="005609A0"/>
    <w:rsid w:val="00560E55"/>
    <w:rsid w:val="00561360"/>
    <w:rsid w:val="00562E8F"/>
    <w:rsid w:val="0056301A"/>
    <w:rsid w:val="005635AD"/>
    <w:rsid w:val="005636B0"/>
    <w:rsid w:val="005640E1"/>
    <w:rsid w:val="00564EA1"/>
    <w:rsid w:val="0056534C"/>
    <w:rsid w:val="00566E81"/>
    <w:rsid w:val="005670FC"/>
    <w:rsid w:val="00567CEE"/>
    <w:rsid w:val="0057040F"/>
    <w:rsid w:val="005713F4"/>
    <w:rsid w:val="00571E64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3FDB"/>
    <w:rsid w:val="0058427E"/>
    <w:rsid w:val="005864FA"/>
    <w:rsid w:val="005875A3"/>
    <w:rsid w:val="0058773A"/>
    <w:rsid w:val="00590750"/>
    <w:rsid w:val="00590907"/>
    <w:rsid w:val="00592491"/>
    <w:rsid w:val="0059346F"/>
    <w:rsid w:val="005943C5"/>
    <w:rsid w:val="00594A7B"/>
    <w:rsid w:val="00596C07"/>
    <w:rsid w:val="005976DB"/>
    <w:rsid w:val="00597AA7"/>
    <w:rsid w:val="005A1EAB"/>
    <w:rsid w:val="005A2D82"/>
    <w:rsid w:val="005A3789"/>
    <w:rsid w:val="005A3835"/>
    <w:rsid w:val="005A3AEC"/>
    <w:rsid w:val="005A40C0"/>
    <w:rsid w:val="005A47FE"/>
    <w:rsid w:val="005A6858"/>
    <w:rsid w:val="005A72F2"/>
    <w:rsid w:val="005B2194"/>
    <w:rsid w:val="005B2BC3"/>
    <w:rsid w:val="005B4350"/>
    <w:rsid w:val="005B4CFA"/>
    <w:rsid w:val="005B5B3D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4397"/>
    <w:rsid w:val="005C48CC"/>
    <w:rsid w:val="005C674D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ACE"/>
    <w:rsid w:val="005D3D1E"/>
    <w:rsid w:val="005E06AE"/>
    <w:rsid w:val="005E111B"/>
    <w:rsid w:val="005E12DD"/>
    <w:rsid w:val="005E269C"/>
    <w:rsid w:val="005E2A11"/>
    <w:rsid w:val="005E2C16"/>
    <w:rsid w:val="005E3586"/>
    <w:rsid w:val="005E386D"/>
    <w:rsid w:val="005E3EC0"/>
    <w:rsid w:val="005E4DEE"/>
    <w:rsid w:val="005E5FF1"/>
    <w:rsid w:val="005E6566"/>
    <w:rsid w:val="005E72FB"/>
    <w:rsid w:val="005F01CE"/>
    <w:rsid w:val="005F135B"/>
    <w:rsid w:val="005F3EAB"/>
    <w:rsid w:val="005F42BB"/>
    <w:rsid w:val="005F4E54"/>
    <w:rsid w:val="005F70B6"/>
    <w:rsid w:val="005F7A87"/>
    <w:rsid w:val="005F7BA0"/>
    <w:rsid w:val="005F7F41"/>
    <w:rsid w:val="006011A3"/>
    <w:rsid w:val="006017DF"/>
    <w:rsid w:val="00601F0A"/>
    <w:rsid w:val="00603630"/>
    <w:rsid w:val="0060382E"/>
    <w:rsid w:val="00603CFA"/>
    <w:rsid w:val="00604DBE"/>
    <w:rsid w:val="006061B0"/>
    <w:rsid w:val="006062EA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2F99"/>
    <w:rsid w:val="00613AC9"/>
    <w:rsid w:val="00615808"/>
    <w:rsid w:val="00620E86"/>
    <w:rsid w:val="0062155F"/>
    <w:rsid w:val="006219DD"/>
    <w:rsid w:val="00621D63"/>
    <w:rsid w:val="00622172"/>
    <w:rsid w:val="00623472"/>
    <w:rsid w:val="00623DAF"/>
    <w:rsid w:val="006242BF"/>
    <w:rsid w:val="006246FE"/>
    <w:rsid w:val="0062524C"/>
    <w:rsid w:val="00631FE7"/>
    <w:rsid w:val="006321EA"/>
    <w:rsid w:val="006324E6"/>
    <w:rsid w:val="00632ACC"/>
    <w:rsid w:val="006345C1"/>
    <w:rsid w:val="00634F76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A5"/>
    <w:rsid w:val="00650463"/>
    <w:rsid w:val="006507FD"/>
    <w:rsid w:val="00651660"/>
    <w:rsid w:val="006517B9"/>
    <w:rsid w:val="00651C0A"/>
    <w:rsid w:val="00652171"/>
    <w:rsid w:val="0065227C"/>
    <w:rsid w:val="006523C2"/>
    <w:rsid w:val="00652FFB"/>
    <w:rsid w:val="00653133"/>
    <w:rsid w:val="006532C3"/>
    <w:rsid w:val="00654C9C"/>
    <w:rsid w:val="0065528E"/>
    <w:rsid w:val="00655390"/>
    <w:rsid w:val="006553D9"/>
    <w:rsid w:val="0065606D"/>
    <w:rsid w:val="0065716D"/>
    <w:rsid w:val="00661BD2"/>
    <w:rsid w:val="00662B7A"/>
    <w:rsid w:val="00663B35"/>
    <w:rsid w:val="0066571F"/>
    <w:rsid w:val="00666285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6163"/>
    <w:rsid w:val="00676184"/>
    <w:rsid w:val="006764C4"/>
    <w:rsid w:val="006777E4"/>
    <w:rsid w:val="00677C22"/>
    <w:rsid w:val="006808CC"/>
    <w:rsid w:val="00680AF4"/>
    <w:rsid w:val="00681495"/>
    <w:rsid w:val="00681F18"/>
    <w:rsid w:val="00682F4C"/>
    <w:rsid w:val="00684966"/>
    <w:rsid w:val="006856FD"/>
    <w:rsid w:val="00685899"/>
    <w:rsid w:val="006859DA"/>
    <w:rsid w:val="00686772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A7C96"/>
    <w:rsid w:val="006B0495"/>
    <w:rsid w:val="006B0DCB"/>
    <w:rsid w:val="006B2408"/>
    <w:rsid w:val="006B3AF9"/>
    <w:rsid w:val="006B3C91"/>
    <w:rsid w:val="006B414C"/>
    <w:rsid w:val="006B4B0F"/>
    <w:rsid w:val="006B650F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4D9"/>
    <w:rsid w:val="006D5843"/>
    <w:rsid w:val="006E0A93"/>
    <w:rsid w:val="006E4064"/>
    <w:rsid w:val="006E58EA"/>
    <w:rsid w:val="006E5BF8"/>
    <w:rsid w:val="006F0036"/>
    <w:rsid w:val="006F2F67"/>
    <w:rsid w:val="006F3CA4"/>
    <w:rsid w:val="006F4148"/>
    <w:rsid w:val="006F4DE0"/>
    <w:rsid w:val="006F4FB2"/>
    <w:rsid w:val="006F5E2D"/>
    <w:rsid w:val="006F6483"/>
    <w:rsid w:val="006F6EEB"/>
    <w:rsid w:val="006F7332"/>
    <w:rsid w:val="007025BA"/>
    <w:rsid w:val="0070385B"/>
    <w:rsid w:val="00703981"/>
    <w:rsid w:val="00703A33"/>
    <w:rsid w:val="0070407E"/>
    <w:rsid w:val="0070494F"/>
    <w:rsid w:val="00704969"/>
    <w:rsid w:val="00704BB0"/>
    <w:rsid w:val="00705423"/>
    <w:rsid w:val="00705758"/>
    <w:rsid w:val="00706997"/>
    <w:rsid w:val="0070707A"/>
    <w:rsid w:val="0070717A"/>
    <w:rsid w:val="00707244"/>
    <w:rsid w:val="007129DA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2C19"/>
    <w:rsid w:val="00726C1E"/>
    <w:rsid w:val="00726FEB"/>
    <w:rsid w:val="0072771B"/>
    <w:rsid w:val="00727DC2"/>
    <w:rsid w:val="00731117"/>
    <w:rsid w:val="00731409"/>
    <w:rsid w:val="00731EDD"/>
    <w:rsid w:val="007332C1"/>
    <w:rsid w:val="007334B1"/>
    <w:rsid w:val="007339F3"/>
    <w:rsid w:val="00733EB2"/>
    <w:rsid w:val="00733EF8"/>
    <w:rsid w:val="00734400"/>
    <w:rsid w:val="00734898"/>
    <w:rsid w:val="00737424"/>
    <w:rsid w:val="00737FEC"/>
    <w:rsid w:val="00740292"/>
    <w:rsid w:val="007424E5"/>
    <w:rsid w:val="00742B07"/>
    <w:rsid w:val="00742DB5"/>
    <w:rsid w:val="00744619"/>
    <w:rsid w:val="0075064C"/>
    <w:rsid w:val="00752E39"/>
    <w:rsid w:val="00755956"/>
    <w:rsid w:val="00756AA0"/>
    <w:rsid w:val="00757CE6"/>
    <w:rsid w:val="0076151C"/>
    <w:rsid w:val="007622F8"/>
    <w:rsid w:val="00763097"/>
    <w:rsid w:val="00763A41"/>
    <w:rsid w:val="00764CB0"/>
    <w:rsid w:val="007651A7"/>
    <w:rsid w:val="0076651A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B59"/>
    <w:rsid w:val="00783603"/>
    <w:rsid w:val="00785646"/>
    <w:rsid w:val="00785CF8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71E"/>
    <w:rsid w:val="007B5018"/>
    <w:rsid w:val="007B53E7"/>
    <w:rsid w:val="007B65B3"/>
    <w:rsid w:val="007B6A14"/>
    <w:rsid w:val="007B7287"/>
    <w:rsid w:val="007B7637"/>
    <w:rsid w:val="007B7A70"/>
    <w:rsid w:val="007C08AB"/>
    <w:rsid w:val="007C38F7"/>
    <w:rsid w:val="007C4290"/>
    <w:rsid w:val="007C4E99"/>
    <w:rsid w:val="007C5151"/>
    <w:rsid w:val="007C546B"/>
    <w:rsid w:val="007C5B8D"/>
    <w:rsid w:val="007C670D"/>
    <w:rsid w:val="007C68D2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4655"/>
    <w:rsid w:val="007E4FD0"/>
    <w:rsid w:val="007E50E4"/>
    <w:rsid w:val="007E50F7"/>
    <w:rsid w:val="007E55E0"/>
    <w:rsid w:val="007E5C50"/>
    <w:rsid w:val="007E5DED"/>
    <w:rsid w:val="007F0546"/>
    <w:rsid w:val="007F1DEB"/>
    <w:rsid w:val="007F22A5"/>
    <w:rsid w:val="007F23C6"/>
    <w:rsid w:val="007F2E4B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2DA0"/>
    <w:rsid w:val="00803139"/>
    <w:rsid w:val="008051DE"/>
    <w:rsid w:val="00805659"/>
    <w:rsid w:val="0080593E"/>
    <w:rsid w:val="0080733E"/>
    <w:rsid w:val="00810CC2"/>
    <w:rsid w:val="00812C2A"/>
    <w:rsid w:val="0081324B"/>
    <w:rsid w:val="00813B80"/>
    <w:rsid w:val="0081440E"/>
    <w:rsid w:val="00816193"/>
    <w:rsid w:val="008165E4"/>
    <w:rsid w:val="00823472"/>
    <w:rsid w:val="008234BD"/>
    <w:rsid w:val="00824A8C"/>
    <w:rsid w:val="00825155"/>
    <w:rsid w:val="00825EB9"/>
    <w:rsid w:val="008301B7"/>
    <w:rsid w:val="008303E2"/>
    <w:rsid w:val="00830917"/>
    <w:rsid w:val="00830D99"/>
    <w:rsid w:val="00831B7E"/>
    <w:rsid w:val="00833A8F"/>
    <w:rsid w:val="00833D53"/>
    <w:rsid w:val="008341F8"/>
    <w:rsid w:val="008359F3"/>
    <w:rsid w:val="00835C7F"/>
    <w:rsid w:val="00835DB6"/>
    <w:rsid w:val="00836AC2"/>
    <w:rsid w:val="00837D13"/>
    <w:rsid w:val="0084005B"/>
    <w:rsid w:val="008406D5"/>
    <w:rsid w:val="00843BED"/>
    <w:rsid w:val="008444E7"/>
    <w:rsid w:val="008447C8"/>
    <w:rsid w:val="00844C5B"/>
    <w:rsid w:val="00847B37"/>
    <w:rsid w:val="008501A4"/>
    <w:rsid w:val="008505A1"/>
    <w:rsid w:val="00850817"/>
    <w:rsid w:val="00851D16"/>
    <w:rsid w:val="00851E54"/>
    <w:rsid w:val="0085292E"/>
    <w:rsid w:val="00852B02"/>
    <w:rsid w:val="00853F97"/>
    <w:rsid w:val="0085433A"/>
    <w:rsid w:val="00854A85"/>
    <w:rsid w:val="00854B32"/>
    <w:rsid w:val="00854DD3"/>
    <w:rsid w:val="00855F2B"/>
    <w:rsid w:val="00856252"/>
    <w:rsid w:val="00856C76"/>
    <w:rsid w:val="00857634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2942"/>
    <w:rsid w:val="0087469C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41C8"/>
    <w:rsid w:val="00885367"/>
    <w:rsid w:val="008855A4"/>
    <w:rsid w:val="00885989"/>
    <w:rsid w:val="00887082"/>
    <w:rsid w:val="0088722F"/>
    <w:rsid w:val="00887C8D"/>
    <w:rsid w:val="00887DC7"/>
    <w:rsid w:val="00891FCC"/>
    <w:rsid w:val="00892BB8"/>
    <w:rsid w:val="00893014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1AFD"/>
    <w:rsid w:val="008C25D0"/>
    <w:rsid w:val="008C26D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421A"/>
    <w:rsid w:val="008D5667"/>
    <w:rsid w:val="008D5919"/>
    <w:rsid w:val="008D6F5D"/>
    <w:rsid w:val="008D7CB3"/>
    <w:rsid w:val="008E003A"/>
    <w:rsid w:val="008E15E3"/>
    <w:rsid w:val="008E2045"/>
    <w:rsid w:val="008E4C62"/>
    <w:rsid w:val="008E727E"/>
    <w:rsid w:val="008E72E1"/>
    <w:rsid w:val="008E7D97"/>
    <w:rsid w:val="008F0B17"/>
    <w:rsid w:val="008F2902"/>
    <w:rsid w:val="008F3912"/>
    <w:rsid w:val="008F4047"/>
    <w:rsid w:val="008F4111"/>
    <w:rsid w:val="008F4593"/>
    <w:rsid w:val="008F660B"/>
    <w:rsid w:val="008F695F"/>
    <w:rsid w:val="009005CE"/>
    <w:rsid w:val="00900CF2"/>
    <w:rsid w:val="00901376"/>
    <w:rsid w:val="0090188B"/>
    <w:rsid w:val="009021A4"/>
    <w:rsid w:val="00902A54"/>
    <w:rsid w:val="00903309"/>
    <w:rsid w:val="00904305"/>
    <w:rsid w:val="00904362"/>
    <w:rsid w:val="0090441C"/>
    <w:rsid w:val="00904986"/>
    <w:rsid w:val="00904EC5"/>
    <w:rsid w:val="00912C43"/>
    <w:rsid w:val="0091308F"/>
    <w:rsid w:val="0091406E"/>
    <w:rsid w:val="009149EC"/>
    <w:rsid w:val="00914B48"/>
    <w:rsid w:val="0091511B"/>
    <w:rsid w:val="00916A57"/>
    <w:rsid w:val="009172D7"/>
    <w:rsid w:val="00917AFB"/>
    <w:rsid w:val="00917B6F"/>
    <w:rsid w:val="00917E84"/>
    <w:rsid w:val="00922061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4BAF"/>
    <w:rsid w:val="00934F6D"/>
    <w:rsid w:val="00935493"/>
    <w:rsid w:val="00935C40"/>
    <w:rsid w:val="00935F4D"/>
    <w:rsid w:val="009361D3"/>
    <w:rsid w:val="009373EF"/>
    <w:rsid w:val="009377EA"/>
    <w:rsid w:val="0093795C"/>
    <w:rsid w:val="00937DCB"/>
    <w:rsid w:val="00937F7E"/>
    <w:rsid w:val="00940576"/>
    <w:rsid w:val="009440DE"/>
    <w:rsid w:val="0094429F"/>
    <w:rsid w:val="009444E6"/>
    <w:rsid w:val="00944A8E"/>
    <w:rsid w:val="009455E6"/>
    <w:rsid w:val="0094589B"/>
    <w:rsid w:val="00950775"/>
    <w:rsid w:val="009509C0"/>
    <w:rsid w:val="00952B9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559"/>
    <w:rsid w:val="00964BE5"/>
    <w:rsid w:val="009652B6"/>
    <w:rsid w:val="0096655D"/>
    <w:rsid w:val="00970E8A"/>
    <w:rsid w:val="00971139"/>
    <w:rsid w:val="00971F5D"/>
    <w:rsid w:val="00972B10"/>
    <w:rsid w:val="0097401F"/>
    <w:rsid w:val="0097465C"/>
    <w:rsid w:val="00975E28"/>
    <w:rsid w:val="00976F32"/>
    <w:rsid w:val="00981FA0"/>
    <w:rsid w:val="0098263A"/>
    <w:rsid w:val="00983541"/>
    <w:rsid w:val="00984366"/>
    <w:rsid w:val="009848A7"/>
    <w:rsid w:val="00984E80"/>
    <w:rsid w:val="0098690F"/>
    <w:rsid w:val="009870A0"/>
    <w:rsid w:val="00987994"/>
    <w:rsid w:val="00987C66"/>
    <w:rsid w:val="00987EE5"/>
    <w:rsid w:val="009900F0"/>
    <w:rsid w:val="00991CD8"/>
    <w:rsid w:val="00991EBE"/>
    <w:rsid w:val="009928B3"/>
    <w:rsid w:val="00992B6B"/>
    <w:rsid w:val="00992C88"/>
    <w:rsid w:val="00993C2E"/>
    <w:rsid w:val="00993D33"/>
    <w:rsid w:val="00994618"/>
    <w:rsid w:val="00997905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A4241"/>
    <w:rsid w:val="009B1B10"/>
    <w:rsid w:val="009B2FB9"/>
    <w:rsid w:val="009B3134"/>
    <w:rsid w:val="009B4598"/>
    <w:rsid w:val="009B5D6F"/>
    <w:rsid w:val="009B62AF"/>
    <w:rsid w:val="009B6745"/>
    <w:rsid w:val="009B68AF"/>
    <w:rsid w:val="009B74EA"/>
    <w:rsid w:val="009B7AB9"/>
    <w:rsid w:val="009C33CA"/>
    <w:rsid w:val="009C4B6D"/>
    <w:rsid w:val="009C6ECD"/>
    <w:rsid w:val="009C72E6"/>
    <w:rsid w:val="009D0928"/>
    <w:rsid w:val="009D1B99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3B5A"/>
    <w:rsid w:val="009E3E85"/>
    <w:rsid w:val="009E488C"/>
    <w:rsid w:val="009E5105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2A53"/>
    <w:rsid w:val="00A033FF"/>
    <w:rsid w:val="00A0409E"/>
    <w:rsid w:val="00A046C7"/>
    <w:rsid w:val="00A04E2C"/>
    <w:rsid w:val="00A04EDA"/>
    <w:rsid w:val="00A06137"/>
    <w:rsid w:val="00A063FE"/>
    <w:rsid w:val="00A06EDB"/>
    <w:rsid w:val="00A07ACC"/>
    <w:rsid w:val="00A11259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B7C"/>
    <w:rsid w:val="00A236A1"/>
    <w:rsid w:val="00A239A8"/>
    <w:rsid w:val="00A24599"/>
    <w:rsid w:val="00A25B79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1D00"/>
    <w:rsid w:val="00A422EE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B4C"/>
    <w:rsid w:val="00A6526F"/>
    <w:rsid w:val="00A6604B"/>
    <w:rsid w:val="00A664AD"/>
    <w:rsid w:val="00A664E7"/>
    <w:rsid w:val="00A66E7F"/>
    <w:rsid w:val="00A673A7"/>
    <w:rsid w:val="00A67917"/>
    <w:rsid w:val="00A679B0"/>
    <w:rsid w:val="00A67F19"/>
    <w:rsid w:val="00A70904"/>
    <w:rsid w:val="00A709BB"/>
    <w:rsid w:val="00A72239"/>
    <w:rsid w:val="00A740EA"/>
    <w:rsid w:val="00A74597"/>
    <w:rsid w:val="00A756FE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874"/>
    <w:rsid w:val="00AA0C5B"/>
    <w:rsid w:val="00AA1110"/>
    <w:rsid w:val="00AA1377"/>
    <w:rsid w:val="00AA1D1B"/>
    <w:rsid w:val="00AA2167"/>
    <w:rsid w:val="00AA34B8"/>
    <w:rsid w:val="00AA421C"/>
    <w:rsid w:val="00AA49AF"/>
    <w:rsid w:val="00AA4F2F"/>
    <w:rsid w:val="00AA57CE"/>
    <w:rsid w:val="00AA5ADC"/>
    <w:rsid w:val="00AA5E45"/>
    <w:rsid w:val="00AA6E1B"/>
    <w:rsid w:val="00AA7211"/>
    <w:rsid w:val="00AA7540"/>
    <w:rsid w:val="00AA780F"/>
    <w:rsid w:val="00AB0B9C"/>
    <w:rsid w:val="00AB1BB4"/>
    <w:rsid w:val="00AB2A85"/>
    <w:rsid w:val="00AB3E6B"/>
    <w:rsid w:val="00AB4D0B"/>
    <w:rsid w:val="00AB51C8"/>
    <w:rsid w:val="00AB5586"/>
    <w:rsid w:val="00AB6406"/>
    <w:rsid w:val="00AB65B4"/>
    <w:rsid w:val="00AB6842"/>
    <w:rsid w:val="00AB7B25"/>
    <w:rsid w:val="00AC0BAE"/>
    <w:rsid w:val="00AC0E78"/>
    <w:rsid w:val="00AC126F"/>
    <w:rsid w:val="00AC13F7"/>
    <w:rsid w:val="00AC1BD7"/>
    <w:rsid w:val="00AC2005"/>
    <w:rsid w:val="00AC3256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83D"/>
    <w:rsid w:val="00AD3920"/>
    <w:rsid w:val="00AD5922"/>
    <w:rsid w:val="00AD5F80"/>
    <w:rsid w:val="00AD6555"/>
    <w:rsid w:val="00AD6F4A"/>
    <w:rsid w:val="00AE05EA"/>
    <w:rsid w:val="00AE0EDF"/>
    <w:rsid w:val="00AE1128"/>
    <w:rsid w:val="00AE14F4"/>
    <w:rsid w:val="00AE1AB0"/>
    <w:rsid w:val="00AE1DF8"/>
    <w:rsid w:val="00AE1E9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A40"/>
    <w:rsid w:val="00AF20FB"/>
    <w:rsid w:val="00AF37F7"/>
    <w:rsid w:val="00AF4BF4"/>
    <w:rsid w:val="00AF551F"/>
    <w:rsid w:val="00AF5706"/>
    <w:rsid w:val="00B0025D"/>
    <w:rsid w:val="00B006D8"/>
    <w:rsid w:val="00B02238"/>
    <w:rsid w:val="00B035B0"/>
    <w:rsid w:val="00B03D35"/>
    <w:rsid w:val="00B0487B"/>
    <w:rsid w:val="00B05065"/>
    <w:rsid w:val="00B05194"/>
    <w:rsid w:val="00B0688D"/>
    <w:rsid w:val="00B06AA0"/>
    <w:rsid w:val="00B06B45"/>
    <w:rsid w:val="00B06D33"/>
    <w:rsid w:val="00B074B3"/>
    <w:rsid w:val="00B10AD8"/>
    <w:rsid w:val="00B13DA6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75CB"/>
    <w:rsid w:val="00B4794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5D4A"/>
    <w:rsid w:val="00B56396"/>
    <w:rsid w:val="00B5639B"/>
    <w:rsid w:val="00B60C3E"/>
    <w:rsid w:val="00B615CB"/>
    <w:rsid w:val="00B61E41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2EBB"/>
    <w:rsid w:val="00B73288"/>
    <w:rsid w:val="00B74FE2"/>
    <w:rsid w:val="00B763BE"/>
    <w:rsid w:val="00B7749A"/>
    <w:rsid w:val="00B779BB"/>
    <w:rsid w:val="00B77B07"/>
    <w:rsid w:val="00B77BB8"/>
    <w:rsid w:val="00B800EC"/>
    <w:rsid w:val="00B81718"/>
    <w:rsid w:val="00B85A97"/>
    <w:rsid w:val="00B86278"/>
    <w:rsid w:val="00B86AF6"/>
    <w:rsid w:val="00B86E2A"/>
    <w:rsid w:val="00B877AA"/>
    <w:rsid w:val="00B87E3D"/>
    <w:rsid w:val="00B909E7"/>
    <w:rsid w:val="00B9389E"/>
    <w:rsid w:val="00B94EB5"/>
    <w:rsid w:val="00B966FB"/>
    <w:rsid w:val="00B96EA4"/>
    <w:rsid w:val="00B97282"/>
    <w:rsid w:val="00B97A3E"/>
    <w:rsid w:val="00B97A65"/>
    <w:rsid w:val="00BA101D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3D0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4DD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80D"/>
    <w:rsid w:val="00C24162"/>
    <w:rsid w:val="00C24E78"/>
    <w:rsid w:val="00C2509D"/>
    <w:rsid w:val="00C26C06"/>
    <w:rsid w:val="00C2796E"/>
    <w:rsid w:val="00C27A2E"/>
    <w:rsid w:val="00C302BD"/>
    <w:rsid w:val="00C32176"/>
    <w:rsid w:val="00C344DC"/>
    <w:rsid w:val="00C34ABD"/>
    <w:rsid w:val="00C353CF"/>
    <w:rsid w:val="00C35F43"/>
    <w:rsid w:val="00C363A9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801"/>
    <w:rsid w:val="00C44A07"/>
    <w:rsid w:val="00C44BDC"/>
    <w:rsid w:val="00C45BFB"/>
    <w:rsid w:val="00C45DCE"/>
    <w:rsid w:val="00C46085"/>
    <w:rsid w:val="00C46D15"/>
    <w:rsid w:val="00C50C7D"/>
    <w:rsid w:val="00C50FF9"/>
    <w:rsid w:val="00C52889"/>
    <w:rsid w:val="00C54B14"/>
    <w:rsid w:val="00C56C58"/>
    <w:rsid w:val="00C60320"/>
    <w:rsid w:val="00C60A94"/>
    <w:rsid w:val="00C6352A"/>
    <w:rsid w:val="00C64538"/>
    <w:rsid w:val="00C65B2D"/>
    <w:rsid w:val="00C65C5D"/>
    <w:rsid w:val="00C65DA0"/>
    <w:rsid w:val="00C6656A"/>
    <w:rsid w:val="00C66C03"/>
    <w:rsid w:val="00C711E5"/>
    <w:rsid w:val="00C72816"/>
    <w:rsid w:val="00C730CB"/>
    <w:rsid w:val="00C731FC"/>
    <w:rsid w:val="00C73586"/>
    <w:rsid w:val="00C73782"/>
    <w:rsid w:val="00C74107"/>
    <w:rsid w:val="00C80B7F"/>
    <w:rsid w:val="00C80D90"/>
    <w:rsid w:val="00C81B05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6716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3DB8"/>
    <w:rsid w:val="00CD407F"/>
    <w:rsid w:val="00CD4ED2"/>
    <w:rsid w:val="00CD5740"/>
    <w:rsid w:val="00CD6E49"/>
    <w:rsid w:val="00CD7420"/>
    <w:rsid w:val="00CD799F"/>
    <w:rsid w:val="00CE0137"/>
    <w:rsid w:val="00CE0BA7"/>
    <w:rsid w:val="00CE2FAA"/>
    <w:rsid w:val="00CE36EF"/>
    <w:rsid w:val="00CE3FC3"/>
    <w:rsid w:val="00CE552B"/>
    <w:rsid w:val="00CE6ACB"/>
    <w:rsid w:val="00CE6D09"/>
    <w:rsid w:val="00CE72DC"/>
    <w:rsid w:val="00CF0E4D"/>
    <w:rsid w:val="00CF19C6"/>
    <w:rsid w:val="00CF230D"/>
    <w:rsid w:val="00CF2A98"/>
    <w:rsid w:val="00CF5489"/>
    <w:rsid w:val="00CF7615"/>
    <w:rsid w:val="00CF7796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581"/>
    <w:rsid w:val="00D07739"/>
    <w:rsid w:val="00D10769"/>
    <w:rsid w:val="00D11642"/>
    <w:rsid w:val="00D116C7"/>
    <w:rsid w:val="00D13AC5"/>
    <w:rsid w:val="00D149CF"/>
    <w:rsid w:val="00D14A15"/>
    <w:rsid w:val="00D14C59"/>
    <w:rsid w:val="00D14E5F"/>
    <w:rsid w:val="00D14FB2"/>
    <w:rsid w:val="00D15B6C"/>
    <w:rsid w:val="00D164EA"/>
    <w:rsid w:val="00D16754"/>
    <w:rsid w:val="00D17548"/>
    <w:rsid w:val="00D17604"/>
    <w:rsid w:val="00D17CC6"/>
    <w:rsid w:val="00D2041E"/>
    <w:rsid w:val="00D20454"/>
    <w:rsid w:val="00D20D10"/>
    <w:rsid w:val="00D2153B"/>
    <w:rsid w:val="00D23801"/>
    <w:rsid w:val="00D25AEC"/>
    <w:rsid w:val="00D25B2F"/>
    <w:rsid w:val="00D27D36"/>
    <w:rsid w:val="00D27E9B"/>
    <w:rsid w:val="00D3037E"/>
    <w:rsid w:val="00D305AC"/>
    <w:rsid w:val="00D31FFD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33A"/>
    <w:rsid w:val="00D43E3F"/>
    <w:rsid w:val="00D44B3D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63B"/>
    <w:rsid w:val="00D630E7"/>
    <w:rsid w:val="00D640BA"/>
    <w:rsid w:val="00D6444B"/>
    <w:rsid w:val="00D64C56"/>
    <w:rsid w:val="00D66410"/>
    <w:rsid w:val="00D66F17"/>
    <w:rsid w:val="00D700E5"/>
    <w:rsid w:val="00D70900"/>
    <w:rsid w:val="00D71B77"/>
    <w:rsid w:val="00D725CA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414C"/>
    <w:rsid w:val="00D844B1"/>
    <w:rsid w:val="00D86C20"/>
    <w:rsid w:val="00D86DD4"/>
    <w:rsid w:val="00D90998"/>
    <w:rsid w:val="00D909BB"/>
    <w:rsid w:val="00D91D92"/>
    <w:rsid w:val="00D92529"/>
    <w:rsid w:val="00D92870"/>
    <w:rsid w:val="00D94BD0"/>
    <w:rsid w:val="00D973C9"/>
    <w:rsid w:val="00DA1613"/>
    <w:rsid w:val="00DA29C5"/>
    <w:rsid w:val="00DA330A"/>
    <w:rsid w:val="00DA5AAB"/>
    <w:rsid w:val="00DA671A"/>
    <w:rsid w:val="00DA6858"/>
    <w:rsid w:val="00DA7233"/>
    <w:rsid w:val="00DA7CBB"/>
    <w:rsid w:val="00DB08FA"/>
    <w:rsid w:val="00DB1CD7"/>
    <w:rsid w:val="00DB2086"/>
    <w:rsid w:val="00DB2651"/>
    <w:rsid w:val="00DB2A1C"/>
    <w:rsid w:val="00DB30B1"/>
    <w:rsid w:val="00DB31FF"/>
    <w:rsid w:val="00DB3ECD"/>
    <w:rsid w:val="00DB4717"/>
    <w:rsid w:val="00DB79D5"/>
    <w:rsid w:val="00DC00E8"/>
    <w:rsid w:val="00DC0F8C"/>
    <w:rsid w:val="00DC12C8"/>
    <w:rsid w:val="00DC36E8"/>
    <w:rsid w:val="00DC5C68"/>
    <w:rsid w:val="00DC6AB5"/>
    <w:rsid w:val="00DC6F31"/>
    <w:rsid w:val="00DC7004"/>
    <w:rsid w:val="00DC7FFD"/>
    <w:rsid w:val="00DD0277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5039"/>
    <w:rsid w:val="00DE5414"/>
    <w:rsid w:val="00DE552E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ACC"/>
    <w:rsid w:val="00DF5CF7"/>
    <w:rsid w:val="00DF6A93"/>
    <w:rsid w:val="00DF75EC"/>
    <w:rsid w:val="00DF7D56"/>
    <w:rsid w:val="00E002D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62D"/>
    <w:rsid w:val="00E1273C"/>
    <w:rsid w:val="00E128A2"/>
    <w:rsid w:val="00E1434A"/>
    <w:rsid w:val="00E146CF"/>
    <w:rsid w:val="00E14BED"/>
    <w:rsid w:val="00E15BA6"/>
    <w:rsid w:val="00E17711"/>
    <w:rsid w:val="00E211F7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2AD"/>
    <w:rsid w:val="00E30431"/>
    <w:rsid w:val="00E304EB"/>
    <w:rsid w:val="00E329D0"/>
    <w:rsid w:val="00E330AD"/>
    <w:rsid w:val="00E33746"/>
    <w:rsid w:val="00E342B3"/>
    <w:rsid w:val="00E3451F"/>
    <w:rsid w:val="00E3469B"/>
    <w:rsid w:val="00E34B80"/>
    <w:rsid w:val="00E36ADF"/>
    <w:rsid w:val="00E36B53"/>
    <w:rsid w:val="00E37585"/>
    <w:rsid w:val="00E40652"/>
    <w:rsid w:val="00E41B64"/>
    <w:rsid w:val="00E4203F"/>
    <w:rsid w:val="00E422B5"/>
    <w:rsid w:val="00E42C35"/>
    <w:rsid w:val="00E43E70"/>
    <w:rsid w:val="00E447D5"/>
    <w:rsid w:val="00E44995"/>
    <w:rsid w:val="00E469D5"/>
    <w:rsid w:val="00E46CD5"/>
    <w:rsid w:val="00E500D9"/>
    <w:rsid w:val="00E51AB5"/>
    <w:rsid w:val="00E51DFD"/>
    <w:rsid w:val="00E52345"/>
    <w:rsid w:val="00E52763"/>
    <w:rsid w:val="00E53948"/>
    <w:rsid w:val="00E5411A"/>
    <w:rsid w:val="00E5619A"/>
    <w:rsid w:val="00E563AE"/>
    <w:rsid w:val="00E565F4"/>
    <w:rsid w:val="00E568D9"/>
    <w:rsid w:val="00E60B3B"/>
    <w:rsid w:val="00E61029"/>
    <w:rsid w:val="00E62BF6"/>
    <w:rsid w:val="00E638B2"/>
    <w:rsid w:val="00E64A96"/>
    <w:rsid w:val="00E65B70"/>
    <w:rsid w:val="00E66288"/>
    <w:rsid w:val="00E662CD"/>
    <w:rsid w:val="00E67427"/>
    <w:rsid w:val="00E676F1"/>
    <w:rsid w:val="00E70088"/>
    <w:rsid w:val="00E705FE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76AFC"/>
    <w:rsid w:val="00E80278"/>
    <w:rsid w:val="00E80724"/>
    <w:rsid w:val="00E814F5"/>
    <w:rsid w:val="00E82556"/>
    <w:rsid w:val="00E83A40"/>
    <w:rsid w:val="00E85288"/>
    <w:rsid w:val="00E85CBE"/>
    <w:rsid w:val="00E86566"/>
    <w:rsid w:val="00E875F5"/>
    <w:rsid w:val="00E905D8"/>
    <w:rsid w:val="00E906F6"/>
    <w:rsid w:val="00E92527"/>
    <w:rsid w:val="00E92A93"/>
    <w:rsid w:val="00E93620"/>
    <w:rsid w:val="00E959A0"/>
    <w:rsid w:val="00E969FC"/>
    <w:rsid w:val="00E97045"/>
    <w:rsid w:val="00E97DA3"/>
    <w:rsid w:val="00EA1086"/>
    <w:rsid w:val="00EA270C"/>
    <w:rsid w:val="00EA3185"/>
    <w:rsid w:val="00EA36EA"/>
    <w:rsid w:val="00EA443F"/>
    <w:rsid w:val="00EA466B"/>
    <w:rsid w:val="00EA5CB5"/>
    <w:rsid w:val="00EA5CF4"/>
    <w:rsid w:val="00EA72FC"/>
    <w:rsid w:val="00EB09B9"/>
    <w:rsid w:val="00EB3404"/>
    <w:rsid w:val="00EB3599"/>
    <w:rsid w:val="00EB3C52"/>
    <w:rsid w:val="00EB5799"/>
    <w:rsid w:val="00EB76F7"/>
    <w:rsid w:val="00EB7CB1"/>
    <w:rsid w:val="00EC01B9"/>
    <w:rsid w:val="00EC0569"/>
    <w:rsid w:val="00EC084D"/>
    <w:rsid w:val="00EC0C7B"/>
    <w:rsid w:val="00EC1C35"/>
    <w:rsid w:val="00EC1F63"/>
    <w:rsid w:val="00EC358F"/>
    <w:rsid w:val="00EC5C49"/>
    <w:rsid w:val="00EC5E45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4685"/>
    <w:rsid w:val="00EF4FEE"/>
    <w:rsid w:val="00EF6873"/>
    <w:rsid w:val="00EF6F24"/>
    <w:rsid w:val="00EF7143"/>
    <w:rsid w:val="00F0080B"/>
    <w:rsid w:val="00F00BE1"/>
    <w:rsid w:val="00F01B31"/>
    <w:rsid w:val="00F02D9C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3137"/>
    <w:rsid w:val="00F14C13"/>
    <w:rsid w:val="00F211DE"/>
    <w:rsid w:val="00F2254A"/>
    <w:rsid w:val="00F22EDB"/>
    <w:rsid w:val="00F23570"/>
    <w:rsid w:val="00F24232"/>
    <w:rsid w:val="00F24E8D"/>
    <w:rsid w:val="00F2526C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CD"/>
    <w:rsid w:val="00F341B5"/>
    <w:rsid w:val="00F341CC"/>
    <w:rsid w:val="00F342DC"/>
    <w:rsid w:val="00F34E67"/>
    <w:rsid w:val="00F36B6C"/>
    <w:rsid w:val="00F36D10"/>
    <w:rsid w:val="00F37566"/>
    <w:rsid w:val="00F37C18"/>
    <w:rsid w:val="00F37E5B"/>
    <w:rsid w:val="00F40CAB"/>
    <w:rsid w:val="00F4352E"/>
    <w:rsid w:val="00F43960"/>
    <w:rsid w:val="00F43C3C"/>
    <w:rsid w:val="00F459C7"/>
    <w:rsid w:val="00F45D8C"/>
    <w:rsid w:val="00F47C5C"/>
    <w:rsid w:val="00F50173"/>
    <w:rsid w:val="00F53166"/>
    <w:rsid w:val="00F54856"/>
    <w:rsid w:val="00F55337"/>
    <w:rsid w:val="00F5539B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3930"/>
    <w:rsid w:val="00F759AD"/>
    <w:rsid w:val="00F765E8"/>
    <w:rsid w:val="00F7768D"/>
    <w:rsid w:val="00F80F3C"/>
    <w:rsid w:val="00F8200C"/>
    <w:rsid w:val="00F856F0"/>
    <w:rsid w:val="00F85D77"/>
    <w:rsid w:val="00F86D88"/>
    <w:rsid w:val="00F87FA7"/>
    <w:rsid w:val="00F9002C"/>
    <w:rsid w:val="00F90898"/>
    <w:rsid w:val="00F911DD"/>
    <w:rsid w:val="00F914C8"/>
    <w:rsid w:val="00F914EA"/>
    <w:rsid w:val="00F91CC0"/>
    <w:rsid w:val="00F92EAE"/>
    <w:rsid w:val="00F92EEE"/>
    <w:rsid w:val="00F9473C"/>
    <w:rsid w:val="00F947A1"/>
    <w:rsid w:val="00FA0942"/>
    <w:rsid w:val="00FA40A3"/>
    <w:rsid w:val="00FA427F"/>
    <w:rsid w:val="00FA45CD"/>
    <w:rsid w:val="00FA5B17"/>
    <w:rsid w:val="00FA6924"/>
    <w:rsid w:val="00FB2DE1"/>
    <w:rsid w:val="00FB33FA"/>
    <w:rsid w:val="00FB3B56"/>
    <w:rsid w:val="00FB3BA6"/>
    <w:rsid w:val="00FB4D65"/>
    <w:rsid w:val="00FB56CA"/>
    <w:rsid w:val="00FB5954"/>
    <w:rsid w:val="00FB6695"/>
    <w:rsid w:val="00FC0253"/>
    <w:rsid w:val="00FC085C"/>
    <w:rsid w:val="00FC0CDF"/>
    <w:rsid w:val="00FC0D7C"/>
    <w:rsid w:val="00FC163A"/>
    <w:rsid w:val="00FC183A"/>
    <w:rsid w:val="00FC19F5"/>
    <w:rsid w:val="00FC3D1C"/>
    <w:rsid w:val="00FC51C4"/>
    <w:rsid w:val="00FC5656"/>
    <w:rsid w:val="00FC5F90"/>
    <w:rsid w:val="00FC64F3"/>
    <w:rsid w:val="00FC72E0"/>
    <w:rsid w:val="00FD08A7"/>
    <w:rsid w:val="00FD1295"/>
    <w:rsid w:val="00FD29E9"/>
    <w:rsid w:val="00FD2E55"/>
    <w:rsid w:val="00FD2FA9"/>
    <w:rsid w:val="00FD3572"/>
    <w:rsid w:val="00FD36D4"/>
    <w:rsid w:val="00FD510B"/>
    <w:rsid w:val="00FD5360"/>
    <w:rsid w:val="00FD54CC"/>
    <w:rsid w:val="00FE06A2"/>
    <w:rsid w:val="00FE0CE6"/>
    <w:rsid w:val="00FE169D"/>
    <w:rsid w:val="00FE28C8"/>
    <w:rsid w:val="00FE2C3A"/>
    <w:rsid w:val="00FE4CFC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22C2"/>
    <w:rsid w:val="00FF23FB"/>
    <w:rsid w:val="00FF3298"/>
    <w:rsid w:val="00FF334E"/>
    <w:rsid w:val="00FF394B"/>
    <w:rsid w:val="00FF6F14"/>
    <w:rsid w:val="00FF772A"/>
    <w:rsid w:val="00FF77BD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3077BDA-ADD0-45D3-A266-1ED3D4A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E178-4E16-4737-85A9-1B04AC53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2886</Words>
  <Characters>15590</Characters>
  <Application>Microsoft Office Word</Application>
  <DocSecurity>4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18440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2012-05-08T13:56:00Z</cp:lastPrinted>
  <dcterms:created xsi:type="dcterms:W3CDTF">2015-05-07T12:45:00Z</dcterms:created>
  <dcterms:modified xsi:type="dcterms:W3CDTF">2015-05-07T12:45:00Z</dcterms:modified>
</cp:coreProperties>
</file>