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62" w:rsidRPr="00B779BB" w:rsidRDefault="009444E6" w:rsidP="0057040F">
      <w:pPr>
        <w:pStyle w:val="Ttulo8"/>
        <w:tabs>
          <w:tab w:val="right" w:pos="4423"/>
        </w:tabs>
        <w:spacing w:before="0" w:after="0"/>
        <w:ind w:left="0"/>
        <w:rPr>
          <w:rFonts w:ascii="Times New Roman" w:hAnsi="Times New Roman"/>
          <w:b/>
          <w:i w:val="0"/>
          <w:color w:val="000000"/>
          <w:sz w:val="22"/>
          <w:szCs w:val="22"/>
        </w:rPr>
      </w:pPr>
      <w:bookmarkStart w:id="0" w:name="_GoBack"/>
      <w:bookmarkEnd w:id="0"/>
      <w:r w:rsidRPr="00B779BB">
        <w:rPr>
          <w:rFonts w:ascii="Times New Roman" w:hAnsi="Times New Roman"/>
          <w:b/>
          <w:i w:val="0"/>
          <w:color w:val="000000"/>
          <w:sz w:val="22"/>
          <w:szCs w:val="22"/>
        </w:rPr>
        <w:t>Sess</w:t>
      </w:r>
      <w:r w:rsidR="00422BF5" w:rsidRPr="00B779BB">
        <w:rPr>
          <w:rFonts w:ascii="Times New Roman" w:hAnsi="Times New Roman"/>
          <w:b/>
          <w:i w:val="0"/>
          <w:color w:val="000000"/>
          <w:sz w:val="22"/>
          <w:szCs w:val="22"/>
        </w:rPr>
        <w:t>ões</w:t>
      </w:r>
      <w:r w:rsidRPr="00B779BB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: </w:t>
      </w:r>
      <w:r w:rsidR="00EB5799" w:rsidRPr="00B779BB">
        <w:rPr>
          <w:rFonts w:ascii="Times New Roman" w:hAnsi="Times New Roman"/>
          <w:b/>
          <w:i w:val="0"/>
          <w:color w:val="000000"/>
          <w:sz w:val="22"/>
          <w:szCs w:val="22"/>
        </w:rPr>
        <w:t>27</w:t>
      </w:r>
      <w:r w:rsidR="00422BF5" w:rsidRPr="00B779BB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 e </w:t>
      </w:r>
      <w:r w:rsidR="00EB5799" w:rsidRPr="00B779BB">
        <w:rPr>
          <w:rFonts w:ascii="Times New Roman" w:hAnsi="Times New Roman"/>
          <w:b/>
          <w:i w:val="0"/>
          <w:color w:val="000000"/>
          <w:sz w:val="22"/>
          <w:szCs w:val="22"/>
        </w:rPr>
        <w:t>28</w:t>
      </w:r>
      <w:r w:rsidR="00F34E67" w:rsidRPr="00B779BB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 </w:t>
      </w:r>
      <w:r w:rsidR="00AE591D" w:rsidRPr="00B779BB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de </w:t>
      </w:r>
      <w:r w:rsidR="00422BF5" w:rsidRPr="00B779BB">
        <w:rPr>
          <w:rFonts w:ascii="Times New Roman" w:hAnsi="Times New Roman"/>
          <w:b/>
          <w:i w:val="0"/>
          <w:color w:val="000000"/>
          <w:sz w:val="22"/>
          <w:szCs w:val="22"/>
        </w:rPr>
        <w:t>março</w:t>
      </w:r>
      <w:r w:rsidR="00025753" w:rsidRPr="00B779BB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 </w:t>
      </w:r>
      <w:r w:rsidRPr="00B779BB">
        <w:rPr>
          <w:rFonts w:ascii="Times New Roman" w:hAnsi="Times New Roman"/>
          <w:b/>
          <w:i w:val="0"/>
          <w:color w:val="000000"/>
          <w:sz w:val="22"/>
          <w:szCs w:val="22"/>
        </w:rPr>
        <w:t>de 201</w:t>
      </w:r>
      <w:r w:rsidR="00025753" w:rsidRPr="00B779BB">
        <w:rPr>
          <w:rFonts w:ascii="Times New Roman" w:hAnsi="Times New Roman"/>
          <w:b/>
          <w:i w:val="0"/>
          <w:color w:val="000000"/>
          <w:sz w:val="22"/>
          <w:szCs w:val="22"/>
        </w:rPr>
        <w:t>2</w:t>
      </w:r>
    </w:p>
    <w:p w:rsidR="002D35F5" w:rsidRPr="00B779BB" w:rsidRDefault="002D35F5" w:rsidP="0057040F">
      <w:pPr>
        <w:pStyle w:val="Corpodetexto2"/>
        <w:spacing w:after="0" w:line="240" w:lineRule="auto"/>
        <w:ind w:left="0"/>
        <w:rPr>
          <w:sz w:val="22"/>
          <w:szCs w:val="22"/>
        </w:rPr>
      </w:pPr>
      <w:r w:rsidRPr="00B779BB">
        <w:rPr>
          <w:sz w:val="22"/>
          <w:szCs w:val="22"/>
        </w:rPr>
        <w:t>Este Informativo, elaborado a partir das deliberações tomadas pelo Tribunal nas sessões de julgamento das Câmaras e do Plenário, contém resumos de algumas decisões proferidas nas datas acima indicadas, relativas a licitações e contratos, e tem por finalidade facilitar o acompanhamento, pelo leitor, da jurisprudência do TCU quanto aos aspectos relevantes que envolvem o tema. Por esse motivo, a seleção das decisões que constam do Informativo é feita pela Secretaria das Sessões, levando em consideração ao menos um dos seguintes fatores: ineditismo da deliberação, discussão no colegiado ou reiteração de entendimento importante. Os resumos apresentados no Informativo não são repositórios oficiais de jurisprudência.</w:t>
      </w:r>
    </w:p>
    <w:p w:rsidR="00F672F1" w:rsidRPr="00B779BB" w:rsidRDefault="002D35F5" w:rsidP="00607E96">
      <w:pPr>
        <w:pBdr>
          <w:top w:val="threeDEmboss" w:sz="24" w:space="5" w:color="auto"/>
        </w:pBdr>
        <w:tabs>
          <w:tab w:val="left" w:pos="284"/>
        </w:tabs>
        <w:spacing w:beforeLines="60" w:before="144" w:after="0"/>
        <w:ind w:left="0"/>
        <w:jc w:val="center"/>
        <w:rPr>
          <w:b/>
          <w:bCs/>
          <w:smallCaps/>
          <w:sz w:val="22"/>
          <w:szCs w:val="22"/>
        </w:rPr>
      </w:pPr>
      <w:r w:rsidRPr="00B779BB">
        <w:rPr>
          <w:b/>
          <w:bCs/>
          <w:smallCaps/>
          <w:sz w:val="22"/>
          <w:szCs w:val="22"/>
        </w:rPr>
        <w:t>S</w:t>
      </w:r>
      <w:r w:rsidR="00FF7C62" w:rsidRPr="00B779BB">
        <w:rPr>
          <w:b/>
          <w:bCs/>
          <w:smallCaps/>
          <w:sz w:val="22"/>
          <w:szCs w:val="22"/>
        </w:rPr>
        <w:t>UMÁRIO</w:t>
      </w:r>
    </w:p>
    <w:p w:rsidR="00F672F1" w:rsidRPr="00B779BB" w:rsidRDefault="00F672F1" w:rsidP="0057040F">
      <w:pPr>
        <w:autoSpaceDE w:val="0"/>
        <w:autoSpaceDN w:val="0"/>
        <w:adjustRightInd w:val="0"/>
        <w:spacing w:before="60" w:after="0"/>
        <w:ind w:left="0"/>
        <w:rPr>
          <w:b/>
          <w:sz w:val="22"/>
          <w:szCs w:val="22"/>
          <w:lang w:eastAsia="pt-BR"/>
        </w:rPr>
      </w:pPr>
      <w:r w:rsidRPr="00B779BB">
        <w:rPr>
          <w:b/>
          <w:sz w:val="22"/>
          <w:szCs w:val="22"/>
          <w:lang w:eastAsia="pt-BR"/>
        </w:rPr>
        <w:t>Plenário</w:t>
      </w:r>
    </w:p>
    <w:p w:rsidR="00FB3B56" w:rsidRPr="00B779BB" w:rsidRDefault="00FB3B56" w:rsidP="003A6CF4">
      <w:pPr>
        <w:pStyle w:val="C"/>
        <w:tabs>
          <w:tab w:val="clear" w:pos="1418"/>
          <w:tab w:val="left" w:pos="1134"/>
        </w:tabs>
        <w:spacing w:before="60"/>
        <w:rPr>
          <w:sz w:val="22"/>
          <w:szCs w:val="22"/>
        </w:rPr>
      </w:pPr>
      <w:r w:rsidRPr="00B779BB">
        <w:rPr>
          <w:sz w:val="22"/>
          <w:szCs w:val="22"/>
        </w:rPr>
        <w:t xml:space="preserve">A opção por pregão presencial, em vez de pregão eletrônico, sem justificativa consistente, associada a estipulação de local de apresentação de propostas distinto daquele em que serão prestados os serviços configura, em avaliação preliminar, irregularidade e justifica a suspensão </w:t>
      </w:r>
      <w:r w:rsidR="00993D33" w:rsidRPr="00B779BB">
        <w:rPr>
          <w:sz w:val="22"/>
          <w:szCs w:val="22"/>
        </w:rPr>
        <w:t>cautelar</w:t>
      </w:r>
      <w:r w:rsidRPr="00B779BB">
        <w:rPr>
          <w:sz w:val="22"/>
          <w:szCs w:val="22"/>
        </w:rPr>
        <w:t xml:space="preserve"> certame.  </w:t>
      </w:r>
    </w:p>
    <w:p w:rsidR="00FB3B56" w:rsidRPr="00B779BB" w:rsidRDefault="00FB3B56" w:rsidP="003A6CF4">
      <w:pPr>
        <w:pStyle w:val="Default"/>
        <w:spacing w:before="60"/>
        <w:jc w:val="both"/>
        <w:rPr>
          <w:sz w:val="22"/>
          <w:szCs w:val="22"/>
        </w:rPr>
      </w:pPr>
      <w:r w:rsidRPr="00B779BB">
        <w:rPr>
          <w:sz w:val="22"/>
          <w:szCs w:val="22"/>
        </w:rPr>
        <w:t>É possível, “</w:t>
      </w:r>
      <w:r w:rsidRPr="00B779BB">
        <w:rPr>
          <w:i/>
          <w:sz w:val="22"/>
          <w:szCs w:val="22"/>
        </w:rPr>
        <w:t>em caráter excepcional</w:t>
      </w:r>
      <w:r w:rsidRPr="00B779BB">
        <w:rPr>
          <w:sz w:val="22"/>
          <w:szCs w:val="22"/>
        </w:rPr>
        <w:t xml:space="preserve">”, a substituição da retenção cautelar de pagamentos </w:t>
      </w:r>
      <w:r w:rsidR="00993D33" w:rsidRPr="00B779BB">
        <w:rPr>
          <w:sz w:val="22"/>
          <w:szCs w:val="22"/>
        </w:rPr>
        <w:t xml:space="preserve">à contratada </w:t>
      </w:r>
      <w:r w:rsidRPr="00B779BB">
        <w:rPr>
          <w:sz w:val="22"/>
          <w:szCs w:val="22"/>
        </w:rPr>
        <w:t>por garantia prevista no art. 56 da Lei 8.666/93</w:t>
      </w:r>
      <w:r w:rsidR="003A6CF4" w:rsidRPr="00B779BB">
        <w:rPr>
          <w:sz w:val="22"/>
          <w:szCs w:val="22"/>
        </w:rPr>
        <w:t>.</w:t>
      </w:r>
      <w:r w:rsidRPr="00B779BB">
        <w:rPr>
          <w:sz w:val="22"/>
          <w:szCs w:val="22"/>
        </w:rPr>
        <w:t xml:space="preserve"> </w:t>
      </w:r>
    </w:p>
    <w:p w:rsidR="00FB3B56" w:rsidRPr="00B779BB" w:rsidRDefault="00FB3B56" w:rsidP="003A6CF4">
      <w:pPr>
        <w:pStyle w:val="Default"/>
        <w:spacing w:before="60"/>
        <w:jc w:val="both"/>
        <w:rPr>
          <w:sz w:val="22"/>
          <w:szCs w:val="22"/>
        </w:rPr>
      </w:pPr>
      <w:r w:rsidRPr="00B779BB">
        <w:rPr>
          <w:sz w:val="22"/>
          <w:szCs w:val="22"/>
        </w:rPr>
        <w:t>A elaboração de orçamento de obra exige não s</w:t>
      </w:r>
      <w:r w:rsidR="00993D33" w:rsidRPr="00B779BB">
        <w:rPr>
          <w:sz w:val="22"/>
          <w:szCs w:val="22"/>
        </w:rPr>
        <w:t>ó</w:t>
      </w:r>
      <w:r w:rsidRPr="00B779BB">
        <w:rPr>
          <w:sz w:val="22"/>
          <w:szCs w:val="22"/>
        </w:rPr>
        <w:t xml:space="preserve"> a utilização de preços de insumos extraídos de sistemas referenciais, mas também a adaptação de composições de custos </w:t>
      </w:r>
      <w:r w:rsidR="00B55219">
        <w:rPr>
          <w:sz w:val="22"/>
          <w:szCs w:val="22"/>
        </w:rPr>
        <w:t xml:space="preserve">unitários </w:t>
      </w:r>
      <w:r w:rsidRPr="00B779BB">
        <w:rPr>
          <w:sz w:val="22"/>
          <w:szCs w:val="22"/>
        </w:rPr>
        <w:t>às condições de projeto</w:t>
      </w:r>
      <w:r w:rsidR="003A6CF4" w:rsidRPr="00B779BB">
        <w:rPr>
          <w:sz w:val="22"/>
          <w:szCs w:val="22"/>
        </w:rPr>
        <w:t>.</w:t>
      </w:r>
    </w:p>
    <w:p w:rsidR="00FB3B56" w:rsidRPr="00B779BB" w:rsidRDefault="00FB3B56" w:rsidP="003A6CF4">
      <w:pPr>
        <w:pStyle w:val="Default"/>
        <w:spacing w:before="60"/>
        <w:jc w:val="both"/>
        <w:rPr>
          <w:sz w:val="22"/>
          <w:szCs w:val="22"/>
        </w:rPr>
      </w:pPr>
      <w:r w:rsidRPr="00B779BB">
        <w:rPr>
          <w:sz w:val="22"/>
          <w:szCs w:val="22"/>
        </w:rPr>
        <w:t>O regime de empreitada integral, previsto no art. 6º, inciso VIII, alínea “e”, da Lei nº 8.666/1993 deve ser considerado na condução de projetos de vulto e complexos</w:t>
      </w:r>
      <w:r w:rsidR="003A6CF4" w:rsidRPr="00B779BB">
        <w:rPr>
          <w:sz w:val="22"/>
          <w:szCs w:val="22"/>
        </w:rPr>
        <w:t>.</w:t>
      </w:r>
      <w:r w:rsidRPr="00B779BB">
        <w:rPr>
          <w:sz w:val="22"/>
          <w:szCs w:val="22"/>
        </w:rPr>
        <w:t xml:space="preserve">  </w:t>
      </w:r>
    </w:p>
    <w:p w:rsidR="00FB3B56" w:rsidRPr="00B779BB" w:rsidRDefault="00FB3B56" w:rsidP="003A6CF4">
      <w:pPr>
        <w:pStyle w:val="Default"/>
        <w:spacing w:before="60"/>
        <w:jc w:val="both"/>
        <w:rPr>
          <w:sz w:val="22"/>
          <w:szCs w:val="22"/>
        </w:rPr>
      </w:pPr>
      <w:r w:rsidRPr="00B779BB">
        <w:rPr>
          <w:sz w:val="22"/>
          <w:szCs w:val="22"/>
        </w:rPr>
        <w:t>A exigência de comprovação, para fim de qualificação técnica, de tempo de experiência dos profissionais a serem disponibilizados pela licitante afronta o disposto no art. 30, § 5º, da Lei nº 8.666/93</w:t>
      </w:r>
      <w:r w:rsidR="003A6CF4" w:rsidRPr="00B779BB">
        <w:rPr>
          <w:sz w:val="22"/>
          <w:szCs w:val="22"/>
        </w:rPr>
        <w:t>.</w:t>
      </w:r>
    </w:p>
    <w:p w:rsidR="003C6DEB" w:rsidRPr="00B779BB" w:rsidRDefault="003C6DEB" w:rsidP="00607E96">
      <w:pPr>
        <w:pBdr>
          <w:top w:val="threeDEmboss" w:sz="24" w:space="0" w:color="auto"/>
        </w:pBdr>
        <w:tabs>
          <w:tab w:val="left" w:pos="284"/>
          <w:tab w:val="left" w:pos="2590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 w:rsidRPr="00B779BB">
        <w:rPr>
          <w:b/>
          <w:bCs/>
          <w:smallCaps/>
          <w:sz w:val="22"/>
          <w:szCs w:val="22"/>
        </w:rPr>
        <w:t>PLENÁRIO</w:t>
      </w:r>
    </w:p>
    <w:p w:rsidR="004D3E0B" w:rsidRDefault="004D3E0B" w:rsidP="00445A25">
      <w:pPr>
        <w:pStyle w:val="C"/>
        <w:tabs>
          <w:tab w:val="clear" w:pos="1418"/>
          <w:tab w:val="left" w:pos="1134"/>
        </w:tabs>
        <w:rPr>
          <w:b/>
          <w:sz w:val="22"/>
          <w:szCs w:val="22"/>
        </w:rPr>
      </w:pPr>
    </w:p>
    <w:p w:rsidR="00445A25" w:rsidRPr="00B779BB" w:rsidRDefault="005800F7" w:rsidP="00445A25">
      <w:pPr>
        <w:pStyle w:val="C"/>
        <w:tabs>
          <w:tab w:val="clear" w:pos="1418"/>
          <w:tab w:val="left" w:pos="1134"/>
        </w:tabs>
        <w:rPr>
          <w:b/>
          <w:sz w:val="22"/>
          <w:szCs w:val="22"/>
        </w:rPr>
      </w:pPr>
      <w:r w:rsidRPr="00B779BB">
        <w:rPr>
          <w:b/>
          <w:sz w:val="22"/>
          <w:szCs w:val="22"/>
        </w:rPr>
        <w:t>A opção por pregão presencial, em vez de pregão eletrônico, sem justificativa consistente, associada a estipulação de local de apresentação de propostas distinto daquele em que serão prestados os serviços configura, em avaliação preliminar, irregularidade e justifica a suspensão cautelar certame</w:t>
      </w:r>
      <w:r w:rsidR="00445A25" w:rsidRPr="00B779BB">
        <w:rPr>
          <w:b/>
          <w:sz w:val="22"/>
          <w:szCs w:val="22"/>
        </w:rPr>
        <w:t xml:space="preserve">  </w:t>
      </w:r>
    </w:p>
    <w:p w:rsidR="005455FC" w:rsidRPr="00B779BB" w:rsidRDefault="00F23570" w:rsidP="00445A25">
      <w:pPr>
        <w:pStyle w:val="C"/>
        <w:tabs>
          <w:tab w:val="clear" w:pos="1418"/>
          <w:tab w:val="left" w:pos="1134"/>
        </w:tabs>
        <w:rPr>
          <w:b/>
          <w:i/>
          <w:sz w:val="22"/>
          <w:szCs w:val="22"/>
        </w:rPr>
      </w:pPr>
      <w:r w:rsidRPr="00B779BB">
        <w:rPr>
          <w:sz w:val="22"/>
          <w:szCs w:val="22"/>
        </w:rPr>
        <w:t>Representação apontou supostas irregularidades na condução</w:t>
      </w:r>
      <w:r w:rsidR="00B779BB" w:rsidRPr="00B779BB">
        <w:rPr>
          <w:sz w:val="22"/>
          <w:szCs w:val="22"/>
        </w:rPr>
        <w:t>,</w:t>
      </w:r>
      <w:r w:rsidRPr="00B779BB">
        <w:rPr>
          <w:sz w:val="22"/>
          <w:szCs w:val="22"/>
        </w:rPr>
        <w:t xml:space="preserve"> pela Companhia Brasileira de Trens Urbanos</w:t>
      </w:r>
      <w:r w:rsidR="00B779BB" w:rsidRPr="00B779BB">
        <w:rPr>
          <w:sz w:val="22"/>
          <w:szCs w:val="22"/>
        </w:rPr>
        <w:t>,</w:t>
      </w:r>
      <w:r w:rsidRPr="00B779BB">
        <w:rPr>
          <w:sz w:val="22"/>
          <w:szCs w:val="22"/>
        </w:rPr>
        <w:t xml:space="preserve"> do Pregão Presencial 004/2012/CBTU, que </w:t>
      </w:r>
      <w:r w:rsidR="005572CC" w:rsidRPr="00B779BB">
        <w:rPr>
          <w:sz w:val="22"/>
          <w:szCs w:val="22"/>
        </w:rPr>
        <w:t>visa à</w:t>
      </w:r>
      <w:r w:rsidR="00737424" w:rsidRPr="00B779BB">
        <w:rPr>
          <w:sz w:val="22"/>
          <w:szCs w:val="22"/>
        </w:rPr>
        <w:t xml:space="preserve"> </w:t>
      </w:r>
      <w:r w:rsidRPr="00B779BB">
        <w:rPr>
          <w:sz w:val="22"/>
          <w:szCs w:val="22"/>
        </w:rPr>
        <w:t>contratação de serviço de vigilância ostensiva e armada para 71 postos de 24h ininter</w:t>
      </w:r>
      <w:r w:rsidR="00AF5706" w:rsidRPr="00B779BB">
        <w:rPr>
          <w:sz w:val="22"/>
          <w:szCs w:val="22"/>
        </w:rPr>
        <w:t>r</w:t>
      </w:r>
      <w:r w:rsidRPr="00B779BB">
        <w:rPr>
          <w:sz w:val="22"/>
          <w:szCs w:val="22"/>
        </w:rPr>
        <w:t xml:space="preserve">uptas, nas áreas da CBTU/Recife. As possíveis ilicitudes são as seguintes: a) escolha não motivada </w:t>
      </w:r>
      <w:r w:rsidR="00737424" w:rsidRPr="00B779BB">
        <w:rPr>
          <w:sz w:val="22"/>
          <w:szCs w:val="22"/>
        </w:rPr>
        <w:t>da</w:t>
      </w:r>
      <w:r w:rsidRPr="00B779BB">
        <w:rPr>
          <w:sz w:val="22"/>
          <w:szCs w:val="22"/>
        </w:rPr>
        <w:t xml:space="preserve"> modalidade pregão presencial, em vez de pregão eletrônico; b) obrigatoriedade de as propostas serem apresentadas na cidade do Rio de Janeiro/RJ, embora o serviço deva ser prestado em Recife/PE. </w:t>
      </w:r>
      <w:r w:rsidR="005572CC" w:rsidRPr="00B779BB">
        <w:rPr>
          <w:sz w:val="22"/>
          <w:szCs w:val="22"/>
        </w:rPr>
        <w:t xml:space="preserve">Foram </w:t>
      </w:r>
      <w:r w:rsidRPr="00B779BB">
        <w:rPr>
          <w:sz w:val="22"/>
          <w:szCs w:val="22"/>
        </w:rPr>
        <w:t xml:space="preserve">credenciadas cinco empresas e a vencedora do </w:t>
      </w:r>
      <w:r w:rsidR="00737424" w:rsidRPr="00B779BB">
        <w:rPr>
          <w:sz w:val="22"/>
          <w:szCs w:val="22"/>
        </w:rPr>
        <w:t>certame</w:t>
      </w:r>
      <w:r w:rsidRPr="00B779BB">
        <w:rPr>
          <w:sz w:val="22"/>
          <w:szCs w:val="22"/>
        </w:rPr>
        <w:t xml:space="preserve"> ofertou proposta no valor de R$ 9.949.900,00. </w:t>
      </w:r>
      <w:r w:rsidR="00737424" w:rsidRPr="00B779BB">
        <w:rPr>
          <w:sz w:val="22"/>
          <w:szCs w:val="22"/>
        </w:rPr>
        <w:t>O</w:t>
      </w:r>
      <w:r w:rsidRPr="00B779BB">
        <w:rPr>
          <w:sz w:val="22"/>
          <w:szCs w:val="22"/>
        </w:rPr>
        <w:t xml:space="preserve"> Presidente do TCU</w:t>
      </w:r>
      <w:r w:rsidR="00787700">
        <w:rPr>
          <w:sz w:val="22"/>
          <w:szCs w:val="22"/>
        </w:rPr>
        <w:t>, atuando nos autos em função de férias do relator,</w:t>
      </w:r>
      <w:r w:rsidRPr="00B779BB">
        <w:rPr>
          <w:sz w:val="22"/>
          <w:szCs w:val="22"/>
        </w:rPr>
        <w:t xml:space="preserve"> </w:t>
      </w:r>
      <w:r w:rsidR="00737424" w:rsidRPr="00B779BB">
        <w:rPr>
          <w:sz w:val="22"/>
          <w:szCs w:val="22"/>
        </w:rPr>
        <w:t xml:space="preserve">observou </w:t>
      </w:r>
      <w:r w:rsidRPr="00B779BB">
        <w:rPr>
          <w:sz w:val="22"/>
          <w:szCs w:val="22"/>
        </w:rPr>
        <w:t>que teria sido violado o disposto no art. 4º, § 1º, do Decreto 5.450/2005, visto não se ter comprovado a inviabilidade d</w:t>
      </w:r>
      <w:r w:rsidR="00737424" w:rsidRPr="00B779BB">
        <w:rPr>
          <w:sz w:val="22"/>
          <w:szCs w:val="22"/>
        </w:rPr>
        <w:t>e</w:t>
      </w:r>
      <w:r w:rsidRPr="00B779BB">
        <w:rPr>
          <w:sz w:val="22"/>
          <w:szCs w:val="22"/>
        </w:rPr>
        <w:t xml:space="preserve"> adoção do pregão eletrônico</w:t>
      </w:r>
      <w:r w:rsidR="005572CC" w:rsidRPr="00B779BB">
        <w:rPr>
          <w:sz w:val="22"/>
          <w:szCs w:val="22"/>
        </w:rPr>
        <w:t xml:space="preserve"> e</w:t>
      </w:r>
      <w:r w:rsidR="00737424" w:rsidRPr="00B779BB">
        <w:rPr>
          <w:sz w:val="22"/>
          <w:szCs w:val="22"/>
        </w:rPr>
        <w:t xml:space="preserve"> que a CBTU teria agido</w:t>
      </w:r>
      <w:r w:rsidRPr="00B779BB">
        <w:rPr>
          <w:sz w:val="22"/>
          <w:szCs w:val="22"/>
        </w:rPr>
        <w:t xml:space="preserve"> sem respaldo técnico ou legal. </w:t>
      </w:r>
      <w:r w:rsidR="00AF5706" w:rsidRPr="00B779BB">
        <w:rPr>
          <w:sz w:val="22"/>
          <w:szCs w:val="22"/>
        </w:rPr>
        <w:t>Acrescentou</w:t>
      </w:r>
      <w:r w:rsidRPr="00B779BB">
        <w:rPr>
          <w:sz w:val="22"/>
          <w:szCs w:val="22"/>
        </w:rPr>
        <w:t xml:space="preserve"> que o fato de</w:t>
      </w:r>
      <w:r w:rsidR="00737424" w:rsidRPr="00B779BB">
        <w:rPr>
          <w:sz w:val="22"/>
          <w:szCs w:val="22"/>
        </w:rPr>
        <w:t xml:space="preserve"> </w:t>
      </w:r>
      <w:r w:rsidRPr="00B779BB">
        <w:rPr>
          <w:sz w:val="22"/>
          <w:szCs w:val="22"/>
        </w:rPr>
        <w:t>“</w:t>
      </w:r>
      <w:r w:rsidRPr="00B779BB">
        <w:rPr>
          <w:i/>
          <w:sz w:val="22"/>
          <w:szCs w:val="22"/>
        </w:rPr>
        <w:t>o local de entrega e abertura das propostas ser distante do local da prestação dos serviços licitados implica a restrição da competitividade do certame</w:t>
      </w:r>
      <w:r w:rsidRPr="00B779BB">
        <w:rPr>
          <w:sz w:val="22"/>
          <w:szCs w:val="22"/>
        </w:rPr>
        <w:t xml:space="preserve">” e aparente violação ao comando contido no art. 20, </w:t>
      </w:r>
      <w:r w:rsidRPr="00B779BB">
        <w:rPr>
          <w:i/>
          <w:sz w:val="22"/>
          <w:szCs w:val="22"/>
        </w:rPr>
        <w:t>caput</w:t>
      </w:r>
      <w:r w:rsidRPr="00B779BB">
        <w:rPr>
          <w:sz w:val="22"/>
          <w:szCs w:val="22"/>
        </w:rPr>
        <w:t xml:space="preserve">, da Lei 8.666/1993. Por considerar presentes o </w:t>
      </w:r>
      <w:r w:rsidRPr="00B779BB">
        <w:rPr>
          <w:b/>
          <w:sz w:val="22"/>
          <w:szCs w:val="22"/>
        </w:rPr>
        <w:t>fumus boni iuris</w:t>
      </w:r>
      <w:r w:rsidRPr="00B779BB">
        <w:rPr>
          <w:sz w:val="22"/>
          <w:szCs w:val="22"/>
        </w:rPr>
        <w:t xml:space="preserve"> e o </w:t>
      </w:r>
      <w:r w:rsidRPr="00B779BB">
        <w:rPr>
          <w:b/>
          <w:sz w:val="22"/>
          <w:szCs w:val="22"/>
        </w:rPr>
        <w:t>periculum in mora</w:t>
      </w:r>
      <w:r w:rsidRPr="00B779BB">
        <w:rPr>
          <w:sz w:val="22"/>
          <w:szCs w:val="22"/>
        </w:rPr>
        <w:t xml:space="preserve">, determinou: a) em caráter cautelar, a suspensão do </w:t>
      </w:r>
      <w:r w:rsidR="00737424" w:rsidRPr="00B779BB">
        <w:rPr>
          <w:sz w:val="22"/>
          <w:szCs w:val="22"/>
        </w:rPr>
        <w:t xml:space="preserve">certame </w:t>
      </w:r>
      <w:r w:rsidRPr="00B779BB">
        <w:rPr>
          <w:sz w:val="22"/>
          <w:szCs w:val="22"/>
        </w:rPr>
        <w:t xml:space="preserve">até que o Tribunal delibere sobre o mérito da representação; b) </w:t>
      </w:r>
      <w:r w:rsidR="00E814F5" w:rsidRPr="00B779BB">
        <w:rPr>
          <w:sz w:val="22"/>
          <w:szCs w:val="22"/>
        </w:rPr>
        <w:t xml:space="preserve">a </w:t>
      </w:r>
      <w:r w:rsidRPr="00B779BB">
        <w:rPr>
          <w:sz w:val="22"/>
          <w:szCs w:val="22"/>
        </w:rPr>
        <w:t>realização de oitiva da CBTU</w:t>
      </w:r>
      <w:r w:rsidR="00737424" w:rsidRPr="00B779BB">
        <w:rPr>
          <w:sz w:val="22"/>
          <w:szCs w:val="22"/>
        </w:rPr>
        <w:t xml:space="preserve"> sobre</w:t>
      </w:r>
      <w:r w:rsidRPr="00B779BB">
        <w:rPr>
          <w:sz w:val="22"/>
          <w:szCs w:val="22"/>
        </w:rPr>
        <w:t xml:space="preserve"> a não adoção d</w:t>
      </w:r>
      <w:r w:rsidR="00E814F5" w:rsidRPr="00B779BB">
        <w:rPr>
          <w:sz w:val="22"/>
          <w:szCs w:val="22"/>
        </w:rPr>
        <w:t>e</w:t>
      </w:r>
      <w:r w:rsidRPr="00B779BB">
        <w:rPr>
          <w:sz w:val="22"/>
          <w:szCs w:val="22"/>
        </w:rPr>
        <w:t xml:space="preserve"> pregão eletrônico e </w:t>
      </w:r>
      <w:r w:rsidR="00445A25" w:rsidRPr="00B779BB">
        <w:rPr>
          <w:sz w:val="22"/>
          <w:szCs w:val="22"/>
        </w:rPr>
        <w:t xml:space="preserve">a </w:t>
      </w:r>
      <w:r w:rsidR="00E814F5" w:rsidRPr="00B779BB">
        <w:rPr>
          <w:sz w:val="22"/>
          <w:szCs w:val="22"/>
        </w:rPr>
        <w:t xml:space="preserve">escolha de </w:t>
      </w:r>
      <w:r w:rsidRPr="00B779BB">
        <w:rPr>
          <w:sz w:val="22"/>
          <w:szCs w:val="22"/>
        </w:rPr>
        <w:t xml:space="preserve">local </w:t>
      </w:r>
      <w:r w:rsidR="00E814F5" w:rsidRPr="00B779BB">
        <w:rPr>
          <w:sz w:val="22"/>
          <w:szCs w:val="22"/>
        </w:rPr>
        <w:t>de apresentação das propostas distante do local de prestação dos serviços</w:t>
      </w:r>
      <w:r w:rsidR="00A31BFC" w:rsidRPr="00B779BB">
        <w:rPr>
          <w:sz w:val="22"/>
          <w:szCs w:val="22"/>
        </w:rPr>
        <w:t xml:space="preserve">. </w:t>
      </w:r>
      <w:r w:rsidR="005455FC" w:rsidRPr="00B779BB">
        <w:rPr>
          <w:b/>
          <w:i/>
          <w:sz w:val="22"/>
          <w:szCs w:val="22"/>
        </w:rPr>
        <w:t xml:space="preserve">Comunicação </w:t>
      </w:r>
      <w:r w:rsidR="00EB3404" w:rsidRPr="00B779BB">
        <w:rPr>
          <w:b/>
          <w:i/>
          <w:sz w:val="22"/>
          <w:szCs w:val="22"/>
        </w:rPr>
        <w:t>de Cautelar</w:t>
      </w:r>
      <w:r w:rsidR="005455FC" w:rsidRPr="00B779BB">
        <w:rPr>
          <w:b/>
          <w:i/>
          <w:sz w:val="22"/>
          <w:szCs w:val="22"/>
        </w:rPr>
        <w:t xml:space="preserve">, </w:t>
      </w:r>
      <w:r w:rsidRPr="00B779BB">
        <w:rPr>
          <w:b/>
          <w:i/>
          <w:sz w:val="22"/>
          <w:szCs w:val="22"/>
        </w:rPr>
        <w:t>TC</w:t>
      </w:r>
      <w:r w:rsidRPr="00B779BB">
        <w:rPr>
          <w:b/>
          <w:i/>
          <w:sz w:val="22"/>
          <w:szCs w:val="22"/>
        </w:rPr>
        <w:noBreakHyphen/>
        <w:t>007.473/2012-5</w:t>
      </w:r>
      <w:r w:rsidR="00787700">
        <w:rPr>
          <w:b/>
          <w:i/>
          <w:sz w:val="22"/>
          <w:szCs w:val="22"/>
        </w:rPr>
        <w:t>,</w:t>
      </w:r>
      <w:r w:rsidR="005455FC" w:rsidRPr="00B779BB">
        <w:rPr>
          <w:b/>
          <w:i/>
          <w:sz w:val="22"/>
          <w:szCs w:val="22"/>
        </w:rPr>
        <w:t xml:space="preserve"> Min</w:t>
      </w:r>
      <w:r w:rsidR="00787700">
        <w:rPr>
          <w:b/>
          <w:i/>
          <w:sz w:val="22"/>
          <w:szCs w:val="22"/>
        </w:rPr>
        <w:t>istro-</w:t>
      </w:r>
      <w:r w:rsidRPr="00B779BB">
        <w:rPr>
          <w:b/>
          <w:i/>
          <w:sz w:val="22"/>
          <w:szCs w:val="22"/>
        </w:rPr>
        <w:t>Presidente</w:t>
      </w:r>
      <w:r w:rsidR="005455FC" w:rsidRPr="00B779BB">
        <w:rPr>
          <w:b/>
          <w:i/>
          <w:sz w:val="22"/>
          <w:szCs w:val="22"/>
        </w:rPr>
        <w:t xml:space="preserve"> </w:t>
      </w:r>
      <w:r w:rsidRPr="00B779BB">
        <w:rPr>
          <w:b/>
          <w:i/>
          <w:sz w:val="22"/>
          <w:szCs w:val="22"/>
        </w:rPr>
        <w:t>Benjamin Zymler</w:t>
      </w:r>
      <w:r w:rsidR="005455FC" w:rsidRPr="00B779BB">
        <w:rPr>
          <w:b/>
          <w:i/>
          <w:sz w:val="22"/>
          <w:szCs w:val="22"/>
        </w:rPr>
        <w:t xml:space="preserve">, </w:t>
      </w:r>
      <w:r w:rsidRPr="00B779BB">
        <w:rPr>
          <w:b/>
          <w:i/>
          <w:sz w:val="22"/>
          <w:szCs w:val="22"/>
        </w:rPr>
        <w:t>28</w:t>
      </w:r>
      <w:r w:rsidR="005455FC" w:rsidRPr="00B779BB">
        <w:rPr>
          <w:b/>
          <w:i/>
          <w:sz w:val="22"/>
          <w:szCs w:val="22"/>
        </w:rPr>
        <w:t>.3.2012.</w:t>
      </w:r>
    </w:p>
    <w:p w:rsidR="00445A25" w:rsidRPr="00B779BB" w:rsidRDefault="00445A25" w:rsidP="0057040F">
      <w:pPr>
        <w:pStyle w:val="Default"/>
        <w:jc w:val="both"/>
        <w:rPr>
          <w:sz w:val="22"/>
          <w:szCs w:val="22"/>
        </w:rPr>
      </w:pPr>
    </w:p>
    <w:p w:rsidR="0057040F" w:rsidRPr="00B779BB" w:rsidRDefault="005800F7" w:rsidP="0057040F">
      <w:pPr>
        <w:pStyle w:val="Default"/>
        <w:jc w:val="both"/>
        <w:rPr>
          <w:b/>
          <w:sz w:val="22"/>
          <w:szCs w:val="22"/>
        </w:rPr>
      </w:pPr>
      <w:r w:rsidRPr="00B779BB">
        <w:rPr>
          <w:b/>
          <w:sz w:val="22"/>
          <w:szCs w:val="22"/>
        </w:rPr>
        <w:t>É possível, “</w:t>
      </w:r>
      <w:r w:rsidRPr="00B779BB">
        <w:rPr>
          <w:b/>
          <w:i/>
          <w:sz w:val="22"/>
          <w:szCs w:val="22"/>
        </w:rPr>
        <w:t>em caráter excepcional</w:t>
      </w:r>
      <w:r w:rsidRPr="00B779BB">
        <w:rPr>
          <w:b/>
          <w:sz w:val="22"/>
          <w:szCs w:val="22"/>
        </w:rPr>
        <w:t>”, a substituição da retenção cautelar de pagamentos à contratada por garantia prevista no art. 56 da Lei 8.666/93</w:t>
      </w:r>
      <w:r w:rsidR="00445A25" w:rsidRPr="00B779BB">
        <w:rPr>
          <w:b/>
          <w:sz w:val="22"/>
          <w:szCs w:val="22"/>
        </w:rPr>
        <w:t xml:space="preserve"> </w:t>
      </w:r>
    </w:p>
    <w:p w:rsidR="00E01E09" w:rsidRPr="00B779BB" w:rsidRDefault="0057040F" w:rsidP="0057040F">
      <w:pPr>
        <w:pStyle w:val="Default"/>
        <w:jc w:val="both"/>
        <w:rPr>
          <w:b/>
          <w:i/>
          <w:sz w:val="22"/>
          <w:szCs w:val="22"/>
        </w:rPr>
      </w:pPr>
      <w:r w:rsidRPr="00B779BB">
        <w:rPr>
          <w:sz w:val="22"/>
          <w:szCs w:val="22"/>
        </w:rPr>
        <w:t xml:space="preserve">Representação </w:t>
      </w:r>
      <w:r w:rsidR="00A31BFC" w:rsidRPr="00B779BB">
        <w:rPr>
          <w:sz w:val="22"/>
          <w:szCs w:val="22"/>
        </w:rPr>
        <w:t>noticiou</w:t>
      </w:r>
      <w:r w:rsidRPr="00B779BB">
        <w:rPr>
          <w:sz w:val="22"/>
          <w:szCs w:val="22"/>
        </w:rPr>
        <w:t xml:space="preserve"> possíveis irregularidades no edital da concorrência 1/2010 do Instituto Nacional de Traumatologia e Ortopedia (Into), visando à contratação de empresa para realização de obras e serviços necessários à conclusão da nova sede da entidade. Em face de provável sobrepreço decorrente de valor excessivo de BDI e sobrepreço em serviços de revestimento do teto e de confecção forros, o relator do feito determinou</w:t>
      </w:r>
      <w:r w:rsidR="00A31BFC" w:rsidRPr="00B779BB">
        <w:rPr>
          <w:sz w:val="22"/>
          <w:szCs w:val="22"/>
        </w:rPr>
        <w:t xml:space="preserve"> ao Into</w:t>
      </w:r>
      <w:r w:rsidRPr="00B779BB">
        <w:rPr>
          <w:sz w:val="22"/>
          <w:szCs w:val="22"/>
        </w:rPr>
        <w:t xml:space="preserve">, em caráter cautelar, que se abstivesse de realizar pagamentos no âmbito do contrato 16/2010, firmado com a </w:t>
      </w:r>
      <w:r w:rsidR="00B779BB">
        <w:rPr>
          <w:sz w:val="22"/>
          <w:szCs w:val="22"/>
        </w:rPr>
        <w:t xml:space="preserve">empresa </w:t>
      </w:r>
      <w:r w:rsidRPr="00B779BB">
        <w:rPr>
          <w:sz w:val="22"/>
          <w:szCs w:val="22"/>
        </w:rPr>
        <w:t xml:space="preserve">Delta Construções S/A, até </w:t>
      </w:r>
      <w:r w:rsidR="00F9002C" w:rsidRPr="00B779BB">
        <w:rPr>
          <w:sz w:val="22"/>
          <w:szCs w:val="22"/>
        </w:rPr>
        <w:t xml:space="preserve">decisão definitiva do </w:t>
      </w:r>
      <w:r w:rsidRPr="00B779BB">
        <w:rPr>
          <w:sz w:val="22"/>
          <w:szCs w:val="22"/>
        </w:rPr>
        <w:t>TCU. Ao examinar os e</w:t>
      </w:r>
      <w:r w:rsidR="00F9002C" w:rsidRPr="00B779BB">
        <w:rPr>
          <w:sz w:val="22"/>
          <w:szCs w:val="22"/>
        </w:rPr>
        <w:t xml:space="preserve">sclarecimentos </w:t>
      </w:r>
      <w:r w:rsidRPr="00B779BB">
        <w:rPr>
          <w:sz w:val="22"/>
          <w:szCs w:val="22"/>
        </w:rPr>
        <w:t>trazidos aos autos</w:t>
      </w:r>
      <w:r w:rsidR="00F9002C" w:rsidRPr="00B779BB">
        <w:rPr>
          <w:sz w:val="22"/>
          <w:szCs w:val="22"/>
        </w:rPr>
        <w:t xml:space="preserve"> por gestores e pela contratada</w:t>
      </w:r>
      <w:r w:rsidR="00A31BFC" w:rsidRPr="00B779BB">
        <w:rPr>
          <w:sz w:val="22"/>
          <w:szCs w:val="22"/>
        </w:rPr>
        <w:t>,</w:t>
      </w:r>
      <w:r w:rsidRPr="00B779BB">
        <w:rPr>
          <w:sz w:val="22"/>
          <w:szCs w:val="22"/>
        </w:rPr>
        <w:t xml:space="preserve"> a unidade técnica concluiu </w:t>
      </w:r>
      <w:r w:rsidR="00A31BFC" w:rsidRPr="00B779BB">
        <w:rPr>
          <w:sz w:val="22"/>
          <w:szCs w:val="22"/>
        </w:rPr>
        <w:t>pel</w:t>
      </w:r>
      <w:r w:rsidRPr="00B779BB">
        <w:rPr>
          <w:sz w:val="22"/>
          <w:szCs w:val="22"/>
        </w:rPr>
        <w:t>a redução</w:t>
      </w:r>
      <w:r w:rsidR="00A31BFC" w:rsidRPr="00B779BB">
        <w:rPr>
          <w:sz w:val="22"/>
          <w:szCs w:val="22"/>
        </w:rPr>
        <w:t xml:space="preserve"> de R$ 22.961.980,22 para R$ 20.995.364,76</w:t>
      </w:r>
      <w:r w:rsidRPr="00B779BB">
        <w:rPr>
          <w:sz w:val="22"/>
          <w:szCs w:val="22"/>
        </w:rPr>
        <w:t xml:space="preserve"> do sobrepreço apurado inicialmente. A citada empresa asseverou que não teria havido </w:t>
      </w:r>
      <w:r w:rsidR="00A31BFC" w:rsidRPr="00B779BB">
        <w:rPr>
          <w:sz w:val="22"/>
          <w:szCs w:val="22"/>
        </w:rPr>
        <w:t xml:space="preserve">excesso </w:t>
      </w:r>
      <w:r w:rsidRPr="00B779BB">
        <w:rPr>
          <w:sz w:val="22"/>
          <w:szCs w:val="22"/>
        </w:rPr>
        <w:t>nos preços contratuais e solicit</w:t>
      </w:r>
      <w:r w:rsidR="00A31BFC" w:rsidRPr="00B779BB">
        <w:rPr>
          <w:sz w:val="22"/>
          <w:szCs w:val="22"/>
        </w:rPr>
        <w:t>ou</w:t>
      </w:r>
      <w:r w:rsidRPr="00B779BB">
        <w:rPr>
          <w:sz w:val="22"/>
          <w:szCs w:val="22"/>
        </w:rPr>
        <w:t xml:space="preserve"> a revogação da referida medida cautelar. </w:t>
      </w:r>
      <w:r w:rsidR="00B779BB">
        <w:rPr>
          <w:sz w:val="22"/>
          <w:szCs w:val="22"/>
        </w:rPr>
        <w:t>N</w:t>
      </w:r>
      <w:r w:rsidRPr="00B779BB">
        <w:rPr>
          <w:sz w:val="22"/>
          <w:szCs w:val="22"/>
        </w:rPr>
        <w:t xml:space="preserve">a impossibilidade de ser acatado esse pedido, </w:t>
      </w:r>
      <w:r w:rsidR="00B779BB">
        <w:rPr>
          <w:sz w:val="22"/>
          <w:szCs w:val="22"/>
        </w:rPr>
        <w:t xml:space="preserve">requereu </w:t>
      </w:r>
      <w:r w:rsidRPr="00B779BB">
        <w:rPr>
          <w:sz w:val="22"/>
          <w:szCs w:val="22"/>
        </w:rPr>
        <w:t xml:space="preserve">que </w:t>
      </w:r>
      <w:r w:rsidR="00A31BFC" w:rsidRPr="00B779BB">
        <w:rPr>
          <w:sz w:val="22"/>
          <w:szCs w:val="22"/>
        </w:rPr>
        <w:t xml:space="preserve">o TCU </w:t>
      </w:r>
      <w:r w:rsidRPr="00B779BB">
        <w:rPr>
          <w:sz w:val="22"/>
          <w:szCs w:val="22"/>
        </w:rPr>
        <w:t>autoriz</w:t>
      </w:r>
      <w:r w:rsidR="00A31BFC" w:rsidRPr="00B779BB">
        <w:rPr>
          <w:sz w:val="22"/>
          <w:szCs w:val="22"/>
        </w:rPr>
        <w:t>asse</w:t>
      </w:r>
      <w:r w:rsidRPr="00B779BB">
        <w:rPr>
          <w:sz w:val="22"/>
          <w:szCs w:val="22"/>
        </w:rPr>
        <w:t xml:space="preserve"> a substituição da medida </w:t>
      </w:r>
      <w:r w:rsidR="00A31BFC" w:rsidRPr="00B779BB">
        <w:rPr>
          <w:sz w:val="22"/>
          <w:szCs w:val="22"/>
        </w:rPr>
        <w:t xml:space="preserve">cautelar </w:t>
      </w:r>
      <w:r w:rsidRPr="00B779BB">
        <w:rPr>
          <w:sz w:val="22"/>
          <w:szCs w:val="22"/>
        </w:rPr>
        <w:t xml:space="preserve">por garantia no valor do dano estimado. </w:t>
      </w:r>
      <w:r w:rsidR="00E211F7">
        <w:rPr>
          <w:sz w:val="22"/>
          <w:szCs w:val="22"/>
        </w:rPr>
        <w:t xml:space="preserve">A </w:t>
      </w:r>
      <w:r w:rsidRPr="00B779BB">
        <w:rPr>
          <w:sz w:val="22"/>
          <w:szCs w:val="22"/>
        </w:rPr>
        <w:t>Sec</w:t>
      </w:r>
      <w:r w:rsidR="00B779BB">
        <w:rPr>
          <w:sz w:val="22"/>
          <w:szCs w:val="22"/>
        </w:rPr>
        <w:t>retaria de Obras</w:t>
      </w:r>
      <w:r w:rsidRPr="00B779BB">
        <w:rPr>
          <w:sz w:val="22"/>
          <w:szCs w:val="22"/>
        </w:rPr>
        <w:t>-1</w:t>
      </w:r>
      <w:r w:rsidR="00E211F7">
        <w:rPr>
          <w:sz w:val="22"/>
          <w:szCs w:val="22"/>
        </w:rPr>
        <w:t xml:space="preserve">, ao ser chamada a se pronunciar, </w:t>
      </w:r>
      <w:r w:rsidRPr="00B779BB">
        <w:rPr>
          <w:sz w:val="22"/>
          <w:szCs w:val="22"/>
        </w:rPr>
        <w:t>anotou que a substituição da retenção cautelar p</w:t>
      </w:r>
      <w:r w:rsidR="00F9002C" w:rsidRPr="00B779BB">
        <w:rPr>
          <w:sz w:val="22"/>
          <w:szCs w:val="22"/>
        </w:rPr>
        <w:t xml:space="preserve">or </w:t>
      </w:r>
      <w:r w:rsidRPr="00B779BB">
        <w:rPr>
          <w:sz w:val="22"/>
          <w:szCs w:val="22"/>
        </w:rPr>
        <w:t>garantia equivalente encontra respaldo na jurisprudência do TCU e pode ser autorizada</w:t>
      </w:r>
      <w:r w:rsidR="00A31BFC" w:rsidRPr="00B779BB">
        <w:rPr>
          <w:sz w:val="22"/>
          <w:szCs w:val="22"/>
        </w:rPr>
        <w:t>,</w:t>
      </w:r>
      <w:r w:rsidRPr="00B779BB">
        <w:rPr>
          <w:sz w:val="22"/>
          <w:szCs w:val="22"/>
        </w:rPr>
        <w:t xml:space="preserve"> se atend</w:t>
      </w:r>
      <w:r w:rsidR="00A31BFC" w:rsidRPr="00B779BB">
        <w:rPr>
          <w:sz w:val="22"/>
          <w:szCs w:val="22"/>
        </w:rPr>
        <w:t xml:space="preserve">idos </w:t>
      </w:r>
      <w:r w:rsidRPr="00B779BB">
        <w:rPr>
          <w:sz w:val="22"/>
          <w:szCs w:val="22"/>
        </w:rPr>
        <w:t xml:space="preserve">requisitos elencados em </w:t>
      </w:r>
      <w:r w:rsidR="00A31BFC" w:rsidRPr="00B779BB">
        <w:rPr>
          <w:sz w:val="22"/>
          <w:szCs w:val="22"/>
        </w:rPr>
        <w:t>deliberação sobre matéria similar</w:t>
      </w:r>
      <w:r w:rsidR="00E211F7">
        <w:rPr>
          <w:sz w:val="22"/>
          <w:szCs w:val="22"/>
        </w:rPr>
        <w:t>,</w:t>
      </w:r>
      <w:r w:rsidR="00A31BFC" w:rsidRPr="00B779BB">
        <w:rPr>
          <w:sz w:val="22"/>
          <w:szCs w:val="22"/>
        </w:rPr>
        <w:t xml:space="preserve"> que constaram d</w:t>
      </w:r>
      <w:r w:rsidRPr="00B779BB">
        <w:rPr>
          <w:sz w:val="22"/>
          <w:szCs w:val="22"/>
        </w:rPr>
        <w:t xml:space="preserve">o Acórdão 3254/2011-P. </w:t>
      </w:r>
      <w:r w:rsidR="00F9002C" w:rsidRPr="00B779BB">
        <w:rPr>
          <w:sz w:val="22"/>
          <w:szCs w:val="22"/>
        </w:rPr>
        <w:t xml:space="preserve">O </w:t>
      </w:r>
      <w:r w:rsidRPr="00B779BB">
        <w:rPr>
          <w:sz w:val="22"/>
          <w:szCs w:val="22"/>
        </w:rPr>
        <w:t>relator ponderou que ainda se avaliam justificativas que podem reduzir o prejuízo supostamente consumado e que o sobrepreço discutido supera, em R$ 1.369.180,13, o saldo contratual. Ressaltou, então, que “</w:t>
      </w:r>
      <w:r w:rsidRPr="00B779BB">
        <w:rPr>
          <w:i/>
          <w:sz w:val="22"/>
          <w:szCs w:val="22"/>
        </w:rPr>
        <w:t>a legislação e a jurisprudência caminham no sentido de abrir possibilidade para a substituição requerida pela construtora</w:t>
      </w:r>
      <w:r w:rsidRPr="00B779BB">
        <w:rPr>
          <w:sz w:val="22"/>
          <w:szCs w:val="22"/>
        </w:rPr>
        <w:t>”. E também que “</w:t>
      </w:r>
      <w:r w:rsidRPr="00B779BB">
        <w:rPr>
          <w:i/>
          <w:sz w:val="22"/>
          <w:szCs w:val="22"/>
        </w:rPr>
        <w:t>Não se identifica, no ordenamento, norma que trate da questão com a clareza requerida. Contudo, há dispositivos na Lei de Diretrizes Orçamentárias (LDO) de 2012 (Lei 12.465/2011), que permitem concluir pela pertinência do pedido</w:t>
      </w:r>
      <w:r w:rsidRPr="00B779BB">
        <w:rPr>
          <w:sz w:val="22"/>
          <w:szCs w:val="22"/>
        </w:rPr>
        <w:t>”. Ressaltou, a despeito disso, que não há, ainda, definição clara “</w:t>
      </w:r>
      <w:r w:rsidRPr="00B779BB">
        <w:rPr>
          <w:i/>
          <w:sz w:val="22"/>
          <w:szCs w:val="22"/>
        </w:rPr>
        <w:t>quanto aos requisitos a serem exigidos para aceitação dessas garantias por este Tribunal</w:t>
      </w:r>
      <w:r w:rsidRPr="00B779BB">
        <w:rPr>
          <w:sz w:val="22"/>
          <w:szCs w:val="22"/>
        </w:rPr>
        <w:t>” e que, em cumprimento ao disposto no Acórdão 1332/2009-P</w:t>
      </w:r>
      <w:r w:rsidR="00E211F7">
        <w:rPr>
          <w:sz w:val="22"/>
          <w:szCs w:val="22"/>
        </w:rPr>
        <w:t>,</w:t>
      </w:r>
      <w:r w:rsidRPr="00B779BB">
        <w:rPr>
          <w:sz w:val="22"/>
          <w:szCs w:val="22"/>
        </w:rPr>
        <w:t xml:space="preserve"> estão sendo realizados estudos sobre essa matéria. </w:t>
      </w:r>
      <w:r w:rsidR="00A138CF" w:rsidRPr="00B779BB">
        <w:rPr>
          <w:sz w:val="22"/>
          <w:szCs w:val="22"/>
        </w:rPr>
        <w:t>O</w:t>
      </w:r>
      <w:r w:rsidRPr="00B779BB">
        <w:rPr>
          <w:sz w:val="22"/>
          <w:szCs w:val="22"/>
        </w:rPr>
        <w:t xml:space="preserve"> Tribunal, ao acolher proposta do relator, decidiu: a) autorizar, </w:t>
      </w:r>
      <w:r w:rsidR="00A138CF" w:rsidRPr="00B779BB">
        <w:rPr>
          <w:sz w:val="22"/>
          <w:szCs w:val="22"/>
        </w:rPr>
        <w:t>“</w:t>
      </w:r>
      <w:r w:rsidRPr="00B779BB">
        <w:rPr>
          <w:i/>
          <w:sz w:val="22"/>
          <w:szCs w:val="22"/>
        </w:rPr>
        <w:t>em caráter excepcional</w:t>
      </w:r>
      <w:r w:rsidR="00A138CF" w:rsidRPr="00B779BB">
        <w:rPr>
          <w:sz w:val="22"/>
          <w:szCs w:val="22"/>
        </w:rPr>
        <w:t>”</w:t>
      </w:r>
      <w:r w:rsidRPr="00B779BB">
        <w:rPr>
          <w:sz w:val="22"/>
          <w:szCs w:val="22"/>
        </w:rPr>
        <w:t>, a substituição da retenç</w:t>
      </w:r>
      <w:r w:rsidR="00A138CF" w:rsidRPr="00B779BB">
        <w:rPr>
          <w:sz w:val="22"/>
          <w:szCs w:val="22"/>
        </w:rPr>
        <w:t xml:space="preserve">ão </w:t>
      </w:r>
      <w:r w:rsidR="00C11A6C" w:rsidRPr="00B779BB">
        <w:rPr>
          <w:sz w:val="22"/>
          <w:szCs w:val="22"/>
        </w:rPr>
        <w:t>cautela</w:t>
      </w:r>
      <w:r w:rsidR="00A138CF" w:rsidRPr="00B779BB">
        <w:rPr>
          <w:sz w:val="22"/>
          <w:szCs w:val="22"/>
        </w:rPr>
        <w:t xml:space="preserve">r </w:t>
      </w:r>
      <w:r w:rsidRPr="00B779BB">
        <w:rPr>
          <w:sz w:val="22"/>
          <w:szCs w:val="22"/>
        </w:rPr>
        <w:t>de pagamentos</w:t>
      </w:r>
      <w:r w:rsidR="00A138CF" w:rsidRPr="00B779BB">
        <w:rPr>
          <w:sz w:val="22"/>
          <w:szCs w:val="22"/>
        </w:rPr>
        <w:t>,</w:t>
      </w:r>
      <w:r w:rsidRPr="00B779BB">
        <w:rPr>
          <w:sz w:val="22"/>
          <w:szCs w:val="22"/>
        </w:rPr>
        <w:t xml:space="preserve"> no âmbito do contrato 16/2010</w:t>
      </w:r>
      <w:r w:rsidR="00A138CF" w:rsidRPr="00B779BB">
        <w:rPr>
          <w:sz w:val="22"/>
          <w:szCs w:val="22"/>
        </w:rPr>
        <w:t>,</w:t>
      </w:r>
      <w:r w:rsidRPr="00B779BB">
        <w:rPr>
          <w:sz w:val="22"/>
          <w:szCs w:val="22"/>
        </w:rPr>
        <w:t xml:space="preserve"> por garantia nas modalidades previstas no art. 56 da Lei 8.666/93, desde que observadas diversas condições, como: a) ser fornecida por instituição financeira com solidez reconhecida no mercado ou lastreada em títulos idôneos e líquidos; b) serem os custos de manutenção arcados pela interessada; c) figurar a União como entidade segurada/beneficiária da indenização constituída pela fiança/apólice/caução</w:t>
      </w:r>
      <w:r w:rsidR="00A138CF" w:rsidRPr="00B779BB">
        <w:rPr>
          <w:sz w:val="22"/>
          <w:szCs w:val="22"/>
        </w:rPr>
        <w:t>, além de o</w:t>
      </w:r>
      <w:r w:rsidRPr="00B779BB">
        <w:rPr>
          <w:sz w:val="22"/>
          <w:szCs w:val="22"/>
        </w:rPr>
        <w:t xml:space="preserve">utras. </w:t>
      </w:r>
      <w:r w:rsidR="00FB3B56" w:rsidRPr="00B779BB">
        <w:rPr>
          <w:sz w:val="22"/>
          <w:szCs w:val="22"/>
        </w:rPr>
        <w:t>Precedentes mencionados: Acórdãos nº</w:t>
      </w:r>
      <w:r w:rsidR="00787700">
        <w:rPr>
          <w:sz w:val="22"/>
          <w:szCs w:val="22"/>
        </w:rPr>
        <w:t xml:space="preserve"> </w:t>
      </w:r>
      <w:r w:rsidR="00FB3B56" w:rsidRPr="00B779BB">
        <w:rPr>
          <w:sz w:val="22"/>
          <w:szCs w:val="22"/>
        </w:rPr>
        <w:t>1332/2009 e 3254/2011, ambos do Plenário.</w:t>
      </w:r>
      <w:r w:rsidR="00FB3B56" w:rsidRPr="00B779BB">
        <w:rPr>
          <w:b/>
          <w:i/>
          <w:sz w:val="22"/>
          <w:szCs w:val="22"/>
        </w:rPr>
        <w:t xml:space="preserve"> </w:t>
      </w:r>
      <w:r w:rsidR="00C021B2" w:rsidRPr="00B779BB">
        <w:rPr>
          <w:b/>
          <w:i/>
          <w:sz w:val="22"/>
          <w:szCs w:val="22"/>
        </w:rPr>
        <w:t xml:space="preserve">Acórdão n.º </w:t>
      </w:r>
      <w:r w:rsidRPr="00B779BB">
        <w:rPr>
          <w:b/>
          <w:i/>
          <w:sz w:val="22"/>
          <w:szCs w:val="22"/>
        </w:rPr>
        <w:t>720</w:t>
      </w:r>
      <w:r w:rsidR="00C021B2" w:rsidRPr="00B779BB">
        <w:rPr>
          <w:b/>
          <w:i/>
          <w:sz w:val="22"/>
          <w:szCs w:val="22"/>
        </w:rPr>
        <w:t>/2012-Plenário,</w:t>
      </w:r>
      <w:r w:rsidR="00E01E09" w:rsidRPr="00B779BB">
        <w:rPr>
          <w:b/>
          <w:i/>
          <w:sz w:val="22"/>
          <w:szCs w:val="22"/>
        </w:rPr>
        <w:t xml:space="preserve"> TC </w:t>
      </w:r>
      <w:r w:rsidR="00E01E09" w:rsidRPr="00B779BB">
        <w:rPr>
          <w:b/>
          <w:bCs/>
          <w:i/>
          <w:sz w:val="22"/>
          <w:szCs w:val="22"/>
        </w:rPr>
        <w:t>01</w:t>
      </w:r>
      <w:r w:rsidRPr="00B779BB">
        <w:rPr>
          <w:b/>
          <w:bCs/>
          <w:i/>
          <w:sz w:val="22"/>
          <w:szCs w:val="22"/>
        </w:rPr>
        <w:t>3</w:t>
      </w:r>
      <w:r w:rsidR="00E01E09" w:rsidRPr="00B779BB">
        <w:rPr>
          <w:b/>
          <w:bCs/>
          <w:i/>
          <w:sz w:val="22"/>
          <w:szCs w:val="22"/>
        </w:rPr>
        <w:t>.</w:t>
      </w:r>
      <w:r w:rsidRPr="00B779BB">
        <w:rPr>
          <w:b/>
          <w:bCs/>
          <w:i/>
          <w:sz w:val="22"/>
          <w:szCs w:val="22"/>
        </w:rPr>
        <w:t>371</w:t>
      </w:r>
      <w:r w:rsidR="00E01E09" w:rsidRPr="00B779BB">
        <w:rPr>
          <w:b/>
          <w:bCs/>
          <w:i/>
          <w:sz w:val="22"/>
          <w:szCs w:val="22"/>
        </w:rPr>
        <w:t>/20</w:t>
      </w:r>
      <w:r w:rsidRPr="00B779BB">
        <w:rPr>
          <w:b/>
          <w:bCs/>
          <w:i/>
          <w:sz w:val="22"/>
          <w:szCs w:val="22"/>
        </w:rPr>
        <w:t>10</w:t>
      </w:r>
      <w:r w:rsidR="00E01E09" w:rsidRPr="00B779BB">
        <w:rPr>
          <w:b/>
          <w:bCs/>
          <w:i/>
          <w:sz w:val="22"/>
          <w:szCs w:val="22"/>
        </w:rPr>
        <w:t>-</w:t>
      </w:r>
      <w:r w:rsidRPr="00B779BB">
        <w:rPr>
          <w:b/>
          <w:bCs/>
          <w:i/>
          <w:sz w:val="22"/>
          <w:szCs w:val="22"/>
        </w:rPr>
        <w:t>0</w:t>
      </w:r>
      <w:r w:rsidR="00E01E09" w:rsidRPr="00B779BB">
        <w:rPr>
          <w:b/>
          <w:i/>
          <w:sz w:val="22"/>
          <w:szCs w:val="22"/>
        </w:rPr>
        <w:t xml:space="preserve">, rel. Min. </w:t>
      </w:r>
      <w:r w:rsidRPr="00B779BB">
        <w:rPr>
          <w:b/>
          <w:i/>
          <w:sz w:val="22"/>
          <w:szCs w:val="22"/>
        </w:rPr>
        <w:t>Aroldo Cedraz</w:t>
      </w:r>
      <w:r w:rsidR="00E01E09" w:rsidRPr="00B779BB">
        <w:rPr>
          <w:b/>
          <w:i/>
          <w:sz w:val="22"/>
          <w:szCs w:val="22"/>
        </w:rPr>
        <w:t xml:space="preserve">, </w:t>
      </w:r>
      <w:r w:rsidR="00787700">
        <w:rPr>
          <w:b/>
          <w:i/>
          <w:sz w:val="22"/>
          <w:szCs w:val="22"/>
        </w:rPr>
        <w:t>28</w:t>
      </w:r>
      <w:r w:rsidR="00E01E09" w:rsidRPr="00B779BB">
        <w:rPr>
          <w:b/>
          <w:i/>
          <w:sz w:val="22"/>
          <w:szCs w:val="22"/>
        </w:rPr>
        <w:t>.3.2012.</w:t>
      </w:r>
    </w:p>
    <w:p w:rsidR="00A300CB" w:rsidRPr="00B779BB" w:rsidRDefault="00A300CB" w:rsidP="0057040F">
      <w:pPr>
        <w:pStyle w:val="Default"/>
        <w:jc w:val="both"/>
        <w:rPr>
          <w:b/>
          <w:i/>
          <w:sz w:val="22"/>
          <w:szCs w:val="22"/>
        </w:rPr>
      </w:pPr>
    </w:p>
    <w:p w:rsidR="00445A25" w:rsidRPr="00B779BB" w:rsidRDefault="005800F7" w:rsidP="0057040F">
      <w:pPr>
        <w:pStyle w:val="Default"/>
        <w:jc w:val="both"/>
        <w:rPr>
          <w:b/>
          <w:sz w:val="22"/>
          <w:szCs w:val="22"/>
        </w:rPr>
      </w:pPr>
      <w:r w:rsidRPr="00B779BB">
        <w:rPr>
          <w:b/>
          <w:sz w:val="22"/>
          <w:szCs w:val="22"/>
        </w:rPr>
        <w:t xml:space="preserve">A elaboração de orçamento de obra exige não só a utilização de preços de insumos extraídos de sistemas referenciais, mas também a adaptação de composições de custos </w:t>
      </w:r>
      <w:r w:rsidR="00B55219">
        <w:rPr>
          <w:b/>
          <w:sz w:val="22"/>
          <w:szCs w:val="22"/>
        </w:rPr>
        <w:t xml:space="preserve">unitários </w:t>
      </w:r>
      <w:r w:rsidRPr="00B779BB">
        <w:rPr>
          <w:b/>
          <w:sz w:val="22"/>
          <w:szCs w:val="22"/>
        </w:rPr>
        <w:t>às condições de projeto</w:t>
      </w:r>
    </w:p>
    <w:p w:rsidR="00005F57" w:rsidRPr="00B779BB" w:rsidRDefault="00CD4ED2" w:rsidP="00005F57">
      <w:pPr>
        <w:pStyle w:val="Default"/>
        <w:jc w:val="both"/>
        <w:rPr>
          <w:b/>
          <w:i/>
          <w:sz w:val="22"/>
          <w:szCs w:val="22"/>
        </w:rPr>
      </w:pPr>
      <w:r w:rsidRPr="00B779BB">
        <w:rPr>
          <w:sz w:val="22"/>
          <w:szCs w:val="22"/>
        </w:rPr>
        <w:t>Auditoria realizada no Ministério da Integração Nacional (MI) identificou indícios de irregularidades no Edital de Concorrência nº 12011/2011-MI</w:t>
      </w:r>
      <w:r w:rsidR="00C11A6C" w:rsidRPr="00B779BB">
        <w:rPr>
          <w:sz w:val="22"/>
          <w:szCs w:val="22"/>
        </w:rPr>
        <w:t>,</w:t>
      </w:r>
      <w:r w:rsidRPr="00B779BB">
        <w:rPr>
          <w:sz w:val="22"/>
          <w:szCs w:val="22"/>
        </w:rPr>
        <w:t xml:space="preserve"> que tem por objeto </w:t>
      </w:r>
      <w:r w:rsidR="00C11A6C" w:rsidRPr="00B779BB">
        <w:rPr>
          <w:sz w:val="22"/>
          <w:szCs w:val="22"/>
        </w:rPr>
        <w:t xml:space="preserve">a </w:t>
      </w:r>
      <w:r w:rsidRPr="00B779BB">
        <w:rPr>
          <w:sz w:val="22"/>
          <w:szCs w:val="22"/>
        </w:rPr>
        <w:t>execução de obras civis, instalação, montagem, testes e comi</w:t>
      </w:r>
      <w:r w:rsidR="00DF135C">
        <w:rPr>
          <w:sz w:val="22"/>
          <w:szCs w:val="22"/>
        </w:rPr>
        <w:t>ss</w:t>
      </w:r>
      <w:r w:rsidRPr="00B779BB">
        <w:rPr>
          <w:sz w:val="22"/>
          <w:szCs w:val="22"/>
        </w:rPr>
        <w:t xml:space="preserve">ionamento dos equipamentos mecânicos e elétricos do Lote 5, eixo Norte, do Projeto de Integração do Rio São Francisco </w:t>
      </w:r>
      <w:r w:rsidR="00C11A6C" w:rsidRPr="00B779BB">
        <w:rPr>
          <w:sz w:val="22"/>
          <w:szCs w:val="22"/>
        </w:rPr>
        <w:t xml:space="preserve">(PISF) </w:t>
      </w:r>
      <w:r w:rsidRPr="00B779BB">
        <w:rPr>
          <w:sz w:val="22"/>
          <w:szCs w:val="22"/>
        </w:rPr>
        <w:t>com as bacias hidrográficas do Nordeste Setentrional. Entre as ocorrências relacionadas pela unidade técnica especializada, destaca-se o sobrepreço de R$ 29.082.754,56 (data-base jan/2011) no orçamento-base da licitação, que representa 5,53% do preço total da amostra examinada e 4,20% em relação ao valor total do orçamento (R$ 720.880.136,05)</w:t>
      </w:r>
      <w:r w:rsidR="00A138CF" w:rsidRPr="00B779BB">
        <w:rPr>
          <w:sz w:val="22"/>
          <w:szCs w:val="22"/>
        </w:rPr>
        <w:t>, o que afrontaria o disposto</w:t>
      </w:r>
      <w:r w:rsidRPr="00B779BB">
        <w:rPr>
          <w:sz w:val="22"/>
          <w:szCs w:val="22"/>
        </w:rPr>
        <w:t xml:space="preserve"> </w:t>
      </w:r>
      <w:r w:rsidR="00A138CF" w:rsidRPr="00B779BB">
        <w:rPr>
          <w:sz w:val="22"/>
          <w:szCs w:val="22"/>
        </w:rPr>
        <w:t xml:space="preserve">no </w:t>
      </w:r>
      <w:r w:rsidRPr="00B779BB">
        <w:rPr>
          <w:sz w:val="22"/>
          <w:szCs w:val="22"/>
        </w:rPr>
        <w:t>art. 125 da Lei 12.465/2011 (LDO/2012). A principal parcela do sobrepreço concentra-se em cinco serviços rela</w:t>
      </w:r>
      <w:r w:rsidR="00C11A6C" w:rsidRPr="00B779BB">
        <w:rPr>
          <w:sz w:val="22"/>
          <w:szCs w:val="22"/>
        </w:rPr>
        <w:t xml:space="preserve">cionados com </w:t>
      </w:r>
      <w:r w:rsidRPr="00B779BB">
        <w:rPr>
          <w:sz w:val="22"/>
          <w:szCs w:val="22"/>
        </w:rPr>
        <w:t>terraplenagem. Verificou-se</w:t>
      </w:r>
      <w:r w:rsidR="00C11A6C" w:rsidRPr="00B779BB">
        <w:rPr>
          <w:sz w:val="22"/>
          <w:szCs w:val="22"/>
        </w:rPr>
        <w:t>,</w:t>
      </w:r>
      <w:r w:rsidRPr="00B779BB">
        <w:rPr>
          <w:sz w:val="22"/>
          <w:szCs w:val="22"/>
        </w:rPr>
        <w:t xml:space="preserve"> qu</w:t>
      </w:r>
      <w:r w:rsidR="00C11A6C" w:rsidRPr="00B779BB">
        <w:rPr>
          <w:sz w:val="22"/>
          <w:szCs w:val="22"/>
        </w:rPr>
        <w:t>anto a esses serviços, que,</w:t>
      </w:r>
      <w:r w:rsidRPr="00B779BB">
        <w:rPr>
          <w:sz w:val="22"/>
          <w:szCs w:val="22"/>
        </w:rPr>
        <w:t xml:space="preserve"> a despeito de os preços orçados terem sido, em regra, calculados com a utilização de custos de insumos e serviços constantes do Sistema de Custos Rodoviários (Sicro) e do Sistema Nacional de Pesquisa de Custos e Índices da Construção Civil (Sinapi), não foram realizadas adaptações em diversas composições de custos unitários, a fim de conformá-las às efetivas condições de projeto. A título de exemplo, no caso do serviço “filtros e transposições finas horizontais de areia natural”, utilizou-se o insumo "</w:t>
      </w:r>
      <w:r w:rsidRPr="00E211F7">
        <w:rPr>
          <w:i/>
          <w:sz w:val="22"/>
          <w:szCs w:val="22"/>
        </w:rPr>
        <w:t>areia comercial lavada</w:t>
      </w:r>
      <w:r w:rsidRPr="00B779BB">
        <w:rPr>
          <w:sz w:val="22"/>
          <w:szCs w:val="22"/>
        </w:rPr>
        <w:t>", em vês de "</w:t>
      </w:r>
      <w:r w:rsidRPr="00E211F7">
        <w:rPr>
          <w:i/>
          <w:sz w:val="22"/>
          <w:szCs w:val="22"/>
        </w:rPr>
        <w:t>areia extraída de jazida</w:t>
      </w:r>
      <w:r w:rsidRPr="00B779BB">
        <w:rPr>
          <w:sz w:val="22"/>
          <w:szCs w:val="22"/>
        </w:rPr>
        <w:t>", esta última prevista no estudo de terraplenagem para as obras do lote 5. O relator</w:t>
      </w:r>
      <w:r w:rsidR="00C11A6C" w:rsidRPr="00B779BB">
        <w:rPr>
          <w:sz w:val="22"/>
          <w:szCs w:val="22"/>
        </w:rPr>
        <w:t>, em seu Voto,</w:t>
      </w:r>
      <w:r w:rsidRPr="00B779BB">
        <w:rPr>
          <w:sz w:val="22"/>
          <w:szCs w:val="22"/>
        </w:rPr>
        <w:t xml:space="preserve"> endossou a análise da Secob-4 a respeito d</w:t>
      </w:r>
      <w:r w:rsidR="00A138CF" w:rsidRPr="00B779BB">
        <w:rPr>
          <w:sz w:val="22"/>
          <w:szCs w:val="22"/>
        </w:rPr>
        <w:t xml:space="preserve">e tais </w:t>
      </w:r>
      <w:r w:rsidRPr="00B779BB">
        <w:rPr>
          <w:sz w:val="22"/>
          <w:szCs w:val="22"/>
        </w:rPr>
        <w:t>sobrepreços. O Tribunal, então, ao acolher proposta do relator, decidiu determinar ao MI que informe ao T</w:t>
      </w:r>
      <w:r w:rsidR="00C11A6C" w:rsidRPr="00B779BB">
        <w:rPr>
          <w:sz w:val="22"/>
          <w:szCs w:val="22"/>
        </w:rPr>
        <w:t>C</w:t>
      </w:r>
      <w:r w:rsidRPr="00B779BB">
        <w:rPr>
          <w:sz w:val="22"/>
          <w:szCs w:val="22"/>
        </w:rPr>
        <w:t xml:space="preserve">U, </w:t>
      </w:r>
      <w:r w:rsidR="00C11A6C" w:rsidRPr="00B779BB">
        <w:rPr>
          <w:sz w:val="22"/>
          <w:szCs w:val="22"/>
        </w:rPr>
        <w:t xml:space="preserve">em </w:t>
      </w:r>
      <w:r w:rsidRPr="00B779BB">
        <w:rPr>
          <w:sz w:val="22"/>
          <w:szCs w:val="22"/>
        </w:rPr>
        <w:t xml:space="preserve">15 dias, as medidas </w:t>
      </w:r>
      <w:r w:rsidR="00C11A6C" w:rsidRPr="00B779BB">
        <w:rPr>
          <w:sz w:val="22"/>
          <w:szCs w:val="22"/>
        </w:rPr>
        <w:t xml:space="preserve">a serem </w:t>
      </w:r>
      <w:r w:rsidRPr="00B779BB">
        <w:rPr>
          <w:sz w:val="22"/>
          <w:szCs w:val="22"/>
        </w:rPr>
        <w:t xml:space="preserve">adotadas com o intuito de adequar os preços do orçamento-base da licitação aos de mercado, tomando como limites máximos preços de vários serviços, que foram explicitados no subitem 9.1.1 do Acórdão. </w:t>
      </w:r>
      <w:r w:rsidR="00005F57" w:rsidRPr="00B779BB">
        <w:rPr>
          <w:b/>
          <w:i/>
          <w:sz w:val="22"/>
          <w:szCs w:val="22"/>
        </w:rPr>
        <w:t>Acórdão n.º 723/2012-Plenário, TC 037.773/2011-9, rel. Min. Raimundo Carreiro, 28.3.2012.</w:t>
      </w:r>
    </w:p>
    <w:p w:rsidR="00CD4ED2" w:rsidRPr="00B779BB" w:rsidRDefault="00CD4ED2" w:rsidP="0057040F">
      <w:pPr>
        <w:pStyle w:val="Default"/>
        <w:jc w:val="both"/>
        <w:rPr>
          <w:b/>
          <w:i/>
          <w:sz w:val="22"/>
          <w:szCs w:val="22"/>
        </w:rPr>
      </w:pPr>
    </w:p>
    <w:p w:rsidR="00CD4ED2" w:rsidRPr="00B779BB" w:rsidRDefault="00796163" w:rsidP="0057040F">
      <w:pPr>
        <w:pStyle w:val="Default"/>
        <w:jc w:val="both"/>
        <w:rPr>
          <w:b/>
          <w:sz w:val="22"/>
          <w:szCs w:val="22"/>
        </w:rPr>
      </w:pPr>
      <w:r w:rsidRPr="00B779BB">
        <w:rPr>
          <w:b/>
          <w:sz w:val="22"/>
          <w:szCs w:val="22"/>
        </w:rPr>
        <w:t xml:space="preserve">O regime de empreitada integral, previsto no art. 6º, inciso VIII, alínea “e”, da Lei nº 8.666/1993 deve ser considerado na </w:t>
      </w:r>
      <w:r w:rsidR="0069213E" w:rsidRPr="00B779BB">
        <w:rPr>
          <w:b/>
          <w:sz w:val="22"/>
          <w:szCs w:val="22"/>
        </w:rPr>
        <w:t>condução de projetos de vulto e complexos</w:t>
      </w:r>
      <w:r w:rsidRPr="00B779BB">
        <w:rPr>
          <w:b/>
          <w:sz w:val="22"/>
          <w:szCs w:val="22"/>
        </w:rPr>
        <w:t xml:space="preserve">  </w:t>
      </w:r>
    </w:p>
    <w:p w:rsidR="00B3194F" w:rsidRPr="00B779BB" w:rsidRDefault="006246FE" w:rsidP="00B3194F">
      <w:pPr>
        <w:pStyle w:val="Default"/>
        <w:jc w:val="both"/>
        <w:rPr>
          <w:b/>
          <w:i/>
          <w:sz w:val="22"/>
          <w:szCs w:val="22"/>
        </w:rPr>
      </w:pPr>
      <w:r w:rsidRPr="00B779BB">
        <w:rPr>
          <w:sz w:val="22"/>
          <w:szCs w:val="22"/>
        </w:rPr>
        <w:t xml:space="preserve">Ainda no âmbito da auditoria nas obras do </w:t>
      </w:r>
      <w:r w:rsidR="00005F57" w:rsidRPr="00B779BB">
        <w:rPr>
          <w:sz w:val="22"/>
          <w:szCs w:val="22"/>
        </w:rPr>
        <w:t>P</w:t>
      </w:r>
      <w:r w:rsidRPr="00B779BB">
        <w:rPr>
          <w:sz w:val="22"/>
          <w:szCs w:val="22"/>
        </w:rPr>
        <w:t>rojeto de Integração do Rio São Francisco com as bacias hidrográficas do Nordeste Setentrional</w:t>
      </w:r>
      <w:r w:rsidR="005572CC" w:rsidRPr="00B779BB">
        <w:rPr>
          <w:sz w:val="22"/>
          <w:szCs w:val="22"/>
        </w:rPr>
        <w:t>,</w:t>
      </w:r>
      <w:r w:rsidRPr="00B779BB">
        <w:rPr>
          <w:sz w:val="22"/>
          <w:szCs w:val="22"/>
        </w:rPr>
        <w:t xml:space="preserve"> o relator teceu considerações sobre o empreendimento como um todo. Observou que </w:t>
      </w:r>
      <w:r w:rsidR="00005F57" w:rsidRPr="00B779BB">
        <w:rPr>
          <w:sz w:val="22"/>
          <w:szCs w:val="22"/>
        </w:rPr>
        <w:t xml:space="preserve">o projeto </w:t>
      </w:r>
      <w:r w:rsidRPr="00B779BB">
        <w:rPr>
          <w:sz w:val="22"/>
          <w:szCs w:val="22"/>
        </w:rPr>
        <w:t>está subdividido em dois eixos principais</w:t>
      </w:r>
      <w:r w:rsidR="004D3E0B">
        <w:rPr>
          <w:sz w:val="22"/>
          <w:szCs w:val="22"/>
        </w:rPr>
        <w:t>:</w:t>
      </w:r>
      <w:r w:rsidRPr="00B779BB">
        <w:rPr>
          <w:sz w:val="22"/>
          <w:szCs w:val="22"/>
        </w:rPr>
        <w:t xml:space="preserve"> o Norte, que levará água para os sertões de Pernambuco, Ceará, Paraíba e Rio Grande do Norte, e o Leste, que beneficiará parte do Sertão e do Agreste de Pernambuco e da Paraíba. </w:t>
      </w:r>
      <w:r w:rsidR="00005F57" w:rsidRPr="00B779BB">
        <w:rPr>
          <w:sz w:val="22"/>
          <w:szCs w:val="22"/>
        </w:rPr>
        <w:t xml:space="preserve">Anotou </w:t>
      </w:r>
      <w:r w:rsidRPr="00B779BB">
        <w:rPr>
          <w:sz w:val="22"/>
          <w:szCs w:val="22"/>
        </w:rPr>
        <w:t xml:space="preserve">que o valor nominal já contratado </w:t>
      </w:r>
      <w:r w:rsidR="00005F57" w:rsidRPr="00B779BB">
        <w:rPr>
          <w:sz w:val="22"/>
          <w:szCs w:val="22"/>
        </w:rPr>
        <w:t xml:space="preserve">para essas obras </w:t>
      </w:r>
      <w:r w:rsidRPr="00B779BB">
        <w:rPr>
          <w:sz w:val="22"/>
          <w:szCs w:val="22"/>
        </w:rPr>
        <w:t>é da ordem de R$ 5,2 bilhões</w:t>
      </w:r>
      <w:r w:rsidR="00005F57" w:rsidRPr="00B779BB">
        <w:rPr>
          <w:sz w:val="22"/>
          <w:szCs w:val="22"/>
        </w:rPr>
        <w:t xml:space="preserve"> e </w:t>
      </w:r>
      <w:r w:rsidRPr="00B779BB">
        <w:rPr>
          <w:sz w:val="22"/>
          <w:szCs w:val="22"/>
        </w:rPr>
        <w:t>que “</w:t>
      </w:r>
      <w:r w:rsidRPr="00B779BB">
        <w:rPr>
          <w:i/>
          <w:sz w:val="22"/>
          <w:szCs w:val="22"/>
        </w:rPr>
        <w:t>o Tribunal tem se defrontado, ao longo das diversas auditorias</w:t>
      </w:r>
      <w:r w:rsidR="00005F57" w:rsidRPr="00B779BB">
        <w:rPr>
          <w:i/>
          <w:sz w:val="22"/>
          <w:szCs w:val="22"/>
        </w:rPr>
        <w:t xml:space="preserve"> (...) </w:t>
      </w:r>
      <w:r w:rsidRPr="00B779BB">
        <w:rPr>
          <w:i/>
          <w:sz w:val="22"/>
          <w:szCs w:val="22"/>
        </w:rPr>
        <w:t xml:space="preserve">com problemas </w:t>
      </w:r>
      <w:r w:rsidR="00005F57" w:rsidRPr="00B779BB">
        <w:rPr>
          <w:i/>
          <w:sz w:val="22"/>
          <w:szCs w:val="22"/>
        </w:rPr>
        <w:t xml:space="preserve">(...) </w:t>
      </w:r>
      <w:r w:rsidRPr="00B779BB">
        <w:rPr>
          <w:i/>
          <w:sz w:val="22"/>
          <w:szCs w:val="22"/>
        </w:rPr>
        <w:t>relacionados ao processo de contratação do empreendimento, especificamente, com a baixa qualidade dos projetos licitados e com a deficiente orçamentação, materializada, sobretudo, por falhas na definição dos quantitativos necessários para a conclusão das obras e dos preços unitários e globais dos serviços</w:t>
      </w:r>
      <w:r w:rsidRPr="00B779BB">
        <w:rPr>
          <w:sz w:val="22"/>
          <w:szCs w:val="22"/>
        </w:rPr>
        <w:t>”. Lembrou da recente revogação pelo M</w:t>
      </w:r>
      <w:r w:rsidR="00005F57" w:rsidRPr="00B779BB">
        <w:rPr>
          <w:sz w:val="22"/>
          <w:szCs w:val="22"/>
        </w:rPr>
        <w:t>I</w:t>
      </w:r>
      <w:r w:rsidRPr="00B779BB">
        <w:rPr>
          <w:sz w:val="22"/>
          <w:szCs w:val="22"/>
        </w:rPr>
        <w:t xml:space="preserve"> da Concorrência nº 1/2010 (Execução de obras civis, fornecimento, instalação, montagem e testes dos equipamentos mecânicos e elétricos dos lotes 5, 8, 15, 16, 17 e 18),  após atuação do TCU (Acórdão nº 1.667/2011 – Plenário), envolvendo recursos da ordem de R$ 1.679.261.731,42. Acrescentou que o próprio M</w:t>
      </w:r>
      <w:r w:rsidR="00005F57" w:rsidRPr="00B779BB">
        <w:rPr>
          <w:sz w:val="22"/>
          <w:szCs w:val="22"/>
        </w:rPr>
        <w:t>I</w:t>
      </w:r>
      <w:r w:rsidRPr="00B779BB">
        <w:rPr>
          <w:sz w:val="22"/>
          <w:szCs w:val="22"/>
        </w:rPr>
        <w:t xml:space="preserve"> aventa a hipótese de promover a rescisão de contratos dos lotes 3, 4 e 7 do Eixo Norte e de “</w:t>
      </w:r>
      <w:r w:rsidRPr="00B779BB">
        <w:rPr>
          <w:i/>
          <w:sz w:val="22"/>
          <w:szCs w:val="22"/>
        </w:rPr>
        <w:t>licitar as parcelas remanescentes dos aludidos lotes e daqueles que já atingiram o limite máximo legal de 25% de incremento de preço, tendo em vista acréscimos de serviços</w:t>
      </w:r>
      <w:r w:rsidRPr="00B779BB">
        <w:rPr>
          <w:sz w:val="22"/>
          <w:szCs w:val="22"/>
        </w:rPr>
        <w:t xml:space="preserve">”. </w:t>
      </w:r>
      <w:r w:rsidR="00005F57" w:rsidRPr="00B779BB">
        <w:rPr>
          <w:sz w:val="22"/>
          <w:szCs w:val="22"/>
        </w:rPr>
        <w:t>Registrou</w:t>
      </w:r>
      <w:r w:rsidRPr="00B779BB">
        <w:rPr>
          <w:sz w:val="22"/>
          <w:szCs w:val="22"/>
        </w:rPr>
        <w:t xml:space="preserve"> que o citado órgão reconhece substancial elevação do valor total dos investimentos previstos, que já alcança os R$ 8,2 bilhões</w:t>
      </w:r>
      <w:r w:rsidR="00005F57" w:rsidRPr="00B779BB">
        <w:rPr>
          <w:sz w:val="22"/>
          <w:szCs w:val="22"/>
        </w:rPr>
        <w:t>.</w:t>
      </w:r>
      <w:r w:rsidRPr="00B779BB">
        <w:rPr>
          <w:sz w:val="22"/>
          <w:szCs w:val="22"/>
        </w:rPr>
        <w:t xml:space="preserve"> Com base nesse contexto, </w:t>
      </w:r>
      <w:r w:rsidR="00005F57" w:rsidRPr="00B779BB">
        <w:rPr>
          <w:sz w:val="22"/>
          <w:szCs w:val="22"/>
        </w:rPr>
        <w:t>arrematou</w:t>
      </w:r>
      <w:r w:rsidRPr="00B779BB">
        <w:rPr>
          <w:sz w:val="22"/>
          <w:szCs w:val="22"/>
        </w:rPr>
        <w:t>: “</w:t>
      </w:r>
      <w:r w:rsidRPr="00B779BB">
        <w:rPr>
          <w:i/>
          <w:sz w:val="22"/>
          <w:szCs w:val="22"/>
        </w:rPr>
        <w:t xml:space="preserve">entendo pertinente a utilização do regime de contratação designado como empreitada integral ou </w:t>
      </w:r>
      <w:r w:rsidRPr="00B779BB">
        <w:rPr>
          <w:b/>
          <w:i/>
          <w:sz w:val="22"/>
          <w:szCs w:val="22"/>
        </w:rPr>
        <w:t>turn key</w:t>
      </w:r>
      <w:r w:rsidRPr="00B779BB">
        <w:rPr>
          <w:i/>
          <w:sz w:val="22"/>
          <w:szCs w:val="22"/>
        </w:rPr>
        <w:t>, previsto no art. 6º, inciso VIII, alínea “e”, da Lei nº 8.666/1993, para as licitações que serão promovidas pelo Ministério da Integração Nacional, no âmbito do presente empreendimento, a fim de se evitar as recorrentes falhas verificadas no decorrer do acompanhamento do PISF por esta Corte</w:t>
      </w:r>
      <w:r w:rsidRPr="00B779BB">
        <w:rPr>
          <w:sz w:val="22"/>
          <w:szCs w:val="22"/>
        </w:rPr>
        <w:t>”. Acrescentou que o vulto do empreendimento e o alcance social e econômico vislumbrado</w:t>
      </w:r>
      <w:r w:rsidR="00005F57" w:rsidRPr="00B779BB">
        <w:rPr>
          <w:sz w:val="22"/>
          <w:szCs w:val="22"/>
        </w:rPr>
        <w:t>s</w:t>
      </w:r>
      <w:r w:rsidRPr="00B779BB">
        <w:rPr>
          <w:sz w:val="22"/>
          <w:szCs w:val="22"/>
        </w:rPr>
        <w:t xml:space="preserve"> reforçam a pertinência de adoção desse regime de contratação e que há precedentes, no âmbito do TCU, que respaldam essa solução. O Tribunal, então, ao acolher proposta do </w:t>
      </w:r>
      <w:r w:rsidR="004D3E0B">
        <w:rPr>
          <w:sz w:val="22"/>
          <w:szCs w:val="22"/>
        </w:rPr>
        <w:t>r</w:t>
      </w:r>
      <w:r w:rsidRPr="00B779BB">
        <w:rPr>
          <w:sz w:val="22"/>
          <w:szCs w:val="22"/>
        </w:rPr>
        <w:t>elator, decidiu: “</w:t>
      </w:r>
      <w:r w:rsidRPr="00B779BB">
        <w:rPr>
          <w:i/>
          <w:sz w:val="22"/>
          <w:szCs w:val="22"/>
        </w:rPr>
        <w:t>9.2. determinar ao Ministério da Integração Nacional, com espeque no art. 250, inciso II, do Regimento Interno do TCU, que, preliminarmente à continuidade das licitações referentes aos lotes 15, 16, 17 e 18 (Ramal do Agreste), aos serviços remanescentes dos lotes 3, 4 e 7 (Eixo Norte) e aos lotes que atingiram o limite legal de 25%: 9.2.1 efetue avaliação econômica das alternativas de forma de ajuste, considerando, inclusive, regime de empreitada integral, nos termos do art. 6º, inciso VIII, alínea “e”, da Lei nº 8.666/1993, justificando a escolha daquela que se revelar mais conveniente para o caso</w:t>
      </w:r>
      <w:r w:rsidRPr="00B779BB">
        <w:rPr>
          <w:sz w:val="22"/>
          <w:szCs w:val="22"/>
        </w:rPr>
        <w:t>”.</w:t>
      </w:r>
      <w:r w:rsidR="0092336E" w:rsidRPr="00B779BB">
        <w:rPr>
          <w:sz w:val="22"/>
          <w:szCs w:val="22"/>
        </w:rPr>
        <w:t xml:space="preserve"> Precedentes mencionados:</w:t>
      </w:r>
      <w:r w:rsidR="00B3194F" w:rsidRPr="00B779BB">
        <w:rPr>
          <w:rFonts w:eastAsia="Times New Roman"/>
          <w:sz w:val="22"/>
          <w:szCs w:val="22"/>
        </w:rPr>
        <w:t xml:space="preserve"> </w:t>
      </w:r>
      <w:r w:rsidR="00B3194F" w:rsidRPr="00B779BB">
        <w:rPr>
          <w:sz w:val="22"/>
          <w:szCs w:val="22"/>
        </w:rPr>
        <w:t>Acórdãos nº 1.566/2005 – Plenário e nº 3.977/2009 – 2ª Câmara.</w:t>
      </w:r>
      <w:r w:rsidR="00005F57" w:rsidRPr="00B779BB">
        <w:rPr>
          <w:sz w:val="22"/>
          <w:szCs w:val="22"/>
        </w:rPr>
        <w:t xml:space="preserve"> </w:t>
      </w:r>
      <w:r w:rsidR="00005F57" w:rsidRPr="00B779BB">
        <w:rPr>
          <w:b/>
          <w:i/>
          <w:sz w:val="22"/>
          <w:szCs w:val="22"/>
        </w:rPr>
        <w:t>Acórdão n.º 723/2012-Plenário, TC 037.773/2011-9, rel. Min. Raimundo Carreiro, 28.3.2012.</w:t>
      </w:r>
    </w:p>
    <w:p w:rsidR="00796163" w:rsidRPr="00B779BB" w:rsidRDefault="00796163" w:rsidP="00B3194F">
      <w:pPr>
        <w:pStyle w:val="Default"/>
        <w:jc w:val="both"/>
        <w:rPr>
          <w:sz w:val="22"/>
          <w:szCs w:val="22"/>
        </w:rPr>
      </w:pPr>
    </w:p>
    <w:p w:rsidR="005800F7" w:rsidRPr="00B779BB" w:rsidRDefault="005800F7" w:rsidP="0009780B">
      <w:pPr>
        <w:pStyle w:val="Default"/>
        <w:jc w:val="both"/>
        <w:rPr>
          <w:sz w:val="22"/>
          <w:szCs w:val="22"/>
        </w:rPr>
      </w:pPr>
      <w:r w:rsidRPr="00B779BB">
        <w:rPr>
          <w:b/>
          <w:sz w:val="22"/>
          <w:szCs w:val="22"/>
        </w:rPr>
        <w:t>A exigência de comprovação, para fim de qualificação técnica, de tempo de experiência dos profissionais a serem disponibilizados pela licitante afronta o disposto no art. 30, § 5º, da Lei nº 8.666/93</w:t>
      </w:r>
      <w:r w:rsidRPr="00B779BB">
        <w:rPr>
          <w:sz w:val="22"/>
          <w:szCs w:val="22"/>
        </w:rPr>
        <w:t>.</w:t>
      </w:r>
    </w:p>
    <w:p w:rsidR="0009780B" w:rsidRDefault="0009780B" w:rsidP="0009780B">
      <w:pPr>
        <w:pStyle w:val="Default"/>
        <w:jc w:val="both"/>
        <w:rPr>
          <w:b/>
          <w:i/>
          <w:sz w:val="22"/>
          <w:szCs w:val="22"/>
        </w:rPr>
      </w:pPr>
      <w:r w:rsidRPr="00B779BB">
        <w:rPr>
          <w:sz w:val="22"/>
          <w:szCs w:val="22"/>
        </w:rPr>
        <w:t xml:space="preserve">Representação, com pedido de medida cautelar, elencou possíveis irregularidades na Concorrência 2/2012 </w:t>
      </w:r>
      <w:r w:rsidR="00AF5706" w:rsidRPr="00B779BB">
        <w:rPr>
          <w:sz w:val="22"/>
          <w:szCs w:val="22"/>
        </w:rPr>
        <w:t xml:space="preserve">realizada pelo </w:t>
      </w:r>
      <w:r w:rsidRPr="00B779BB">
        <w:rPr>
          <w:sz w:val="22"/>
          <w:szCs w:val="22"/>
        </w:rPr>
        <w:t xml:space="preserve">Serviço Brasileiro de Apoio às Micro e Pequenas Empresas - Sebrae/DN, </w:t>
      </w:r>
      <w:r w:rsidR="00005F57" w:rsidRPr="00B779BB">
        <w:rPr>
          <w:sz w:val="22"/>
          <w:szCs w:val="22"/>
        </w:rPr>
        <w:t>do</w:t>
      </w:r>
      <w:r w:rsidRPr="00B779BB">
        <w:rPr>
          <w:sz w:val="22"/>
          <w:szCs w:val="22"/>
        </w:rPr>
        <w:t xml:space="preserve"> tipo técnica e preço, cujo objeto é a contratação de empresa para prestação de serviços de assessoria de imprensa e comunicação, sob demanda. Em face dos indícios de irregularidades, o relator</w:t>
      </w:r>
      <w:r w:rsidR="005572CC" w:rsidRPr="00B779BB">
        <w:rPr>
          <w:sz w:val="22"/>
          <w:szCs w:val="22"/>
        </w:rPr>
        <w:t xml:space="preserve"> </w:t>
      </w:r>
      <w:r w:rsidRPr="00B779BB">
        <w:rPr>
          <w:sz w:val="22"/>
          <w:szCs w:val="22"/>
        </w:rPr>
        <w:t xml:space="preserve">determinou </w:t>
      </w:r>
      <w:r w:rsidR="004D3E0B">
        <w:rPr>
          <w:sz w:val="22"/>
          <w:szCs w:val="22"/>
        </w:rPr>
        <w:t>su</w:t>
      </w:r>
      <w:r w:rsidRPr="00B779BB">
        <w:rPr>
          <w:sz w:val="22"/>
          <w:szCs w:val="22"/>
        </w:rPr>
        <w:t xml:space="preserve">a suspensão cautelar, o que mereceu endosso do Plenário. Após considerar </w:t>
      </w:r>
      <w:r w:rsidR="00AF5706" w:rsidRPr="00B779BB">
        <w:rPr>
          <w:sz w:val="22"/>
          <w:szCs w:val="22"/>
        </w:rPr>
        <w:t xml:space="preserve">justificativas do </w:t>
      </w:r>
      <w:r w:rsidRPr="00B779BB">
        <w:rPr>
          <w:sz w:val="22"/>
          <w:szCs w:val="22"/>
        </w:rPr>
        <w:t xml:space="preserve">Sebrae/DN, </w:t>
      </w:r>
      <w:r w:rsidR="005572CC" w:rsidRPr="00B779BB">
        <w:rPr>
          <w:sz w:val="22"/>
          <w:szCs w:val="22"/>
        </w:rPr>
        <w:t xml:space="preserve">entendeu indevida </w:t>
      </w:r>
      <w:r w:rsidR="00AF5706" w:rsidRPr="00B779BB">
        <w:rPr>
          <w:sz w:val="22"/>
          <w:szCs w:val="22"/>
        </w:rPr>
        <w:t xml:space="preserve">a </w:t>
      </w:r>
      <w:r w:rsidRPr="00B779BB">
        <w:rPr>
          <w:sz w:val="22"/>
          <w:szCs w:val="22"/>
        </w:rPr>
        <w:t>exigência contida no item 7.1.3 do edital, letra “a”, de apresentação de atestados de “</w:t>
      </w:r>
      <w:r w:rsidRPr="00B779BB">
        <w:rPr>
          <w:i/>
          <w:sz w:val="22"/>
          <w:szCs w:val="22"/>
        </w:rPr>
        <w:t xml:space="preserve">capacidade técnica fornecido(s) por pessoa(s) de direito publico ou privado, emitido pela empresa tomadora dos serviços que comprove(m) ter o licitante prestado serviços técnicos especializados em assessoria de comunicação e imprensa, com disponibilização de no mínimo vinte jornalistas com no mínimo cinco anos de experiência, dois repórter fotográficos com no mínimo cinco anos de experiência e um </w:t>
      </w:r>
      <w:r w:rsidRPr="00B779BB">
        <w:rPr>
          <w:i/>
          <w:iCs/>
          <w:sz w:val="22"/>
          <w:szCs w:val="22"/>
        </w:rPr>
        <w:t xml:space="preserve">webdesigner </w:t>
      </w:r>
      <w:r w:rsidRPr="00B779BB">
        <w:rPr>
          <w:i/>
          <w:sz w:val="22"/>
          <w:szCs w:val="22"/>
        </w:rPr>
        <w:t>com no minimo cinco anos de experiência</w:t>
      </w:r>
      <w:r w:rsidRPr="00B779BB">
        <w:rPr>
          <w:sz w:val="22"/>
          <w:szCs w:val="22"/>
        </w:rPr>
        <w:t>”. Reiterou entendimento da unidade técnica no sentido de não ser adequado exigir tempo de experiência dos profissionais que prestarão os serviços, “</w:t>
      </w:r>
      <w:r w:rsidRPr="00B779BB">
        <w:rPr>
          <w:i/>
          <w:sz w:val="22"/>
          <w:szCs w:val="22"/>
        </w:rPr>
        <w:t>uma vez que a empresa deve demonstrar aptidão técnica para executar o contrato, sem que isso esteja necessariamente ligado, por ocasião da licitação, à experiência do quadro de pessoal utilizado em avenças anteriores</w:t>
      </w:r>
      <w:r w:rsidRPr="00B779BB">
        <w:rPr>
          <w:sz w:val="22"/>
          <w:szCs w:val="22"/>
        </w:rPr>
        <w:t>”. Lembrou a possibilidade de o recrutamento de parte dos profissionais se dar apenas no caso de adjudicação do objeto da licitação. No dizer do relator, “</w:t>
      </w:r>
      <w:r w:rsidRPr="00B779BB">
        <w:rPr>
          <w:i/>
          <w:sz w:val="22"/>
          <w:szCs w:val="22"/>
        </w:rPr>
        <w:t>Isso é condizente com a dinâmica do mercado de comunicação</w:t>
      </w:r>
      <w:r w:rsidRPr="00B779BB">
        <w:rPr>
          <w:sz w:val="22"/>
          <w:szCs w:val="22"/>
        </w:rPr>
        <w:t>” e amplia a competitividade de certames do gênero. Reproduziu, em seguida, trecho do Acórdão nº. 600/2011 – Plenário: “</w:t>
      </w:r>
      <w:r w:rsidRPr="00B779BB">
        <w:rPr>
          <w:i/>
          <w:sz w:val="22"/>
          <w:szCs w:val="22"/>
        </w:rPr>
        <w:t>A exigência de comprovação, para fim de qualificação técnica, de tempo de experiência dos profissionais a serem disponibilizados pela licitante para a execução do objeto afronta o disposto no art. 30, § 5º, da Lei nº 8.666/93</w:t>
      </w:r>
      <w:r w:rsidRPr="00B779BB">
        <w:rPr>
          <w:sz w:val="22"/>
          <w:szCs w:val="22"/>
        </w:rPr>
        <w:t>”. O Tribunal, por esses motivo</w:t>
      </w:r>
      <w:r w:rsidR="00DF135C">
        <w:rPr>
          <w:sz w:val="22"/>
          <w:szCs w:val="22"/>
        </w:rPr>
        <w:t>s</w:t>
      </w:r>
      <w:r w:rsidRPr="00B779BB">
        <w:rPr>
          <w:sz w:val="22"/>
          <w:szCs w:val="22"/>
        </w:rPr>
        <w:t>, ao acolher proposta do relator, decidiu: “</w:t>
      </w:r>
      <w:r w:rsidRPr="00B779BB">
        <w:rPr>
          <w:i/>
          <w:sz w:val="22"/>
          <w:szCs w:val="22"/>
        </w:rPr>
        <w:t>9.3 determinar ao Sebrae/DN que, em caso de seguimento da Concorrência 2/2012, altere a alínea “a” do item 7.1.3 do respectivo edital, de modo a excluir as exigências relativas ao número de anos de experiência dos profissionais que comporão a equipe responsável pelos serviços, estabelecendo requisitos para cada categoria profissional</w:t>
      </w:r>
      <w:r w:rsidRPr="00DF135C">
        <w:rPr>
          <w:i/>
          <w:sz w:val="22"/>
          <w:szCs w:val="22"/>
        </w:rPr>
        <w:t>, como condição apenas de contratação,</w:t>
      </w:r>
      <w:r w:rsidRPr="00B779BB">
        <w:rPr>
          <w:i/>
          <w:sz w:val="22"/>
          <w:szCs w:val="22"/>
        </w:rPr>
        <w:t xml:space="preserve"> e comunique ao TCU do que vier a ser decidido em 15 (quinze) dias</w:t>
      </w:r>
      <w:r w:rsidRPr="00B779BB">
        <w:rPr>
          <w:sz w:val="22"/>
          <w:szCs w:val="22"/>
        </w:rPr>
        <w:t>”. Precedentes mencionados: Acórdãos 600/2011 e 473/2004,</w:t>
      </w:r>
      <w:r w:rsidR="00DF135C">
        <w:rPr>
          <w:sz w:val="22"/>
          <w:szCs w:val="22"/>
        </w:rPr>
        <w:t xml:space="preserve"> ambos </w:t>
      </w:r>
      <w:r w:rsidRPr="00B779BB">
        <w:rPr>
          <w:sz w:val="22"/>
          <w:szCs w:val="22"/>
        </w:rPr>
        <w:t xml:space="preserve">do Plenário. </w:t>
      </w:r>
      <w:r w:rsidRPr="00B779BB">
        <w:rPr>
          <w:b/>
          <w:i/>
          <w:sz w:val="22"/>
          <w:szCs w:val="22"/>
        </w:rPr>
        <w:t>Acórdão n.º 72</w:t>
      </w:r>
      <w:r w:rsidR="00E85288" w:rsidRPr="00B779BB">
        <w:rPr>
          <w:b/>
          <w:i/>
          <w:sz w:val="22"/>
          <w:szCs w:val="22"/>
        </w:rPr>
        <w:t>7</w:t>
      </w:r>
      <w:r w:rsidRPr="00B779BB">
        <w:rPr>
          <w:b/>
          <w:i/>
          <w:sz w:val="22"/>
          <w:szCs w:val="22"/>
        </w:rPr>
        <w:t xml:space="preserve">/2012-Plenário, TC </w:t>
      </w:r>
      <w:r w:rsidR="00E85288" w:rsidRPr="00B779BB">
        <w:rPr>
          <w:b/>
          <w:i/>
          <w:sz w:val="22"/>
          <w:szCs w:val="22"/>
        </w:rPr>
        <w:t>004.909/2012-7</w:t>
      </w:r>
      <w:r w:rsidRPr="00B779BB">
        <w:rPr>
          <w:b/>
          <w:i/>
          <w:sz w:val="22"/>
          <w:szCs w:val="22"/>
        </w:rPr>
        <w:t xml:space="preserve">, rel. Min. </w:t>
      </w:r>
      <w:r w:rsidR="00E85288" w:rsidRPr="00B779BB">
        <w:rPr>
          <w:b/>
          <w:i/>
          <w:sz w:val="22"/>
          <w:szCs w:val="22"/>
        </w:rPr>
        <w:t>José Múcio Monteiro</w:t>
      </w:r>
      <w:r w:rsidRPr="00B779BB">
        <w:rPr>
          <w:b/>
          <w:i/>
          <w:sz w:val="22"/>
          <w:szCs w:val="22"/>
        </w:rPr>
        <w:t xml:space="preserve">, </w:t>
      </w:r>
      <w:r w:rsidR="00E85288" w:rsidRPr="00B779BB">
        <w:rPr>
          <w:b/>
          <w:i/>
          <w:sz w:val="22"/>
          <w:szCs w:val="22"/>
        </w:rPr>
        <w:t>28</w:t>
      </w:r>
      <w:r w:rsidRPr="00B779BB">
        <w:rPr>
          <w:b/>
          <w:i/>
          <w:sz w:val="22"/>
          <w:szCs w:val="22"/>
        </w:rPr>
        <w:t>.3.2012.</w:t>
      </w:r>
    </w:p>
    <w:p w:rsidR="004D3E0B" w:rsidRPr="00B779BB" w:rsidRDefault="004D3E0B" w:rsidP="0009780B">
      <w:pPr>
        <w:pStyle w:val="Default"/>
        <w:jc w:val="both"/>
        <w:rPr>
          <w:b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5"/>
      </w:tblGrid>
      <w:tr w:rsidR="007334B1" w:rsidRPr="00B779BB" w:rsidTr="0030360F">
        <w:trPr>
          <w:trHeight w:val="779"/>
          <w:jc w:val="center"/>
        </w:trPr>
        <w:tc>
          <w:tcPr>
            <w:tcW w:w="0" w:type="auto"/>
            <w:vAlign w:val="center"/>
          </w:tcPr>
          <w:p w:rsidR="007334B1" w:rsidRPr="00B779BB" w:rsidRDefault="00C10DD5" w:rsidP="0057040F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22"/>
                <w:szCs w:val="22"/>
              </w:rPr>
            </w:pPr>
            <w:r w:rsidRPr="00B779BB">
              <w:rPr>
                <w:b/>
                <w:i/>
                <w:sz w:val="22"/>
                <w:szCs w:val="22"/>
              </w:rPr>
              <w:t>Elaboração: Secretaria das Sessões</w:t>
            </w:r>
          </w:p>
          <w:p w:rsidR="007334B1" w:rsidRPr="00B779BB" w:rsidRDefault="007334B1" w:rsidP="0057040F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22"/>
                <w:szCs w:val="22"/>
              </w:rPr>
            </w:pPr>
            <w:r w:rsidRPr="00B779BB">
              <w:rPr>
                <w:b/>
                <w:i/>
                <w:sz w:val="22"/>
                <w:szCs w:val="22"/>
              </w:rPr>
              <w:t xml:space="preserve">Contato: </w:t>
            </w:r>
            <w:hyperlink r:id="rId8" w:history="1">
              <w:r w:rsidRPr="00B779BB">
                <w:rPr>
                  <w:rStyle w:val="Hyperlink"/>
                  <w:b/>
                  <w:i/>
                  <w:color w:val="auto"/>
                  <w:sz w:val="22"/>
                  <w:szCs w:val="22"/>
                </w:rPr>
                <w:t>infojuris@tcu.gov.br</w:t>
              </w:r>
            </w:hyperlink>
          </w:p>
        </w:tc>
      </w:tr>
    </w:tbl>
    <w:p w:rsidR="007334B1" w:rsidRPr="00B779BB" w:rsidRDefault="007334B1" w:rsidP="004D3E0B">
      <w:pPr>
        <w:pStyle w:val="PargrafodaLista"/>
        <w:widowControl w:val="0"/>
        <w:autoSpaceDE w:val="0"/>
        <w:autoSpaceDN w:val="0"/>
        <w:adjustRightInd w:val="0"/>
        <w:spacing w:before="120"/>
        <w:ind w:left="0"/>
        <w:jc w:val="both"/>
        <w:rPr>
          <w:b/>
          <w:color w:val="FF0000"/>
          <w:sz w:val="22"/>
        </w:rPr>
      </w:pPr>
    </w:p>
    <w:sectPr w:rsidR="007334B1" w:rsidRPr="00B779BB" w:rsidSect="00A418FF">
      <w:headerReference w:type="default" r:id="rId9"/>
      <w:footerReference w:type="default" r:id="rId10"/>
      <w:pgSz w:w="11906" w:h="16838" w:code="9"/>
      <w:pgMar w:top="1134" w:right="851" w:bottom="851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249" w:rsidRDefault="00660249" w:rsidP="008B0547">
      <w:pPr>
        <w:spacing w:after="0"/>
      </w:pPr>
      <w:r>
        <w:separator/>
      </w:r>
    </w:p>
  </w:endnote>
  <w:endnote w:type="continuationSeparator" w:id="0">
    <w:p w:rsidR="00660249" w:rsidRDefault="00660249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5A3" w:rsidRPr="00C906CD" w:rsidRDefault="00C45A1B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="005875A3"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CE4906">
      <w:rPr>
        <w:noProof/>
        <w:sz w:val="20"/>
        <w:szCs w:val="20"/>
      </w:rPr>
      <w:t>1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249" w:rsidRDefault="00660249" w:rsidP="008B0547">
      <w:pPr>
        <w:spacing w:after="0"/>
      </w:pPr>
      <w:r>
        <w:separator/>
      </w:r>
    </w:p>
  </w:footnote>
  <w:footnote w:type="continuationSeparator" w:id="0">
    <w:p w:rsidR="00660249" w:rsidRDefault="00660249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5A3" w:rsidRDefault="002B4326" w:rsidP="00080148">
    <w:pPr>
      <w:spacing w:after="0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-37465</wp:posOffset>
          </wp:positionH>
          <wp:positionV relativeFrom="paragraph">
            <wp:posOffset>-71120</wp:posOffset>
          </wp:positionV>
          <wp:extent cx="551815" cy="436880"/>
          <wp:effectExtent l="0" t="0" r="635" b="1270"/>
          <wp:wrapNone/>
          <wp:docPr id="2" name="Imagem 1" descr="LogoT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5A3">
      <w:rPr>
        <w:rFonts w:ascii="Arial" w:hAnsi="Arial" w:cs="Arial"/>
        <w:b/>
      </w:rPr>
      <w:t>TRIBUNAL DE CONTAS DA UNIÃO</w:t>
    </w:r>
  </w:p>
  <w:p w:rsidR="005875A3" w:rsidRPr="00515E7B" w:rsidRDefault="002B4326" w:rsidP="00080148">
    <w:pPr>
      <w:spacing w:after="0"/>
      <w:rPr>
        <w:rFonts w:ascii="Arial" w:hAnsi="Arial" w:cs="Arial"/>
        <w:b/>
      </w:rPr>
    </w:pPr>
    <w:r w:rsidRPr="00C45A1B">
      <w:rPr>
        <w:rFonts w:ascii="Arial" w:hAnsi="Arial" w:cs="Arial"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37465</wp:posOffset>
              </wp:positionH>
              <wp:positionV relativeFrom="paragraph">
                <wp:posOffset>243840</wp:posOffset>
              </wp:positionV>
              <wp:extent cx="6120130" cy="0"/>
              <wp:effectExtent l="8890" t="5715" r="5080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1241F5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95pt,19.2pt" to="484.8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OF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">
              <w10:wrap anchorx="margin"/>
            </v:line>
          </w:pict>
        </mc:Fallback>
      </mc:AlternateContent>
    </w:r>
    <w:r w:rsidR="005875A3" w:rsidRPr="00515E7B">
      <w:rPr>
        <w:rFonts w:ascii="Arial" w:hAnsi="Arial" w:cs="Arial"/>
        <w:noProof/>
        <w:lang w:eastAsia="pt-BR"/>
      </w:rPr>
      <w:t>Info</w:t>
    </w:r>
    <w:r w:rsidR="005875A3">
      <w:rPr>
        <w:rFonts w:ascii="Arial" w:hAnsi="Arial" w:cs="Arial"/>
        <w:noProof/>
        <w:lang w:eastAsia="pt-BR"/>
      </w:rPr>
      <w:t xml:space="preserve">rmativo </w:t>
    </w:r>
    <w:r w:rsidR="00357D80">
      <w:rPr>
        <w:rFonts w:ascii="Arial" w:hAnsi="Arial" w:cs="Arial"/>
        <w:noProof/>
        <w:lang w:eastAsia="pt-BR"/>
      </w:rPr>
      <w:t xml:space="preserve">de jurisprudência </w:t>
    </w:r>
    <w:r w:rsidR="005875A3">
      <w:rPr>
        <w:rFonts w:ascii="Arial" w:hAnsi="Arial" w:cs="Arial"/>
        <w:noProof/>
        <w:lang w:eastAsia="pt-BR"/>
      </w:rPr>
      <w:t>sobre L</w:t>
    </w:r>
    <w:r w:rsidR="005875A3" w:rsidRPr="00515E7B">
      <w:rPr>
        <w:rFonts w:ascii="Arial" w:hAnsi="Arial" w:cs="Arial"/>
        <w:noProof/>
        <w:lang w:eastAsia="pt-BR"/>
      </w:rPr>
      <w:t xml:space="preserve">icitações e </w:t>
    </w:r>
    <w:r w:rsidR="005875A3">
      <w:rPr>
        <w:rFonts w:ascii="Arial" w:hAnsi="Arial" w:cs="Arial"/>
        <w:noProof/>
        <w:lang w:eastAsia="pt-BR"/>
      </w:rPr>
      <w:t>C</w:t>
    </w:r>
    <w:r w:rsidR="005875A3" w:rsidRPr="00515E7B">
      <w:rPr>
        <w:rFonts w:ascii="Arial" w:hAnsi="Arial" w:cs="Arial"/>
        <w:noProof/>
        <w:lang w:eastAsia="pt-BR"/>
      </w:rPr>
      <w:t>ontratos</w:t>
    </w:r>
    <w:r w:rsidR="005875A3">
      <w:rPr>
        <w:rFonts w:ascii="Arial" w:hAnsi="Arial" w:cs="Arial"/>
        <w:noProof/>
        <w:lang w:eastAsia="pt-BR"/>
      </w:rPr>
      <w:t xml:space="preserve"> nº </w:t>
    </w:r>
    <w:r w:rsidR="002F69BB">
      <w:rPr>
        <w:rFonts w:ascii="Arial" w:hAnsi="Arial" w:cs="Arial"/>
        <w:noProof/>
        <w:lang w:eastAsia="pt-BR"/>
      </w:rPr>
      <w:t>9</w:t>
    </w:r>
    <w:r w:rsidR="00EB5799">
      <w:rPr>
        <w:rFonts w:ascii="Arial" w:hAnsi="Arial" w:cs="Arial"/>
        <w:noProof/>
        <w:lang w:eastAsia="pt-BR"/>
      </w:rPr>
      <w:t>9</w:t>
    </w:r>
  </w:p>
  <w:p w:rsidR="005875A3" w:rsidRDefault="005875A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1BB1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23D0350"/>
    <w:multiLevelType w:val="hybridMultilevel"/>
    <w:tmpl w:val="720CCA86"/>
    <w:lvl w:ilvl="0" w:tplc="E6D07442">
      <w:start w:val="2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7538BA"/>
    <w:multiLevelType w:val="multilevel"/>
    <w:tmpl w:val="003A07FC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4">
    <w:nsid w:val="11202DB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7844A58"/>
    <w:multiLevelType w:val="hybridMultilevel"/>
    <w:tmpl w:val="5A222BB8"/>
    <w:lvl w:ilvl="0" w:tplc="C8562B38">
      <w:start w:val="2"/>
      <w:numFmt w:val="decimal"/>
      <w:lvlText w:val="%1."/>
      <w:lvlJc w:val="left"/>
      <w:pPr>
        <w:ind w:left="185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6">
    <w:nsid w:val="185F349C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9283672"/>
    <w:multiLevelType w:val="hybridMultilevel"/>
    <w:tmpl w:val="889899D2"/>
    <w:lvl w:ilvl="0" w:tplc="E45636D6">
      <w:start w:val="2"/>
      <w:numFmt w:val="decimal"/>
      <w:pStyle w:val="Normal-numerado-VOT01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1A666309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1C7B4539"/>
    <w:multiLevelType w:val="hybridMultilevel"/>
    <w:tmpl w:val="C19E3BEA"/>
    <w:lvl w:ilvl="0" w:tplc="7B36304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0E7711"/>
    <w:multiLevelType w:val="singleLevel"/>
    <w:tmpl w:val="1692631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sz w:val="24"/>
        <w:szCs w:val="24"/>
      </w:rPr>
    </w:lvl>
  </w:abstractNum>
  <w:abstractNum w:abstractNumId="11">
    <w:nsid w:val="214212D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222E7845"/>
    <w:multiLevelType w:val="multilevel"/>
    <w:tmpl w:val="90E2DA72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cs="Times New Roman" w:hint="default"/>
      </w:rPr>
    </w:lvl>
  </w:abstractNum>
  <w:abstractNum w:abstractNumId="13">
    <w:nsid w:val="239C54D4"/>
    <w:multiLevelType w:val="hybridMultilevel"/>
    <w:tmpl w:val="EFBED870"/>
    <w:lvl w:ilvl="0" w:tplc="04160017">
      <w:start w:val="1"/>
      <w:numFmt w:val="lowerLetter"/>
      <w:lvlText w:val="%1)"/>
      <w:lvlJc w:val="left"/>
      <w:pPr>
        <w:ind w:left="1500" w:hanging="360"/>
      </w:pPr>
      <w:rPr>
        <w:rFonts w:cs="Times New Roma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4">
    <w:nsid w:val="23AE7D70"/>
    <w:multiLevelType w:val="singleLevel"/>
    <w:tmpl w:val="734460AE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5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16">
    <w:nsid w:val="2D403205"/>
    <w:multiLevelType w:val="hybridMultilevel"/>
    <w:tmpl w:val="3E6E9232"/>
    <w:lvl w:ilvl="0" w:tplc="682A7260">
      <w:start w:val="2"/>
      <w:numFmt w:val="decimal"/>
      <w:lvlText w:val="%1."/>
      <w:lvlJc w:val="left"/>
      <w:pPr>
        <w:ind w:left="185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57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9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01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73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45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7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9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619" w:hanging="180"/>
      </w:pPr>
      <w:rPr>
        <w:rFonts w:cs="Times New Roman"/>
      </w:rPr>
    </w:lvl>
  </w:abstractNum>
  <w:abstractNum w:abstractNumId="17">
    <w:nsid w:val="39384A0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3B0318ED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25027A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4C576ABE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4E8D4AB8"/>
    <w:multiLevelType w:val="hybridMultilevel"/>
    <w:tmpl w:val="7538896E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4A2369"/>
    <w:multiLevelType w:val="hybridMultilevel"/>
    <w:tmpl w:val="5FA23E98"/>
    <w:lvl w:ilvl="0" w:tplc="04160001">
      <w:start w:val="1"/>
      <w:numFmt w:val="lowerLetter"/>
      <w:pStyle w:val="tensletras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61A6E6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5CFC6DCD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65F47D22"/>
    <w:multiLevelType w:val="multilevel"/>
    <w:tmpl w:val="06FAEB28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671316A9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6E4770F8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7585349A"/>
    <w:multiLevelType w:val="singleLevel"/>
    <w:tmpl w:val="4170D9F4"/>
    <w:lvl w:ilvl="0">
      <w:start w:val="1"/>
      <w:numFmt w:val="decimal"/>
      <w:pStyle w:val="CorpodeTextoResumo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7E7641F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3"/>
  </w:num>
  <w:num w:numId="2">
    <w:abstractNumId w:val="19"/>
  </w:num>
  <w:num w:numId="3">
    <w:abstractNumId w:val="8"/>
  </w:num>
  <w:num w:numId="4">
    <w:abstractNumId w:val="0"/>
  </w:num>
  <w:num w:numId="5">
    <w:abstractNumId w:val="11"/>
  </w:num>
  <w:num w:numId="6">
    <w:abstractNumId w:val="18"/>
  </w:num>
  <w:num w:numId="7">
    <w:abstractNumId w:val="27"/>
  </w:num>
  <w:num w:numId="8">
    <w:abstractNumId w:val="24"/>
  </w:num>
  <w:num w:numId="9">
    <w:abstractNumId w:val="20"/>
  </w:num>
  <w:num w:numId="10">
    <w:abstractNumId w:val="6"/>
  </w:num>
  <w:num w:numId="11">
    <w:abstractNumId w:val="29"/>
  </w:num>
  <w:num w:numId="12">
    <w:abstractNumId w:val="4"/>
  </w:num>
  <w:num w:numId="13">
    <w:abstractNumId w:val="17"/>
  </w:num>
  <w:num w:numId="14">
    <w:abstractNumId w:val="26"/>
  </w:num>
  <w:num w:numId="15">
    <w:abstractNumId w:val="15"/>
  </w:num>
  <w:num w:numId="16">
    <w:abstractNumId w:val="2"/>
  </w:num>
  <w:num w:numId="17">
    <w:abstractNumId w:val="13"/>
  </w:num>
  <w:num w:numId="18">
    <w:abstractNumId w:val="28"/>
    <w:lvlOverride w:ilvl="0">
      <w:startOverride w:val="1"/>
    </w:lvlOverride>
  </w:num>
  <w:num w:numId="19">
    <w:abstractNumId w:val="22"/>
  </w:num>
  <w:num w:numId="20">
    <w:abstractNumId w:val="12"/>
  </w:num>
  <w:num w:numId="21">
    <w:abstractNumId w:val="7"/>
  </w:num>
  <w:num w:numId="22">
    <w:abstractNumId w:val="10"/>
  </w:num>
  <w:num w:numId="23">
    <w:abstractNumId w:val="1"/>
  </w:num>
  <w:num w:numId="24">
    <w:abstractNumId w:val="3"/>
  </w:num>
  <w:num w:numId="25">
    <w:abstractNumId w:val="5"/>
  </w:num>
  <w:num w:numId="2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4"/>
  </w:num>
  <w:num w:numId="29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30">
    <w:abstractNumId w:val="9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605"/>
    <w:rsid w:val="00001878"/>
    <w:rsid w:val="00003CEA"/>
    <w:rsid w:val="00004614"/>
    <w:rsid w:val="00004D04"/>
    <w:rsid w:val="00005435"/>
    <w:rsid w:val="00005E1E"/>
    <w:rsid w:val="00005F57"/>
    <w:rsid w:val="000118BC"/>
    <w:rsid w:val="000118CC"/>
    <w:rsid w:val="00011BA0"/>
    <w:rsid w:val="00011D5A"/>
    <w:rsid w:val="00012468"/>
    <w:rsid w:val="00013851"/>
    <w:rsid w:val="000161F7"/>
    <w:rsid w:val="0001636D"/>
    <w:rsid w:val="0001776E"/>
    <w:rsid w:val="000179E2"/>
    <w:rsid w:val="00020C27"/>
    <w:rsid w:val="00020C75"/>
    <w:rsid w:val="00020FC8"/>
    <w:rsid w:val="0002237E"/>
    <w:rsid w:val="0002327E"/>
    <w:rsid w:val="00023D72"/>
    <w:rsid w:val="000253D1"/>
    <w:rsid w:val="00025450"/>
    <w:rsid w:val="00025753"/>
    <w:rsid w:val="00025A32"/>
    <w:rsid w:val="000271FA"/>
    <w:rsid w:val="000300A2"/>
    <w:rsid w:val="00032198"/>
    <w:rsid w:val="00033551"/>
    <w:rsid w:val="00037DCE"/>
    <w:rsid w:val="00041450"/>
    <w:rsid w:val="000438FC"/>
    <w:rsid w:val="000460E4"/>
    <w:rsid w:val="0004660A"/>
    <w:rsid w:val="00046CF7"/>
    <w:rsid w:val="0005133B"/>
    <w:rsid w:val="00051AAB"/>
    <w:rsid w:val="0005205F"/>
    <w:rsid w:val="00052B15"/>
    <w:rsid w:val="0005356E"/>
    <w:rsid w:val="000540FC"/>
    <w:rsid w:val="0005412B"/>
    <w:rsid w:val="00054432"/>
    <w:rsid w:val="00054FBE"/>
    <w:rsid w:val="000562CD"/>
    <w:rsid w:val="00056A5A"/>
    <w:rsid w:val="00056D51"/>
    <w:rsid w:val="0006028E"/>
    <w:rsid w:val="00060CE3"/>
    <w:rsid w:val="00061C2E"/>
    <w:rsid w:val="000622E0"/>
    <w:rsid w:val="000647B1"/>
    <w:rsid w:val="00065A8B"/>
    <w:rsid w:val="00065E95"/>
    <w:rsid w:val="00066E66"/>
    <w:rsid w:val="0006707B"/>
    <w:rsid w:val="000675D5"/>
    <w:rsid w:val="00067E95"/>
    <w:rsid w:val="00070785"/>
    <w:rsid w:val="0007259B"/>
    <w:rsid w:val="00072916"/>
    <w:rsid w:val="00072F56"/>
    <w:rsid w:val="00074384"/>
    <w:rsid w:val="00074AC5"/>
    <w:rsid w:val="00077A56"/>
    <w:rsid w:val="00077BA4"/>
    <w:rsid w:val="00080148"/>
    <w:rsid w:val="000807D4"/>
    <w:rsid w:val="00081DFB"/>
    <w:rsid w:val="000835D8"/>
    <w:rsid w:val="00084282"/>
    <w:rsid w:val="00084727"/>
    <w:rsid w:val="00086A39"/>
    <w:rsid w:val="00086BAA"/>
    <w:rsid w:val="00087006"/>
    <w:rsid w:val="0009133A"/>
    <w:rsid w:val="000916AF"/>
    <w:rsid w:val="000929ED"/>
    <w:rsid w:val="00092C2E"/>
    <w:rsid w:val="00094C5B"/>
    <w:rsid w:val="00094EEC"/>
    <w:rsid w:val="00095069"/>
    <w:rsid w:val="00095D98"/>
    <w:rsid w:val="0009649A"/>
    <w:rsid w:val="0009748C"/>
    <w:rsid w:val="0009780B"/>
    <w:rsid w:val="00097863"/>
    <w:rsid w:val="00097ABD"/>
    <w:rsid w:val="00097BF6"/>
    <w:rsid w:val="000A0EF8"/>
    <w:rsid w:val="000A152A"/>
    <w:rsid w:val="000A1EBD"/>
    <w:rsid w:val="000A2C56"/>
    <w:rsid w:val="000A402F"/>
    <w:rsid w:val="000A47EA"/>
    <w:rsid w:val="000A57DA"/>
    <w:rsid w:val="000A599E"/>
    <w:rsid w:val="000A6269"/>
    <w:rsid w:val="000A62BD"/>
    <w:rsid w:val="000B0ECB"/>
    <w:rsid w:val="000B0FEA"/>
    <w:rsid w:val="000B2AFA"/>
    <w:rsid w:val="000B5DB2"/>
    <w:rsid w:val="000B639F"/>
    <w:rsid w:val="000B6475"/>
    <w:rsid w:val="000B6BC1"/>
    <w:rsid w:val="000C02AD"/>
    <w:rsid w:val="000C22C0"/>
    <w:rsid w:val="000C28CC"/>
    <w:rsid w:val="000C3DAB"/>
    <w:rsid w:val="000C4611"/>
    <w:rsid w:val="000C4A10"/>
    <w:rsid w:val="000C5799"/>
    <w:rsid w:val="000C7D11"/>
    <w:rsid w:val="000D1878"/>
    <w:rsid w:val="000D1B91"/>
    <w:rsid w:val="000D1C53"/>
    <w:rsid w:val="000D1DC7"/>
    <w:rsid w:val="000D1EF5"/>
    <w:rsid w:val="000D1FD7"/>
    <w:rsid w:val="000D6388"/>
    <w:rsid w:val="000D6418"/>
    <w:rsid w:val="000D6906"/>
    <w:rsid w:val="000D7DB6"/>
    <w:rsid w:val="000D7DED"/>
    <w:rsid w:val="000E020F"/>
    <w:rsid w:val="000E12F7"/>
    <w:rsid w:val="000E1D37"/>
    <w:rsid w:val="000E2D47"/>
    <w:rsid w:val="000E3B31"/>
    <w:rsid w:val="000E3C6D"/>
    <w:rsid w:val="000E504D"/>
    <w:rsid w:val="000E7FD4"/>
    <w:rsid w:val="000F2133"/>
    <w:rsid w:val="000F2D05"/>
    <w:rsid w:val="000F2F92"/>
    <w:rsid w:val="000F6986"/>
    <w:rsid w:val="000F6D85"/>
    <w:rsid w:val="000F7B66"/>
    <w:rsid w:val="000F7CEE"/>
    <w:rsid w:val="000F7D84"/>
    <w:rsid w:val="001005A8"/>
    <w:rsid w:val="00101707"/>
    <w:rsid w:val="00102D37"/>
    <w:rsid w:val="001041ED"/>
    <w:rsid w:val="00104AAD"/>
    <w:rsid w:val="001104BA"/>
    <w:rsid w:val="001125A2"/>
    <w:rsid w:val="00112676"/>
    <w:rsid w:val="00112A5F"/>
    <w:rsid w:val="0011373A"/>
    <w:rsid w:val="00113A1F"/>
    <w:rsid w:val="00114511"/>
    <w:rsid w:val="00115911"/>
    <w:rsid w:val="00116BAB"/>
    <w:rsid w:val="001203BE"/>
    <w:rsid w:val="00122F63"/>
    <w:rsid w:val="00125F9A"/>
    <w:rsid w:val="00126026"/>
    <w:rsid w:val="00130A0C"/>
    <w:rsid w:val="001316FC"/>
    <w:rsid w:val="00133EA9"/>
    <w:rsid w:val="00133FBC"/>
    <w:rsid w:val="00135D01"/>
    <w:rsid w:val="00137B22"/>
    <w:rsid w:val="00137FE3"/>
    <w:rsid w:val="00140FED"/>
    <w:rsid w:val="00141D7A"/>
    <w:rsid w:val="001420D1"/>
    <w:rsid w:val="00142621"/>
    <w:rsid w:val="00142C16"/>
    <w:rsid w:val="001444A2"/>
    <w:rsid w:val="00144987"/>
    <w:rsid w:val="00151F92"/>
    <w:rsid w:val="0015258E"/>
    <w:rsid w:val="00152ECC"/>
    <w:rsid w:val="001532E4"/>
    <w:rsid w:val="0015699C"/>
    <w:rsid w:val="00156A48"/>
    <w:rsid w:val="00156C90"/>
    <w:rsid w:val="00156DDB"/>
    <w:rsid w:val="00157614"/>
    <w:rsid w:val="00157AFE"/>
    <w:rsid w:val="00157C0F"/>
    <w:rsid w:val="001612C0"/>
    <w:rsid w:val="001665B9"/>
    <w:rsid w:val="00171E89"/>
    <w:rsid w:val="001737F7"/>
    <w:rsid w:val="001744E7"/>
    <w:rsid w:val="00176375"/>
    <w:rsid w:val="001766A9"/>
    <w:rsid w:val="00181339"/>
    <w:rsid w:val="00181848"/>
    <w:rsid w:val="00183A7D"/>
    <w:rsid w:val="001847D6"/>
    <w:rsid w:val="00184DD0"/>
    <w:rsid w:val="00190FE2"/>
    <w:rsid w:val="00192052"/>
    <w:rsid w:val="00193CA1"/>
    <w:rsid w:val="00194053"/>
    <w:rsid w:val="00195F77"/>
    <w:rsid w:val="001A0B42"/>
    <w:rsid w:val="001A0CC1"/>
    <w:rsid w:val="001A204B"/>
    <w:rsid w:val="001A2A67"/>
    <w:rsid w:val="001A2B80"/>
    <w:rsid w:val="001A3198"/>
    <w:rsid w:val="001A330B"/>
    <w:rsid w:val="001A4C6F"/>
    <w:rsid w:val="001A58D8"/>
    <w:rsid w:val="001A60A2"/>
    <w:rsid w:val="001A75FE"/>
    <w:rsid w:val="001A79D3"/>
    <w:rsid w:val="001B1669"/>
    <w:rsid w:val="001B19FF"/>
    <w:rsid w:val="001B2580"/>
    <w:rsid w:val="001B3729"/>
    <w:rsid w:val="001B3BEF"/>
    <w:rsid w:val="001B3E8E"/>
    <w:rsid w:val="001B4316"/>
    <w:rsid w:val="001B4F90"/>
    <w:rsid w:val="001B5333"/>
    <w:rsid w:val="001B5426"/>
    <w:rsid w:val="001B6823"/>
    <w:rsid w:val="001B7F4F"/>
    <w:rsid w:val="001C0575"/>
    <w:rsid w:val="001C08D8"/>
    <w:rsid w:val="001C1568"/>
    <w:rsid w:val="001C1903"/>
    <w:rsid w:val="001C23B5"/>
    <w:rsid w:val="001C2950"/>
    <w:rsid w:val="001C437E"/>
    <w:rsid w:val="001C5C51"/>
    <w:rsid w:val="001C71E3"/>
    <w:rsid w:val="001C72D6"/>
    <w:rsid w:val="001D03C7"/>
    <w:rsid w:val="001D0FAF"/>
    <w:rsid w:val="001D1478"/>
    <w:rsid w:val="001D1E52"/>
    <w:rsid w:val="001D35B4"/>
    <w:rsid w:val="001D56C3"/>
    <w:rsid w:val="001D74CE"/>
    <w:rsid w:val="001D7622"/>
    <w:rsid w:val="001D79D0"/>
    <w:rsid w:val="001E0BF1"/>
    <w:rsid w:val="001E1E28"/>
    <w:rsid w:val="001E2620"/>
    <w:rsid w:val="001E4147"/>
    <w:rsid w:val="001E5B5B"/>
    <w:rsid w:val="001E7019"/>
    <w:rsid w:val="001E71F9"/>
    <w:rsid w:val="001E747D"/>
    <w:rsid w:val="001E76DA"/>
    <w:rsid w:val="001E7C3D"/>
    <w:rsid w:val="001E7F81"/>
    <w:rsid w:val="001F00DF"/>
    <w:rsid w:val="001F1E8F"/>
    <w:rsid w:val="001F553C"/>
    <w:rsid w:val="001F64D1"/>
    <w:rsid w:val="00200260"/>
    <w:rsid w:val="002002CE"/>
    <w:rsid w:val="0020066F"/>
    <w:rsid w:val="0020107A"/>
    <w:rsid w:val="0020135D"/>
    <w:rsid w:val="00201FED"/>
    <w:rsid w:val="00202EAD"/>
    <w:rsid w:val="00203A6F"/>
    <w:rsid w:val="00211816"/>
    <w:rsid w:val="002139A2"/>
    <w:rsid w:val="00217566"/>
    <w:rsid w:val="00217B1B"/>
    <w:rsid w:val="00223BB9"/>
    <w:rsid w:val="00225D42"/>
    <w:rsid w:val="00226AEF"/>
    <w:rsid w:val="00226D9D"/>
    <w:rsid w:val="00227776"/>
    <w:rsid w:val="002308C7"/>
    <w:rsid w:val="00232158"/>
    <w:rsid w:val="002328F9"/>
    <w:rsid w:val="0023395B"/>
    <w:rsid w:val="00233CE3"/>
    <w:rsid w:val="002343BF"/>
    <w:rsid w:val="00234556"/>
    <w:rsid w:val="0023535F"/>
    <w:rsid w:val="002353E9"/>
    <w:rsid w:val="00235B29"/>
    <w:rsid w:val="00235D4C"/>
    <w:rsid w:val="002366B7"/>
    <w:rsid w:val="00236F05"/>
    <w:rsid w:val="002401FC"/>
    <w:rsid w:val="002415A6"/>
    <w:rsid w:val="00242061"/>
    <w:rsid w:val="00243011"/>
    <w:rsid w:val="002435FC"/>
    <w:rsid w:val="002442D9"/>
    <w:rsid w:val="00244BA7"/>
    <w:rsid w:val="00245432"/>
    <w:rsid w:val="0024593F"/>
    <w:rsid w:val="002476B6"/>
    <w:rsid w:val="00247E76"/>
    <w:rsid w:val="00247E8F"/>
    <w:rsid w:val="002510D5"/>
    <w:rsid w:val="00253242"/>
    <w:rsid w:val="00254590"/>
    <w:rsid w:val="002549FC"/>
    <w:rsid w:val="00257D8A"/>
    <w:rsid w:val="00261488"/>
    <w:rsid w:val="0026222C"/>
    <w:rsid w:val="00262359"/>
    <w:rsid w:val="002633D9"/>
    <w:rsid w:val="0026362E"/>
    <w:rsid w:val="002639CA"/>
    <w:rsid w:val="002649A7"/>
    <w:rsid w:val="00264FC3"/>
    <w:rsid w:val="002663B7"/>
    <w:rsid w:val="002666C5"/>
    <w:rsid w:val="00266C8A"/>
    <w:rsid w:val="00270EAC"/>
    <w:rsid w:val="00271CD7"/>
    <w:rsid w:val="00271CF2"/>
    <w:rsid w:val="00271D81"/>
    <w:rsid w:val="0027213F"/>
    <w:rsid w:val="0027267D"/>
    <w:rsid w:val="00273058"/>
    <w:rsid w:val="00273E72"/>
    <w:rsid w:val="00274068"/>
    <w:rsid w:val="0027498E"/>
    <w:rsid w:val="0027686D"/>
    <w:rsid w:val="00276B43"/>
    <w:rsid w:val="00276DC0"/>
    <w:rsid w:val="00277F47"/>
    <w:rsid w:val="00280F3D"/>
    <w:rsid w:val="002810D9"/>
    <w:rsid w:val="00281830"/>
    <w:rsid w:val="00281D9E"/>
    <w:rsid w:val="002830F6"/>
    <w:rsid w:val="002836D4"/>
    <w:rsid w:val="00287326"/>
    <w:rsid w:val="0029043B"/>
    <w:rsid w:val="00290A06"/>
    <w:rsid w:val="00291766"/>
    <w:rsid w:val="0029211E"/>
    <w:rsid w:val="00293198"/>
    <w:rsid w:val="0029450E"/>
    <w:rsid w:val="00297A00"/>
    <w:rsid w:val="002A03ED"/>
    <w:rsid w:val="002A040F"/>
    <w:rsid w:val="002A190F"/>
    <w:rsid w:val="002A2129"/>
    <w:rsid w:val="002A2FA2"/>
    <w:rsid w:val="002A3796"/>
    <w:rsid w:val="002A3B3F"/>
    <w:rsid w:val="002A5A02"/>
    <w:rsid w:val="002A5F01"/>
    <w:rsid w:val="002A6CE6"/>
    <w:rsid w:val="002B059A"/>
    <w:rsid w:val="002B1AD6"/>
    <w:rsid w:val="002B2414"/>
    <w:rsid w:val="002B32DD"/>
    <w:rsid w:val="002B3968"/>
    <w:rsid w:val="002B4001"/>
    <w:rsid w:val="002B409B"/>
    <w:rsid w:val="002B4326"/>
    <w:rsid w:val="002B4392"/>
    <w:rsid w:val="002B56C3"/>
    <w:rsid w:val="002B5AD5"/>
    <w:rsid w:val="002B5C5A"/>
    <w:rsid w:val="002B6422"/>
    <w:rsid w:val="002B71BA"/>
    <w:rsid w:val="002B7B4D"/>
    <w:rsid w:val="002C208E"/>
    <w:rsid w:val="002C2F67"/>
    <w:rsid w:val="002C45B6"/>
    <w:rsid w:val="002C4633"/>
    <w:rsid w:val="002C506F"/>
    <w:rsid w:val="002C5912"/>
    <w:rsid w:val="002C662D"/>
    <w:rsid w:val="002C7B61"/>
    <w:rsid w:val="002C7B6D"/>
    <w:rsid w:val="002C7C2B"/>
    <w:rsid w:val="002D0B7C"/>
    <w:rsid w:val="002D0D1A"/>
    <w:rsid w:val="002D155C"/>
    <w:rsid w:val="002D1637"/>
    <w:rsid w:val="002D1688"/>
    <w:rsid w:val="002D1B69"/>
    <w:rsid w:val="002D1BA5"/>
    <w:rsid w:val="002D3043"/>
    <w:rsid w:val="002D35F5"/>
    <w:rsid w:val="002D47FE"/>
    <w:rsid w:val="002D532D"/>
    <w:rsid w:val="002D739A"/>
    <w:rsid w:val="002D73BD"/>
    <w:rsid w:val="002D76AB"/>
    <w:rsid w:val="002D786D"/>
    <w:rsid w:val="002E0C55"/>
    <w:rsid w:val="002E0CBF"/>
    <w:rsid w:val="002E1545"/>
    <w:rsid w:val="002E1910"/>
    <w:rsid w:val="002E2433"/>
    <w:rsid w:val="002E28BA"/>
    <w:rsid w:val="002E361C"/>
    <w:rsid w:val="002E3943"/>
    <w:rsid w:val="002E3F7C"/>
    <w:rsid w:val="002E4254"/>
    <w:rsid w:val="002E4F13"/>
    <w:rsid w:val="002E4FB7"/>
    <w:rsid w:val="002E6712"/>
    <w:rsid w:val="002E6FDB"/>
    <w:rsid w:val="002F104B"/>
    <w:rsid w:val="002F1C09"/>
    <w:rsid w:val="002F1E70"/>
    <w:rsid w:val="002F3866"/>
    <w:rsid w:val="002F4696"/>
    <w:rsid w:val="002F5678"/>
    <w:rsid w:val="002F5F3B"/>
    <w:rsid w:val="002F693C"/>
    <w:rsid w:val="002F69BB"/>
    <w:rsid w:val="002F7C6D"/>
    <w:rsid w:val="003020F4"/>
    <w:rsid w:val="003023A1"/>
    <w:rsid w:val="003025C7"/>
    <w:rsid w:val="0030360F"/>
    <w:rsid w:val="00303790"/>
    <w:rsid w:val="00303984"/>
    <w:rsid w:val="00304161"/>
    <w:rsid w:val="00304643"/>
    <w:rsid w:val="00304A73"/>
    <w:rsid w:val="00304DFD"/>
    <w:rsid w:val="003057F7"/>
    <w:rsid w:val="00306864"/>
    <w:rsid w:val="003069F9"/>
    <w:rsid w:val="00310208"/>
    <w:rsid w:val="0031058F"/>
    <w:rsid w:val="0031089E"/>
    <w:rsid w:val="00310D69"/>
    <w:rsid w:val="003147B7"/>
    <w:rsid w:val="00314844"/>
    <w:rsid w:val="003149A9"/>
    <w:rsid w:val="0031528D"/>
    <w:rsid w:val="00317E59"/>
    <w:rsid w:val="00320465"/>
    <w:rsid w:val="00322065"/>
    <w:rsid w:val="00322AE7"/>
    <w:rsid w:val="00325246"/>
    <w:rsid w:val="00325869"/>
    <w:rsid w:val="00325D35"/>
    <w:rsid w:val="00326448"/>
    <w:rsid w:val="0032650F"/>
    <w:rsid w:val="0032662E"/>
    <w:rsid w:val="003275E4"/>
    <w:rsid w:val="00330069"/>
    <w:rsid w:val="00330144"/>
    <w:rsid w:val="003304A1"/>
    <w:rsid w:val="0033244F"/>
    <w:rsid w:val="00332EF9"/>
    <w:rsid w:val="00335707"/>
    <w:rsid w:val="00337E16"/>
    <w:rsid w:val="00340E66"/>
    <w:rsid w:val="00340F10"/>
    <w:rsid w:val="00341D56"/>
    <w:rsid w:val="00342A44"/>
    <w:rsid w:val="003436D7"/>
    <w:rsid w:val="00343FC9"/>
    <w:rsid w:val="00344520"/>
    <w:rsid w:val="0034486B"/>
    <w:rsid w:val="003449A9"/>
    <w:rsid w:val="00344D92"/>
    <w:rsid w:val="003455A2"/>
    <w:rsid w:val="00345760"/>
    <w:rsid w:val="00345BD4"/>
    <w:rsid w:val="0034675B"/>
    <w:rsid w:val="0034796E"/>
    <w:rsid w:val="003506E7"/>
    <w:rsid w:val="00350BE7"/>
    <w:rsid w:val="00350E87"/>
    <w:rsid w:val="00353B7C"/>
    <w:rsid w:val="0035438E"/>
    <w:rsid w:val="00355828"/>
    <w:rsid w:val="00356418"/>
    <w:rsid w:val="00356E38"/>
    <w:rsid w:val="00357CBE"/>
    <w:rsid w:val="00357D80"/>
    <w:rsid w:val="00361487"/>
    <w:rsid w:val="00361661"/>
    <w:rsid w:val="00370BC7"/>
    <w:rsid w:val="003719DE"/>
    <w:rsid w:val="00371A33"/>
    <w:rsid w:val="00372E83"/>
    <w:rsid w:val="00375080"/>
    <w:rsid w:val="00377407"/>
    <w:rsid w:val="00380026"/>
    <w:rsid w:val="00381780"/>
    <w:rsid w:val="003824E4"/>
    <w:rsid w:val="00383CFE"/>
    <w:rsid w:val="0038475D"/>
    <w:rsid w:val="00384BEF"/>
    <w:rsid w:val="003853FF"/>
    <w:rsid w:val="00385609"/>
    <w:rsid w:val="003856A4"/>
    <w:rsid w:val="00385DAB"/>
    <w:rsid w:val="0038696B"/>
    <w:rsid w:val="00387CA6"/>
    <w:rsid w:val="00387CBD"/>
    <w:rsid w:val="003900C7"/>
    <w:rsid w:val="0039039F"/>
    <w:rsid w:val="00390ED6"/>
    <w:rsid w:val="00391B5C"/>
    <w:rsid w:val="00392509"/>
    <w:rsid w:val="003925E5"/>
    <w:rsid w:val="00392CD3"/>
    <w:rsid w:val="00393FCC"/>
    <w:rsid w:val="003943E5"/>
    <w:rsid w:val="00397D8E"/>
    <w:rsid w:val="003A105C"/>
    <w:rsid w:val="003A2222"/>
    <w:rsid w:val="003A3262"/>
    <w:rsid w:val="003A5479"/>
    <w:rsid w:val="003A5C1B"/>
    <w:rsid w:val="003A6CF4"/>
    <w:rsid w:val="003A7C7F"/>
    <w:rsid w:val="003B023B"/>
    <w:rsid w:val="003B0304"/>
    <w:rsid w:val="003B043F"/>
    <w:rsid w:val="003B155C"/>
    <w:rsid w:val="003B1E19"/>
    <w:rsid w:val="003B2E10"/>
    <w:rsid w:val="003B33CE"/>
    <w:rsid w:val="003B343D"/>
    <w:rsid w:val="003B391B"/>
    <w:rsid w:val="003B4936"/>
    <w:rsid w:val="003B56D7"/>
    <w:rsid w:val="003B6508"/>
    <w:rsid w:val="003B7CC1"/>
    <w:rsid w:val="003C1911"/>
    <w:rsid w:val="003C1B4F"/>
    <w:rsid w:val="003C1CD8"/>
    <w:rsid w:val="003C2288"/>
    <w:rsid w:val="003C331C"/>
    <w:rsid w:val="003C3336"/>
    <w:rsid w:val="003C39E6"/>
    <w:rsid w:val="003C3A11"/>
    <w:rsid w:val="003C526E"/>
    <w:rsid w:val="003C6DEB"/>
    <w:rsid w:val="003C73CA"/>
    <w:rsid w:val="003C7585"/>
    <w:rsid w:val="003C7A5C"/>
    <w:rsid w:val="003D660C"/>
    <w:rsid w:val="003D73BD"/>
    <w:rsid w:val="003D7CCE"/>
    <w:rsid w:val="003E0864"/>
    <w:rsid w:val="003E0D8C"/>
    <w:rsid w:val="003E154A"/>
    <w:rsid w:val="003E15A3"/>
    <w:rsid w:val="003E1B68"/>
    <w:rsid w:val="003E2601"/>
    <w:rsid w:val="003E65D7"/>
    <w:rsid w:val="003E7483"/>
    <w:rsid w:val="003F0515"/>
    <w:rsid w:val="003F163F"/>
    <w:rsid w:val="003F1ACE"/>
    <w:rsid w:val="003F1CE1"/>
    <w:rsid w:val="003F2D7E"/>
    <w:rsid w:val="003F413A"/>
    <w:rsid w:val="003F5154"/>
    <w:rsid w:val="003F5249"/>
    <w:rsid w:val="003F54FB"/>
    <w:rsid w:val="003F6572"/>
    <w:rsid w:val="003F6D1F"/>
    <w:rsid w:val="00400F7F"/>
    <w:rsid w:val="004036AF"/>
    <w:rsid w:val="00403A0F"/>
    <w:rsid w:val="0040424B"/>
    <w:rsid w:val="00405316"/>
    <w:rsid w:val="00406623"/>
    <w:rsid w:val="0041153E"/>
    <w:rsid w:val="00412488"/>
    <w:rsid w:val="00412B7F"/>
    <w:rsid w:val="00412CEF"/>
    <w:rsid w:val="004141A8"/>
    <w:rsid w:val="00414E59"/>
    <w:rsid w:val="004169D8"/>
    <w:rsid w:val="00420098"/>
    <w:rsid w:val="004201AF"/>
    <w:rsid w:val="004217F1"/>
    <w:rsid w:val="00422BF5"/>
    <w:rsid w:val="00425FF9"/>
    <w:rsid w:val="00426328"/>
    <w:rsid w:val="00427B3B"/>
    <w:rsid w:val="00427EBF"/>
    <w:rsid w:val="0043072D"/>
    <w:rsid w:val="00431085"/>
    <w:rsid w:val="00431AA2"/>
    <w:rsid w:val="00432278"/>
    <w:rsid w:val="00434EDF"/>
    <w:rsid w:val="00435269"/>
    <w:rsid w:val="004362AB"/>
    <w:rsid w:val="00441101"/>
    <w:rsid w:val="004415FB"/>
    <w:rsid w:val="00441CE3"/>
    <w:rsid w:val="004421F5"/>
    <w:rsid w:val="004425E2"/>
    <w:rsid w:val="0044284D"/>
    <w:rsid w:val="00443050"/>
    <w:rsid w:val="0044434A"/>
    <w:rsid w:val="0044437F"/>
    <w:rsid w:val="00445A25"/>
    <w:rsid w:val="00445E76"/>
    <w:rsid w:val="00446606"/>
    <w:rsid w:val="004471BC"/>
    <w:rsid w:val="00447217"/>
    <w:rsid w:val="00447B50"/>
    <w:rsid w:val="00450515"/>
    <w:rsid w:val="00451471"/>
    <w:rsid w:val="00452756"/>
    <w:rsid w:val="00452C60"/>
    <w:rsid w:val="00453FC2"/>
    <w:rsid w:val="0045665B"/>
    <w:rsid w:val="004573D3"/>
    <w:rsid w:val="00457F93"/>
    <w:rsid w:val="004617A9"/>
    <w:rsid w:val="00461B70"/>
    <w:rsid w:val="0046258E"/>
    <w:rsid w:val="0046384E"/>
    <w:rsid w:val="00464CF4"/>
    <w:rsid w:val="00466E73"/>
    <w:rsid w:val="0046706B"/>
    <w:rsid w:val="00467815"/>
    <w:rsid w:val="00471284"/>
    <w:rsid w:val="00472FB0"/>
    <w:rsid w:val="00473696"/>
    <w:rsid w:val="00473721"/>
    <w:rsid w:val="00473A4B"/>
    <w:rsid w:val="0047491E"/>
    <w:rsid w:val="00474A6A"/>
    <w:rsid w:val="0047658E"/>
    <w:rsid w:val="00482D16"/>
    <w:rsid w:val="004836D8"/>
    <w:rsid w:val="004837C6"/>
    <w:rsid w:val="00483998"/>
    <w:rsid w:val="00483FC1"/>
    <w:rsid w:val="00484250"/>
    <w:rsid w:val="00484E4C"/>
    <w:rsid w:val="004878ED"/>
    <w:rsid w:val="00490C52"/>
    <w:rsid w:val="00491438"/>
    <w:rsid w:val="00491B1C"/>
    <w:rsid w:val="00492E3F"/>
    <w:rsid w:val="00493F5C"/>
    <w:rsid w:val="00494EB3"/>
    <w:rsid w:val="00495DB3"/>
    <w:rsid w:val="004A171B"/>
    <w:rsid w:val="004A2385"/>
    <w:rsid w:val="004A2D91"/>
    <w:rsid w:val="004A3B95"/>
    <w:rsid w:val="004A7912"/>
    <w:rsid w:val="004B0194"/>
    <w:rsid w:val="004B1113"/>
    <w:rsid w:val="004B176A"/>
    <w:rsid w:val="004B1DC3"/>
    <w:rsid w:val="004B2835"/>
    <w:rsid w:val="004B326B"/>
    <w:rsid w:val="004B36AE"/>
    <w:rsid w:val="004B4672"/>
    <w:rsid w:val="004B58F5"/>
    <w:rsid w:val="004B67A4"/>
    <w:rsid w:val="004C289A"/>
    <w:rsid w:val="004C61A3"/>
    <w:rsid w:val="004C6E03"/>
    <w:rsid w:val="004C780C"/>
    <w:rsid w:val="004D03BA"/>
    <w:rsid w:val="004D3100"/>
    <w:rsid w:val="004D3441"/>
    <w:rsid w:val="004D3E0B"/>
    <w:rsid w:val="004D45C8"/>
    <w:rsid w:val="004D6A38"/>
    <w:rsid w:val="004D6C65"/>
    <w:rsid w:val="004D708E"/>
    <w:rsid w:val="004D760C"/>
    <w:rsid w:val="004D7C91"/>
    <w:rsid w:val="004E26E4"/>
    <w:rsid w:val="004E357A"/>
    <w:rsid w:val="004E3861"/>
    <w:rsid w:val="004E5000"/>
    <w:rsid w:val="004E586B"/>
    <w:rsid w:val="004E65EB"/>
    <w:rsid w:val="004E7114"/>
    <w:rsid w:val="004F0244"/>
    <w:rsid w:val="004F0A27"/>
    <w:rsid w:val="004F3D4A"/>
    <w:rsid w:val="004F401E"/>
    <w:rsid w:val="004F7174"/>
    <w:rsid w:val="004F7E98"/>
    <w:rsid w:val="00500DD0"/>
    <w:rsid w:val="005010BA"/>
    <w:rsid w:val="005012AA"/>
    <w:rsid w:val="005012CF"/>
    <w:rsid w:val="005013A1"/>
    <w:rsid w:val="0050355D"/>
    <w:rsid w:val="00504A31"/>
    <w:rsid w:val="00504F8B"/>
    <w:rsid w:val="005055B5"/>
    <w:rsid w:val="00506619"/>
    <w:rsid w:val="00507E53"/>
    <w:rsid w:val="00510257"/>
    <w:rsid w:val="00510D1D"/>
    <w:rsid w:val="00511033"/>
    <w:rsid w:val="00511BBF"/>
    <w:rsid w:val="00511BDC"/>
    <w:rsid w:val="00512E62"/>
    <w:rsid w:val="00515E7B"/>
    <w:rsid w:val="00517868"/>
    <w:rsid w:val="00520894"/>
    <w:rsid w:val="00520BC0"/>
    <w:rsid w:val="005217F8"/>
    <w:rsid w:val="0052267A"/>
    <w:rsid w:val="005226D4"/>
    <w:rsid w:val="005239DD"/>
    <w:rsid w:val="00523CA1"/>
    <w:rsid w:val="00524A9C"/>
    <w:rsid w:val="005266F4"/>
    <w:rsid w:val="0052675C"/>
    <w:rsid w:val="00526D46"/>
    <w:rsid w:val="005303B5"/>
    <w:rsid w:val="00531143"/>
    <w:rsid w:val="0053186B"/>
    <w:rsid w:val="00532A23"/>
    <w:rsid w:val="005340EA"/>
    <w:rsid w:val="00534A44"/>
    <w:rsid w:val="00536332"/>
    <w:rsid w:val="00542821"/>
    <w:rsid w:val="00543514"/>
    <w:rsid w:val="005438A1"/>
    <w:rsid w:val="00543B81"/>
    <w:rsid w:val="00543C00"/>
    <w:rsid w:val="00543EB8"/>
    <w:rsid w:val="00543F41"/>
    <w:rsid w:val="00544550"/>
    <w:rsid w:val="00544FCF"/>
    <w:rsid w:val="005450DC"/>
    <w:rsid w:val="005455FC"/>
    <w:rsid w:val="00545A47"/>
    <w:rsid w:val="00545FC7"/>
    <w:rsid w:val="0054634E"/>
    <w:rsid w:val="00546B67"/>
    <w:rsid w:val="005474C7"/>
    <w:rsid w:val="00550F71"/>
    <w:rsid w:val="005512D3"/>
    <w:rsid w:val="00551C0E"/>
    <w:rsid w:val="00551F46"/>
    <w:rsid w:val="005544FA"/>
    <w:rsid w:val="00554A33"/>
    <w:rsid w:val="0055588A"/>
    <w:rsid w:val="0055716D"/>
    <w:rsid w:val="005571A6"/>
    <w:rsid w:val="005572CC"/>
    <w:rsid w:val="00557953"/>
    <w:rsid w:val="00560E55"/>
    <w:rsid w:val="00562E8F"/>
    <w:rsid w:val="0056301A"/>
    <w:rsid w:val="005635AD"/>
    <w:rsid w:val="005636B0"/>
    <w:rsid w:val="005640E1"/>
    <w:rsid w:val="00564EA1"/>
    <w:rsid w:val="0056534C"/>
    <w:rsid w:val="00566E81"/>
    <w:rsid w:val="00567CEE"/>
    <w:rsid w:val="0057040F"/>
    <w:rsid w:val="005713F4"/>
    <w:rsid w:val="00571E64"/>
    <w:rsid w:val="00573D3B"/>
    <w:rsid w:val="00573EE2"/>
    <w:rsid w:val="00573F6A"/>
    <w:rsid w:val="00575CC3"/>
    <w:rsid w:val="00575D10"/>
    <w:rsid w:val="00576018"/>
    <w:rsid w:val="005800F7"/>
    <w:rsid w:val="005808CA"/>
    <w:rsid w:val="00580F26"/>
    <w:rsid w:val="00581A7C"/>
    <w:rsid w:val="0058427E"/>
    <w:rsid w:val="005864FA"/>
    <w:rsid w:val="005875A3"/>
    <w:rsid w:val="00590750"/>
    <w:rsid w:val="00590907"/>
    <w:rsid w:val="00592491"/>
    <w:rsid w:val="0059346F"/>
    <w:rsid w:val="00594A7B"/>
    <w:rsid w:val="00596C07"/>
    <w:rsid w:val="00597AA7"/>
    <w:rsid w:val="005A1EAB"/>
    <w:rsid w:val="005A2D82"/>
    <w:rsid w:val="005A3789"/>
    <w:rsid w:val="005A3835"/>
    <w:rsid w:val="005A3AEC"/>
    <w:rsid w:val="005A6858"/>
    <w:rsid w:val="005A72F2"/>
    <w:rsid w:val="005B2194"/>
    <w:rsid w:val="005B2BC3"/>
    <w:rsid w:val="005B4350"/>
    <w:rsid w:val="005B4CFA"/>
    <w:rsid w:val="005B5B3D"/>
    <w:rsid w:val="005B6D64"/>
    <w:rsid w:val="005B7112"/>
    <w:rsid w:val="005B7166"/>
    <w:rsid w:val="005B74D2"/>
    <w:rsid w:val="005C04FD"/>
    <w:rsid w:val="005C18EE"/>
    <w:rsid w:val="005C1A79"/>
    <w:rsid w:val="005C4397"/>
    <w:rsid w:val="005C48CC"/>
    <w:rsid w:val="005C7644"/>
    <w:rsid w:val="005C791C"/>
    <w:rsid w:val="005C7BF4"/>
    <w:rsid w:val="005D029E"/>
    <w:rsid w:val="005D1B66"/>
    <w:rsid w:val="005D1FDF"/>
    <w:rsid w:val="005D2B0F"/>
    <w:rsid w:val="005D323E"/>
    <w:rsid w:val="005D3352"/>
    <w:rsid w:val="005D3D1E"/>
    <w:rsid w:val="005E06AE"/>
    <w:rsid w:val="005E111B"/>
    <w:rsid w:val="005E12DD"/>
    <w:rsid w:val="005E269C"/>
    <w:rsid w:val="005E3586"/>
    <w:rsid w:val="005E386D"/>
    <w:rsid w:val="005E3EC0"/>
    <w:rsid w:val="005E4DEE"/>
    <w:rsid w:val="005E5FF1"/>
    <w:rsid w:val="005E6A1D"/>
    <w:rsid w:val="005E72FB"/>
    <w:rsid w:val="005F01CE"/>
    <w:rsid w:val="005F135B"/>
    <w:rsid w:val="005F3EAB"/>
    <w:rsid w:val="005F42BB"/>
    <w:rsid w:val="005F4E54"/>
    <w:rsid w:val="005F70B6"/>
    <w:rsid w:val="005F7A87"/>
    <w:rsid w:val="006011A3"/>
    <w:rsid w:val="006017DF"/>
    <w:rsid w:val="00601F0A"/>
    <w:rsid w:val="00603630"/>
    <w:rsid w:val="0060382E"/>
    <w:rsid w:val="00604DBE"/>
    <w:rsid w:val="006061B0"/>
    <w:rsid w:val="006063E1"/>
    <w:rsid w:val="006065E4"/>
    <w:rsid w:val="006066D1"/>
    <w:rsid w:val="00606F56"/>
    <w:rsid w:val="00607D48"/>
    <w:rsid w:val="00607E96"/>
    <w:rsid w:val="00610039"/>
    <w:rsid w:val="00610381"/>
    <w:rsid w:val="00610917"/>
    <w:rsid w:val="00611B68"/>
    <w:rsid w:val="00611C07"/>
    <w:rsid w:val="00611E07"/>
    <w:rsid w:val="00612045"/>
    <w:rsid w:val="0061286E"/>
    <w:rsid w:val="00612F12"/>
    <w:rsid w:val="00613AC9"/>
    <w:rsid w:val="00615808"/>
    <w:rsid w:val="00620E86"/>
    <w:rsid w:val="0062155F"/>
    <w:rsid w:val="006219DD"/>
    <w:rsid w:val="00621D63"/>
    <w:rsid w:val="00623DAF"/>
    <w:rsid w:val="006242BF"/>
    <w:rsid w:val="006246FE"/>
    <w:rsid w:val="0062524C"/>
    <w:rsid w:val="00631FE7"/>
    <w:rsid w:val="00632ACC"/>
    <w:rsid w:val="006345C1"/>
    <w:rsid w:val="00634F76"/>
    <w:rsid w:val="00637FDD"/>
    <w:rsid w:val="00641E57"/>
    <w:rsid w:val="0064260D"/>
    <w:rsid w:val="00642DBC"/>
    <w:rsid w:val="00643CED"/>
    <w:rsid w:val="00644234"/>
    <w:rsid w:val="00644878"/>
    <w:rsid w:val="00644DE2"/>
    <w:rsid w:val="006478E6"/>
    <w:rsid w:val="006503A5"/>
    <w:rsid w:val="00650463"/>
    <w:rsid w:val="00651660"/>
    <w:rsid w:val="00651C0A"/>
    <w:rsid w:val="00652171"/>
    <w:rsid w:val="006523C2"/>
    <w:rsid w:val="00652FFB"/>
    <w:rsid w:val="00653133"/>
    <w:rsid w:val="006532C3"/>
    <w:rsid w:val="00654C9C"/>
    <w:rsid w:val="0065528E"/>
    <w:rsid w:val="0065606D"/>
    <w:rsid w:val="00660249"/>
    <w:rsid w:val="00661BD2"/>
    <w:rsid w:val="00662B7A"/>
    <w:rsid w:val="00663B35"/>
    <w:rsid w:val="00666285"/>
    <w:rsid w:val="0066731A"/>
    <w:rsid w:val="00670BE7"/>
    <w:rsid w:val="00670FEA"/>
    <w:rsid w:val="00671DC9"/>
    <w:rsid w:val="0067252D"/>
    <w:rsid w:val="00672C31"/>
    <w:rsid w:val="006734AA"/>
    <w:rsid w:val="006734B3"/>
    <w:rsid w:val="0067353C"/>
    <w:rsid w:val="00676163"/>
    <w:rsid w:val="006764C4"/>
    <w:rsid w:val="006777E4"/>
    <w:rsid w:val="00677C22"/>
    <w:rsid w:val="006808CC"/>
    <w:rsid w:val="00681F18"/>
    <w:rsid w:val="00682F4C"/>
    <w:rsid w:val="00684966"/>
    <w:rsid w:val="00685899"/>
    <w:rsid w:val="00687642"/>
    <w:rsid w:val="00691611"/>
    <w:rsid w:val="0069213E"/>
    <w:rsid w:val="00692D30"/>
    <w:rsid w:val="00695597"/>
    <w:rsid w:val="00696A89"/>
    <w:rsid w:val="00696F75"/>
    <w:rsid w:val="00696FEC"/>
    <w:rsid w:val="00697477"/>
    <w:rsid w:val="006A037E"/>
    <w:rsid w:val="006A2019"/>
    <w:rsid w:val="006A21CC"/>
    <w:rsid w:val="006A30E6"/>
    <w:rsid w:val="006A3D41"/>
    <w:rsid w:val="006A7796"/>
    <w:rsid w:val="006B0495"/>
    <w:rsid w:val="006B0DCB"/>
    <w:rsid w:val="006B2408"/>
    <w:rsid w:val="006B3AF9"/>
    <w:rsid w:val="006B3C91"/>
    <w:rsid w:val="006B414C"/>
    <w:rsid w:val="006B4B0F"/>
    <w:rsid w:val="006C32CF"/>
    <w:rsid w:val="006C335E"/>
    <w:rsid w:val="006C3A1F"/>
    <w:rsid w:val="006C54BB"/>
    <w:rsid w:val="006C56FC"/>
    <w:rsid w:val="006C5C6C"/>
    <w:rsid w:val="006C5F8C"/>
    <w:rsid w:val="006C63EB"/>
    <w:rsid w:val="006C7DE0"/>
    <w:rsid w:val="006D024B"/>
    <w:rsid w:val="006D16CA"/>
    <w:rsid w:val="006D1D06"/>
    <w:rsid w:val="006D3693"/>
    <w:rsid w:val="006D3DC7"/>
    <w:rsid w:val="006D4245"/>
    <w:rsid w:val="006D5843"/>
    <w:rsid w:val="006E0A93"/>
    <w:rsid w:val="006E4064"/>
    <w:rsid w:val="006E58EA"/>
    <w:rsid w:val="006E5BF8"/>
    <w:rsid w:val="006F0036"/>
    <w:rsid w:val="006F2F67"/>
    <w:rsid w:val="006F3CA4"/>
    <w:rsid w:val="006F4DE0"/>
    <w:rsid w:val="006F4FB2"/>
    <w:rsid w:val="006F5E2D"/>
    <w:rsid w:val="006F6483"/>
    <w:rsid w:val="006F6EEB"/>
    <w:rsid w:val="006F7332"/>
    <w:rsid w:val="007025BA"/>
    <w:rsid w:val="0070385B"/>
    <w:rsid w:val="0070407E"/>
    <w:rsid w:val="0070494F"/>
    <w:rsid w:val="00704969"/>
    <w:rsid w:val="00705758"/>
    <w:rsid w:val="0070707A"/>
    <w:rsid w:val="0070717A"/>
    <w:rsid w:val="00707244"/>
    <w:rsid w:val="00712CCC"/>
    <w:rsid w:val="007136E9"/>
    <w:rsid w:val="00713DE5"/>
    <w:rsid w:val="007155D9"/>
    <w:rsid w:val="007157A0"/>
    <w:rsid w:val="007174DA"/>
    <w:rsid w:val="00720910"/>
    <w:rsid w:val="00720F29"/>
    <w:rsid w:val="00721038"/>
    <w:rsid w:val="007224C2"/>
    <w:rsid w:val="00726C1E"/>
    <w:rsid w:val="00726FEB"/>
    <w:rsid w:val="0072771B"/>
    <w:rsid w:val="00731117"/>
    <w:rsid w:val="00731409"/>
    <w:rsid w:val="007334B1"/>
    <w:rsid w:val="007339F3"/>
    <w:rsid w:val="00733EB2"/>
    <w:rsid w:val="00737424"/>
    <w:rsid w:val="00737FEC"/>
    <w:rsid w:val="00740292"/>
    <w:rsid w:val="007424E5"/>
    <w:rsid w:val="00742B07"/>
    <w:rsid w:val="00744619"/>
    <w:rsid w:val="0075064C"/>
    <w:rsid w:val="00752E39"/>
    <w:rsid w:val="00755956"/>
    <w:rsid w:val="00756AA0"/>
    <w:rsid w:val="00757CE6"/>
    <w:rsid w:val="007622F8"/>
    <w:rsid w:val="00763097"/>
    <w:rsid w:val="00764CB0"/>
    <w:rsid w:val="007666D8"/>
    <w:rsid w:val="00766D03"/>
    <w:rsid w:val="007671B6"/>
    <w:rsid w:val="007671DA"/>
    <w:rsid w:val="00767C28"/>
    <w:rsid w:val="00770C72"/>
    <w:rsid w:val="007719A8"/>
    <w:rsid w:val="0077228C"/>
    <w:rsid w:val="00772FA8"/>
    <w:rsid w:val="00773CAE"/>
    <w:rsid w:val="00774593"/>
    <w:rsid w:val="00774C88"/>
    <w:rsid w:val="00774D02"/>
    <w:rsid w:val="00776EDA"/>
    <w:rsid w:val="00777599"/>
    <w:rsid w:val="00782B59"/>
    <w:rsid w:val="00785646"/>
    <w:rsid w:val="00785CF8"/>
    <w:rsid w:val="00787700"/>
    <w:rsid w:val="00793277"/>
    <w:rsid w:val="0079435F"/>
    <w:rsid w:val="00796068"/>
    <w:rsid w:val="00796163"/>
    <w:rsid w:val="00796CC0"/>
    <w:rsid w:val="00796CF1"/>
    <w:rsid w:val="007974AF"/>
    <w:rsid w:val="007979EA"/>
    <w:rsid w:val="00797A74"/>
    <w:rsid w:val="007A1970"/>
    <w:rsid w:val="007A19BC"/>
    <w:rsid w:val="007A1A35"/>
    <w:rsid w:val="007A2166"/>
    <w:rsid w:val="007A2B7F"/>
    <w:rsid w:val="007A3059"/>
    <w:rsid w:val="007A5922"/>
    <w:rsid w:val="007A5969"/>
    <w:rsid w:val="007A63D4"/>
    <w:rsid w:val="007A7AA2"/>
    <w:rsid w:val="007A7C23"/>
    <w:rsid w:val="007B1ABA"/>
    <w:rsid w:val="007B2070"/>
    <w:rsid w:val="007B221D"/>
    <w:rsid w:val="007B259B"/>
    <w:rsid w:val="007B3F28"/>
    <w:rsid w:val="007B434A"/>
    <w:rsid w:val="007B471E"/>
    <w:rsid w:val="007B5018"/>
    <w:rsid w:val="007B53E7"/>
    <w:rsid w:val="007B65B3"/>
    <w:rsid w:val="007B6A14"/>
    <w:rsid w:val="007B7287"/>
    <w:rsid w:val="007B7A70"/>
    <w:rsid w:val="007C08AB"/>
    <w:rsid w:val="007C38F7"/>
    <w:rsid w:val="007C4E99"/>
    <w:rsid w:val="007C5151"/>
    <w:rsid w:val="007C546B"/>
    <w:rsid w:val="007C5B8D"/>
    <w:rsid w:val="007C670D"/>
    <w:rsid w:val="007C7359"/>
    <w:rsid w:val="007D0CD1"/>
    <w:rsid w:val="007D0ED0"/>
    <w:rsid w:val="007D1F01"/>
    <w:rsid w:val="007D250D"/>
    <w:rsid w:val="007D3500"/>
    <w:rsid w:val="007D3868"/>
    <w:rsid w:val="007D3E0E"/>
    <w:rsid w:val="007D4104"/>
    <w:rsid w:val="007D48CF"/>
    <w:rsid w:val="007D4A4A"/>
    <w:rsid w:val="007E018B"/>
    <w:rsid w:val="007E0721"/>
    <w:rsid w:val="007E0B69"/>
    <w:rsid w:val="007E0C58"/>
    <w:rsid w:val="007E0E05"/>
    <w:rsid w:val="007E1DD3"/>
    <w:rsid w:val="007E209F"/>
    <w:rsid w:val="007E23C8"/>
    <w:rsid w:val="007E25F0"/>
    <w:rsid w:val="007E2878"/>
    <w:rsid w:val="007E4655"/>
    <w:rsid w:val="007E50E4"/>
    <w:rsid w:val="007E55E0"/>
    <w:rsid w:val="007E5C50"/>
    <w:rsid w:val="007E5DED"/>
    <w:rsid w:val="007F0546"/>
    <w:rsid w:val="007F1DEB"/>
    <w:rsid w:val="007F22A5"/>
    <w:rsid w:val="007F421D"/>
    <w:rsid w:val="007F5688"/>
    <w:rsid w:val="007F588F"/>
    <w:rsid w:val="007F66A5"/>
    <w:rsid w:val="0080038A"/>
    <w:rsid w:val="0080065F"/>
    <w:rsid w:val="00802DA0"/>
    <w:rsid w:val="008051DE"/>
    <w:rsid w:val="00805659"/>
    <w:rsid w:val="0080733E"/>
    <w:rsid w:val="00810CC2"/>
    <w:rsid w:val="00812C2A"/>
    <w:rsid w:val="0081324B"/>
    <w:rsid w:val="0081440E"/>
    <w:rsid w:val="00816193"/>
    <w:rsid w:val="008165E4"/>
    <w:rsid w:val="00823472"/>
    <w:rsid w:val="008234BD"/>
    <w:rsid w:val="00824A8C"/>
    <w:rsid w:val="00825155"/>
    <w:rsid w:val="00825EB9"/>
    <w:rsid w:val="008301B7"/>
    <w:rsid w:val="008303E2"/>
    <w:rsid w:val="00830FAE"/>
    <w:rsid w:val="00831B7E"/>
    <w:rsid w:val="00833A8F"/>
    <w:rsid w:val="008341F8"/>
    <w:rsid w:val="008359F3"/>
    <w:rsid w:val="00835DB6"/>
    <w:rsid w:val="00836AC2"/>
    <w:rsid w:val="00837D13"/>
    <w:rsid w:val="008406D5"/>
    <w:rsid w:val="00843BED"/>
    <w:rsid w:val="008444E7"/>
    <w:rsid w:val="008447C8"/>
    <w:rsid w:val="00844C5B"/>
    <w:rsid w:val="00847B37"/>
    <w:rsid w:val="008501A4"/>
    <w:rsid w:val="008505A1"/>
    <w:rsid w:val="00850817"/>
    <w:rsid w:val="00851D16"/>
    <w:rsid w:val="00851E54"/>
    <w:rsid w:val="00853F97"/>
    <w:rsid w:val="0085433A"/>
    <w:rsid w:val="00854A85"/>
    <w:rsid w:val="00854B32"/>
    <w:rsid w:val="00855F2B"/>
    <w:rsid w:val="00856252"/>
    <w:rsid w:val="00857634"/>
    <w:rsid w:val="00857FFB"/>
    <w:rsid w:val="0086124E"/>
    <w:rsid w:val="00861B74"/>
    <w:rsid w:val="00864A10"/>
    <w:rsid w:val="008652C9"/>
    <w:rsid w:val="00866084"/>
    <w:rsid w:val="00866992"/>
    <w:rsid w:val="00866CA9"/>
    <w:rsid w:val="00867E32"/>
    <w:rsid w:val="00872942"/>
    <w:rsid w:val="0087504D"/>
    <w:rsid w:val="00875991"/>
    <w:rsid w:val="00875BB5"/>
    <w:rsid w:val="008771B6"/>
    <w:rsid w:val="00877865"/>
    <w:rsid w:val="00877FDD"/>
    <w:rsid w:val="00880FED"/>
    <w:rsid w:val="00881415"/>
    <w:rsid w:val="0088186D"/>
    <w:rsid w:val="008841C8"/>
    <w:rsid w:val="00885367"/>
    <w:rsid w:val="008855A4"/>
    <w:rsid w:val="00885989"/>
    <w:rsid w:val="00887082"/>
    <w:rsid w:val="00887C8D"/>
    <w:rsid w:val="00887DC7"/>
    <w:rsid w:val="00891FCC"/>
    <w:rsid w:val="00892BB8"/>
    <w:rsid w:val="00893014"/>
    <w:rsid w:val="0089513A"/>
    <w:rsid w:val="00896755"/>
    <w:rsid w:val="00896F38"/>
    <w:rsid w:val="008A086B"/>
    <w:rsid w:val="008A2417"/>
    <w:rsid w:val="008A5D49"/>
    <w:rsid w:val="008A6952"/>
    <w:rsid w:val="008A69D6"/>
    <w:rsid w:val="008A751E"/>
    <w:rsid w:val="008A756C"/>
    <w:rsid w:val="008B0547"/>
    <w:rsid w:val="008B11A3"/>
    <w:rsid w:val="008B1FE5"/>
    <w:rsid w:val="008B2AD7"/>
    <w:rsid w:val="008B3A74"/>
    <w:rsid w:val="008B3D72"/>
    <w:rsid w:val="008B434A"/>
    <w:rsid w:val="008B5DA7"/>
    <w:rsid w:val="008B7B55"/>
    <w:rsid w:val="008C25D0"/>
    <w:rsid w:val="008C39CB"/>
    <w:rsid w:val="008C3A5B"/>
    <w:rsid w:val="008C3D50"/>
    <w:rsid w:val="008C4823"/>
    <w:rsid w:val="008C5B71"/>
    <w:rsid w:val="008C6D01"/>
    <w:rsid w:val="008D0E23"/>
    <w:rsid w:val="008D2382"/>
    <w:rsid w:val="008D2F21"/>
    <w:rsid w:val="008D3521"/>
    <w:rsid w:val="008D3570"/>
    <w:rsid w:val="008D5667"/>
    <w:rsid w:val="008D6F5D"/>
    <w:rsid w:val="008E003A"/>
    <w:rsid w:val="008E15E3"/>
    <w:rsid w:val="008E2045"/>
    <w:rsid w:val="008E4C62"/>
    <w:rsid w:val="008E727E"/>
    <w:rsid w:val="008E72E1"/>
    <w:rsid w:val="008F0B17"/>
    <w:rsid w:val="008F2902"/>
    <w:rsid w:val="008F3912"/>
    <w:rsid w:val="008F4047"/>
    <w:rsid w:val="008F4111"/>
    <w:rsid w:val="008F4593"/>
    <w:rsid w:val="008F660B"/>
    <w:rsid w:val="008F695F"/>
    <w:rsid w:val="009005CE"/>
    <w:rsid w:val="00901376"/>
    <w:rsid w:val="0090188B"/>
    <w:rsid w:val="009021A4"/>
    <w:rsid w:val="00903309"/>
    <w:rsid w:val="00904305"/>
    <w:rsid w:val="00904362"/>
    <w:rsid w:val="0090441C"/>
    <w:rsid w:val="00904986"/>
    <w:rsid w:val="00904EC5"/>
    <w:rsid w:val="0091406E"/>
    <w:rsid w:val="009149EC"/>
    <w:rsid w:val="00914B48"/>
    <w:rsid w:val="0091511B"/>
    <w:rsid w:val="009172D7"/>
    <w:rsid w:val="00917B6F"/>
    <w:rsid w:val="00917E84"/>
    <w:rsid w:val="0092336E"/>
    <w:rsid w:val="009236AA"/>
    <w:rsid w:val="009239AA"/>
    <w:rsid w:val="009245B5"/>
    <w:rsid w:val="009245D0"/>
    <w:rsid w:val="00924AB4"/>
    <w:rsid w:val="00925EF2"/>
    <w:rsid w:val="00925F3C"/>
    <w:rsid w:val="00926204"/>
    <w:rsid w:val="00934F6D"/>
    <w:rsid w:val="00935C40"/>
    <w:rsid w:val="00935F4D"/>
    <w:rsid w:val="009373EF"/>
    <w:rsid w:val="009377EA"/>
    <w:rsid w:val="0093795C"/>
    <w:rsid w:val="00937DCB"/>
    <w:rsid w:val="00937F7E"/>
    <w:rsid w:val="009440DE"/>
    <w:rsid w:val="0094429F"/>
    <w:rsid w:val="009444E6"/>
    <w:rsid w:val="00944A8E"/>
    <w:rsid w:val="009455E6"/>
    <w:rsid w:val="0094589B"/>
    <w:rsid w:val="00950775"/>
    <w:rsid w:val="009509C0"/>
    <w:rsid w:val="00952B9C"/>
    <w:rsid w:val="00953B70"/>
    <w:rsid w:val="00955E2A"/>
    <w:rsid w:val="00956330"/>
    <w:rsid w:val="00956348"/>
    <w:rsid w:val="00956BA7"/>
    <w:rsid w:val="00956FD8"/>
    <w:rsid w:val="009575F7"/>
    <w:rsid w:val="00957E4B"/>
    <w:rsid w:val="0096021A"/>
    <w:rsid w:val="00960F73"/>
    <w:rsid w:val="00961346"/>
    <w:rsid w:val="00961A86"/>
    <w:rsid w:val="009642CA"/>
    <w:rsid w:val="00964BE5"/>
    <w:rsid w:val="009652B6"/>
    <w:rsid w:val="0096655D"/>
    <w:rsid w:val="00970E8A"/>
    <w:rsid w:val="00971139"/>
    <w:rsid w:val="00971F5D"/>
    <w:rsid w:val="00972B10"/>
    <w:rsid w:val="0097401F"/>
    <w:rsid w:val="00975E28"/>
    <w:rsid w:val="00976F32"/>
    <w:rsid w:val="00981FA0"/>
    <w:rsid w:val="0098263A"/>
    <w:rsid w:val="00983541"/>
    <w:rsid w:val="00984366"/>
    <w:rsid w:val="00984E80"/>
    <w:rsid w:val="0098690F"/>
    <w:rsid w:val="00987994"/>
    <w:rsid w:val="00987EE5"/>
    <w:rsid w:val="00991CD8"/>
    <w:rsid w:val="00991EBE"/>
    <w:rsid w:val="009928B3"/>
    <w:rsid w:val="00992B6B"/>
    <w:rsid w:val="00992C88"/>
    <w:rsid w:val="00993C2E"/>
    <w:rsid w:val="00993D33"/>
    <w:rsid w:val="00997C8A"/>
    <w:rsid w:val="009A0E89"/>
    <w:rsid w:val="009A0F40"/>
    <w:rsid w:val="009A1339"/>
    <w:rsid w:val="009A188A"/>
    <w:rsid w:val="009A1A95"/>
    <w:rsid w:val="009A2CCC"/>
    <w:rsid w:val="009A3006"/>
    <w:rsid w:val="009A3994"/>
    <w:rsid w:val="009B1B10"/>
    <w:rsid w:val="009B2FB9"/>
    <w:rsid w:val="009B5D6F"/>
    <w:rsid w:val="009B62AF"/>
    <w:rsid w:val="009B6745"/>
    <w:rsid w:val="009B68AF"/>
    <w:rsid w:val="009B74EA"/>
    <w:rsid w:val="009B7AB9"/>
    <w:rsid w:val="009C33CA"/>
    <w:rsid w:val="009C4B6D"/>
    <w:rsid w:val="009C72E6"/>
    <w:rsid w:val="009D0928"/>
    <w:rsid w:val="009D1B99"/>
    <w:rsid w:val="009D2884"/>
    <w:rsid w:val="009D5393"/>
    <w:rsid w:val="009D5445"/>
    <w:rsid w:val="009D565F"/>
    <w:rsid w:val="009D6026"/>
    <w:rsid w:val="009D65B9"/>
    <w:rsid w:val="009D70EE"/>
    <w:rsid w:val="009D733B"/>
    <w:rsid w:val="009E04DC"/>
    <w:rsid w:val="009E0FB3"/>
    <w:rsid w:val="009E3B5A"/>
    <w:rsid w:val="009E3E85"/>
    <w:rsid w:val="009E5105"/>
    <w:rsid w:val="009E59A1"/>
    <w:rsid w:val="009E66EE"/>
    <w:rsid w:val="009F015D"/>
    <w:rsid w:val="009F20C6"/>
    <w:rsid w:val="009F37BF"/>
    <w:rsid w:val="009F4326"/>
    <w:rsid w:val="009F7078"/>
    <w:rsid w:val="009F7BB2"/>
    <w:rsid w:val="009F7FA6"/>
    <w:rsid w:val="00A0082F"/>
    <w:rsid w:val="00A00AE7"/>
    <w:rsid w:val="00A016AA"/>
    <w:rsid w:val="00A0244C"/>
    <w:rsid w:val="00A033FF"/>
    <w:rsid w:val="00A0409E"/>
    <w:rsid w:val="00A046C7"/>
    <w:rsid w:val="00A04EDA"/>
    <w:rsid w:val="00A06137"/>
    <w:rsid w:val="00A063FE"/>
    <w:rsid w:val="00A06EDB"/>
    <w:rsid w:val="00A07ACC"/>
    <w:rsid w:val="00A11259"/>
    <w:rsid w:val="00A1329C"/>
    <w:rsid w:val="00A138CF"/>
    <w:rsid w:val="00A14503"/>
    <w:rsid w:val="00A14E25"/>
    <w:rsid w:val="00A14E81"/>
    <w:rsid w:val="00A16896"/>
    <w:rsid w:val="00A16A60"/>
    <w:rsid w:val="00A17A3D"/>
    <w:rsid w:val="00A203C2"/>
    <w:rsid w:val="00A2062A"/>
    <w:rsid w:val="00A2066E"/>
    <w:rsid w:val="00A21E19"/>
    <w:rsid w:val="00A236A1"/>
    <w:rsid w:val="00A239A8"/>
    <w:rsid w:val="00A25B79"/>
    <w:rsid w:val="00A27FF0"/>
    <w:rsid w:val="00A300CB"/>
    <w:rsid w:val="00A30683"/>
    <w:rsid w:val="00A3115F"/>
    <w:rsid w:val="00A31BFC"/>
    <w:rsid w:val="00A32209"/>
    <w:rsid w:val="00A32BA0"/>
    <w:rsid w:val="00A33030"/>
    <w:rsid w:val="00A34307"/>
    <w:rsid w:val="00A35A7A"/>
    <w:rsid w:val="00A378A2"/>
    <w:rsid w:val="00A407B6"/>
    <w:rsid w:val="00A40CDE"/>
    <w:rsid w:val="00A418FF"/>
    <w:rsid w:val="00A43FBD"/>
    <w:rsid w:val="00A43FD4"/>
    <w:rsid w:val="00A44703"/>
    <w:rsid w:val="00A473D7"/>
    <w:rsid w:val="00A52DA1"/>
    <w:rsid w:val="00A54367"/>
    <w:rsid w:val="00A54CCB"/>
    <w:rsid w:val="00A57301"/>
    <w:rsid w:val="00A5757E"/>
    <w:rsid w:val="00A60F52"/>
    <w:rsid w:val="00A61DFE"/>
    <w:rsid w:val="00A62AA8"/>
    <w:rsid w:val="00A630D8"/>
    <w:rsid w:val="00A63B4C"/>
    <w:rsid w:val="00A6526F"/>
    <w:rsid w:val="00A6604B"/>
    <w:rsid w:val="00A664AD"/>
    <w:rsid w:val="00A664E7"/>
    <w:rsid w:val="00A66E7F"/>
    <w:rsid w:val="00A67917"/>
    <w:rsid w:val="00A679B0"/>
    <w:rsid w:val="00A70904"/>
    <w:rsid w:val="00A709BB"/>
    <w:rsid w:val="00A740EA"/>
    <w:rsid w:val="00A75C52"/>
    <w:rsid w:val="00A767B2"/>
    <w:rsid w:val="00A7717C"/>
    <w:rsid w:val="00A77CCE"/>
    <w:rsid w:val="00A80B0C"/>
    <w:rsid w:val="00A81B11"/>
    <w:rsid w:val="00A82B9E"/>
    <w:rsid w:val="00A82D16"/>
    <w:rsid w:val="00A84186"/>
    <w:rsid w:val="00A846F1"/>
    <w:rsid w:val="00A857B4"/>
    <w:rsid w:val="00A85B14"/>
    <w:rsid w:val="00A875C0"/>
    <w:rsid w:val="00A87C15"/>
    <w:rsid w:val="00A925D7"/>
    <w:rsid w:val="00A92706"/>
    <w:rsid w:val="00A92CF1"/>
    <w:rsid w:val="00A943F8"/>
    <w:rsid w:val="00A962D6"/>
    <w:rsid w:val="00A9704A"/>
    <w:rsid w:val="00A97AD0"/>
    <w:rsid w:val="00AA0874"/>
    <w:rsid w:val="00AA0C5B"/>
    <w:rsid w:val="00AA1110"/>
    <w:rsid w:val="00AA1377"/>
    <w:rsid w:val="00AA1D1B"/>
    <w:rsid w:val="00AA34B8"/>
    <w:rsid w:val="00AA49AF"/>
    <w:rsid w:val="00AA4F2F"/>
    <w:rsid w:val="00AA57CE"/>
    <w:rsid w:val="00AA5ADC"/>
    <w:rsid w:val="00AA5E45"/>
    <w:rsid w:val="00AA7211"/>
    <w:rsid w:val="00AA7540"/>
    <w:rsid w:val="00AA780F"/>
    <w:rsid w:val="00AB0B9C"/>
    <w:rsid w:val="00AB3E6B"/>
    <w:rsid w:val="00AB4D0B"/>
    <w:rsid w:val="00AB51C8"/>
    <w:rsid w:val="00AB5586"/>
    <w:rsid w:val="00AB7B25"/>
    <w:rsid w:val="00AC0BAE"/>
    <w:rsid w:val="00AC0E78"/>
    <w:rsid w:val="00AC126F"/>
    <w:rsid w:val="00AC13F7"/>
    <w:rsid w:val="00AC3256"/>
    <w:rsid w:val="00AC43D2"/>
    <w:rsid w:val="00AC4A94"/>
    <w:rsid w:val="00AC4B34"/>
    <w:rsid w:val="00AC6DE2"/>
    <w:rsid w:val="00AC737D"/>
    <w:rsid w:val="00AD05A6"/>
    <w:rsid w:val="00AD283D"/>
    <w:rsid w:val="00AD3920"/>
    <w:rsid w:val="00AD5922"/>
    <w:rsid w:val="00AD5F80"/>
    <w:rsid w:val="00AD6555"/>
    <w:rsid w:val="00AD6F4A"/>
    <w:rsid w:val="00AE05EA"/>
    <w:rsid w:val="00AE0EDF"/>
    <w:rsid w:val="00AE1128"/>
    <w:rsid w:val="00AE14F4"/>
    <w:rsid w:val="00AE1AB0"/>
    <w:rsid w:val="00AE2609"/>
    <w:rsid w:val="00AE29A8"/>
    <w:rsid w:val="00AE3960"/>
    <w:rsid w:val="00AE4074"/>
    <w:rsid w:val="00AE439A"/>
    <w:rsid w:val="00AE591D"/>
    <w:rsid w:val="00AE617A"/>
    <w:rsid w:val="00AE67C1"/>
    <w:rsid w:val="00AE6CD9"/>
    <w:rsid w:val="00AE713F"/>
    <w:rsid w:val="00AF01CB"/>
    <w:rsid w:val="00AF09C7"/>
    <w:rsid w:val="00AF1474"/>
    <w:rsid w:val="00AF1A40"/>
    <w:rsid w:val="00AF37F7"/>
    <w:rsid w:val="00AF4BF4"/>
    <w:rsid w:val="00AF551F"/>
    <w:rsid w:val="00AF5706"/>
    <w:rsid w:val="00B0025D"/>
    <w:rsid w:val="00B006D8"/>
    <w:rsid w:val="00B02238"/>
    <w:rsid w:val="00B03D35"/>
    <w:rsid w:val="00B0487B"/>
    <w:rsid w:val="00B04EF7"/>
    <w:rsid w:val="00B05065"/>
    <w:rsid w:val="00B05194"/>
    <w:rsid w:val="00B0688D"/>
    <w:rsid w:val="00B06AA0"/>
    <w:rsid w:val="00B06B45"/>
    <w:rsid w:val="00B06D33"/>
    <w:rsid w:val="00B074B3"/>
    <w:rsid w:val="00B10AD8"/>
    <w:rsid w:val="00B149B2"/>
    <w:rsid w:val="00B154B5"/>
    <w:rsid w:val="00B1664E"/>
    <w:rsid w:val="00B17303"/>
    <w:rsid w:val="00B1744E"/>
    <w:rsid w:val="00B20833"/>
    <w:rsid w:val="00B21343"/>
    <w:rsid w:val="00B219AA"/>
    <w:rsid w:val="00B21A5B"/>
    <w:rsid w:val="00B221C7"/>
    <w:rsid w:val="00B25143"/>
    <w:rsid w:val="00B2585D"/>
    <w:rsid w:val="00B25962"/>
    <w:rsid w:val="00B266FA"/>
    <w:rsid w:val="00B26C40"/>
    <w:rsid w:val="00B26D82"/>
    <w:rsid w:val="00B27359"/>
    <w:rsid w:val="00B30BA2"/>
    <w:rsid w:val="00B3194F"/>
    <w:rsid w:val="00B31DDF"/>
    <w:rsid w:val="00B33FC2"/>
    <w:rsid w:val="00B3423E"/>
    <w:rsid w:val="00B347F1"/>
    <w:rsid w:val="00B34A99"/>
    <w:rsid w:val="00B3502B"/>
    <w:rsid w:val="00B35755"/>
    <w:rsid w:val="00B35774"/>
    <w:rsid w:val="00B3599F"/>
    <w:rsid w:val="00B35C3E"/>
    <w:rsid w:val="00B36473"/>
    <w:rsid w:val="00B408FD"/>
    <w:rsid w:val="00B40BEA"/>
    <w:rsid w:val="00B40EC3"/>
    <w:rsid w:val="00B414C9"/>
    <w:rsid w:val="00B41D9D"/>
    <w:rsid w:val="00B44029"/>
    <w:rsid w:val="00B44FFA"/>
    <w:rsid w:val="00B45428"/>
    <w:rsid w:val="00B475CB"/>
    <w:rsid w:val="00B47943"/>
    <w:rsid w:val="00B50446"/>
    <w:rsid w:val="00B50A6E"/>
    <w:rsid w:val="00B512D2"/>
    <w:rsid w:val="00B527BF"/>
    <w:rsid w:val="00B52C0E"/>
    <w:rsid w:val="00B52DC6"/>
    <w:rsid w:val="00B530FD"/>
    <w:rsid w:val="00B53920"/>
    <w:rsid w:val="00B53C03"/>
    <w:rsid w:val="00B53C9C"/>
    <w:rsid w:val="00B54B68"/>
    <w:rsid w:val="00B55219"/>
    <w:rsid w:val="00B558FE"/>
    <w:rsid w:val="00B56396"/>
    <w:rsid w:val="00B5639B"/>
    <w:rsid w:val="00B60C3E"/>
    <w:rsid w:val="00B615CB"/>
    <w:rsid w:val="00B63E30"/>
    <w:rsid w:val="00B645FA"/>
    <w:rsid w:val="00B64775"/>
    <w:rsid w:val="00B64F04"/>
    <w:rsid w:val="00B657AB"/>
    <w:rsid w:val="00B65AF9"/>
    <w:rsid w:val="00B663CD"/>
    <w:rsid w:val="00B67B4F"/>
    <w:rsid w:val="00B702CD"/>
    <w:rsid w:val="00B763BE"/>
    <w:rsid w:val="00B7749A"/>
    <w:rsid w:val="00B779BB"/>
    <w:rsid w:val="00B77BB8"/>
    <w:rsid w:val="00B800EC"/>
    <w:rsid w:val="00B81718"/>
    <w:rsid w:val="00B85A97"/>
    <w:rsid w:val="00B86278"/>
    <w:rsid w:val="00B86AF6"/>
    <w:rsid w:val="00B86E2A"/>
    <w:rsid w:val="00B877AA"/>
    <w:rsid w:val="00B909E7"/>
    <w:rsid w:val="00B9389E"/>
    <w:rsid w:val="00B94EB5"/>
    <w:rsid w:val="00B96EA4"/>
    <w:rsid w:val="00B97282"/>
    <w:rsid w:val="00B97A3E"/>
    <w:rsid w:val="00BA2F02"/>
    <w:rsid w:val="00BA2FFD"/>
    <w:rsid w:val="00BA3492"/>
    <w:rsid w:val="00BA428A"/>
    <w:rsid w:val="00BA4ED9"/>
    <w:rsid w:val="00BA5023"/>
    <w:rsid w:val="00BA5365"/>
    <w:rsid w:val="00BA58B6"/>
    <w:rsid w:val="00BA62AD"/>
    <w:rsid w:val="00BA6DBD"/>
    <w:rsid w:val="00BB0267"/>
    <w:rsid w:val="00BB078B"/>
    <w:rsid w:val="00BB0E0C"/>
    <w:rsid w:val="00BB37AF"/>
    <w:rsid w:val="00BB4769"/>
    <w:rsid w:val="00BB4C08"/>
    <w:rsid w:val="00BB4FDA"/>
    <w:rsid w:val="00BB61BE"/>
    <w:rsid w:val="00BB6AC3"/>
    <w:rsid w:val="00BB779D"/>
    <w:rsid w:val="00BC050A"/>
    <w:rsid w:val="00BC122C"/>
    <w:rsid w:val="00BC17A9"/>
    <w:rsid w:val="00BC1866"/>
    <w:rsid w:val="00BC1DBD"/>
    <w:rsid w:val="00BC2414"/>
    <w:rsid w:val="00BC322A"/>
    <w:rsid w:val="00BC5092"/>
    <w:rsid w:val="00BC526B"/>
    <w:rsid w:val="00BC5737"/>
    <w:rsid w:val="00BC65A7"/>
    <w:rsid w:val="00BD1747"/>
    <w:rsid w:val="00BD3C68"/>
    <w:rsid w:val="00BD421D"/>
    <w:rsid w:val="00BD4493"/>
    <w:rsid w:val="00BD5052"/>
    <w:rsid w:val="00BD6B87"/>
    <w:rsid w:val="00BD73FC"/>
    <w:rsid w:val="00BD79B1"/>
    <w:rsid w:val="00BE04D9"/>
    <w:rsid w:val="00BE08EF"/>
    <w:rsid w:val="00BE0BCC"/>
    <w:rsid w:val="00BE4614"/>
    <w:rsid w:val="00BE4E6F"/>
    <w:rsid w:val="00BE5100"/>
    <w:rsid w:val="00BE529D"/>
    <w:rsid w:val="00BE53DD"/>
    <w:rsid w:val="00BE573E"/>
    <w:rsid w:val="00BE6584"/>
    <w:rsid w:val="00BE6637"/>
    <w:rsid w:val="00BE749B"/>
    <w:rsid w:val="00BE7D8D"/>
    <w:rsid w:val="00BF10E8"/>
    <w:rsid w:val="00BF2033"/>
    <w:rsid w:val="00BF3158"/>
    <w:rsid w:val="00BF3169"/>
    <w:rsid w:val="00BF34E0"/>
    <w:rsid w:val="00BF51B7"/>
    <w:rsid w:val="00BF56BE"/>
    <w:rsid w:val="00BF6676"/>
    <w:rsid w:val="00C00953"/>
    <w:rsid w:val="00C00F38"/>
    <w:rsid w:val="00C021B2"/>
    <w:rsid w:val="00C0314D"/>
    <w:rsid w:val="00C03312"/>
    <w:rsid w:val="00C03532"/>
    <w:rsid w:val="00C039A5"/>
    <w:rsid w:val="00C03A04"/>
    <w:rsid w:val="00C03C67"/>
    <w:rsid w:val="00C046F7"/>
    <w:rsid w:val="00C064FE"/>
    <w:rsid w:val="00C066AB"/>
    <w:rsid w:val="00C06EA1"/>
    <w:rsid w:val="00C10C0B"/>
    <w:rsid w:val="00C10DD5"/>
    <w:rsid w:val="00C1122F"/>
    <w:rsid w:val="00C11A6C"/>
    <w:rsid w:val="00C11F76"/>
    <w:rsid w:val="00C12989"/>
    <w:rsid w:val="00C13C61"/>
    <w:rsid w:val="00C14D9F"/>
    <w:rsid w:val="00C15A27"/>
    <w:rsid w:val="00C15FEF"/>
    <w:rsid w:val="00C165A1"/>
    <w:rsid w:val="00C1776A"/>
    <w:rsid w:val="00C20301"/>
    <w:rsid w:val="00C20BBA"/>
    <w:rsid w:val="00C20FFB"/>
    <w:rsid w:val="00C22519"/>
    <w:rsid w:val="00C22F12"/>
    <w:rsid w:val="00C2305C"/>
    <w:rsid w:val="00C233D0"/>
    <w:rsid w:val="00C2380D"/>
    <w:rsid w:val="00C24162"/>
    <w:rsid w:val="00C24E78"/>
    <w:rsid w:val="00C2509D"/>
    <w:rsid w:val="00C2796E"/>
    <w:rsid w:val="00C27A2E"/>
    <w:rsid w:val="00C302BD"/>
    <w:rsid w:val="00C32176"/>
    <w:rsid w:val="00C344DC"/>
    <w:rsid w:val="00C34ABD"/>
    <w:rsid w:val="00C353CF"/>
    <w:rsid w:val="00C35F43"/>
    <w:rsid w:val="00C363A9"/>
    <w:rsid w:val="00C36C55"/>
    <w:rsid w:val="00C37088"/>
    <w:rsid w:val="00C3715E"/>
    <w:rsid w:val="00C408C2"/>
    <w:rsid w:val="00C408D5"/>
    <w:rsid w:val="00C40B77"/>
    <w:rsid w:val="00C41D3C"/>
    <w:rsid w:val="00C43801"/>
    <w:rsid w:val="00C44A07"/>
    <w:rsid w:val="00C44BDC"/>
    <w:rsid w:val="00C45A1B"/>
    <w:rsid w:val="00C45BFB"/>
    <w:rsid w:val="00C45DCE"/>
    <w:rsid w:val="00C46085"/>
    <w:rsid w:val="00C46D15"/>
    <w:rsid w:val="00C50C7D"/>
    <w:rsid w:val="00C50FF9"/>
    <w:rsid w:val="00C54B14"/>
    <w:rsid w:val="00C6352A"/>
    <w:rsid w:val="00C65B2D"/>
    <w:rsid w:val="00C65C5D"/>
    <w:rsid w:val="00C65DA0"/>
    <w:rsid w:val="00C6656A"/>
    <w:rsid w:val="00C66C03"/>
    <w:rsid w:val="00C711E5"/>
    <w:rsid w:val="00C730CB"/>
    <w:rsid w:val="00C731FC"/>
    <w:rsid w:val="00C73782"/>
    <w:rsid w:val="00C74107"/>
    <w:rsid w:val="00C80D90"/>
    <w:rsid w:val="00C81B05"/>
    <w:rsid w:val="00C83ADF"/>
    <w:rsid w:val="00C83AEE"/>
    <w:rsid w:val="00C84CAA"/>
    <w:rsid w:val="00C85531"/>
    <w:rsid w:val="00C85563"/>
    <w:rsid w:val="00C85AC7"/>
    <w:rsid w:val="00C85B0B"/>
    <w:rsid w:val="00C87F13"/>
    <w:rsid w:val="00C9003E"/>
    <w:rsid w:val="00C9045E"/>
    <w:rsid w:val="00C90466"/>
    <w:rsid w:val="00C906CD"/>
    <w:rsid w:val="00C90F10"/>
    <w:rsid w:val="00C9133D"/>
    <w:rsid w:val="00C92840"/>
    <w:rsid w:val="00C934E0"/>
    <w:rsid w:val="00C94A2F"/>
    <w:rsid w:val="00C961CA"/>
    <w:rsid w:val="00C96242"/>
    <w:rsid w:val="00C96454"/>
    <w:rsid w:val="00C96747"/>
    <w:rsid w:val="00CA08DA"/>
    <w:rsid w:val="00CA0FB8"/>
    <w:rsid w:val="00CA15F3"/>
    <w:rsid w:val="00CA2680"/>
    <w:rsid w:val="00CA3312"/>
    <w:rsid w:val="00CA4D23"/>
    <w:rsid w:val="00CA50CD"/>
    <w:rsid w:val="00CA522F"/>
    <w:rsid w:val="00CA6716"/>
    <w:rsid w:val="00CA7FB2"/>
    <w:rsid w:val="00CB036A"/>
    <w:rsid w:val="00CB0D34"/>
    <w:rsid w:val="00CB1C4E"/>
    <w:rsid w:val="00CB3818"/>
    <w:rsid w:val="00CB43AC"/>
    <w:rsid w:val="00CB6930"/>
    <w:rsid w:val="00CB79F7"/>
    <w:rsid w:val="00CC18C0"/>
    <w:rsid w:val="00CC1939"/>
    <w:rsid w:val="00CC23EB"/>
    <w:rsid w:val="00CC42D4"/>
    <w:rsid w:val="00CC4364"/>
    <w:rsid w:val="00CC64E3"/>
    <w:rsid w:val="00CC7712"/>
    <w:rsid w:val="00CC774A"/>
    <w:rsid w:val="00CD179A"/>
    <w:rsid w:val="00CD2030"/>
    <w:rsid w:val="00CD2536"/>
    <w:rsid w:val="00CD407F"/>
    <w:rsid w:val="00CD4ED2"/>
    <w:rsid w:val="00CD5740"/>
    <w:rsid w:val="00CD7420"/>
    <w:rsid w:val="00CE0BA7"/>
    <w:rsid w:val="00CE2FAA"/>
    <w:rsid w:val="00CE36EF"/>
    <w:rsid w:val="00CE3FC3"/>
    <w:rsid w:val="00CE4906"/>
    <w:rsid w:val="00CE552B"/>
    <w:rsid w:val="00CE6ACB"/>
    <w:rsid w:val="00CE6D09"/>
    <w:rsid w:val="00CF0E4D"/>
    <w:rsid w:val="00CF19C6"/>
    <w:rsid w:val="00CF230D"/>
    <w:rsid w:val="00CF2A98"/>
    <w:rsid w:val="00CF5489"/>
    <w:rsid w:val="00CF7615"/>
    <w:rsid w:val="00CF7796"/>
    <w:rsid w:val="00CF7823"/>
    <w:rsid w:val="00D003F8"/>
    <w:rsid w:val="00D0052C"/>
    <w:rsid w:val="00D01540"/>
    <w:rsid w:val="00D01AFE"/>
    <w:rsid w:val="00D02757"/>
    <w:rsid w:val="00D02FB7"/>
    <w:rsid w:val="00D04613"/>
    <w:rsid w:val="00D05C77"/>
    <w:rsid w:val="00D07739"/>
    <w:rsid w:val="00D10769"/>
    <w:rsid w:val="00D11642"/>
    <w:rsid w:val="00D116C7"/>
    <w:rsid w:val="00D13AC5"/>
    <w:rsid w:val="00D14E5F"/>
    <w:rsid w:val="00D14FB2"/>
    <w:rsid w:val="00D16754"/>
    <w:rsid w:val="00D17548"/>
    <w:rsid w:val="00D17604"/>
    <w:rsid w:val="00D17CC6"/>
    <w:rsid w:val="00D2041E"/>
    <w:rsid w:val="00D20454"/>
    <w:rsid w:val="00D20D10"/>
    <w:rsid w:val="00D2153B"/>
    <w:rsid w:val="00D23801"/>
    <w:rsid w:val="00D25AEC"/>
    <w:rsid w:val="00D25B2F"/>
    <w:rsid w:val="00D27E9B"/>
    <w:rsid w:val="00D3037E"/>
    <w:rsid w:val="00D305AC"/>
    <w:rsid w:val="00D32074"/>
    <w:rsid w:val="00D32376"/>
    <w:rsid w:val="00D326DD"/>
    <w:rsid w:val="00D33DBD"/>
    <w:rsid w:val="00D341C9"/>
    <w:rsid w:val="00D3447D"/>
    <w:rsid w:val="00D3488B"/>
    <w:rsid w:val="00D35F32"/>
    <w:rsid w:val="00D361DE"/>
    <w:rsid w:val="00D37427"/>
    <w:rsid w:val="00D3793E"/>
    <w:rsid w:val="00D37E78"/>
    <w:rsid w:val="00D37FB2"/>
    <w:rsid w:val="00D404C7"/>
    <w:rsid w:val="00D41A6A"/>
    <w:rsid w:val="00D4233A"/>
    <w:rsid w:val="00D43E3F"/>
    <w:rsid w:val="00D44B3D"/>
    <w:rsid w:val="00D46787"/>
    <w:rsid w:val="00D4691A"/>
    <w:rsid w:val="00D46C4C"/>
    <w:rsid w:val="00D51F18"/>
    <w:rsid w:val="00D52DA3"/>
    <w:rsid w:val="00D52E5A"/>
    <w:rsid w:val="00D53537"/>
    <w:rsid w:val="00D54E9E"/>
    <w:rsid w:val="00D551C8"/>
    <w:rsid w:val="00D55972"/>
    <w:rsid w:val="00D564BB"/>
    <w:rsid w:val="00D565FA"/>
    <w:rsid w:val="00D5674B"/>
    <w:rsid w:val="00D568ED"/>
    <w:rsid w:val="00D56BF9"/>
    <w:rsid w:val="00D56E3F"/>
    <w:rsid w:val="00D571B4"/>
    <w:rsid w:val="00D6014E"/>
    <w:rsid w:val="00D630E7"/>
    <w:rsid w:val="00D640BA"/>
    <w:rsid w:val="00D64C56"/>
    <w:rsid w:val="00D66F17"/>
    <w:rsid w:val="00D700E5"/>
    <w:rsid w:val="00D70900"/>
    <w:rsid w:val="00D71B77"/>
    <w:rsid w:val="00D74A87"/>
    <w:rsid w:val="00D755DE"/>
    <w:rsid w:val="00D7587B"/>
    <w:rsid w:val="00D75CE3"/>
    <w:rsid w:val="00D76186"/>
    <w:rsid w:val="00D771E9"/>
    <w:rsid w:val="00D7771F"/>
    <w:rsid w:val="00D817F1"/>
    <w:rsid w:val="00D8414C"/>
    <w:rsid w:val="00D844B1"/>
    <w:rsid w:val="00D86C20"/>
    <w:rsid w:val="00D86DD4"/>
    <w:rsid w:val="00D909BB"/>
    <w:rsid w:val="00D92529"/>
    <w:rsid w:val="00D92870"/>
    <w:rsid w:val="00D94BD0"/>
    <w:rsid w:val="00D973C9"/>
    <w:rsid w:val="00DA1613"/>
    <w:rsid w:val="00DA330A"/>
    <w:rsid w:val="00DA5AAB"/>
    <w:rsid w:val="00DA671A"/>
    <w:rsid w:val="00DA6858"/>
    <w:rsid w:val="00DA7CBB"/>
    <w:rsid w:val="00DB08FA"/>
    <w:rsid w:val="00DB1CD7"/>
    <w:rsid w:val="00DB2086"/>
    <w:rsid w:val="00DB2651"/>
    <w:rsid w:val="00DB30B1"/>
    <w:rsid w:val="00DB31FF"/>
    <w:rsid w:val="00DB3ECD"/>
    <w:rsid w:val="00DB4717"/>
    <w:rsid w:val="00DB79D5"/>
    <w:rsid w:val="00DC0F8C"/>
    <w:rsid w:val="00DC12C8"/>
    <w:rsid w:val="00DC36E8"/>
    <w:rsid w:val="00DC6AB5"/>
    <w:rsid w:val="00DC6F31"/>
    <w:rsid w:val="00DC7004"/>
    <w:rsid w:val="00DC7FFD"/>
    <w:rsid w:val="00DD0277"/>
    <w:rsid w:val="00DD1B11"/>
    <w:rsid w:val="00DD1B33"/>
    <w:rsid w:val="00DD1CE2"/>
    <w:rsid w:val="00DD645B"/>
    <w:rsid w:val="00DD6667"/>
    <w:rsid w:val="00DD6D82"/>
    <w:rsid w:val="00DD786C"/>
    <w:rsid w:val="00DD7E6D"/>
    <w:rsid w:val="00DE045E"/>
    <w:rsid w:val="00DE1240"/>
    <w:rsid w:val="00DE1AA5"/>
    <w:rsid w:val="00DE1E1F"/>
    <w:rsid w:val="00DE231A"/>
    <w:rsid w:val="00DE23D6"/>
    <w:rsid w:val="00DE2825"/>
    <w:rsid w:val="00DE29B9"/>
    <w:rsid w:val="00DE2CB6"/>
    <w:rsid w:val="00DE2DDE"/>
    <w:rsid w:val="00DE395F"/>
    <w:rsid w:val="00DE5414"/>
    <w:rsid w:val="00DE5BAE"/>
    <w:rsid w:val="00DE7566"/>
    <w:rsid w:val="00DE7E46"/>
    <w:rsid w:val="00DF066D"/>
    <w:rsid w:val="00DF0C37"/>
    <w:rsid w:val="00DF135C"/>
    <w:rsid w:val="00DF24FD"/>
    <w:rsid w:val="00DF2506"/>
    <w:rsid w:val="00DF2F26"/>
    <w:rsid w:val="00DF301A"/>
    <w:rsid w:val="00DF3469"/>
    <w:rsid w:val="00DF3BE2"/>
    <w:rsid w:val="00DF4E2C"/>
    <w:rsid w:val="00DF4E34"/>
    <w:rsid w:val="00DF5ACC"/>
    <w:rsid w:val="00DF6A93"/>
    <w:rsid w:val="00DF75EC"/>
    <w:rsid w:val="00E002D6"/>
    <w:rsid w:val="00E0133D"/>
    <w:rsid w:val="00E0199E"/>
    <w:rsid w:val="00E019ED"/>
    <w:rsid w:val="00E01B31"/>
    <w:rsid w:val="00E01E09"/>
    <w:rsid w:val="00E02392"/>
    <w:rsid w:val="00E0312F"/>
    <w:rsid w:val="00E04C48"/>
    <w:rsid w:val="00E05C97"/>
    <w:rsid w:val="00E05DA6"/>
    <w:rsid w:val="00E06065"/>
    <w:rsid w:val="00E07901"/>
    <w:rsid w:val="00E079C6"/>
    <w:rsid w:val="00E1273C"/>
    <w:rsid w:val="00E1434A"/>
    <w:rsid w:val="00E146CF"/>
    <w:rsid w:val="00E14BED"/>
    <w:rsid w:val="00E17711"/>
    <w:rsid w:val="00E211F7"/>
    <w:rsid w:val="00E23C05"/>
    <w:rsid w:val="00E2425F"/>
    <w:rsid w:val="00E242F0"/>
    <w:rsid w:val="00E245B0"/>
    <w:rsid w:val="00E2461C"/>
    <w:rsid w:val="00E247E2"/>
    <w:rsid w:val="00E24B86"/>
    <w:rsid w:val="00E27F00"/>
    <w:rsid w:val="00E30431"/>
    <w:rsid w:val="00E304EB"/>
    <w:rsid w:val="00E329D0"/>
    <w:rsid w:val="00E330AD"/>
    <w:rsid w:val="00E33746"/>
    <w:rsid w:val="00E342B3"/>
    <w:rsid w:val="00E3451F"/>
    <w:rsid w:val="00E34B80"/>
    <w:rsid w:val="00E36ADF"/>
    <w:rsid w:val="00E36B53"/>
    <w:rsid w:val="00E37585"/>
    <w:rsid w:val="00E41B64"/>
    <w:rsid w:val="00E42C35"/>
    <w:rsid w:val="00E43E70"/>
    <w:rsid w:val="00E469D5"/>
    <w:rsid w:val="00E46CD5"/>
    <w:rsid w:val="00E500D9"/>
    <w:rsid w:val="00E51AB5"/>
    <w:rsid w:val="00E51DFD"/>
    <w:rsid w:val="00E52345"/>
    <w:rsid w:val="00E52763"/>
    <w:rsid w:val="00E53948"/>
    <w:rsid w:val="00E5619A"/>
    <w:rsid w:val="00E563AE"/>
    <w:rsid w:val="00E61029"/>
    <w:rsid w:val="00E62BF6"/>
    <w:rsid w:val="00E638B2"/>
    <w:rsid w:val="00E65B70"/>
    <w:rsid w:val="00E66288"/>
    <w:rsid w:val="00E662CD"/>
    <w:rsid w:val="00E67427"/>
    <w:rsid w:val="00E676F1"/>
    <w:rsid w:val="00E73271"/>
    <w:rsid w:val="00E735DA"/>
    <w:rsid w:val="00E73F5C"/>
    <w:rsid w:val="00E74214"/>
    <w:rsid w:val="00E74762"/>
    <w:rsid w:val="00E74D52"/>
    <w:rsid w:val="00E75855"/>
    <w:rsid w:val="00E75D63"/>
    <w:rsid w:val="00E7609C"/>
    <w:rsid w:val="00E814F5"/>
    <w:rsid w:val="00E82556"/>
    <w:rsid w:val="00E85288"/>
    <w:rsid w:val="00E85CBE"/>
    <w:rsid w:val="00E86566"/>
    <w:rsid w:val="00E875F5"/>
    <w:rsid w:val="00E92527"/>
    <w:rsid w:val="00E92A93"/>
    <w:rsid w:val="00E93620"/>
    <w:rsid w:val="00E959A0"/>
    <w:rsid w:val="00E969FC"/>
    <w:rsid w:val="00E97045"/>
    <w:rsid w:val="00E97DA3"/>
    <w:rsid w:val="00EA270C"/>
    <w:rsid w:val="00EA3185"/>
    <w:rsid w:val="00EA36EA"/>
    <w:rsid w:val="00EA466B"/>
    <w:rsid w:val="00EA5CB5"/>
    <w:rsid w:val="00EA5CF4"/>
    <w:rsid w:val="00EA72FC"/>
    <w:rsid w:val="00EB09B9"/>
    <w:rsid w:val="00EB3404"/>
    <w:rsid w:val="00EB3C52"/>
    <w:rsid w:val="00EB5799"/>
    <w:rsid w:val="00EB76F7"/>
    <w:rsid w:val="00EB7CB1"/>
    <w:rsid w:val="00EC0569"/>
    <w:rsid w:val="00EC0C7B"/>
    <w:rsid w:val="00EC1C35"/>
    <w:rsid w:val="00EC1F63"/>
    <w:rsid w:val="00EC358F"/>
    <w:rsid w:val="00EC5E45"/>
    <w:rsid w:val="00EC608C"/>
    <w:rsid w:val="00EC61C2"/>
    <w:rsid w:val="00EC6DE5"/>
    <w:rsid w:val="00ED0557"/>
    <w:rsid w:val="00ED0CF0"/>
    <w:rsid w:val="00ED34D4"/>
    <w:rsid w:val="00ED3D84"/>
    <w:rsid w:val="00ED42FF"/>
    <w:rsid w:val="00ED5E6C"/>
    <w:rsid w:val="00ED766C"/>
    <w:rsid w:val="00ED76FB"/>
    <w:rsid w:val="00EE05C2"/>
    <w:rsid w:val="00EE0D01"/>
    <w:rsid w:val="00EE30EE"/>
    <w:rsid w:val="00EE3C6D"/>
    <w:rsid w:val="00EE4C6E"/>
    <w:rsid w:val="00EE5135"/>
    <w:rsid w:val="00EE558C"/>
    <w:rsid w:val="00EE61BE"/>
    <w:rsid w:val="00EE6DE6"/>
    <w:rsid w:val="00EF057C"/>
    <w:rsid w:val="00EF1D14"/>
    <w:rsid w:val="00EF4FEE"/>
    <w:rsid w:val="00EF6873"/>
    <w:rsid w:val="00EF6F24"/>
    <w:rsid w:val="00EF7143"/>
    <w:rsid w:val="00F0080B"/>
    <w:rsid w:val="00F00BE1"/>
    <w:rsid w:val="00F01B31"/>
    <w:rsid w:val="00F02D9C"/>
    <w:rsid w:val="00F03AB9"/>
    <w:rsid w:val="00F03F4E"/>
    <w:rsid w:val="00F0439A"/>
    <w:rsid w:val="00F06479"/>
    <w:rsid w:val="00F076C5"/>
    <w:rsid w:val="00F10B0A"/>
    <w:rsid w:val="00F120D9"/>
    <w:rsid w:val="00F124BE"/>
    <w:rsid w:val="00F125DE"/>
    <w:rsid w:val="00F12A9F"/>
    <w:rsid w:val="00F14C13"/>
    <w:rsid w:val="00F211DE"/>
    <w:rsid w:val="00F2254A"/>
    <w:rsid w:val="00F22EDB"/>
    <w:rsid w:val="00F23570"/>
    <w:rsid w:val="00F24232"/>
    <w:rsid w:val="00F2526C"/>
    <w:rsid w:val="00F27170"/>
    <w:rsid w:val="00F30016"/>
    <w:rsid w:val="00F30CE5"/>
    <w:rsid w:val="00F3144A"/>
    <w:rsid w:val="00F31C75"/>
    <w:rsid w:val="00F32543"/>
    <w:rsid w:val="00F33277"/>
    <w:rsid w:val="00F339D7"/>
    <w:rsid w:val="00F33CE0"/>
    <w:rsid w:val="00F340CD"/>
    <w:rsid w:val="00F341CC"/>
    <w:rsid w:val="00F34E67"/>
    <w:rsid w:val="00F36B6C"/>
    <w:rsid w:val="00F36D10"/>
    <w:rsid w:val="00F37C18"/>
    <w:rsid w:val="00F40CAB"/>
    <w:rsid w:val="00F4352E"/>
    <w:rsid w:val="00F43960"/>
    <w:rsid w:val="00F43C3C"/>
    <w:rsid w:val="00F459C7"/>
    <w:rsid w:val="00F45D8C"/>
    <w:rsid w:val="00F47C5C"/>
    <w:rsid w:val="00F50173"/>
    <w:rsid w:val="00F53166"/>
    <w:rsid w:val="00F54856"/>
    <w:rsid w:val="00F55337"/>
    <w:rsid w:val="00F5565E"/>
    <w:rsid w:val="00F55D35"/>
    <w:rsid w:val="00F56AF3"/>
    <w:rsid w:val="00F56CB9"/>
    <w:rsid w:val="00F57650"/>
    <w:rsid w:val="00F579FC"/>
    <w:rsid w:val="00F6089D"/>
    <w:rsid w:val="00F60C74"/>
    <w:rsid w:val="00F61841"/>
    <w:rsid w:val="00F62773"/>
    <w:rsid w:val="00F62FE5"/>
    <w:rsid w:val="00F64DD3"/>
    <w:rsid w:val="00F64F51"/>
    <w:rsid w:val="00F66122"/>
    <w:rsid w:val="00F666FD"/>
    <w:rsid w:val="00F67099"/>
    <w:rsid w:val="00F672F1"/>
    <w:rsid w:val="00F67A35"/>
    <w:rsid w:val="00F72620"/>
    <w:rsid w:val="00F759AD"/>
    <w:rsid w:val="00F765E8"/>
    <w:rsid w:val="00F7768D"/>
    <w:rsid w:val="00F80F3C"/>
    <w:rsid w:val="00F8200C"/>
    <w:rsid w:val="00F85D77"/>
    <w:rsid w:val="00F86D88"/>
    <w:rsid w:val="00F87FA7"/>
    <w:rsid w:val="00F9002C"/>
    <w:rsid w:val="00F90898"/>
    <w:rsid w:val="00F914C8"/>
    <w:rsid w:val="00F914EA"/>
    <w:rsid w:val="00F92EAE"/>
    <w:rsid w:val="00F92EEE"/>
    <w:rsid w:val="00F9473C"/>
    <w:rsid w:val="00F947A1"/>
    <w:rsid w:val="00FA0942"/>
    <w:rsid w:val="00FA40A3"/>
    <w:rsid w:val="00FA427F"/>
    <w:rsid w:val="00FA45CD"/>
    <w:rsid w:val="00FA5B17"/>
    <w:rsid w:val="00FB33FA"/>
    <w:rsid w:val="00FB3B56"/>
    <w:rsid w:val="00FB3BA6"/>
    <w:rsid w:val="00FB4D65"/>
    <w:rsid w:val="00FB5954"/>
    <w:rsid w:val="00FB6695"/>
    <w:rsid w:val="00FC0253"/>
    <w:rsid w:val="00FC0CDF"/>
    <w:rsid w:val="00FC0D7C"/>
    <w:rsid w:val="00FC163A"/>
    <w:rsid w:val="00FC183A"/>
    <w:rsid w:val="00FC19F5"/>
    <w:rsid w:val="00FC3D1C"/>
    <w:rsid w:val="00FC5F90"/>
    <w:rsid w:val="00FC64F3"/>
    <w:rsid w:val="00FD08A7"/>
    <w:rsid w:val="00FD1295"/>
    <w:rsid w:val="00FD2E55"/>
    <w:rsid w:val="00FD2FA9"/>
    <w:rsid w:val="00FD3572"/>
    <w:rsid w:val="00FD510B"/>
    <w:rsid w:val="00FD5360"/>
    <w:rsid w:val="00FD54CC"/>
    <w:rsid w:val="00FE06A2"/>
    <w:rsid w:val="00FE0CE6"/>
    <w:rsid w:val="00FE28C8"/>
    <w:rsid w:val="00FE2C3A"/>
    <w:rsid w:val="00FE4CFC"/>
    <w:rsid w:val="00FE62CD"/>
    <w:rsid w:val="00FE79EF"/>
    <w:rsid w:val="00FF025A"/>
    <w:rsid w:val="00FF088B"/>
    <w:rsid w:val="00FF0AC4"/>
    <w:rsid w:val="00FF10AF"/>
    <w:rsid w:val="00FF1304"/>
    <w:rsid w:val="00FF23FB"/>
    <w:rsid w:val="00FF334E"/>
    <w:rsid w:val="00FF394B"/>
    <w:rsid w:val="00FF6F14"/>
    <w:rsid w:val="00FF772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82B7772-EFE1-4C45-8917-072E2C3E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35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438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438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438A1"/>
    <w:pPr>
      <w:keepNext/>
      <w:keepLines/>
      <w:spacing w:before="200" w:after="0"/>
      <w:ind w:left="0"/>
      <w:jc w:val="left"/>
      <w:outlineLvl w:val="4"/>
    </w:pPr>
    <w:rPr>
      <w:rFonts w:ascii="Cambria" w:eastAsia="Times New Roman" w:hAnsi="Cambria"/>
      <w:color w:val="243F60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basedOn w:val="Fontepargpadro"/>
    <w:link w:val="Ttulo2"/>
    <w:uiPriority w:val="9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75855"/>
  </w:style>
  <w:style w:type="character" w:customStyle="1" w:styleId="CorpodetextoChar">
    <w:name w:val="Corpo de texto Char"/>
    <w:basedOn w:val="Fontepargpadro"/>
    <w:link w:val="Corpodetexto"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75855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75855"/>
    <w:rPr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basedOn w:val="Fontepargpadro"/>
    <w:uiPriority w:val="22"/>
    <w:qFormat/>
    <w:rsid w:val="00E75855"/>
    <w:rPr>
      <w:b/>
      <w:bCs/>
    </w:rPr>
  </w:style>
  <w:style w:type="character" w:customStyle="1" w:styleId="Ttulo8Char">
    <w:name w:val="Título 8 Char"/>
    <w:basedOn w:val="Fontepargpadro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uiPriority w:val="99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5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16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qFormat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A239A8"/>
    <w:pPr>
      <w:numPr>
        <w:numId w:val="18"/>
      </w:numPr>
      <w:spacing w:before="60" w:after="60"/>
      <w:ind w:left="644" w:hanging="360"/>
    </w:pPr>
    <w:rPr>
      <w:rFonts w:ascii="Times New (W1)" w:eastAsia="Times New Roman" w:hAnsi="Times New (W1)"/>
      <w:szCs w:val="20"/>
      <w:lang w:eastAsia="pt-BR"/>
    </w:rPr>
  </w:style>
  <w:style w:type="paragraph" w:customStyle="1" w:styleId="TCU-Ac-item9-">
    <w:name w:val="TCU - Ac - item 9 - §§"/>
    <w:basedOn w:val="TCU-RelVoto-1"/>
    <w:uiPriority w:val="99"/>
    <w:qFormat/>
    <w:rsid w:val="00A239A8"/>
    <w:pPr>
      <w:spacing w:after="0"/>
    </w:pPr>
  </w:style>
  <w:style w:type="character" w:customStyle="1" w:styleId="Ttulo3Char">
    <w:name w:val="Título 3 Char"/>
    <w:basedOn w:val="Fontepargpadro"/>
    <w:link w:val="Ttulo3"/>
    <w:uiPriority w:val="9"/>
    <w:semiHidden/>
    <w:rsid w:val="005438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438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5438A1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paragraph" w:styleId="Legenda">
    <w:name w:val="caption"/>
    <w:basedOn w:val="Normal"/>
    <w:next w:val="Normal"/>
    <w:uiPriority w:val="35"/>
    <w:qFormat/>
    <w:rsid w:val="005438A1"/>
    <w:pPr>
      <w:spacing w:before="120"/>
      <w:ind w:left="0"/>
      <w:jc w:val="center"/>
    </w:pPr>
    <w:rPr>
      <w:rFonts w:eastAsia="Times New Roman"/>
      <w:szCs w:val="20"/>
      <w:lang w:eastAsia="pt-BR"/>
    </w:rPr>
  </w:style>
  <w:style w:type="paragraph" w:customStyle="1" w:styleId="tensletras">
    <w:name w:val="Ítens letras"/>
    <w:basedOn w:val="Normal"/>
    <w:rsid w:val="005438A1"/>
    <w:pPr>
      <w:numPr>
        <w:numId w:val="19"/>
      </w:numPr>
      <w:spacing w:before="60" w:after="60"/>
    </w:pPr>
    <w:rPr>
      <w:rFonts w:eastAsia="Times New Roman"/>
      <w:szCs w:val="20"/>
      <w:lang w:eastAsia="pt-BR"/>
    </w:rPr>
  </w:style>
  <w:style w:type="paragraph" w:customStyle="1" w:styleId="Propostaletras">
    <w:name w:val="Proposta letras"/>
    <w:basedOn w:val="tensletras"/>
    <w:rsid w:val="005438A1"/>
  </w:style>
  <w:style w:type="paragraph" w:customStyle="1" w:styleId="NormalCG">
    <w:name w:val="Normal CG"/>
    <w:basedOn w:val="Corpodetexto"/>
    <w:rsid w:val="00202EAD"/>
    <w:pPr>
      <w:spacing w:before="120"/>
      <w:ind w:left="0" w:firstLine="1418"/>
    </w:pPr>
    <w:rPr>
      <w:rFonts w:eastAsia="Times New Roman"/>
      <w:szCs w:val="20"/>
      <w:lang w:eastAsia="pt-BR"/>
    </w:rPr>
  </w:style>
  <w:style w:type="paragraph" w:customStyle="1" w:styleId="Normal0">
    <w:name w:val="#Normal"/>
    <w:rsid w:val="00BD1747"/>
    <w:pPr>
      <w:spacing w:before="120" w:after="120"/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Normal-numerado-VOT01">
    <w:name w:val="#Normal-numerado-VOT_01"/>
    <w:basedOn w:val="Normal-numerado-REL01"/>
    <w:uiPriority w:val="99"/>
    <w:rsid w:val="00BD1747"/>
    <w:pPr>
      <w:numPr>
        <w:numId w:val="21"/>
      </w:numPr>
    </w:pPr>
  </w:style>
  <w:style w:type="paragraph" w:customStyle="1" w:styleId="Acordao-VISTOS-em-diante">
    <w:name w:val="#Acordao-VISTOS-em-diante"/>
    <w:uiPriority w:val="99"/>
    <w:rsid w:val="00BD1747"/>
    <w:pPr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TCU-Recuo1Linha">
    <w:name w:val="TCU - Recuo 1ª Linha"/>
    <w:basedOn w:val="Normal"/>
    <w:rsid w:val="00412CEF"/>
    <w:pPr>
      <w:spacing w:after="160"/>
      <w:ind w:left="0" w:firstLine="1134"/>
    </w:pPr>
    <w:rPr>
      <w:rFonts w:eastAsia="Times New Roman"/>
      <w:szCs w:val="20"/>
      <w:lang w:eastAsia="pt-BR"/>
    </w:rPr>
  </w:style>
  <w:style w:type="paragraph" w:customStyle="1" w:styleId="TCU-SemRecuo">
    <w:name w:val="TCU - Sem Recuo"/>
    <w:basedOn w:val="Normal"/>
    <w:rsid w:val="004E5000"/>
    <w:pPr>
      <w:tabs>
        <w:tab w:val="left" w:pos="1134"/>
      </w:tabs>
      <w:spacing w:after="160"/>
      <w:ind w:left="0"/>
    </w:pPr>
    <w:rPr>
      <w:rFonts w:eastAsia="Times New Roman"/>
      <w:szCs w:val="20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15699C"/>
    <w:pPr>
      <w:spacing w:after="0"/>
      <w:ind w:left="720"/>
      <w:contextualSpacing/>
      <w:jc w:val="left"/>
    </w:pPr>
    <w:rPr>
      <w:rFonts w:eastAsia="Times New Roman"/>
      <w:szCs w:val="22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15699C"/>
    <w:rPr>
      <w:rFonts w:eastAsia="Times New Roman" w:cs="Times New Roman"/>
      <w:sz w:val="24"/>
      <w:szCs w:val="22"/>
      <w:lang w:eastAsia="en-US"/>
    </w:rPr>
  </w:style>
  <w:style w:type="paragraph" w:styleId="Reviso">
    <w:name w:val="Revision"/>
    <w:hidden/>
    <w:uiPriority w:val="99"/>
    <w:semiHidden/>
    <w:rsid w:val="007C38F7"/>
    <w:rPr>
      <w:sz w:val="24"/>
      <w:szCs w:val="24"/>
      <w:lang w:eastAsia="en-US"/>
    </w:rPr>
  </w:style>
  <w:style w:type="paragraph" w:customStyle="1" w:styleId="Acordao-itens1a8">
    <w:name w:val="#Acordao-itens1a8"/>
    <w:uiPriority w:val="99"/>
    <w:rsid w:val="000D1C53"/>
    <w:pPr>
      <w:widowControl w:val="0"/>
      <w:tabs>
        <w:tab w:val="left" w:pos="284"/>
      </w:tabs>
      <w:autoSpaceDE w:val="0"/>
      <w:autoSpaceDN w:val="0"/>
    </w:pPr>
    <w:rPr>
      <w:rFonts w:eastAsia="Times New Roman"/>
      <w:sz w:val="24"/>
      <w:szCs w:val="24"/>
      <w:lang w:eastAsia="en-US"/>
    </w:rPr>
  </w:style>
  <w:style w:type="paragraph" w:customStyle="1" w:styleId="C">
    <w:name w:val="C"/>
    <w:basedOn w:val="Normal"/>
    <w:rsid w:val="002F69BB"/>
    <w:pPr>
      <w:tabs>
        <w:tab w:val="left" w:pos="1418"/>
      </w:tabs>
      <w:spacing w:after="0"/>
      <w:ind w:left="0"/>
    </w:pPr>
    <w:rPr>
      <w:rFonts w:eastAsia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juris@tcu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3A6DD-CB34-4E9C-B55C-0F6F5E510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2418</Words>
  <Characters>13059</Characters>
  <Application>Microsoft Office Word</Application>
  <DocSecurity>4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15447</CharactersWithSpaces>
  <SharedDoc>false</SharedDoc>
  <HLinks>
    <vt:vector size="6" baseType="variant">
      <vt:variant>
        <vt:i4>7602203</vt:i4>
      </vt:variant>
      <vt:variant>
        <vt:i4>0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Porto</dc:creator>
  <cp:keywords/>
  <cp:lastModifiedBy>LUIZ FELYPE TABOSA PORTO</cp:lastModifiedBy>
  <cp:revision>2</cp:revision>
  <cp:lastPrinted>2012-04-02T18:06:00Z</cp:lastPrinted>
  <dcterms:created xsi:type="dcterms:W3CDTF">2015-05-07T12:44:00Z</dcterms:created>
  <dcterms:modified xsi:type="dcterms:W3CDTF">2015-05-07T12:44:00Z</dcterms:modified>
</cp:coreProperties>
</file>