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A867CE" w:rsidRDefault="009444E6" w:rsidP="00E30339">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A867CE">
        <w:rPr>
          <w:rFonts w:ascii="Times New Roman" w:hAnsi="Times New Roman"/>
          <w:b/>
          <w:i w:val="0"/>
          <w:color w:val="000000"/>
          <w:sz w:val="22"/>
          <w:szCs w:val="22"/>
        </w:rPr>
        <w:t>Sess</w:t>
      </w:r>
      <w:r w:rsidR="00422BF5" w:rsidRPr="00A867CE">
        <w:rPr>
          <w:rFonts w:ascii="Times New Roman" w:hAnsi="Times New Roman"/>
          <w:b/>
          <w:i w:val="0"/>
          <w:color w:val="000000"/>
          <w:sz w:val="22"/>
          <w:szCs w:val="22"/>
        </w:rPr>
        <w:t>ões</w:t>
      </w:r>
      <w:r w:rsidRPr="00A867CE">
        <w:rPr>
          <w:rFonts w:ascii="Times New Roman" w:hAnsi="Times New Roman"/>
          <w:b/>
          <w:i w:val="0"/>
          <w:color w:val="000000"/>
          <w:sz w:val="22"/>
          <w:szCs w:val="22"/>
        </w:rPr>
        <w:t xml:space="preserve">: </w:t>
      </w:r>
      <w:r w:rsidR="00BF12C4" w:rsidRPr="00A867CE">
        <w:rPr>
          <w:rFonts w:ascii="Times New Roman" w:hAnsi="Times New Roman"/>
          <w:b/>
          <w:i w:val="0"/>
          <w:color w:val="000000"/>
          <w:sz w:val="22"/>
          <w:szCs w:val="22"/>
        </w:rPr>
        <w:t>20</w:t>
      </w:r>
      <w:r w:rsidR="00422BF5" w:rsidRPr="00A867CE">
        <w:rPr>
          <w:rFonts w:ascii="Times New Roman" w:hAnsi="Times New Roman"/>
          <w:b/>
          <w:i w:val="0"/>
          <w:color w:val="000000"/>
          <w:sz w:val="22"/>
          <w:szCs w:val="22"/>
        </w:rPr>
        <w:t xml:space="preserve"> e </w:t>
      </w:r>
      <w:r w:rsidR="00BF12C4" w:rsidRPr="00A867CE">
        <w:rPr>
          <w:rFonts w:ascii="Times New Roman" w:hAnsi="Times New Roman"/>
          <w:b/>
          <w:i w:val="0"/>
          <w:color w:val="000000"/>
          <w:sz w:val="22"/>
          <w:szCs w:val="22"/>
        </w:rPr>
        <w:t xml:space="preserve">21 </w:t>
      </w:r>
      <w:r w:rsidR="00AE591D" w:rsidRPr="00A867CE">
        <w:rPr>
          <w:rFonts w:ascii="Times New Roman" w:hAnsi="Times New Roman"/>
          <w:b/>
          <w:i w:val="0"/>
          <w:color w:val="000000"/>
          <w:sz w:val="22"/>
          <w:szCs w:val="22"/>
        </w:rPr>
        <w:t xml:space="preserve">de </w:t>
      </w:r>
      <w:r w:rsidR="00422BF5" w:rsidRPr="00A867CE">
        <w:rPr>
          <w:rFonts w:ascii="Times New Roman" w:hAnsi="Times New Roman"/>
          <w:b/>
          <w:i w:val="0"/>
          <w:color w:val="000000"/>
          <w:sz w:val="22"/>
          <w:szCs w:val="22"/>
        </w:rPr>
        <w:t>março</w:t>
      </w:r>
      <w:r w:rsidR="00025753" w:rsidRPr="00A867CE">
        <w:rPr>
          <w:rFonts w:ascii="Times New Roman" w:hAnsi="Times New Roman"/>
          <w:b/>
          <w:i w:val="0"/>
          <w:color w:val="000000"/>
          <w:sz w:val="22"/>
          <w:szCs w:val="22"/>
        </w:rPr>
        <w:t xml:space="preserve"> </w:t>
      </w:r>
      <w:r w:rsidRPr="00A867CE">
        <w:rPr>
          <w:rFonts w:ascii="Times New Roman" w:hAnsi="Times New Roman"/>
          <w:b/>
          <w:i w:val="0"/>
          <w:color w:val="000000"/>
          <w:sz w:val="22"/>
          <w:szCs w:val="22"/>
        </w:rPr>
        <w:t>de 201</w:t>
      </w:r>
      <w:r w:rsidR="00025753" w:rsidRPr="00A867CE">
        <w:rPr>
          <w:rFonts w:ascii="Times New Roman" w:hAnsi="Times New Roman"/>
          <w:b/>
          <w:i w:val="0"/>
          <w:color w:val="000000"/>
          <w:sz w:val="22"/>
          <w:szCs w:val="22"/>
        </w:rPr>
        <w:t>2</w:t>
      </w:r>
    </w:p>
    <w:p w:rsidR="002D35F5" w:rsidRPr="00A867CE" w:rsidRDefault="002D35F5" w:rsidP="00E30339">
      <w:pPr>
        <w:pStyle w:val="Corpodetexto2"/>
        <w:spacing w:after="0" w:line="240" w:lineRule="auto"/>
        <w:ind w:left="0"/>
        <w:rPr>
          <w:sz w:val="22"/>
          <w:szCs w:val="22"/>
        </w:rPr>
      </w:pPr>
      <w:r w:rsidRPr="00A867CE">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672F1" w:rsidRPr="00A867CE" w:rsidRDefault="002D35F5" w:rsidP="0028288E">
      <w:pPr>
        <w:pBdr>
          <w:top w:val="threeDEmboss" w:sz="24" w:space="5" w:color="auto"/>
        </w:pBdr>
        <w:tabs>
          <w:tab w:val="left" w:pos="284"/>
        </w:tabs>
        <w:spacing w:beforeLines="60" w:before="144" w:after="0"/>
        <w:ind w:left="0"/>
        <w:jc w:val="center"/>
        <w:rPr>
          <w:b/>
          <w:bCs/>
          <w:smallCaps/>
          <w:sz w:val="22"/>
          <w:szCs w:val="22"/>
        </w:rPr>
      </w:pPr>
      <w:r w:rsidRPr="00A867CE">
        <w:rPr>
          <w:b/>
          <w:bCs/>
          <w:smallCaps/>
          <w:sz w:val="22"/>
          <w:szCs w:val="22"/>
        </w:rPr>
        <w:t>S</w:t>
      </w:r>
      <w:r w:rsidR="00FF7C62" w:rsidRPr="00A867CE">
        <w:rPr>
          <w:b/>
          <w:bCs/>
          <w:smallCaps/>
          <w:sz w:val="22"/>
          <w:szCs w:val="22"/>
        </w:rPr>
        <w:t>UMÁRIO</w:t>
      </w:r>
    </w:p>
    <w:p w:rsidR="00F672F1" w:rsidRPr="00A867CE" w:rsidRDefault="00F672F1" w:rsidP="00E30339">
      <w:pPr>
        <w:autoSpaceDE w:val="0"/>
        <w:autoSpaceDN w:val="0"/>
        <w:adjustRightInd w:val="0"/>
        <w:spacing w:before="60" w:after="0"/>
        <w:ind w:left="0"/>
        <w:rPr>
          <w:b/>
          <w:sz w:val="22"/>
          <w:szCs w:val="22"/>
          <w:lang w:eastAsia="pt-BR"/>
        </w:rPr>
      </w:pPr>
      <w:r w:rsidRPr="00A867CE">
        <w:rPr>
          <w:b/>
          <w:sz w:val="22"/>
          <w:szCs w:val="22"/>
          <w:lang w:eastAsia="pt-BR"/>
        </w:rPr>
        <w:t>Plenário</w:t>
      </w:r>
    </w:p>
    <w:p w:rsidR="00853F97" w:rsidRPr="00A867CE" w:rsidRDefault="005F7F34" w:rsidP="005F7F34">
      <w:pPr>
        <w:pStyle w:val="Acordao-itens1a8"/>
        <w:tabs>
          <w:tab w:val="left" w:pos="567"/>
          <w:tab w:val="left" w:pos="851"/>
        </w:tabs>
        <w:spacing w:before="60"/>
        <w:jc w:val="both"/>
        <w:rPr>
          <w:sz w:val="22"/>
          <w:szCs w:val="22"/>
        </w:rPr>
      </w:pPr>
      <w:r w:rsidRPr="00A867CE">
        <w:rPr>
          <w:sz w:val="22"/>
          <w:szCs w:val="22"/>
        </w:rPr>
        <w:t>A exigência de revenda exclusiva de fabricante baseada</w:t>
      </w:r>
      <w:r w:rsidR="00F567ED" w:rsidRPr="00A867CE">
        <w:rPr>
          <w:sz w:val="22"/>
          <w:szCs w:val="22"/>
        </w:rPr>
        <w:t xml:space="preserve"> há</w:t>
      </w:r>
      <w:r w:rsidRPr="00A867CE">
        <w:rPr>
          <w:sz w:val="22"/>
          <w:szCs w:val="22"/>
        </w:rPr>
        <w:t>, pelo menos, cinco anos em determinado estado da federação, imposta a licitante em certame para aquisição de pá carregadeira</w:t>
      </w:r>
      <w:r w:rsidR="00F567ED" w:rsidRPr="00A867CE">
        <w:rPr>
          <w:sz w:val="22"/>
          <w:szCs w:val="22"/>
        </w:rPr>
        <w:t>,</w:t>
      </w:r>
      <w:r w:rsidRPr="00A867CE">
        <w:rPr>
          <w:sz w:val="22"/>
          <w:szCs w:val="22"/>
        </w:rPr>
        <w:t xml:space="preserve"> viola o disposto no art. 3º, </w:t>
      </w:r>
      <w:r w:rsidRPr="00A867CE">
        <w:rPr>
          <w:bCs/>
          <w:sz w:val="22"/>
          <w:szCs w:val="22"/>
        </w:rPr>
        <w:t xml:space="preserve">caput </w:t>
      </w:r>
      <w:r w:rsidRPr="00A867CE">
        <w:rPr>
          <w:sz w:val="22"/>
          <w:szCs w:val="22"/>
        </w:rPr>
        <w:t>e §1º da Lei 8.666/93.</w:t>
      </w:r>
      <w:r w:rsidR="00853F97" w:rsidRPr="00A867CE">
        <w:rPr>
          <w:sz w:val="22"/>
          <w:szCs w:val="22"/>
        </w:rPr>
        <w:t xml:space="preserve"> </w:t>
      </w:r>
    </w:p>
    <w:p w:rsidR="005F7F34" w:rsidRPr="00A867CE" w:rsidRDefault="005F7F34" w:rsidP="005F7F34">
      <w:pPr>
        <w:autoSpaceDE w:val="0"/>
        <w:autoSpaceDN w:val="0"/>
        <w:adjustRightInd w:val="0"/>
        <w:spacing w:before="60" w:after="0"/>
        <w:ind w:left="0"/>
        <w:rPr>
          <w:sz w:val="22"/>
          <w:szCs w:val="22"/>
        </w:rPr>
      </w:pPr>
      <w:r w:rsidRPr="00A867CE">
        <w:rPr>
          <w:iCs/>
          <w:sz w:val="22"/>
          <w:szCs w:val="22"/>
        </w:rPr>
        <w:t>A exigência de atestados de capacidade técnica com registro de quantitativos superiores aos do serviço que se pretende contratar configura, em avaliação preliminar, restrição ao caráter competitivo de certame licitatório e justifica sua suspensão cautelar.</w:t>
      </w:r>
    </w:p>
    <w:p w:rsidR="005F7F34" w:rsidRPr="00A867CE" w:rsidRDefault="005F7F34" w:rsidP="005F7F34">
      <w:pPr>
        <w:autoSpaceDE w:val="0"/>
        <w:autoSpaceDN w:val="0"/>
        <w:adjustRightInd w:val="0"/>
        <w:spacing w:before="60" w:after="0"/>
        <w:ind w:left="0"/>
        <w:rPr>
          <w:sz w:val="22"/>
          <w:szCs w:val="22"/>
          <w:lang w:eastAsia="pt-BR"/>
        </w:rPr>
      </w:pPr>
      <w:r w:rsidRPr="00A867CE">
        <w:rPr>
          <w:sz w:val="22"/>
          <w:szCs w:val="22"/>
          <w:lang w:eastAsia="pt-BR"/>
        </w:rPr>
        <w:t>As orientações constantes da OT IBR 01/2006</w:t>
      </w:r>
      <w:r w:rsidR="00F567ED" w:rsidRPr="00A867CE">
        <w:rPr>
          <w:sz w:val="22"/>
          <w:szCs w:val="22"/>
          <w:lang w:eastAsia="pt-BR"/>
        </w:rPr>
        <w:t>,</w:t>
      </w:r>
      <w:r w:rsidRPr="00A867CE">
        <w:rPr>
          <w:sz w:val="22"/>
          <w:szCs w:val="22"/>
          <w:lang w:eastAsia="pt-BR"/>
        </w:rPr>
        <w:t xml:space="preserve"> que informam os elementos mínimos que devem conter os projetos básicos de obras públicas, editada pelo Instituto Brasileiro de Obras Públicas (Ibraop), devem ser observadas pelos entes da Administração Pública.</w:t>
      </w:r>
    </w:p>
    <w:p w:rsidR="005F7F34" w:rsidRPr="00A867CE" w:rsidRDefault="005F7F34" w:rsidP="005F7F34">
      <w:pPr>
        <w:pStyle w:val="Default"/>
        <w:spacing w:before="60"/>
        <w:jc w:val="both"/>
        <w:rPr>
          <w:sz w:val="22"/>
          <w:szCs w:val="22"/>
        </w:rPr>
      </w:pPr>
      <w:r w:rsidRPr="00A867CE">
        <w:rPr>
          <w:iCs/>
          <w:sz w:val="22"/>
          <w:szCs w:val="22"/>
        </w:rPr>
        <w:t xml:space="preserve">A condução de certame licitatório com utilização de projeto básico desatualizado afronta o disposto no </w:t>
      </w:r>
      <w:r w:rsidRPr="00A867CE">
        <w:rPr>
          <w:rFonts w:eastAsia="MS Mincho"/>
          <w:sz w:val="22"/>
          <w:szCs w:val="22"/>
        </w:rPr>
        <w:t xml:space="preserve">inciso IX do art. 6º da Lei nº 8.666/93 e sujeita os agentes responsáveis </w:t>
      </w:r>
      <w:r w:rsidR="00F567ED" w:rsidRPr="00A867CE">
        <w:rPr>
          <w:rFonts w:eastAsia="MS Mincho"/>
          <w:sz w:val="22"/>
          <w:szCs w:val="22"/>
        </w:rPr>
        <w:t>à</w:t>
      </w:r>
      <w:r w:rsidRPr="00A867CE">
        <w:rPr>
          <w:rFonts w:eastAsia="MS Mincho"/>
          <w:sz w:val="22"/>
          <w:szCs w:val="22"/>
        </w:rPr>
        <w:t xml:space="preserve"> multa do art. 58, inciso II, da Lei nº 8.443/1992.</w:t>
      </w:r>
    </w:p>
    <w:p w:rsidR="005F7F34" w:rsidRPr="00A867CE" w:rsidRDefault="005F7F34" w:rsidP="005F7F34">
      <w:pPr>
        <w:autoSpaceDE w:val="0"/>
        <w:autoSpaceDN w:val="0"/>
        <w:adjustRightInd w:val="0"/>
        <w:spacing w:before="60" w:after="0"/>
        <w:ind w:left="0"/>
        <w:rPr>
          <w:iCs/>
          <w:sz w:val="22"/>
          <w:szCs w:val="22"/>
        </w:rPr>
      </w:pPr>
      <w:r w:rsidRPr="00A867CE">
        <w:rPr>
          <w:iCs/>
          <w:sz w:val="22"/>
          <w:szCs w:val="22"/>
        </w:rPr>
        <w:t>A contratação direta de escritórios de advocacia pressupõe demonstração que os serviços pretendidos possuem natureza singular</w:t>
      </w:r>
      <w:r w:rsidR="00F567ED" w:rsidRPr="00A867CE">
        <w:rPr>
          <w:iCs/>
          <w:sz w:val="22"/>
          <w:szCs w:val="22"/>
        </w:rPr>
        <w:t>, incomum,</w:t>
      </w:r>
      <w:r w:rsidRPr="00A867CE">
        <w:rPr>
          <w:iCs/>
          <w:sz w:val="22"/>
          <w:szCs w:val="22"/>
        </w:rPr>
        <w:t xml:space="preserve"> e que ser</w:t>
      </w:r>
      <w:r w:rsidR="00F65006">
        <w:rPr>
          <w:iCs/>
          <w:sz w:val="22"/>
          <w:szCs w:val="22"/>
        </w:rPr>
        <w:t>ão</w:t>
      </w:r>
      <w:r w:rsidRPr="00A867CE">
        <w:rPr>
          <w:iCs/>
          <w:sz w:val="22"/>
          <w:szCs w:val="22"/>
        </w:rPr>
        <w:t xml:space="preserve"> prestados por empresa ou profissionais de notória especialização</w:t>
      </w:r>
      <w:r w:rsidR="00F567ED" w:rsidRPr="00A867CE">
        <w:rPr>
          <w:iCs/>
          <w:sz w:val="22"/>
          <w:szCs w:val="22"/>
        </w:rPr>
        <w:t>.</w:t>
      </w:r>
    </w:p>
    <w:p w:rsidR="00A300CB" w:rsidRPr="00A867CE" w:rsidRDefault="00A300CB" w:rsidP="00E30339">
      <w:pPr>
        <w:pStyle w:val="tita"/>
        <w:tabs>
          <w:tab w:val="left" w:pos="2590"/>
        </w:tabs>
        <w:spacing w:before="60" w:after="0" w:line="240" w:lineRule="auto"/>
        <w:jc w:val="both"/>
        <w:rPr>
          <w:b w:val="0"/>
          <w:i w:val="0"/>
          <w:iCs w:val="0"/>
          <w:sz w:val="22"/>
          <w:szCs w:val="22"/>
        </w:rPr>
      </w:pPr>
      <w:r w:rsidRPr="00A867CE">
        <w:rPr>
          <w:i w:val="0"/>
          <w:iCs w:val="0"/>
          <w:sz w:val="22"/>
          <w:szCs w:val="22"/>
        </w:rPr>
        <w:t>Inovação Legislativa</w:t>
      </w:r>
    </w:p>
    <w:p w:rsidR="00B20EA4" w:rsidRPr="00A867CE" w:rsidRDefault="00B96872" w:rsidP="00B20EA4">
      <w:pPr>
        <w:pStyle w:val="NormalWeb"/>
        <w:spacing w:line="240" w:lineRule="auto"/>
        <w:ind w:firstLine="0"/>
        <w:jc w:val="both"/>
        <w:rPr>
          <w:sz w:val="22"/>
          <w:szCs w:val="22"/>
        </w:rPr>
      </w:pPr>
      <w:hyperlink r:id="rId8" w:history="1">
        <w:r w:rsidR="00B20EA4" w:rsidRPr="00A867CE">
          <w:rPr>
            <w:rStyle w:val="Hyperlink"/>
            <w:color w:val="auto"/>
            <w:sz w:val="22"/>
            <w:szCs w:val="22"/>
          </w:rPr>
          <w:t>Lei nº 12.598, de 22.3.2012</w:t>
        </w:r>
      </w:hyperlink>
      <w:r w:rsidR="00B20EA4" w:rsidRPr="00A867CE">
        <w:rPr>
          <w:sz w:val="22"/>
          <w:szCs w:val="22"/>
        </w:rPr>
        <w:t>. Publicada no D.O.U</w:t>
      </w:r>
      <w:r w:rsidR="002A0F15" w:rsidRPr="00A867CE">
        <w:rPr>
          <w:sz w:val="22"/>
          <w:szCs w:val="22"/>
        </w:rPr>
        <w:t>.</w:t>
      </w:r>
      <w:r w:rsidR="00B20EA4" w:rsidRPr="00A867CE">
        <w:rPr>
          <w:sz w:val="22"/>
          <w:szCs w:val="22"/>
        </w:rPr>
        <w:t>, em 22.3.2012.</w:t>
      </w:r>
    </w:p>
    <w:p w:rsidR="003C6DEB" w:rsidRPr="00A867CE" w:rsidRDefault="003C6DEB" w:rsidP="006B2582">
      <w:pPr>
        <w:pBdr>
          <w:top w:val="threeDEmboss" w:sz="24" w:space="0" w:color="auto"/>
        </w:pBdr>
        <w:tabs>
          <w:tab w:val="left" w:pos="284"/>
          <w:tab w:val="left" w:pos="2590"/>
        </w:tabs>
        <w:spacing w:after="0"/>
        <w:ind w:left="0"/>
        <w:jc w:val="center"/>
        <w:rPr>
          <w:b/>
          <w:bCs/>
          <w:smallCaps/>
          <w:sz w:val="22"/>
          <w:szCs w:val="22"/>
        </w:rPr>
      </w:pPr>
      <w:r w:rsidRPr="00A867CE">
        <w:rPr>
          <w:b/>
          <w:bCs/>
          <w:smallCaps/>
          <w:sz w:val="22"/>
          <w:szCs w:val="22"/>
        </w:rPr>
        <w:t>PLENÁRIO</w:t>
      </w:r>
    </w:p>
    <w:p w:rsidR="0012072B" w:rsidRPr="00A867CE" w:rsidRDefault="0012072B" w:rsidP="00E30339">
      <w:pPr>
        <w:pBdr>
          <w:top w:val="threeDEmboss" w:sz="24" w:space="0" w:color="auto"/>
        </w:pBdr>
        <w:tabs>
          <w:tab w:val="left" w:pos="284"/>
          <w:tab w:val="left" w:pos="2590"/>
        </w:tabs>
        <w:spacing w:after="0"/>
        <w:ind w:left="0"/>
        <w:rPr>
          <w:b/>
          <w:bCs/>
          <w:smallCaps/>
          <w:sz w:val="22"/>
          <w:szCs w:val="22"/>
        </w:rPr>
      </w:pPr>
    </w:p>
    <w:p w:rsidR="0007588B" w:rsidRPr="00A867CE" w:rsidRDefault="00F567ED" w:rsidP="0007588B">
      <w:pPr>
        <w:autoSpaceDE w:val="0"/>
        <w:autoSpaceDN w:val="0"/>
        <w:adjustRightInd w:val="0"/>
        <w:spacing w:after="0"/>
        <w:ind w:left="0"/>
        <w:rPr>
          <w:b/>
          <w:sz w:val="22"/>
          <w:szCs w:val="22"/>
        </w:rPr>
      </w:pPr>
      <w:r w:rsidRPr="00A867CE">
        <w:rPr>
          <w:b/>
          <w:sz w:val="22"/>
          <w:szCs w:val="22"/>
        </w:rPr>
        <w:t xml:space="preserve">A exigência de revenda exclusiva de fabricante baseada há, pelo menos, cinco anos em determinado estado da federação, imposta a licitante em certame para aquisição de pá carregadeira, viola o disposto no art. 3º, </w:t>
      </w:r>
      <w:r w:rsidRPr="00A867CE">
        <w:rPr>
          <w:b/>
          <w:bCs/>
          <w:sz w:val="22"/>
          <w:szCs w:val="22"/>
        </w:rPr>
        <w:t xml:space="preserve">caput </w:t>
      </w:r>
      <w:r w:rsidRPr="00A867CE">
        <w:rPr>
          <w:b/>
          <w:sz w:val="22"/>
          <w:szCs w:val="22"/>
        </w:rPr>
        <w:t>e §1º da Lei 8.666/93</w:t>
      </w:r>
    </w:p>
    <w:p w:rsidR="0007588B" w:rsidRPr="00A867CE" w:rsidRDefault="0007588B" w:rsidP="0007588B">
      <w:pPr>
        <w:autoSpaceDE w:val="0"/>
        <w:autoSpaceDN w:val="0"/>
        <w:adjustRightInd w:val="0"/>
        <w:spacing w:after="0"/>
        <w:ind w:left="0"/>
        <w:rPr>
          <w:b/>
          <w:i/>
          <w:sz w:val="22"/>
          <w:szCs w:val="22"/>
        </w:rPr>
      </w:pPr>
      <w:r w:rsidRPr="00A867CE">
        <w:rPr>
          <w:sz w:val="22"/>
          <w:szCs w:val="22"/>
        </w:rPr>
        <w:t xml:space="preserve">Representação efetuada pelo Tribunal de Contas do Estado do Espírito Santo apontou suposta ilegalidade no Edital do Pregão Presencial 133/2011 da Prefeitura Municipal de Afonso Cláudio, que teve por objeto a aquisição de pá carregadeira, com utilização de recursos federais. O edital desse certame exigia das licitantes a demonstração de possuírem revenda exclusiva do fabricante baseada no Estado do Espírito Santo há, pelo menos, cinco anos, o que configuraria violação ao disposto no art. 3º, </w:t>
      </w:r>
      <w:r w:rsidRPr="00A867CE">
        <w:rPr>
          <w:b/>
          <w:bCs/>
          <w:sz w:val="22"/>
          <w:szCs w:val="22"/>
        </w:rPr>
        <w:t xml:space="preserve">caput </w:t>
      </w:r>
      <w:r w:rsidRPr="00A867CE">
        <w:rPr>
          <w:sz w:val="22"/>
          <w:szCs w:val="22"/>
        </w:rPr>
        <w:t>e §1º da Lei 8.666/93, por se tratar de exigência impertinente. O relator, por meio de despacho, determinou a suspensão do certame, sem prévia oitiva daquela Prefeitura, a fim de evitar a celebração de contrato resultante de procedimento presumidamente ilegal. Em resposta a oitiva, a Prefeitura de Afonso Cláudio/ES noticia que decidiu não homologar o certame e que decretou sua anulação. Após se deparar com essas informações, o relator endossou proposta da unidade técnica de promover o arquivamento do feito, “</w:t>
      </w:r>
      <w:r w:rsidRPr="00A867CE">
        <w:rPr>
          <w:i/>
          <w:sz w:val="22"/>
          <w:szCs w:val="22"/>
        </w:rPr>
        <w:t>uma vez que, embora o edital em exame veiculasse exigência ilegal e desarrazoada, tal fato não causou qualquer prejuízo, nem se revestiu de gravidade suficiente para prosseguir a instrução da presente Representação objetivando apenação de multa aos responsáveis</w:t>
      </w:r>
      <w:r w:rsidRPr="00A867CE">
        <w:rPr>
          <w:sz w:val="22"/>
          <w:szCs w:val="22"/>
        </w:rPr>
        <w:t xml:space="preserve">”. O Tribunal, então, decidiu revogar a referida medida e arquivar o processo. </w:t>
      </w:r>
      <w:r w:rsidRPr="00A867CE">
        <w:rPr>
          <w:b/>
          <w:i/>
          <w:sz w:val="22"/>
          <w:szCs w:val="22"/>
        </w:rPr>
        <w:t>Acórdão n.º 655/2012-Plenário, TC 035.018/2011-9, rel. Min. Aroldo Cedraz, 21.3.2012.</w:t>
      </w:r>
    </w:p>
    <w:p w:rsidR="0007588B" w:rsidRPr="00A867CE" w:rsidRDefault="0007588B" w:rsidP="0007588B">
      <w:pPr>
        <w:autoSpaceDE w:val="0"/>
        <w:autoSpaceDN w:val="0"/>
        <w:adjustRightInd w:val="0"/>
        <w:spacing w:after="0"/>
        <w:ind w:left="0"/>
        <w:rPr>
          <w:b/>
          <w:sz w:val="22"/>
          <w:szCs w:val="22"/>
          <w:lang w:eastAsia="pt-BR"/>
        </w:rPr>
      </w:pPr>
    </w:p>
    <w:p w:rsidR="0007588B" w:rsidRPr="00A867CE" w:rsidRDefault="00F567ED" w:rsidP="0007588B">
      <w:pPr>
        <w:autoSpaceDE w:val="0"/>
        <w:autoSpaceDN w:val="0"/>
        <w:adjustRightInd w:val="0"/>
        <w:spacing w:after="0"/>
        <w:ind w:left="0"/>
        <w:rPr>
          <w:b/>
          <w:sz w:val="22"/>
          <w:szCs w:val="22"/>
        </w:rPr>
      </w:pPr>
      <w:r w:rsidRPr="00A867CE">
        <w:rPr>
          <w:b/>
          <w:iCs/>
          <w:sz w:val="22"/>
          <w:szCs w:val="22"/>
        </w:rPr>
        <w:t>A exigência de atestados de capacidade técnica com registro de quantitativos superiores aos do serviço que se pretende contratar configura, em avaliação preliminar, restrição ao caráter competitivo de certame licitatório e justifica sua suspensão cautelar</w:t>
      </w:r>
    </w:p>
    <w:p w:rsidR="0007588B" w:rsidRPr="00A867CE" w:rsidRDefault="0007588B" w:rsidP="0007588B">
      <w:pPr>
        <w:autoSpaceDE w:val="0"/>
        <w:autoSpaceDN w:val="0"/>
        <w:adjustRightInd w:val="0"/>
        <w:spacing w:after="0"/>
        <w:ind w:left="0"/>
        <w:rPr>
          <w:b/>
          <w:i/>
          <w:sz w:val="22"/>
          <w:szCs w:val="22"/>
        </w:rPr>
      </w:pPr>
      <w:r w:rsidRPr="00A867CE">
        <w:rPr>
          <w:sz w:val="22"/>
          <w:szCs w:val="22"/>
        </w:rPr>
        <w:t xml:space="preserve">Representação, com pedido de medida cautelar, deu conta de possíveis irregularidades no âmbito do Pregão Eletrônico nº 302/2011 promovido pelo Hospital Universitário de Brasília (HUB) para contratação de  serviços de limpeza hospitalar. Constou do respectivo edital </w:t>
      </w:r>
      <w:r w:rsidRPr="00A867CE">
        <w:rPr>
          <w:iCs/>
          <w:sz w:val="22"/>
          <w:szCs w:val="22"/>
        </w:rPr>
        <w:t>requisito de habilitação (subitem 11.2.4) segundo o qual a licitante melhor classificada na fase de lances deveria apresentar</w:t>
      </w:r>
      <w:r w:rsidRPr="00A867CE">
        <w:rPr>
          <w:i/>
          <w:iCs/>
          <w:sz w:val="22"/>
          <w:szCs w:val="22"/>
        </w:rPr>
        <w:t xml:space="preserve"> </w:t>
      </w:r>
      <w:r w:rsidRPr="00A867CE">
        <w:rPr>
          <w:iCs/>
          <w:sz w:val="22"/>
          <w:szCs w:val="22"/>
        </w:rPr>
        <w:t>“</w:t>
      </w:r>
      <w:r w:rsidRPr="00A867CE">
        <w:rPr>
          <w:i/>
          <w:iCs/>
          <w:sz w:val="22"/>
          <w:szCs w:val="22"/>
        </w:rPr>
        <w:t>atestado de capacidade técnica comprovando a prestação de serviços em estabelecimento de saúde com, no mínimo, 250 leitos</w:t>
      </w:r>
      <w:r w:rsidRPr="00A867CE">
        <w:rPr>
          <w:iCs/>
          <w:sz w:val="22"/>
          <w:szCs w:val="22"/>
        </w:rPr>
        <w:t>”</w:t>
      </w:r>
      <w:r w:rsidR="00CC3CA7" w:rsidRPr="00A867CE">
        <w:rPr>
          <w:iCs/>
          <w:sz w:val="22"/>
          <w:szCs w:val="22"/>
        </w:rPr>
        <w:t>, o que superaria a número de leitos d</w:t>
      </w:r>
      <w:r w:rsidRPr="00A867CE">
        <w:rPr>
          <w:iCs/>
          <w:sz w:val="22"/>
          <w:szCs w:val="22"/>
        </w:rPr>
        <w:t>o HUB</w:t>
      </w:r>
      <w:r w:rsidR="00CC3CA7" w:rsidRPr="00A867CE">
        <w:rPr>
          <w:iCs/>
          <w:sz w:val="22"/>
          <w:szCs w:val="22"/>
        </w:rPr>
        <w:t>.</w:t>
      </w:r>
      <w:r w:rsidRPr="00A867CE">
        <w:rPr>
          <w:iCs/>
          <w:sz w:val="22"/>
          <w:szCs w:val="22"/>
        </w:rPr>
        <w:t xml:space="preserve"> Acrescentou que tal exigência restringe o caráter competitivo do certame,</w:t>
      </w:r>
      <w:r w:rsidRPr="00A867CE">
        <w:rPr>
          <w:i/>
          <w:iCs/>
          <w:sz w:val="22"/>
          <w:szCs w:val="22"/>
        </w:rPr>
        <w:t xml:space="preserve"> </w:t>
      </w:r>
      <w:r w:rsidRPr="00A867CE">
        <w:rPr>
          <w:iCs/>
          <w:sz w:val="22"/>
          <w:szCs w:val="22"/>
        </w:rPr>
        <w:t>“</w:t>
      </w:r>
      <w:r w:rsidRPr="00A867CE">
        <w:rPr>
          <w:i/>
          <w:iCs/>
          <w:sz w:val="22"/>
          <w:szCs w:val="22"/>
        </w:rPr>
        <w:t>já que eventual atestado de capacidade técnica, emitido pelo próprio HUB, para os fins da licitação, não apresentaria conformidade com o edital</w:t>
      </w:r>
      <w:r w:rsidRPr="00A867CE">
        <w:rPr>
          <w:iCs/>
          <w:sz w:val="22"/>
          <w:szCs w:val="22"/>
        </w:rPr>
        <w:t>”</w:t>
      </w:r>
      <w:r w:rsidRPr="00A867CE">
        <w:rPr>
          <w:i/>
          <w:iCs/>
          <w:sz w:val="22"/>
          <w:szCs w:val="22"/>
        </w:rPr>
        <w:t>.</w:t>
      </w:r>
      <w:r w:rsidRPr="00A867CE">
        <w:rPr>
          <w:iCs/>
          <w:sz w:val="22"/>
          <w:szCs w:val="22"/>
        </w:rPr>
        <w:t xml:space="preserve"> O relator endossou exame efetuado pela unidade técnica, no sentido de que: “</w:t>
      </w:r>
      <w:r w:rsidRPr="00A867CE">
        <w:rPr>
          <w:i/>
          <w:iCs/>
          <w:sz w:val="22"/>
          <w:szCs w:val="22"/>
        </w:rPr>
        <w:t>o Tribunal conta com jurisprudência consolidada no sentido de que a capacidade técnico-operacional das licitantes não deve ser aferida mediante o estabelecimento de percentuais mínimos acima de 50% dos quantitativos dos itens de maior relevância da obra ou serviço licitado, salvo em casos excepcionais, cujas justificativas para tal extrapolação deverão estar tecnicamente explicitadas, ou no processo licitatório, previamente ao lançamento do respectivo edital, ou no próprio edital e seus anexos, em observância ao art. 37, inc. XXI, da Constituição Federal; c/c dispositivos da Lei de Licitações, art. 3º, § 1º, inc. I, e art. 30, inc. II</w:t>
      </w:r>
      <w:r w:rsidRPr="00A867CE">
        <w:rPr>
          <w:iCs/>
          <w:sz w:val="22"/>
          <w:szCs w:val="22"/>
        </w:rPr>
        <w:t>”</w:t>
      </w:r>
      <w:r w:rsidRPr="00A867CE">
        <w:rPr>
          <w:i/>
          <w:iCs/>
          <w:sz w:val="22"/>
          <w:szCs w:val="22"/>
        </w:rPr>
        <w:t>.</w:t>
      </w:r>
      <w:r w:rsidRPr="00A867CE">
        <w:rPr>
          <w:iCs/>
          <w:sz w:val="22"/>
          <w:szCs w:val="22"/>
        </w:rPr>
        <w:t xml:space="preserve"> Ressaltou, também, que os elementos contidos nos autos indicam a exigência de atestados de capacidade técnica “</w:t>
      </w:r>
      <w:r w:rsidRPr="00A867CE">
        <w:rPr>
          <w:i/>
          <w:iCs/>
          <w:sz w:val="22"/>
          <w:szCs w:val="22"/>
        </w:rPr>
        <w:t>com registro de quantitativos superiores ao que se pretende contratar</w:t>
      </w:r>
      <w:r w:rsidRPr="00A867CE">
        <w:rPr>
          <w:iCs/>
          <w:sz w:val="22"/>
          <w:szCs w:val="22"/>
        </w:rPr>
        <w:t>”. E também que o caráter restritivo de tal condição é evidenciado “</w:t>
      </w:r>
      <w:r w:rsidRPr="00A867CE">
        <w:rPr>
          <w:i/>
          <w:iCs/>
          <w:sz w:val="22"/>
          <w:szCs w:val="22"/>
        </w:rPr>
        <w:t>ao se considerar que os serviços de limpeza a serem efetuados nas áreas hospitalares crítica e semicrítica abrangem apenas 28% da área total licitada de 84.991 m2 (23.744 m2/84.991 m2)</w:t>
      </w:r>
      <w:r w:rsidRPr="00A867CE">
        <w:rPr>
          <w:iCs/>
          <w:sz w:val="22"/>
          <w:szCs w:val="22"/>
        </w:rPr>
        <w:t xml:space="preserve">”. Os elementos contidos nos autos revelam também que três licitantes, com lances melhor classificados, teriam sido </w:t>
      </w:r>
      <w:r w:rsidR="00CC3CA7" w:rsidRPr="00A867CE">
        <w:rPr>
          <w:iCs/>
          <w:sz w:val="22"/>
          <w:szCs w:val="22"/>
        </w:rPr>
        <w:t>excluídas</w:t>
      </w:r>
      <w:r w:rsidRPr="00A867CE">
        <w:rPr>
          <w:iCs/>
          <w:sz w:val="22"/>
          <w:szCs w:val="22"/>
        </w:rPr>
        <w:t xml:space="preserve"> do certame em decorrência de exigências de habilitação restritivas</w:t>
      </w:r>
      <w:r w:rsidRPr="00A867CE">
        <w:rPr>
          <w:i/>
          <w:iCs/>
          <w:sz w:val="22"/>
          <w:szCs w:val="22"/>
        </w:rPr>
        <w:t>.</w:t>
      </w:r>
      <w:r w:rsidRPr="00A867CE">
        <w:rPr>
          <w:iCs/>
          <w:sz w:val="22"/>
          <w:szCs w:val="22"/>
        </w:rPr>
        <w:t xml:space="preserve"> O relator, então, fundamentalmente pelo motivo acima explicitado, ao considerar presentes o </w:t>
      </w:r>
      <w:r w:rsidRPr="00A867CE">
        <w:rPr>
          <w:b/>
          <w:bCs/>
          <w:sz w:val="22"/>
          <w:szCs w:val="22"/>
        </w:rPr>
        <w:t>fumus boni juris</w:t>
      </w:r>
      <w:r w:rsidRPr="00A867CE">
        <w:rPr>
          <w:bCs/>
          <w:sz w:val="22"/>
          <w:szCs w:val="22"/>
        </w:rPr>
        <w:t xml:space="preserve"> e</w:t>
      </w:r>
      <w:r w:rsidRPr="00A867CE">
        <w:rPr>
          <w:iCs/>
          <w:sz w:val="22"/>
          <w:szCs w:val="22"/>
        </w:rPr>
        <w:t xml:space="preserve"> o </w:t>
      </w:r>
      <w:r w:rsidRPr="00A867CE">
        <w:rPr>
          <w:b/>
          <w:bCs/>
          <w:sz w:val="22"/>
          <w:szCs w:val="22"/>
        </w:rPr>
        <w:t>periculum in mora</w:t>
      </w:r>
      <w:r w:rsidRPr="00A867CE">
        <w:rPr>
          <w:bCs/>
          <w:sz w:val="22"/>
          <w:szCs w:val="22"/>
        </w:rPr>
        <w:t>,</w:t>
      </w:r>
      <w:r w:rsidRPr="00A867CE">
        <w:rPr>
          <w:b/>
          <w:bCs/>
          <w:sz w:val="22"/>
          <w:szCs w:val="22"/>
        </w:rPr>
        <w:t xml:space="preserve"> </w:t>
      </w:r>
      <w:r w:rsidRPr="00A867CE">
        <w:rPr>
          <w:bCs/>
          <w:sz w:val="22"/>
          <w:szCs w:val="22"/>
        </w:rPr>
        <w:t xml:space="preserve">decidiu: a) determinar, em </w:t>
      </w:r>
      <w:r w:rsidRPr="00A867CE">
        <w:rPr>
          <w:sz w:val="22"/>
          <w:szCs w:val="22"/>
        </w:rPr>
        <w:t xml:space="preserve">caráter cautelar, </w:t>
      </w:r>
      <w:r w:rsidRPr="00A867CE">
        <w:rPr>
          <w:b/>
          <w:bCs/>
          <w:sz w:val="22"/>
          <w:szCs w:val="22"/>
        </w:rPr>
        <w:t>inaudita altera pars</w:t>
      </w:r>
      <w:r w:rsidRPr="00A867CE">
        <w:rPr>
          <w:sz w:val="22"/>
          <w:szCs w:val="22"/>
        </w:rPr>
        <w:t xml:space="preserve">, a suspensão do Pregão Eletrônico nº 302/2011 – HUB; b) promover a oitiva do HUB a cerca desse indício de irregularidade. </w:t>
      </w:r>
      <w:r w:rsidRPr="00A867CE">
        <w:rPr>
          <w:b/>
          <w:i/>
          <w:sz w:val="22"/>
          <w:szCs w:val="22"/>
        </w:rPr>
        <w:t xml:space="preserve">Comunicação de Cautelar, TC </w:t>
      </w:r>
      <w:r w:rsidRPr="00A867CE">
        <w:rPr>
          <w:b/>
          <w:i/>
          <w:sz w:val="22"/>
          <w:szCs w:val="22"/>
          <w:lang w:eastAsia="pt-BR"/>
        </w:rPr>
        <w:t>003.818/2012-8</w:t>
      </w:r>
      <w:r w:rsidRPr="00A867CE">
        <w:rPr>
          <w:b/>
          <w:i/>
          <w:sz w:val="22"/>
          <w:szCs w:val="22"/>
        </w:rPr>
        <w:t>, rel. Min. José Jorge, 21.3.2012.</w:t>
      </w:r>
    </w:p>
    <w:p w:rsidR="0007588B" w:rsidRPr="00A867CE" w:rsidRDefault="0007588B" w:rsidP="0007588B">
      <w:pPr>
        <w:autoSpaceDE w:val="0"/>
        <w:autoSpaceDN w:val="0"/>
        <w:adjustRightInd w:val="0"/>
        <w:spacing w:after="0"/>
        <w:ind w:left="0"/>
        <w:rPr>
          <w:b/>
          <w:sz w:val="22"/>
          <w:szCs w:val="22"/>
          <w:lang w:eastAsia="pt-BR"/>
        </w:rPr>
      </w:pPr>
    </w:p>
    <w:p w:rsidR="00BF12C4" w:rsidRPr="00A867CE" w:rsidRDefault="00F567ED" w:rsidP="00E30339">
      <w:pPr>
        <w:autoSpaceDE w:val="0"/>
        <w:autoSpaceDN w:val="0"/>
        <w:adjustRightInd w:val="0"/>
        <w:spacing w:after="0"/>
        <w:ind w:left="0"/>
        <w:rPr>
          <w:b/>
          <w:sz w:val="22"/>
          <w:szCs w:val="22"/>
          <w:lang w:eastAsia="pt-BR"/>
        </w:rPr>
      </w:pPr>
      <w:r w:rsidRPr="00A867CE">
        <w:rPr>
          <w:b/>
          <w:sz w:val="22"/>
          <w:szCs w:val="22"/>
          <w:lang w:eastAsia="pt-BR"/>
        </w:rPr>
        <w:t>As orientações constantes da OT IBR 01/2006, que informam os elementos mínimos que devem conter os projetos básicos de obras públicas, editada pelo Instituto Brasileiro de Obras Públicas (Ibraop), devem ser observadas pelos entes da Administração Pública</w:t>
      </w:r>
      <w:r w:rsidR="0012072B" w:rsidRPr="00A867CE">
        <w:rPr>
          <w:b/>
          <w:sz w:val="22"/>
          <w:szCs w:val="22"/>
          <w:lang w:eastAsia="pt-BR"/>
        </w:rPr>
        <w:t xml:space="preserve"> </w:t>
      </w:r>
    </w:p>
    <w:p w:rsidR="00B8198B" w:rsidRPr="00A867CE" w:rsidRDefault="00B8198B" w:rsidP="00BE2B7A">
      <w:pPr>
        <w:autoSpaceDE w:val="0"/>
        <w:autoSpaceDN w:val="0"/>
        <w:adjustRightInd w:val="0"/>
        <w:spacing w:after="0"/>
        <w:ind w:left="0"/>
        <w:rPr>
          <w:b/>
          <w:i/>
          <w:sz w:val="22"/>
          <w:szCs w:val="22"/>
        </w:rPr>
      </w:pPr>
      <w:r w:rsidRPr="00A867CE">
        <w:rPr>
          <w:sz w:val="22"/>
          <w:szCs w:val="22"/>
          <w:lang w:eastAsia="pt-BR"/>
        </w:rPr>
        <w:t>O Tribunal</w:t>
      </w:r>
      <w:r w:rsidR="00575E54" w:rsidRPr="00A867CE">
        <w:rPr>
          <w:sz w:val="22"/>
          <w:szCs w:val="22"/>
          <w:lang w:eastAsia="pt-BR"/>
        </w:rPr>
        <w:t xml:space="preserve">, em face de recorrentes problemas provocados por projetos deficientes </w:t>
      </w:r>
      <w:r w:rsidR="008D4A52" w:rsidRPr="00A867CE">
        <w:rPr>
          <w:sz w:val="22"/>
          <w:szCs w:val="22"/>
          <w:lang w:eastAsia="pt-BR"/>
        </w:rPr>
        <w:t>em</w:t>
      </w:r>
      <w:r w:rsidR="00575E54" w:rsidRPr="00A867CE">
        <w:rPr>
          <w:sz w:val="22"/>
          <w:szCs w:val="22"/>
          <w:lang w:eastAsia="pt-BR"/>
        </w:rPr>
        <w:t xml:space="preserve"> obras custeadas com recursos públicos,</w:t>
      </w:r>
      <w:r w:rsidRPr="00A867CE">
        <w:rPr>
          <w:sz w:val="22"/>
          <w:szCs w:val="22"/>
          <w:lang w:eastAsia="pt-BR"/>
        </w:rPr>
        <w:t xml:space="preserve"> determinou a criação de </w:t>
      </w:r>
      <w:r w:rsidR="008D4A52" w:rsidRPr="00A867CE">
        <w:rPr>
          <w:sz w:val="22"/>
          <w:szCs w:val="22"/>
          <w:lang w:eastAsia="pt-BR"/>
        </w:rPr>
        <w:t>g</w:t>
      </w:r>
      <w:r w:rsidRPr="00A867CE">
        <w:rPr>
          <w:sz w:val="22"/>
          <w:szCs w:val="22"/>
          <w:lang w:eastAsia="pt-BR"/>
        </w:rPr>
        <w:t xml:space="preserve">rupo de </w:t>
      </w:r>
      <w:r w:rsidR="008D4A52" w:rsidRPr="00A867CE">
        <w:rPr>
          <w:sz w:val="22"/>
          <w:szCs w:val="22"/>
          <w:lang w:eastAsia="pt-BR"/>
        </w:rPr>
        <w:t>t</w:t>
      </w:r>
      <w:r w:rsidRPr="00A867CE">
        <w:rPr>
          <w:sz w:val="22"/>
          <w:szCs w:val="22"/>
          <w:lang w:eastAsia="pt-BR"/>
        </w:rPr>
        <w:t>rabalho com finalidade de estabelecer referenciais técnicos mais precisos</w:t>
      </w:r>
      <w:r w:rsidR="00575E54" w:rsidRPr="00A867CE">
        <w:rPr>
          <w:sz w:val="22"/>
          <w:szCs w:val="22"/>
          <w:lang w:eastAsia="pt-BR"/>
        </w:rPr>
        <w:t xml:space="preserve"> </w:t>
      </w:r>
      <w:r w:rsidR="008D4A52" w:rsidRPr="00A867CE">
        <w:rPr>
          <w:sz w:val="22"/>
          <w:szCs w:val="22"/>
          <w:lang w:eastAsia="pt-BR"/>
        </w:rPr>
        <w:t xml:space="preserve">para </w:t>
      </w:r>
      <w:r w:rsidRPr="00A867CE">
        <w:rPr>
          <w:sz w:val="22"/>
          <w:szCs w:val="22"/>
          <w:lang w:eastAsia="pt-BR"/>
        </w:rPr>
        <w:t xml:space="preserve">os elementos mínimos que devem compor tais projetos, tanto </w:t>
      </w:r>
      <w:r w:rsidR="00CC3CA7" w:rsidRPr="00A867CE">
        <w:rPr>
          <w:sz w:val="22"/>
          <w:szCs w:val="22"/>
          <w:lang w:eastAsia="pt-BR"/>
        </w:rPr>
        <w:t>em</w:t>
      </w:r>
      <w:r w:rsidRPr="00A867CE">
        <w:rPr>
          <w:sz w:val="22"/>
          <w:szCs w:val="22"/>
          <w:lang w:eastAsia="pt-BR"/>
        </w:rPr>
        <w:t xml:space="preserve"> licitaç</w:t>
      </w:r>
      <w:r w:rsidR="008D4A52" w:rsidRPr="00A867CE">
        <w:rPr>
          <w:sz w:val="22"/>
          <w:szCs w:val="22"/>
          <w:lang w:eastAsia="pt-BR"/>
        </w:rPr>
        <w:t>ões</w:t>
      </w:r>
      <w:r w:rsidRPr="00A867CE">
        <w:rPr>
          <w:sz w:val="22"/>
          <w:szCs w:val="22"/>
          <w:lang w:eastAsia="pt-BR"/>
        </w:rPr>
        <w:t xml:space="preserve"> de obras públicas</w:t>
      </w:r>
      <w:r w:rsidR="00A6466B" w:rsidRPr="00A867CE">
        <w:rPr>
          <w:sz w:val="22"/>
          <w:szCs w:val="22"/>
          <w:lang w:eastAsia="pt-BR"/>
        </w:rPr>
        <w:t>,</w:t>
      </w:r>
      <w:r w:rsidRPr="00A867CE">
        <w:rPr>
          <w:sz w:val="22"/>
          <w:szCs w:val="22"/>
          <w:lang w:eastAsia="pt-BR"/>
        </w:rPr>
        <w:t xml:space="preserve"> quanto para concess</w:t>
      </w:r>
      <w:r w:rsidR="008D4A52" w:rsidRPr="00A867CE">
        <w:rPr>
          <w:sz w:val="22"/>
          <w:szCs w:val="22"/>
          <w:lang w:eastAsia="pt-BR"/>
        </w:rPr>
        <w:t>ões</w:t>
      </w:r>
      <w:r w:rsidRPr="00A867CE">
        <w:rPr>
          <w:sz w:val="22"/>
          <w:szCs w:val="22"/>
          <w:lang w:eastAsia="pt-BR"/>
        </w:rPr>
        <w:t xml:space="preserve"> de serviços públicos precedidos de obras públicas.</w:t>
      </w:r>
      <w:r w:rsidR="00575E54" w:rsidRPr="00A867CE">
        <w:rPr>
          <w:sz w:val="22"/>
          <w:szCs w:val="22"/>
          <w:lang w:eastAsia="pt-BR"/>
        </w:rPr>
        <w:t xml:space="preserve"> Um d</w:t>
      </w:r>
      <w:r w:rsidR="008D4A52" w:rsidRPr="00A867CE">
        <w:rPr>
          <w:sz w:val="22"/>
          <w:szCs w:val="22"/>
          <w:lang w:eastAsia="pt-BR"/>
        </w:rPr>
        <w:t>e seus</w:t>
      </w:r>
      <w:r w:rsidR="00575E54" w:rsidRPr="00A867CE">
        <w:rPr>
          <w:sz w:val="22"/>
          <w:szCs w:val="22"/>
          <w:lang w:eastAsia="pt-BR"/>
        </w:rPr>
        <w:t xml:space="preserve"> subgrupos </w:t>
      </w:r>
      <w:r w:rsidR="005D4218" w:rsidRPr="00A867CE">
        <w:rPr>
          <w:sz w:val="22"/>
          <w:szCs w:val="22"/>
          <w:lang w:eastAsia="pt-BR"/>
        </w:rPr>
        <w:t>busc</w:t>
      </w:r>
      <w:r w:rsidR="00116614" w:rsidRPr="00A867CE">
        <w:rPr>
          <w:sz w:val="22"/>
          <w:szCs w:val="22"/>
          <w:lang w:eastAsia="pt-BR"/>
        </w:rPr>
        <w:t>a</w:t>
      </w:r>
      <w:r w:rsidR="005D4218" w:rsidRPr="00A867CE">
        <w:rPr>
          <w:sz w:val="22"/>
          <w:szCs w:val="22"/>
          <w:lang w:eastAsia="pt-BR"/>
        </w:rPr>
        <w:t xml:space="preserve"> estabelecer </w:t>
      </w:r>
      <w:r w:rsidRPr="00A867CE">
        <w:rPr>
          <w:sz w:val="22"/>
          <w:szCs w:val="22"/>
          <w:lang w:eastAsia="pt-BR"/>
        </w:rPr>
        <w:t xml:space="preserve">parâmetros técnicos mínimos para nortear a </w:t>
      </w:r>
      <w:r w:rsidRPr="00A867CE">
        <w:rPr>
          <w:sz w:val="22"/>
          <w:szCs w:val="22"/>
          <w:u w:val="single"/>
          <w:lang w:eastAsia="pt-BR"/>
        </w:rPr>
        <w:t>elaboração de</w:t>
      </w:r>
      <w:r w:rsidR="00575E54" w:rsidRPr="00A867CE">
        <w:rPr>
          <w:sz w:val="22"/>
          <w:szCs w:val="22"/>
          <w:u w:val="single"/>
          <w:lang w:eastAsia="pt-BR"/>
        </w:rPr>
        <w:t xml:space="preserve"> </w:t>
      </w:r>
      <w:r w:rsidRPr="00A867CE">
        <w:rPr>
          <w:sz w:val="22"/>
          <w:szCs w:val="22"/>
          <w:u w:val="single"/>
          <w:lang w:eastAsia="pt-BR"/>
        </w:rPr>
        <w:t>projetos básicos de obras públicas</w:t>
      </w:r>
      <w:r w:rsidR="003107E3" w:rsidRPr="00A867CE">
        <w:rPr>
          <w:sz w:val="22"/>
          <w:szCs w:val="22"/>
          <w:lang w:eastAsia="pt-BR"/>
        </w:rPr>
        <w:t xml:space="preserve">. </w:t>
      </w:r>
      <w:r w:rsidR="00116614" w:rsidRPr="00A867CE">
        <w:rPr>
          <w:sz w:val="22"/>
          <w:szCs w:val="22"/>
          <w:lang w:eastAsia="pt-BR"/>
        </w:rPr>
        <w:t xml:space="preserve"> </w:t>
      </w:r>
      <w:r w:rsidR="003107E3" w:rsidRPr="00A867CE">
        <w:rPr>
          <w:sz w:val="22"/>
          <w:szCs w:val="22"/>
          <w:lang w:eastAsia="pt-BR"/>
        </w:rPr>
        <w:t xml:space="preserve">Essa equipe </w:t>
      </w:r>
      <w:r w:rsidR="00116614" w:rsidRPr="00A867CE">
        <w:rPr>
          <w:sz w:val="22"/>
          <w:szCs w:val="22"/>
          <w:lang w:eastAsia="pt-BR"/>
        </w:rPr>
        <w:t>conta com a colaboração d</w:t>
      </w:r>
      <w:r w:rsidR="003107E3" w:rsidRPr="00A867CE">
        <w:rPr>
          <w:sz w:val="22"/>
          <w:szCs w:val="22"/>
          <w:lang w:eastAsia="pt-BR"/>
        </w:rPr>
        <w:t xml:space="preserve">o </w:t>
      </w:r>
      <w:r w:rsidR="00116614" w:rsidRPr="00A867CE">
        <w:rPr>
          <w:sz w:val="22"/>
          <w:szCs w:val="22"/>
          <w:lang w:eastAsia="pt-BR"/>
        </w:rPr>
        <w:t xml:space="preserve">Ministério Público da União, do </w:t>
      </w:r>
      <w:r w:rsidR="003107E3" w:rsidRPr="00A867CE">
        <w:rPr>
          <w:sz w:val="22"/>
          <w:szCs w:val="22"/>
          <w:lang w:eastAsia="pt-BR"/>
        </w:rPr>
        <w:t>D</w:t>
      </w:r>
      <w:r w:rsidR="00116614" w:rsidRPr="00A867CE">
        <w:rPr>
          <w:sz w:val="22"/>
          <w:szCs w:val="22"/>
          <w:lang w:eastAsia="pt-BR"/>
        </w:rPr>
        <w:t>epartamento de Polícia Federal, da Controladoria Geral da União, do Instituto Brasileiro de Auditoria de Obras Públicas - Ibraop e do Ministério do Planejamento, Orçamento e Gestão</w:t>
      </w:r>
      <w:r w:rsidRPr="00A867CE">
        <w:rPr>
          <w:sz w:val="22"/>
          <w:szCs w:val="22"/>
          <w:lang w:eastAsia="pt-BR"/>
        </w:rPr>
        <w:t>.</w:t>
      </w:r>
      <w:r w:rsidR="00116614" w:rsidRPr="00A867CE">
        <w:rPr>
          <w:sz w:val="22"/>
          <w:szCs w:val="22"/>
          <w:lang w:eastAsia="pt-BR"/>
        </w:rPr>
        <w:t xml:space="preserve"> </w:t>
      </w:r>
      <w:r w:rsidR="003107E3" w:rsidRPr="00A867CE">
        <w:rPr>
          <w:sz w:val="22"/>
          <w:szCs w:val="22"/>
          <w:lang w:eastAsia="pt-BR"/>
        </w:rPr>
        <w:t>Os Auditores do Tribunal,</w:t>
      </w:r>
      <w:r w:rsidR="00116614" w:rsidRPr="00A867CE">
        <w:rPr>
          <w:sz w:val="22"/>
          <w:szCs w:val="22"/>
          <w:lang w:eastAsia="pt-BR"/>
        </w:rPr>
        <w:t xml:space="preserve"> no curso dos trabalhos, </w:t>
      </w:r>
      <w:r w:rsidR="003107E3" w:rsidRPr="00A867CE">
        <w:rPr>
          <w:sz w:val="22"/>
          <w:szCs w:val="22"/>
          <w:lang w:eastAsia="pt-BR"/>
        </w:rPr>
        <w:t xml:space="preserve">verificaram que se </w:t>
      </w:r>
      <w:r w:rsidR="00116614" w:rsidRPr="00A867CE">
        <w:rPr>
          <w:sz w:val="22"/>
          <w:szCs w:val="22"/>
          <w:lang w:eastAsia="pt-BR"/>
        </w:rPr>
        <w:t xml:space="preserve">encontra em andamento projeto da </w:t>
      </w:r>
      <w:r w:rsidRPr="00A867CE">
        <w:rPr>
          <w:sz w:val="22"/>
          <w:szCs w:val="22"/>
          <w:lang w:eastAsia="pt-BR"/>
        </w:rPr>
        <w:t>Associação Brasileira de Normas Técnicas –</w:t>
      </w:r>
      <w:r w:rsidR="00116614" w:rsidRPr="00A867CE">
        <w:rPr>
          <w:sz w:val="22"/>
          <w:szCs w:val="22"/>
          <w:lang w:eastAsia="pt-BR"/>
        </w:rPr>
        <w:t xml:space="preserve"> </w:t>
      </w:r>
      <w:r w:rsidRPr="00A867CE">
        <w:rPr>
          <w:sz w:val="22"/>
          <w:szCs w:val="22"/>
          <w:lang w:eastAsia="pt-BR"/>
        </w:rPr>
        <w:t>ABNT de edição de norma sobre a elaboração de orçamentos de obras</w:t>
      </w:r>
      <w:r w:rsidR="00116614" w:rsidRPr="00A867CE">
        <w:rPr>
          <w:sz w:val="22"/>
          <w:szCs w:val="22"/>
          <w:lang w:eastAsia="pt-BR"/>
        </w:rPr>
        <w:t>.</w:t>
      </w:r>
      <w:r w:rsidRPr="00A867CE">
        <w:rPr>
          <w:sz w:val="22"/>
          <w:szCs w:val="22"/>
          <w:lang w:eastAsia="pt-BR"/>
        </w:rPr>
        <w:t xml:space="preserve"> </w:t>
      </w:r>
      <w:r w:rsidR="00116614" w:rsidRPr="00A867CE">
        <w:rPr>
          <w:sz w:val="22"/>
          <w:szCs w:val="22"/>
          <w:lang w:eastAsia="pt-BR"/>
        </w:rPr>
        <w:t>Observ</w:t>
      </w:r>
      <w:r w:rsidR="003107E3" w:rsidRPr="00A867CE">
        <w:rPr>
          <w:sz w:val="22"/>
          <w:szCs w:val="22"/>
          <w:lang w:eastAsia="pt-BR"/>
        </w:rPr>
        <w:t xml:space="preserve">aram, ainda, </w:t>
      </w:r>
      <w:r w:rsidR="00116614" w:rsidRPr="00A867CE">
        <w:rPr>
          <w:sz w:val="22"/>
          <w:szCs w:val="22"/>
          <w:lang w:eastAsia="pt-BR"/>
        </w:rPr>
        <w:t>que</w:t>
      </w:r>
      <w:r w:rsidRPr="00A867CE">
        <w:rPr>
          <w:sz w:val="22"/>
          <w:szCs w:val="22"/>
          <w:lang w:eastAsia="pt-BR"/>
        </w:rPr>
        <w:t xml:space="preserve"> o anteprojeto d</w:t>
      </w:r>
      <w:r w:rsidR="003E0E16" w:rsidRPr="00A867CE">
        <w:rPr>
          <w:sz w:val="22"/>
          <w:szCs w:val="22"/>
          <w:lang w:eastAsia="pt-BR"/>
        </w:rPr>
        <w:t xml:space="preserve">esse </w:t>
      </w:r>
      <w:r w:rsidRPr="00A867CE">
        <w:rPr>
          <w:sz w:val="22"/>
          <w:szCs w:val="22"/>
          <w:lang w:eastAsia="pt-BR"/>
        </w:rPr>
        <w:t>normativo, elaborado pelo Instituto de Engenharia de São Paulo,</w:t>
      </w:r>
      <w:r w:rsidR="00116614" w:rsidRPr="00A867CE">
        <w:rPr>
          <w:sz w:val="22"/>
          <w:szCs w:val="22"/>
          <w:lang w:eastAsia="pt-BR"/>
        </w:rPr>
        <w:t xml:space="preserve"> </w:t>
      </w:r>
      <w:r w:rsidR="003E0E16" w:rsidRPr="00A867CE">
        <w:rPr>
          <w:sz w:val="22"/>
          <w:szCs w:val="22"/>
          <w:lang w:eastAsia="pt-BR"/>
        </w:rPr>
        <w:t xml:space="preserve">estabelece </w:t>
      </w:r>
      <w:r w:rsidR="00A6466B" w:rsidRPr="00A867CE">
        <w:rPr>
          <w:sz w:val="22"/>
          <w:szCs w:val="22"/>
          <w:lang w:eastAsia="pt-BR"/>
        </w:rPr>
        <w:t xml:space="preserve">o </w:t>
      </w:r>
      <w:r w:rsidRPr="00A867CE">
        <w:rPr>
          <w:sz w:val="22"/>
          <w:szCs w:val="22"/>
          <w:lang w:eastAsia="pt-BR"/>
        </w:rPr>
        <w:t xml:space="preserve">conteúdo mínimo </w:t>
      </w:r>
      <w:r w:rsidR="003E0E16" w:rsidRPr="00A867CE">
        <w:rPr>
          <w:sz w:val="22"/>
          <w:szCs w:val="22"/>
          <w:lang w:eastAsia="pt-BR"/>
        </w:rPr>
        <w:t>que devem possuir</w:t>
      </w:r>
      <w:r w:rsidRPr="00A867CE">
        <w:rPr>
          <w:sz w:val="22"/>
          <w:szCs w:val="22"/>
          <w:lang w:eastAsia="pt-BR"/>
        </w:rPr>
        <w:t xml:space="preserve"> </w:t>
      </w:r>
      <w:r w:rsidR="003107E3" w:rsidRPr="00A867CE">
        <w:rPr>
          <w:sz w:val="22"/>
          <w:szCs w:val="22"/>
          <w:lang w:eastAsia="pt-BR"/>
        </w:rPr>
        <w:t xml:space="preserve">os </w:t>
      </w:r>
      <w:r w:rsidRPr="00A867CE">
        <w:rPr>
          <w:sz w:val="22"/>
          <w:szCs w:val="22"/>
          <w:lang w:eastAsia="pt-BR"/>
        </w:rPr>
        <w:t>projetos básicos de diferentes tipos de obras</w:t>
      </w:r>
      <w:r w:rsidR="003E0E16" w:rsidRPr="00A867CE">
        <w:rPr>
          <w:sz w:val="22"/>
          <w:szCs w:val="22"/>
          <w:lang w:eastAsia="pt-BR"/>
        </w:rPr>
        <w:t>. Ressalt</w:t>
      </w:r>
      <w:r w:rsidR="003107E3" w:rsidRPr="00A867CE">
        <w:rPr>
          <w:sz w:val="22"/>
          <w:szCs w:val="22"/>
          <w:lang w:eastAsia="pt-BR"/>
        </w:rPr>
        <w:t xml:space="preserve">aram ainda </w:t>
      </w:r>
      <w:r w:rsidR="003E0E16" w:rsidRPr="00A867CE">
        <w:rPr>
          <w:sz w:val="22"/>
          <w:szCs w:val="22"/>
          <w:lang w:eastAsia="pt-BR"/>
        </w:rPr>
        <w:t xml:space="preserve">a relevância dessa iniciativa, </w:t>
      </w:r>
      <w:r w:rsidR="003107E3" w:rsidRPr="00A867CE">
        <w:rPr>
          <w:sz w:val="22"/>
          <w:szCs w:val="22"/>
          <w:lang w:eastAsia="pt-BR"/>
        </w:rPr>
        <w:t xml:space="preserve">visto que </w:t>
      </w:r>
      <w:r w:rsidR="003E0E16" w:rsidRPr="00A867CE">
        <w:rPr>
          <w:iCs/>
          <w:sz w:val="22"/>
          <w:szCs w:val="22"/>
          <w:lang w:eastAsia="pt-BR"/>
        </w:rPr>
        <w:t xml:space="preserve">a Lei Federal nº 4.150/1962 </w:t>
      </w:r>
      <w:r w:rsidR="003107E3" w:rsidRPr="00A867CE">
        <w:rPr>
          <w:iCs/>
          <w:sz w:val="22"/>
          <w:szCs w:val="22"/>
          <w:lang w:eastAsia="pt-BR"/>
        </w:rPr>
        <w:t xml:space="preserve">impõe a observância das </w:t>
      </w:r>
      <w:r w:rsidR="003E0E16" w:rsidRPr="00A867CE">
        <w:rPr>
          <w:iCs/>
          <w:sz w:val="22"/>
          <w:szCs w:val="22"/>
          <w:lang w:eastAsia="pt-BR"/>
        </w:rPr>
        <w:t>normas da ABNT</w:t>
      </w:r>
      <w:r w:rsidR="006645FD" w:rsidRPr="00A867CE">
        <w:rPr>
          <w:iCs/>
          <w:sz w:val="22"/>
          <w:szCs w:val="22"/>
          <w:lang w:eastAsia="pt-BR"/>
        </w:rPr>
        <w:t xml:space="preserve"> pela Administração</w:t>
      </w:r>
      <w:r w:rsidR="003E0E16" w:rsidRPr="00A867CE">
        <w:rPr>
          <w:iCs/>
          <w:sz w:val="22"/>
          <w:szCs w:val="22"/>
          <w:lang w:eastAsia="pt-BR"/>
        </w:rPr>
        <w:t xml:space="preserve"> em seus contratos administrativos de obras e compras</w:t>
      </w:r>
      <w:r w:rsidR="006645FD" w:rsidRPr="00A867CE">
        <w:rPr>
          <w:iCs/>
          <w:sz w:val="22"/>
          <w:szCs w:val="22"/>
          <w:lang w:eastAsia="pt-BR"/>
        </w:rPr>
        <w:t xml:space="preserve">. </w:t>
      </w:r>
      <w:r w:rsidR="003107E3" w:rsidRPr="00A867CE">
        <w:rPr>
          <w:iCs/>
          <w:sz w:val="22"/>
          <w:szCs w:val="22"/>
          <w:lang w:eastAsia="pt-BR"/>
        </w:rPr>
        <w:t>A equipe</w:t>
      </w:r>
      <w:r w:rsidR="006645FD" w:rsidRPr="00A867CE">
        <w:rPr>
          <w:iCs/>
          <w:sz w:val="22"/>
          <w:szCs w:val="22"/>
          <w:lang w:eastAsia="pt-BR"/>
        </w:rPr>
        <w:t xml:space="preserve"> noticiou também </w:t>
      </w:r>
      <w:r w:rsidRPr="00A867CE">
        <w:rPr>
          <w:sz w:val="22"/>
          <w:szCs w:val="22"/>
          <w:lang w:eastAsia="pt-BR"/>
        </w:rPr>
        <w:t xml:space="preserve">a existência de orientação técnica </w:t>
      </w:r>
      <w:r w:rsidR="003107E3" w:rsidRPr="00A867CE">
        <w:rPr>
          <w:sz w:val="22"/>
          <w:szCs w:val="22"/>
          <w:lang w:eastAsia="pt-BR"/>
        </w:rPr>
        <w:t>produzida</w:t>
      </w:r>
      <w:r w:rsidRPr="00A867CE">
        <w:rPr>
          <w:sz w:val="22"/>
          <w:szCs w:val="22"/>
          <w:lang w:eastAsia="pt-BR"/>
        </w:rPr>
        <w:t xml:space="preserve"> pelo Ibraop</w:t>
      </w:r>
      <w:r w:rsidR="00B90A3B" w:rsidRPr="00A867CE">
        <w:rPr>
          <w:sz w:val="22"/>
          <w:szCs w:val="22"/>
          <w:lang w:eastAsia="pt-BR"/>
        </w:rPr>
        <w:t xml:space="preserve"> </w:t>
      </w:r>
      <w:r w:rsidRPr="00A867CE">
        <w:rPr>
          <w:sz w:val="22"/>
          <w:szCs w:val="22"/>
          <w:lang w:eastAsia="pt-BR"/>
        </w:rPr>
        <w:t xml:space="preserve">(OT IBR 01/2006), que uniformiza o conceito de projeto básico da Lei nº 8.666/1993, </w:t>
      </w:r>
      <w:r w:rsidR="003107E3" w:rsidRPr="00A867CE">
        <w:rPr>
          <w:sz w:val="22"/>
          <w:szCs w:val="22"/>
          <w:lang w:eastAsia="pt-BR"/>
        </w:rPr>
        <w:t xml:space="preserve">elaborado a partir do </w:t>
      </w:r>
      <w:r w:rsidRPr="00A867CE">
        <w:rPr>
          <w:sz w:val="22"/>
          <w:szCs w:val="22"/>
          <w:lang w:eastAsia="pt-BR"/>
        </w:rPr>
        <w:t xml:space="preserve">entendimento </w:t>
      </w:r>
      <w:r w:rsidR="003107E3" w:rsidRPr="00A867CE">
        <w:rPr>
          <w:sz w:val="22"/>
          <w:szCs w:val="22"/>
          <w:lang w:eastAsia="pt-BR"/>
        </w:rPr>
        <w:t xml:space="preserve">dominante </w:t>
      </w:r>
      <w:r w:rsidRPr="00A867CE">
        <w:rPr>
          <w:sz w:val="22"/>
          <w:szCs w:val="22"/>
          <w:lang w:eastAsia="pt-BR"/>
        </w:rPr>
        <w:t>de engenheiros e arquitetos de Tribunais de Contas do Brasil.</w:t>
      </w:r>
      <w:r w:rsidR="006645FD" w:rsidRPr="00A867CE">
        <w:rPr>
          <w:sz w:val="22"/>
          <w:szCs w:val="22"/>
          <w:lang w:eastAsia="pt-BR"/>
        </w:rPr>
        <w:t xml:space="preserve"> </w:t>
      </w:r>
      <w:r w:rsidR="003107E3" w:rsidRPr="00A867CE">
        <w:rPr>
          <w:sz w:val="22"/>
          <w:szCs w:val="22"/>
          <w:lang w:eastAsia="pt-BR"/>
        </w:rPr>
        <w:t>O relator, em face dess</w:t>
      </w:r>
      <w:r w:rsidR="000400F7" w:rsidRPr="00A867CE">
        <w:rPr>
          <w:sz w:val="22"/>
          <w:szCs w:val="22"/>
          <w:lang w:eastAsia="pt-BR"/>
        </w:rPr>
        <w:t>as contingências e e</w:t>
      </w:r>
      <w:r w:rsidR="00B90A3B" w:rsidRPr="00A867CE">
        <w:rPr>
          <w:sz w:val="22"/>
          <w:szCs w:val="22"/>
          <w:lang w:eastAsia="pt-BR"/>
        </w:rPr>
        <w:t xml:space="preserve">m linha de consonância com </w:t>
      </w:r>
      <w:r w:rsidRPr="00A867CE">
        <w:rPr>
          <w:sz w:val="22"/>
          <w:szCs w:val="22"/>
          <w:lang w:eastAsia="pt-BR"/>
        </w:rPr>
        <w:t>proposição da Sec</w:t>
      </w:r>
      <w:r w:rsidR="00B90A3B" w:rsidRPr="00A867CE">
        <w:rPr>
          <w:sz w:val="22"/>
          <w:szCs w:val="22"/>
          <w:lang w:eastAsia="pt-BR"/>
        </w:rPr>
        <w:t xml:space="preserve">retaria de Obras </w:t>
      </w:r>
      <w:r w:rsidR="000400F7" w:rsidRPr="00A867CE">
        <w:rPr>
          <w:sz w:val="22"/>
          <w:szCs w:val="22"/>
          <w:lang w:eastAsia="pt-BR"/>
        </w:rPr>
        <w:t>–</w:t>
      </w:r>
      <w:r w:rsidR="00B90A3B" w:rsidRPr="00A867CE">
        <w:rPr>
          <w:sz w:val="22"/>
          <w:szCs w:val="22"/>
          <w:lang w:eastAsia="pt-BR"/>
        </w:rPr>
        <w:t xml:space="preserve"> </w:t>
      </w:r>
      <w:r w:rsidRPr="00A867CE">
        <w:rPr>
          <w:sz w:val="22"/>
          <w:szCs w:val="22"/>
          <w:lang w:eastAsia="pt-BR"/>
        </w:rPr>
        <w:t>1</w:t>
      </w:r>
      <w:r w:rsidR="000400F7" w:rsidRPr="00A867CE">
        <w:rPr>
          <w:sz w:val="22"/>
          <w:szCs w:val="22"/>
          <w:lang w:eastAsia="pt-BR"/>
        </w:rPr>
        <w:t>,</w:t>
      </w:r>
      <w:r w:rsidRPr="00A867CE">
        <w:rPr>
          <w:sz w:val="22"/>
          <w:szCs w:val="22"/>
          <w:lang w:eastAsia="pt-BR"/>
        </w:rPr>
        <w:t xml:space="preserve"> </w:t>
      </w:r>
      <w:r w:rsidR="00B90A3B" w:rsidRPr="00A867CE">
        <w:rPr>
          <w:sz w:val="22"/>
          <w:szCs w:val="22"/>
          <w:lang w:eastAsia="pt-BR"/>
        </w:rPr>
        <w:t xml:space="preserve">entendeu pertinente, </w:t>
      </w:r>
      <w:r w:rsidR="009D51D5" w:rsidRPr="00A867CE">
        <w:rPr>
          <w:sz w:val="22"/>
          <w:szCs w:val="22"/>
          <w:lang w:eastAsia="pt-BR"/>
        </w:rPr>
        <w:t xml:space="preserve">até a edição do </w:t>
      </w:r>
      <w:r w:rsidRPr="00A867CE">
        <w:rPr>
          <w:sz w:val="22"/>
          <w:szCs w:val="22"/>
          <w:lang w:eastAsia="pt-BR"/>
        </w:rPr>
        <w:t>normati</w:t>
      </w:r>
      <w:r w:rsidR="009D51D5" w:rsidRPr="00A867CE">
        <w:rPr>
          <w:sz w:val="22"/>
          <w:szCs w:val="22"/>
          <w:lang w:eastAsia="pt-BR"/>
        </w:rPr>
        <w:t xml:space="preserve">vo </w:t>
      </w:r>
      <w:r w:rsidRPr="00A867CE">
        <w:rPr>
          <w:sz w:val="22"/>
          <w:szCs w:val="22"/>
          <w:lang w:eastAsia="pt-BR"/>
        </w:rPr>
        <w:t>pela ABNT</w:t>
      </w:r>
      <w:r w:rsidR="009D51D5" w:rsidRPr="00A867CE">
        <w:rPr>
          <w:sz w:val="22"/>
          <w:szCs w:val="22"/>
          <w:lang w:eastAsia="pt-BR"/>
        </w:rPr>
        <w:t xml:space="preserve">, que </w:t>
      </w:r>
      <w:r w:rsidRPr="00A867CE">
        <w:rPr>
          <w:sz w:val="22"/>
          <w:szCs w:val="22"/>
          <w:lang w:eastAsia="pt-BR"/>
        </w:rPr>
        <w:t xml:space="preserve">o TCU adote a orientação </w:t>
      </w:r>
      <w:r w:rsidR="009D51D5" w:rsidRPr="00A867CE">
        <w:rPr>
          <w:sz w:val="22"/>
          <w:szCs w:val="22"/>
          <w:lang w:eastAsia="pt-BR"/>
        </w:rPr>
        <w:t xml:space="preserve">do </w:t>
      </w:r>
      <w:r w:rsidR="00976D54" w:rsidRPr="00A867CE">
        <w:rPr>
          <w:sz w:val="22"/>
          <w:szCs w:val="22"/>
          <w:lang w:eastAsia="pt-BR"/>
        </w:rPr>
        <w:t xml:space="preserve">Ibraop </w:t>
      </w:r>
      <w:r w:rsidRPr="00A867CE">
        <w:rPr>
          <w:sz w:val="22"/>
          <w:szCs w:val="22"/>
          <w:lang w:eastAsia="pt-BR"/>
        </w:rPr>
        <w:t>nas auditorias de obras a seu cargo.</w:t>
      </w:r>
      <w:r w:rsidR="00976D54" w:rsidRPr="00A867CE">
        <w:rPr>
          <w:sz w:val="22"/>
          <w:szCs w:val="22"/>
          <w:lang w:eastAsia="pt-BR"/>
        </w:rPr>
        <w:t xml:space="preserve"> O Tribunal, ao ratificar essa conclusão, decidiu: “</w:t>
      </w:r>
      <w:r w:rsidRPr="00A867CE">
        <w:rPr>
          <w:i/>
          <w:sz w:val="22"/>
          <w:szCs w:val="22"/>
          <w:lang w:eastAsia="pt-BR"/>
        </w:rPr>
        <w:t>9.1. determinar à Segecex que dê conhecimento às unidades jurisdicionadas ao Tribunal</w:t>
      </w:r>
      <w:r w:rsidR="00976D54" w:rsidRPr="00A867CE">
        <w:rPr>
          <w:i/>
          <w:sz w:val="22"/>
          <w:szCs w:val="22"/>
          <w:lang w:eastAsia="pt-BR"/>
        </w:rPr>
        <w:t xml:space="preserve"> </w:t>
      </w:r>
      <w:r w:rsidRPr="00A867CE">
        <w:rPr>
          <w:i/>
          <w:sz w:val="22"/>
          <w:szCs w:val="22"/>
          <w:lang w:eastAsia="pt-BR"/>
        </w:rPr>
        <w:t xml:space="preserve">que as orientações constantes da </w:t>
      </w:r>
      <w:r w:rsidRPr="00A867CE">
        <w:rPr>
          <w:i/>
          <w:sz w:val="22"/>
          <w:szCs w:val="22"/>
          <w:u w:val="single"/>
          <w:lang w:eastAsia="pt-BR"/>
        </w:rPr>
        <w:t>OT IBR 01/2006, editada pelo Instituto Brasileiro de Obras Públicas</w:t>
      </w:r>
      <w:r w:rsidR="00976D54" w:rsidRPr="00A867CE">
        <w:rPr>
          <w:i/>
          <w:sz w:val="22"/>
          <w:szCs w:val="22"/>
          <w:u w:val="single"/>
          <w:lang w:eastAsia="pt-BR"/>
        </w:rPr>
        <w:t xml:space="preserve"> </w:t>
      </w:r>
      <w:r w:rsidRPr="00A867CE">
        <w:rPr>
          <w:i/>
          <w:sz w:val="22"/>
          <w:szCs w:val="22"/>
          <w:u w:val="single"/>
          <w:lang w:eastAsia="pt-BR"/>
        </w:rPr>
        <w:t>(Ibraop)</w:t>
      </w:r>
      <w:r w:rsidRPr="00A867CE">
        <w:rPr>
          <w:i/>
          <w:sz w:val="22"/>
          <w:szCs w:val="22"/>
          <w:lang w:eastAsia="pt-BR"/>
        </w:rPr>
        <w:t>, passarão a ser observadas por esta Corte, quando da fiscalização de obras públicas;</w:t>
      </w:r>
      <w:r w:rsidR="00976D54" w:rsidRPr="00A867CE">
        <w:rPr>
          <w:i/>
          <w:sz w:val="22"/>
          <w:szCs w:val="22"/>
          <w:lang w:eastAsia="pt-BR"/>
        </w:rPr>
        <w:t xml:space="preserve"> </w:t>
      </w:r>
      <w:r w:rsidRPr="00A867CE">
        <w:rPr>
          <w:i/>
          <w:sz w:val="22"/>
          <w:szCs w:val="22"/>
          <w:lang w:eastAsia="pt-BR"/>
        </w:rPr>
        <w:t>9.1.1. para os órgãos/entidades que dispõem de normativos próprios para regular a</w:t>
      </w:r>
      <w:r w:rsidR="00976D54" w:rsidRPr="00A867CE">
        <w:rPr>
          <w:i/>
          <w:sz w:val="22"/>
          <w:szCs w:val="22"/>
          <w:lang w:eastAsia="pt-BR"/>
        </w:rPr>
        <w:t xml:space="preserve"> </w:t>
      </w:r>
      <w:r w:rsidRPr="00A867CE">
        <w:rPr>
          <w:i/>
          <w:sz w:val="22"/>
          <w:szCs w:val="22"/>
          <w:lang w:eastAsia="pt-BR"/>
        </w:rPr>
        <w:t>elaboração de projetos básicos das obras por eles licitadas e contratadas, os conceitos da referida</w:t>
      </w:r>
      <w:r w:rsidR="00976D54" w:rsidRPr="00A867CE">
        <w:rPr>
          <w:i/>
          <w:sz w:val="22"/>
          <w:szCs w:val="22"/>
          <w:lang w:eastAsia="pt-BR"/>
        </w:rPr>
        <w:t xml:space="preserve"> </w:t>
      </w:r>
      <w:r w:rsidRPr="00A867CE">
        <w:rPr>
          <w:i/>
          <w:sz w:val="22"/>
          <w:szCs w:val="22"/>
          <w:lang w:eastAsia="pt-BR"/>
        </w:rPr>
        <w:t>norma serão aplicados subsidiariamente;</w:t>
      </w:r>
      <w:r w:rsidR="00976D54" w:rsidRPr="00A867CE">
        <w:rPr>
          <w:i/>
          <w:sz w:val="22"/>
          <w:szCs w:val="22"/>
          <w:lang w:eastAsia="pt-BR"/>
        </w:rPr>
        <w:t xml:space="preserve"> </w:t>
      </w:r>
      <w:r w:rsidRPr="00A867CE">
        <w:rPr>
          <w:i/>
          <w:sz w:val="22"/>
          <w:szCs w:val="22"/>
          <w:lang w:eastAsia="pt-BR"/>
        </w:rPr>
        <w:t>9.1.2. a adoção da OT IBR 01/2006 não dispensa os gestores de providenciar os elementos</w:t>
      </w:r>
      <w:r w:rsidR="00976D54" w:rsidRPr="00A867CE">
        <w:rPr>
          <w:i/>
          <w:sz w:val="22"/>
          <w:szCs w:val="22"/>
          <w:lang w:eastAsia="pt-BR"/>
        </w:rPr>
        <w:t xml:space="preserve"> </w:t>
      </w:r>
      <w:r w:rsidRPr="00A867CE">
        <w:rPr>
          <w:i/>
          <w:sz w:val="22"/>
          <w:szCs w:val="22"/>
          <w:lang w:eastAsia="pt-BR"/>
        </w:rPr>
        <w:t>técnicos adicionais, decorrentes das especificidades de cada obra auditada</w:t>
      </w:r>
      <w:r w:rsidR="00BE2B7A" w:rsidRPr="00A867CE">
        <w:rPr>
          <w:i/>
          <w:sz w:val="22"/>
          <w:szCs w:val="22"/>
          <w:lang w:eastAsia="pt-BR"/>
        </w:rPr>
        <w:t xml:space="preserve">; 9.2. determinar à Segecex que, nas fiscalizações de futuras licitações de obras públicas, passe a </w:t>
      </w:r>
      <w:r w:rsidR="00BE2B7A" w:rsidRPr="00A867CE">
        <w:rPr>
          <w:i/>
          <w:sz w:val="22"/>
          <w:szCs w:val="22"/>
          <w:u w:val="single"/>
          <w:lang w:eastAsia="pt-BR"/>
        </w:rPr>
        <w:t>avaliar a compatibilidade, do projeto básico com a OT IBR 01/2006</w:t>
      </w:r>
      <w:r w:rsidR="00BE2B7A" w:rsidRPr="00A867CE">
        <w:rPr>
          <w:i/>
          <w:sz w:val="22"/>
          <w:szCs w:val="22"/>
          <w:lang w:eastAsia="pt-BR"/>
        </w:rPr>
        <w:t xml:space="preserve"> e, na hipótese de inconformidades relevantes, represente ao relator com proposta de providências</w:t>
      </w:r>
      <w:r w:rsidR="00976D54" w:rsidRPr="00A867CE">
        <w:rPr>
          <w:sz w:val="22"/>
          <w:szCs w:val="22"/>
          <w:lang w:eastAsia="pt-BR"/>
        </w:rPr>
        <w:t>”</w:t>
      </w:r>
      <w:r w:rsidR="00C703C2" w:rsidRPr="00A867CE">
        <w:rPr>
          <w:sz w:val="22"/>
          <w:szCs w:val="22"/>
          <w:lang w:eastAsia="pt-BR"/>
        </w:rPr>
        <w:t xml:space="preserve"> - grifou-se</w:t>
      </w:r>
      <w:r w:rsidR="00BE2B7A" w:rsidRPr="00A867CE">
        <w:rPr>
          <w:sz w:val="22"/>
          <w:szCs w:val="22"/>
          <w:lang w:eastAsia="pt-BR"/>
        </w:rPr>
        <w:t>.</w:t>
      </w:r>
      <w:r w:rsidR="00976D54" w:rsidRPr="00A867CE">
        <w:rPr>
          <w:sz w:val="22"/>
          <w:szCs w:val="22"/>
          <w:lang w:eastAsia="pt-BR"/>
        </w:rPr>
        <w:t xml:space="preserve"> </w:t>
      </w:r>
      <w:r w:rsidRPr="00A867CE">
        <w:rPr>
          <w:b/>
          <w:i/>
          <w:sz w:val="22"/>
          <w:szCs w:val="22"/>
        </w:rPr>
        <w:t>Acórdão n.º</w:t>
      </w:r>
      <w:r w:rsidR="000400F7" w:rsidRPr="00A867CE">
        <w:rPr>
          <w:b/>
          <w:i/>
          <w:sz w:val="22"/>
          <w:szCs w:val="22"/>
        </w:rPr>
        <w:t xml:space="preserve"> 632</w:t>
      </w:r>
      <w:r w:rsidRPr="00A867CE">
        <w:rPr>
          <w:b/>
          <w:i/>
          <w:sz w:val="22"/>
          <w:szCs w:val="22"/>
        </w:rPr>
        <w:t xml:space="preserve">/2012-Plenário, TC </w:t>
      </w:r>
      <w:r w:rsidRPr="00A867CE">
        <w:rPr>
          <w:b/>
          <w:i/>
          <w:sz w:val="22"/>
          <w:szCs w:val="22"/>
          <w:lang w:eastAsia="pt-BR"/>
        </w:rPr>
        <w:t>002.089/2012-2</w:t>
      </w:r>
      <w:r w:rsidRPr="00A867CE">
        <w:rPr>
          <w:b/>
          <w:i/>
          <w:sz w:val="22"/>
          <w:szCs w:val="22"/>
        </w:rPr>
        <w:t>, rel. Min. José Jorge, 21.3.2012.</w:t>
      </w:r>
    </w:p>
    <w:p w:rsidR="0007588B" w:rsidRPr="00A867CE" w:rsidRDefault="0007588B" w:rsidP="00E30339">
      <w:pPr>
        <w:autoSpaceDE w:val="0"/>
        <w:autoSpaceDN w:val="0"/>
        <w:adjustRightInd w:val="0"/>
        <w:spacing w:after="0"/>
        <w:ind w:left="0"/>
        <w:rPr>
          <w:b/>
          <w:sz w:val="22"/>
          <w:szCs w:val="22"/>
        </w:rPr>
      </w:pPr>
    </w:p>
    <w:p w:rsidR="00BF214C" w:rsidRPr="00A867CE" w:rsidRDefault="00F567ED" w:rsidP="00D16A06">
      <w:pPr>
        <w:pStyle w:val="Default"/>
        <w:jc w:val="both"/>
        <w:rPr>
          <w:b/>
          <w:sz w:val="22"/>
          <w:szCs w:val="22"/>
        </w:rPr>
      </w:pPr>
      <w:r w:rsidRPr="00A867CE">
        <w:rPr>
          <w:b/>
          <w:iCs/>
          <w:sz w:val="22"/>
          <w:szCs w:val="22"/>
        </w:rPr>
        <w:t xml:space="preserve">A condução de certame licitatório com utilização de projeto básico desatualizado afronta o disposto no </w:t>
      </w:r>
      <w:r w:rsidRPr="00A867CE">
        <w:rPr>
          <w:rFonts w:eastAsia="MS Mincho"/>
          <w:b/>
          <w:sz w:val="22"/>
          <w:szCs w:val="22"/>
        </w:rPr>
        <w:t>inciso IX do art. 6º da Lei nº 8.666/93 e sujeita os agentes responsáveis à multa do art. 58, inciso II, da Lei nº 8.443/1992</w:t>
      </w:r>
    </w:p>
    <w:p w:rsidR="000B0396" w:rsidRPr="00A867CE" w:rsidRDefault="000B0396" w:rsidP="00A946F5">
      <w:pPr>
        <w:pStyle w:val="Default"/>
        <w:jc w:val="both"/>
        <w:rPr>
          <w:b/>
          <w:i/>
          <w:sz w:val="22"/>
          <w:szCs w:val="22"/>
        </w:rPr>
      </w:pPr>
      <w:r w:rsidRPr="00A867CE">
        <w:rPr>
          <w:sz w:val="22"/>
          <w:szCs w:val="22"/>
        </w:rPr>
        <w:t xml:space="preserve"> Levantamento de auditoria </w:t>
      </w:r>
      <w:r w:rsidR="00BF214C" w:rsidRPr="00A867CE">
        <w:rPr>
          <w:sz w:val="22"/>
          <w:szCs w:val="22"/>
        </w:rPr>
        <w:t xml:space="preserve">em </w:t>
      </w:r>
      <w:r w:rsidRPr="00A867CE">
        <w:rPr>
          <w:sz w:val="22"/>
          <w:szCs w:val="22"/>
        </w:rPr>
        <w:t>obras de duplicação d</w:t>
      </w:r>
      <w:r w:rsidR="00BF214C" w:rsidRPr="00A867CE">
        <w:rPr>
          <w:sz w:val="22"/>
          <w:szCs w:val="22"/>
        </w:rPr>
        <w:t>o</w:t>
      </w:r>
      <w:r w:rsidRPr="00A867CE">
        <w:rPr>
          <w:sz w:val="22"/>
          <w:szCs w:val="22"/>
        </w:rPr>
        <w:t xml:space="preserve"> trecho rodoviário </w:t>
      </w:r>
      <w:r w:rsidR="00BF214C" w:rsidRPr="00A867CE">
        <w:rPr>
          <w:sz w:val="22"/>
          <w:szCs w:val="22"/>
        </w:rPr>
        <w:t xml:space="preserve">Santa Cruz (km 385,8) - Itacoruçá (km 411,96), </w:t>
      </w:r>
      <w:r w:rsidRPr="00A867CE">
        <w:rPr>
          <w:sz w:val="22"/>
          <w:szCs w:val="22"/>
        </w:rPr>
        <w:t>na BR-101, no estado do Rio de Janeiro</w:t>
      </w:r>
      <w:r w:rsidR="00BF214C" w:rsidRPr="00A867CE">
        <w:rPr>
          <w:sz w:val="22"/>
          <w:szCs w:val="22"/>
        </w:rPr>
        <w:t xml:space="preserve">, </w:t>
      </w:r>
      <w:r w:rsidRPr="00A867CE">
        <w:rPr>
          <w:sz w:val="22"/>
          <w:szCs w:val="22"/>
        </w:rPr>
        <w:t xml:space="preserve">e </w:t>
      </w:r>
      <w:r w:rsidR="00CC3CA7" w:rsidRPr="00A867CE">
        <w:rPr>
          <w:sz w:val="22"/>
          <w:szCs w:val="22"/>
        </w:rPr>
        <w:t>de</w:t>
      </w:r>
      <w:r w:rsidRPr="00A867CE">
        <w:rPr>
          <w:sz w:val="22"/>
          <w:szCs w:val="22"/>
        </w:rPr>
        <w:t xml:space="preserve"> construção do acesso ao Porto de Sepetiba, no km 403,5 da BR-101/RJ, conduzidas pelo DNIT, revelou indícios de irregularidades n</w:t>
      </w:r>
      <w:r w:rsidR="00BF214C" w:rsidRPr="00A867CE">
        <w:rPr>
          <w:sz w:val="22"/>
          <w:szCs w:val="22"/>
        </w:rPr>
        <w:t>o</w:t>
      </w:r>
      <w:r w:rsidRPr="00A867CE">
        <w:rPr>
          <w:sz w:val="22"/>
          <w:szCs w:val="22"/>
        </w:rPr>
        <w:t xml:space="preserve"> procedimento licitatório que antecedeu a celebração do </w:t>
      </w:r>
      <w:r w:rsidRPr="00A867CE">
        <w:rPr>
          <w:iCs/>
          <w:sz w:val="22"/>
          <w:szCs w:val="22"/>
        </w:rPr>
        <w:t>Contrato TT-227/2006-00 e em sua execução</w:t>
      </w:r>
      <w:r w:rsidRPr="00A867CE">
        <w:rPr>
          <w:i/>
          <w:iCs/>
          <w:sz w:val="22"/>
          <w:szCs w:val="22"/>
        </w:rPr>
        <w:t xml:space="preserve">. </w:t>
      </w:r>
      <w:r w:rsidRPr="00A867CE">
        <w:rPr>
          <w:iCs/>
          <w:sz w:val="22"/>
          <w:szCs w:val="22"/>
        </w:rPr>
        <w:t>Destaque-se, entre as ocorrências apuradas, a realização do procedimento licitatório nº 105/2006, “</w:t>
      </w:r>
      <w:r w:rsidRPr="00A867CE">
        <w:rPr>
          <w:i/>
          <w:iCs/>
          <w:sz w:val="22"/>
          <w:szCs w:val="22"/>
        </w:rPr>
        <w:t xml:space="preserve">com projeto básico desatualizado, </w:t>
      </w:r>
      <w:r w:rsidRPr="00A867CE">
        <w:rPr>
          <w:rFonts w:eastAsia="MS Mincho"/>
          <w:i/>
          <w:sz w:val="22"/>
          <w:szCs w:val="22"/>
        </w:rPr>
        <w:t>em desacordo com o estabelecido no inciso IX do art. 6º da Lei nº 8.666/93, e que se mostrou inadequado às condições locais da obra, culminando em alterações substanciais em serviços necessários à execução da obra</w:t>
      </w:r>
      <w:r w:rsidRPr="00A867CE">
        <w:rPr>
          <w:rFonts w:eastAsia="MS Mincho"/>
          <w:sz w:val="22"/>
          <w:szCs w:val="22"/>
        </w:rPr>
        <w:t>”</w:t>
      </w:r>
      <w:r w:rsidR="00984898" w:rsidRPr="00A867CE">
        <w:rPr>
          <w:rFonts w:eastAsia="MS Mincho"/>
          <w:sz w:val="22"/>
          <w:szCs w:val="22"/>
        </w:rPr>
        <w:t xml:space="preserve">, imputada a ex-Diretor Geral do Dnit. </w:t>
      </w:r>
      <w:r w:rsidR="00984898" w:rsidRPr="00A867CE">
        <w:rPr>
          <w:color w:val="auto"/>
          <w:sz w:val="22"/>
          <w:szCs w:val="22"/>
        </w:rPr>
        <w:t>Também foram ouvidos em audiência</w:t>
      </w:r>
      <w:r w:rsidR="00B64B42">
        <w:rPr>
          <w:color w:val="auto"/>
          <w:sz w:val="22"/>
          <w:szCs w:val="22"/>
        </w:rPr>
        <w:t xml:space="preserve"> o</w:t>
      </w:r>
      <w:r w:rsidR="00984898" w:rsidRPr="00A867CE">
        <w:rPr>
          <w:color w:val="auto"/>
          <w:sz w:val="22"/>
          <w:szCs w:val="22"/>
        </w:rPr>
        <w:t xml:space="preserve"> ex-Coordenador-Geral de Construção Rodoviária, por haver solicitado a elaboração de edital da referida licitação com projetos básicos desatualizados, e</w:t>
      </w:r>
      <w:r w:rsidR="00B64B42">
        <w:rPr>
          <w:color w:val="auto"/>
          <w:sz w:val="22"/>
          <w:szCs w:val="22"/>
        </w:rPr>
        <w:t xml:space="preserve"> o</w:t>
      </w:r>
      <w:r w:rsidR="00984898" w:rsidRPr="00A867CE">
        <w:rPr>
          <w:color w:val="auto"/>
          <w:sz w:val="22"/>
          <w:szCs w:val="22"/>
        </w:rPr>
        <w:t xml:space="preserve"> ex-Diretor de Infraestrutura Terrestre por  aprovar a proposta de licitação, a despeito de ter sido elaborada com base em projeto básico deficiente. </w:t>
      </w:r>
      <w:r w:rsidRPr="00A867CE">
        <w:rPr>
          <w:rFonts w:eastAsia="MS Mincho"/>
          <w:sz w:val="22"/>
          <w:szCs w:val="22"/>
        </w:rPr>
        <w:t>Em resposta</w:t>
      </w:r>
      <w:r w:rsidR="00BF214C" w:rsidRPr="00A867CE">
        <w:rPr>
          <w:rFonts w:eastAsia="MS Mincho"/>
          <w:sz w:val="22"/>
          <w:szCs w:val="22"/>
        </w:rPr>
        <w:t>,</w:t>
      </w:r>
      <w:r w:rsidRPr="00A867CE">
        <w:rPr>
          <w:rFonts w:eastAsia="MS Mincho"/>
          <w:sz w:val="22"/>
          <w:szCs w:val="22"/>
        </w:rPr>
        <w:t xml:space="preserve"> </w:t>
      </w:r>
      <w:r w:rsidR="00984898" w:rsidRPr="00A867CE">
        <w:rPr>
          <w:rFonts w:eastAsia="MS Mincho"/>
          <w:sz w:val="22"/>
          <w:szCs w:val="22"/>
        </w:rPr>
        <w:t xml:space="preserve">o </w:t>
      </w:r>
      <w:r w:rsidRPr="00A867CE">
        <w:rPr>
          <w:rFonts w:eastAsia="MS Mincho"/>
          <w:sz w:val="22"/>
          <w:szCs w:val="22"/>
        </w:rPr>
        <w:t xml:space="preserve">ex-Diretor Geral do Dnit ressaltou a </w:t>
      </w:r>
      <w:r w:rsidRPr="00A867CE">
        <w:rPr>
          <w:iCs/>
          <w:sz w:val="22"/>
          <w:szCs w:val="22"/>
        </w:rPr>
        <w:t>importância da BR-101/RJ para a malha viária do país como eixo de escoamento para a exportação da produção industrial da região sudeste e como via de transporte de passageiros e turismo.  Alegou, em especial, que</w:t>
      </w:r>
      <w:r w:rsidR="00CC3CA7" w:rsidRPr="00A867CE">
        <w:rPr>
          <w:iCs/>
          <w:sz w:val="22"/>
          <w:szCs w:val="22"/>
        </w:rPr>
        <w:t>,</w:t>
      </w:r>
      <w:r w:rsidRPr="00A867CE">
        <w:rPr>
          <w:iCs/>
          <w:sz w:val="22"/>
          <w:szCs w:val="22"/>
        </w:rPr>
        <w:t xml:space="preserve"> ao perceber</w:t>
      </w:r>
      <w:r w:rsidRPr="00A867CE">
        <w:rPr>
          <w:i/>
          <w:iCs/>
          <w:sz w:val="22"/>
          <w:szCs w:val="22"/>
        </w:rPr>
        <w:t xml:space="preserve"> “a significativa demanda de infraestrutura pela qual a região enfrentava e ainda enfrenta, não poderia o Gestor tomar outra decisão senão a que mais atendia ao Interesse Público, qual seja, a implementação imediata das obras de duplicação da rodovia</w:t>
      </w:r>
      <w:r w:rsidRPr="00A867CE">
        <w:rPr>
          <w:iCs/>
          <w:sz w:val="22"/>
          <w:szCs w:val="22"/>
        </w:rPr>
        <w:t>”. O relator</w:t>
      </w:r>
      <w:r w:rsidR="00984898" w:rsidRPr="00A867CE">
        <w:rPr>
          <w:iCs/>
          <w:sz w:val="22"/>
          <w:szCs w:val="22"/>
        </w:rPr>
        <w:t>, entretanto,</w:t>
      </w:r>
      <w:r w:rsidRPr="00A867CE">
        <w:rPr>
          <w:iCs/>
          <w:sz w:val="22"/>
          <w:szCs w:val="22"/>
        </w:rPr>
        <w:t xml:space="preserve"> ao endossar as conclusões de Secretaria de Obras do Tribunal, </w:t>
      </w:r>
      <w:r w:rsidR="00984898" w:rsidRPr="00A867CE">
        <w:rPr>
          <w:iCs/>
          <w:sz w:val="22"/>
          <w:szCs w:val="22"/>
        </w:rPr>
        <w:t xml:space="preserve">ponderou que </w:t>
      </w:r>
      <w:r w:rsidRPr="00A867CE">
        <w:rPr>
          <w:iCs/>
          <w:sz w:val="22"/>
          <w:szCs w:val="22"/>
        </w:rPr>
        <w:t>“</w:t>
      </w:r>
      <w:r w:rsidRPr="00A867CE">
        <w:rPr>
          <w:i/>
          <w:color w:val="auto"/>
          <w:sz w:val="22"/>
          <w:szCs w:val="22"/>
        </w:rPr>
        <w:t>o ex-Diretor-Geral preferiu assumir os riscos de prosseguir na licitação, mesmo sabendo que os projetos disponíveis, elaborados em licitações anteriores, já revogadas, teriam que sofrer atualizações, não apenas em função do tempo decorrido desde sua elaboração, mas também em razão da integração da obra de duplicação com os demais projetos de grande porte a serem desenvolvidos na mesma região</w:t>
      </w:r>
      <w:r w:rsidRPr="00A867CE">
        <w:rPr>
          <w:color w:val="auto"/>
          <w:sz w:val="22"/>
          <w:szCs w:val="22"/>
        </w:rPr>
        <w:t>”. Também em relação a</w:t>
      </w:r>
      <w:r w:rsidR="00AB708C" w:rsidRPr="00A867CE">
        <w:rPr>
          <w:color w:val="auto"/>
          <w:sz w:val="22"/>
          <w:szCs w:val="22"/>
        </w:rPr>
        <w:t xml:space="preserve">os outros </w:t>
      </w:r>
      <w:r w:rsidRPr="00A867CE">
        <w:rPr>
          <w:color w:val="auto"/>
          <w:sz w:val="22"/>
          <w:szCs w:val="22"/>
        </w:rPr>
        <w:t>dois agentes</w:t>
      </w:r>
      <w:r w:rsidR="00AB708C" w:rsidRPr="00A867CE">
        <w:rPr>
          <w:color w:val="auto"/>
          <w:sz w:val="22"/>
          <w:szCs w:val="22"/>
        </w:rPr>
        <w:t xml:space="preserve"> acima mencionados</w:t>
      </w:r>
      <w:r w:rsidRPr="00A867CE">
        <w:rPr>
          <w:color w:val="auto"/>
          <w:sz w:val="22"/>
          <w:szCs w:val="22"/>
        </w:rPr>
        <w:t xml:space="preserve">, considerou </w:t>
      </w:r>
      <w:r w:rsidR="00056268" w:rsidRPr="00A867CE">
        <w:rPr>
          <w:color w:val="auto"/>
          <w:sz w:val="22"/>
          <w:szCs w:val="22"/>
        </w:rPr>
        <w:t xml:space="preserve">insatisfatórias </w:t>
      </w:r>
      <w:r w:rsidRPr="00A867CE">
        <w:rPr>
          <w:color w:val="auto"/>
          <w:sz w:val="22"/>
          <w:szCs w:val="22"/>
        </w:rPr>
        <w:t xml:space="preserve">as justificativas apresentadas. O Tribunal, então, ao acolher proposta do relator </w:t>
      </w:r>
      <w:r w:rsidR="00AB708C" w:rsidRPr="00A867CE">
        <w:rPr>
          <w:color w:val="auto"/>
          <w:sz w:val="22"/>
          <w:szCs w:val="22"/>
        </w:rPr>
        <w:t>e após levar em conta outras irregularidades cometidas por esses agentes, decidiu</w:t>
      </w:r>
      <w:r w:rsidRPr="00A867CE">
        <w:rPr>
          <w:color w:val="auto"/>
          <w:sz w:val="22"/>
          <w:szCs w:val="22"/>
        </w:rPr>
        <w:t xml:space="preserve">: a) rejeitar as </w:t>
      </w:r>
      <w:r w:rsidR="00056268" w:rsidRPr="00A867CE">
        <w:rPr>
          <w:color w:val="auto"/>
          <w:sz w:val="22"/>
          <w:szCs w:val="22"/>
        </w:rPr>
        <w:t xml:space="preserve">respectivas </w:t>
      </w:r>
      <w:r w:rsidRPr="00A867CE">
        <w:rPr>
          <w:color w:val="auto"/>
          <w:sz w:val="22"/>
          <w:szCs w:val="22"/>
        </w:rPr>
        <w:t>razões de justificativas; b) aplicar a cada um deles multa do art. 58</w:t>
      </w:r>
      <w:r w:rsidR="00561058" w:rsidRPr="00A867CE">
        <w:rPr>
          <w:color w:val="auto"/>
          <w:sz w:val="22"/>
          <w:szCs w:val="22"/>
        </w:rPr>
        <w:t>, inciso II,</w:t>
      </w:r>
      <w:r w:rsidRPr="00A867CE">
        <w:rPr>
          <w:color w:val="auto"/>
          <w:sz w:val="22"/>
          <w:szCs w:val="22"/>
        </w:rPr>
        <w:t xml:space="preserve"> da lei nº 8.443/1992, em valores distintos. </w:t>
      </w:r>
      <w:r w:rsidRPr="00A867CE">
        <w:rPr>
          <w:b/>
          <w:i/>
          <w:sz w:val="22"/>
          <w:szCs w:val="22"/>
        </w:rPr>
        <w:t>Acórdão n.º</w:t>
      </w:r>
      <w:r w:rsidR="00390853" w:rsidRPr="00A867CE">
        <w:rPr>
          <w:b/>
          <w:i/>
          <w:sz w:val="22"/>
          <w:szCs w:val="22"/>
        </w:rPr>
        <w:t xml:space="preserve"> 645</w:t>
      </w:r>
      <w:r w:rsidRPr="00A867CE">
        <w:rPr>
          <w:b/>
          <w:i/>
          <w:sz w:val="22"/>
          <w:szCs w:val="22"/>
        </w:rPr>
        <w:t xml:space="preserve">/2012-Plenário, TC </w:t>
      </w:r>
      <w:r w:rsidR="00390853" w:rsidRPr="00A867CE">
        <w:rPr>
          <w:b/>
          <w:i/>
          <w:sz w:val="22"/>
          <w:szCs w:val="22"/>
        </w:rPr>
        <w:t>007.286/2008-3</w:t>
      </w:r>
      <w:r w:rsidRPr="00A867CE">
        <w:rPr>
          <w:b/>
          <w:i/>
          <w:sz w:val="22"/>
          <w:szCs w:val="22"/>
        </w:rPr>
        <w:t>, rel. Min. José Múcio Monteiro, 21.3.2012.</w:t>
      </w:r>
    </w:p>
    <w:p w:rsidR="000A07B4" w:rsidRPr="00A867CE" w:rsidRDefault="000A07B4" w:rsidP="00A946F5">
      <w:pPr>
        <w:autoSpaceDE w:val="0"/>
        <w:autoSpaceDN w:val="0"/>
        <w:adjustRightInd w:val="0"/>
        <w:spacing w:after="0"/>
        <w:ind w:left="0"/>
        <w:rPr>
          <w:b/>
          <w:sz w:val="22"/>
          <w:szCs w:val="22"/>
        </w:rPr>
      </w:pPr>
    </w:p>
    <w:p w:rsidR="0007588B" w:rsidRPr="00A867CE" w:rsidRDefault="00F567ED" w:rsidP="0007588B">
      <w:pPr>
        <w:autoSpaceDE w:val="0"/>
        <w:autoSpaceDN w:val="0"/>
        <w:adjustRightInd w:val="0"/>
        <w:spacing w:after="0"/>
        <w:ind w:left="0"/>
        <w:rPr>
          <w:b/>
          <w:iCs/>
          <w:sz w:val="22"/>
          <w:szCs w:val="22"/>
        </w:rPr>
      </w:pPr>
      <w:r w:rsidRPr="00A867CE">
        <w:rPr>
          <w:b/>
          <w:iCs/>
          <w:sz w:val="22"/>
          <w:szCs w:val="22"/>
        </w:rPr>
        <w:t>A contratação direta de escritórios de advocacia pressupõe demonstração que os serviços pretendidos possuem natureza singular, incomum, e que ser</w:t>
      </w:r>
      <w:r w:rsidR="00F65006">
        <w:rPr>
          <w:b/>
          <w:iCs/>
          <w:sz w:val="22"/>
          <w:szCs w:val="22"/>
        </w:rPr>
        <w:t>ão</w:t>
      </w:r>
      <w:r w:rsidRPr="00A867CE">
        <w:rPr>
          <w:b/>
          <w:iCs/>
          <w:sz w:val="22"/>
          <w:szCs w:val="22"/>
        </w:rPr>
        <w:t xml:space="preserve"> prestados por empresa ou profissionais de notória especialização</w:t>
      </w:r>
    </w:p>
    <w:p w:rsidR="004E4561" w:rsidRPr="00A867CE" w:rsidRDefault="004E4561" w:rsidP="004E4561">
      <w:pPr>
        <w:autoSpaceDE w:val="0"/>
        <w:autoSpaceDN w:val="0"/>
        <w:adjustRightInd w:val="0"/>
        <w:spacing w:after="0"/>
        <w:ind w:left="0"/>
        <w:rPr>
          <w:b/>
          <w:i/>
          <w:sz w:val="22"/>
          <w:szCs w:val="22"/>
        </w:rPr>
      </w:pPr>
      <w:r w:rsidRPr="00A867CE">
        <w:rPr>
          <w:iCs/>
          <w:sz w:val="22"/>
          <w:szCs w:val="22"/>
        </w:rPr>
        <w:t>Representação apontou supostas irregularidades em contratações de escritórios de advocacia, sem licitação, efetuadas por diversos conselhos de representação profissional do estado do Paraná, com fundamento nos comandos contidos no art. 25, II, c/c art. 13, da Lei n. 8.666/1993. O Tribunal, por meio do Acórdão nº. 1.886/2007 – 2ª Câmara, após considerar as razões de justificativas de vários agentes, impôs sanção a responsáveis dessas entidades, por considerar ilegais tais contratações. Em seguida, porém</w:t>
      </w:r>
      <w:r w:rsidR="00056268" w:rsidRPr="00A867CE">
        <w:rPr>
          <w:iCs/>
          <w:sz w:val="22"/>
          <w:szCs w:val="22"/>
        </w:rPr>
        <w:t>,</w:t>
      </w:r>
      <w:r w:rsidRPr="00A867CE">
        <w:rPr>
          <w:iCs/>
          <w:sz w:val="22"/>
          <w:szCs w:val="22"/>
        </w:rPr>
        <w:t xml:space="preserve"> decidiu anular apenação imposta a um desses agentes, em razão de violação da garantia do contraditório. O Tribunal determinou, então, a realização de audiência de ex-Diretor do Conselho Regional de Contabilidade daquele estado. Ao examinar as razões de justificativas apresentadas, o relator ressaltou ser possível, em tese, a contratação direta dos citados serviços, com suporte no que dispõe o art. 25, II, da Lei n. 8.666/1993, por estar abrangida pelo art. 13 dessa mesma lei (“</w:t>
      </w:r>
      <w:r w:rsidRPr="00A867CE">
        <w:rPr>
          <w:i/>
          <w:iCs/>
          <w:sz w:val="22"/>
          <w:szCs w:val="22"/>
        </w:rPr>
        <w:t>serviços técnicos profissionais especializados</w:t>
      </w:r>
      <w:r w:rsidRPr="00A867CE">
        <w:rPr>
          <w:iCs/>
          <w:sz w:val="22"/>
          <w:szCs w:val="22"/>
        </w:rPr>
        <w:t>”). Entretanto, para isso ocorra, seria indispensável demonstrar que o serviço contratado possui natureza singular e que seria prestado por empresa ou profissionais de notória especialização. E mais: “</w:t>
      </w:r>
      <w:r w:rsidRPr="00A867CE">
        <w:rPr>
          <w:i/>
          <w:iCs/>
          <w:sz w:val="22"/>
          <w:szCs w:val="22"/>
        </w:rPr>
        <w:t xml:space="preserve">A natureza singular se caracteriza como uma </w:t>
      </w:r>
      <w:r w:rsidRPr="00A867CE">
        <w:rPr>
          <w:i/>
          <w:iCs/>
          <w:sz w:val="22"/>
          <w:szCs w:val="22"/>
          <w:u w:val="single"/>
        </w:rPr>
        <w:t>situação anômala, incomum, impossível de ser enfrentada satisfatoriamente por todo e qualquer profissional ‘especializado’</w:t>
      </w:r>
      <w:r w:rsidRPr="00A867CE">
        <w:rPr>
          <w:i/>
          <w:iCs/>
          <w:sz w:val="22"/>
          <w:szCs w:val="22"/>
        </w:rPr>
        <w:t xml:space="preserve">. Envolve os casos que demandam </w:t>
      </w:r>
      <w:r w:rsidRPr="00A867CE">
        <w:rPr>
          <w:i/>
          <w:iCs/>
          <w:sz w:val="22"/>
          <w:szCs w:val="22"/>
          <w:u w:val="single"/>
        </w:rPr>
        <w:t>mais do que a simples especialização</w:t>
      </w:r>
      <w:r w:rsidRPr="00A867CE">
        <w:rPr>
          <w:i/>
          <w:iCs/>
          <w:sz w:val="22"/>
          <w:szCs w:val="22"/>
        </w:rPr>
        <w:t>, pois apresentam complexidades que impedem obtenção de solução satisfatória a partir da contratação de qualquer profissional (ainda que especializado)</w:t>
      </w:r>
      <w:r w:rsidRPr="00A867CE">
        <w:rPr>
          <w:iCs/>
          <w:sz w:val="22"/>
          <w:szCs w:val="22"/>
        </w:rPr>
        <w:t>” - grifou-se. Não se demonstrou, porém, que as causas judiciais que constituíram objeto da contratação se revestiam de tais peculiaridades. Acrescentou o relator que a existência de parecer da assessoria jurídica da autarquia respaldando a contratação, por si só, não é capaz de isentar o citado agente de responsabilização, consoante se depreende de orientação contida em diversas decisões do TCU. Com base nos fundamentos apresentados pelo relator, o Tribunal decidiu aplicar ao responsável multa prevista no art. 58, inciso II, da Lei n. 8.443/1992, no valor de R$ 2.000,00. Precedentes mencionados: Acórdãos n</w:t>
      </w:r>
      <w:r w:rsidR="00DF330B" w:rsidRPr="00A867CE">
        <w:rPr>
          <w:iCs/>
          <w:sz w:val="22"/>
          <w:szCs w:val="22"/>
        </w:rPr>
        <w:t>º</w:t>
      </w:r>
      <w:r w:rsidRPr="00A867CE">
        <w:rPr>
          <w:iCs/>
          <w:sz w:val="22"/>
          <w:szCs w:val="22"/>
        </w:rPr>
        <w:t xml:space="preserve">s </w:t>
      </w:r>
      <w:r w:rsidR="00B64B42" w:rsidRPr="00A867CE">
        <w:rPr>
          <w:iCs/>
          <w:sz w:val="22"/>
          <w:szCs w:val="22"/>
        </w:rPr>
        <w:t>1.528/2010</w:t>
      </w:r>
      <w:r w:rsidR="00B64B42">
        <w:rPr>
          <w:iCs/>
          <w:sz w:val="22"/>
          <w:szCs w:val="22"/>
        </w:rPr>
        <w:t xml:space="preserve">, </w:t>
      </w:r>
      <w:r w:rsidRPr="00A867CE">
        <w:rPr>
          <w:iCs/>
          <w:sz w:val="22"/>
          <w:szCs w:val="22"/>
        </w:rPr>
        <w:t xml:space="preserve">1.736/2010, 2.748/2010 e </w:t>
      </w:r>
      <w:r w:rsidR="00B64B42" w:rsidRPr="00A867CE">
        <w:rPr>
          <w:iCs/>
          <w:sz w:val="22"/>
          <w:szCs w:val="22"/>
        </w:rPr>
        <w:t>179/2011</w:t>
      </w:r>
      <w:r w:rsidR="00B64B42">
        <w:rPr>
          <w:iCs/>
          <w:sz w:val="22"/>
          <w:szCs w:val="22"/>
        </w:rPr>
        <w:t xml:space="preserve"> </w:t>
      </w:r>
      <w:r w:rsidRPr="00A867CE">
        <w:rPr>
          <w:iCs/>
          <w:sz w:val="22"/>
          <w:szCs w:val="22"/>
        </w:rPr>
        <w:t xml:space="preserve">do Plenário, e 4.420/2010, da 2ª Câmara. </w:t>
      </w:r>
      <w:r w:rsidR="00B64B42">
        <w:rPr>
          <w:b/>
          <w:i/>
          <w:sz w:val="22"/>
          <w:szCs w:val="22"/>
        </w:rPr>
        <w:t>Acórdão n.º</w:t>
      </w:r>
      <w:r w:rsidRPr="00A867CE">
        <w:rPr>
          <w:b/>
          <w:i/>
          <w:sz w:val="22"/>
          <w:szCs w:val="22"/>
        </w:rPr>
        <w:t xml:space="preserve"> 669/2012-Plenário, </w:t>
      </w:r>
      <w:r w:rsidRPr="00A867CE">
        <w:rPr>
          <w:b/>
          <w:i/>
          <w:sz w:val="22"/>
          <w:szCs w:val="22"/>
          <w:lang w:eastAsia="pt-BR"/>
        </w:rPr>
        <w:t>TC-010.952/2005-0</w:t>
      </w:r>
      <w:r w:rsidRPr="00A867CE">
        <w:rPr>
          <w:b/>
          <w:i/>
          <w:sz w:val="22"/>
          <w:szCs w:val="22"/>
        </w:rPr>
        <w:t>, rel. Min. Marcos Bemquerer Costa, 21.3.2012.</w:t>
      </w:r>
    </w:p>
    <w:p w:rsidR="00A300CB" w:rsidRPr="00A867CE" w:rsidRDefault="00A300CB" w:rsidP="00E30339">
      <w:pPr>
        <w:autoSpaceDE w:val="0"/>
        <w:autoSpaceDN w:val="0"/>
        <w:adjustRightInd w:val="0"/>
        <w:spacing w:after="0"/>
        <w:ind w:left="0"/>
        <w:rPr>
          <w:sz w:val="22"/>
          <w:szCs w:val="22"/>
        </w:rPr>
      </w:pPr>
    </w:p>
    <w:p w:rsidR="00F6089D" w:rsidRPr="00A867CE" w:rsidRDefault="00F6089D" w:rsidP="00E30339">
      <w:pPr>
        <w:pBdr>
          <w:top w:val="threeDEmboss" w:sz="24" w:space="0" w:color="auto"/>
        </w:pBdr>
        <w:tabs>
          <w:tab w:val="left" w:pos="284"/>
        </w:tabs>
        <w:spacing w:after="0"/>
        <w:ind w:left="0"/>
        <w:rPr>
          <w:b/>
          <w:bCs/>
          <w:smallCaps/>
          <w:sz w:val="22"/>
          <w:szCs w:val="22"/>
        </w:rPr>
      </w:pPr>
      <w:r w:rsidRPr="00A867CE">
        <w:rPr>
          <w:b/>
          <w:bCs/>
          <w:smallCaps/>
          <w:sz w:val="22"/>
          <w:szCs w:val="22"/>
        </w:rPr>
        <w:t>INOVAÇÃO LEGISLATIVA</w:t>
      </w:r>
    </w:p>
    <w:p w:rsidR="009827D7" w:rsidRPr="00A867CE" w:rsidRDefault="009827D7" w:rsidP="00E30339">
      <w:pPr>
        <w:pBdr>
          <w:top w:val="threeDEmboss" w:sz="24" w:space="0" w:color="auto"/>
        </w:pBdr>
        <w:tabs>
          <w:tab w:val="left" w:pos="284"/>
        </w:tabs>
        <w:spacing w:after="0"/>
        <w:ind w:left="0"/>
        <w:rPr>
          <w:bCs/>
          <w:smallCaps/>
          <w:sz w:val="22"/>
          <w:szCs w:val="22"/>
        </w:rPr>
      </w:pPr>
    </w:p>
    <w:p w:rsidR="00CF7796" w:rsidRPr="00A867CE" w:rsidRDefault="003911D3" w:rsidP="00E30339">
      <w:pPr>
        <w:pBdr>
          <w:top w:val="threeDEmboss" w:sz="24" w:space="0" w:color="auto"/>
        </w:pBdr>
        <w:tabs>
          <w:tab w:val="left" w:pos="284"/>
        </w:tabs>
        <w:spacing w:after="0"/>
        <w:ind w:left="0"/>
        <w:rPr>
          <w:bCs/>
          <w:smallCaps/>
          <w:sz w:val="22"/>
          <w:szCs w:val="22"/>
        </w:rPr>
      </w:pPr>
      <w:r w:rsidRPr="00A867CE">
        <w:rPr>
          <w:bCs/>
          <w:smallCaps/>
          <w:sz w:val="22"/>
          <w:szCs w:val="22"/>
        </w:rPr>
        <w:t>Período de 20/3/201</w:t>
      </w:r>
      <w:r w:rsidR="00B64B42">
        <w:rPr>
          <w:bCs/>
          <w:smallCaps/>
          <w:sz w:val="22"/>
          <w:szCs w:val="22"/>
        </w:rPr>
        <w:t>2</w:t>
      </w:r>
      <w:r w:rsidRPr="00A867CE">
        <w:rPr>
          <w:bCs/>
          <w:smallCaps/>
          <w:sz w:val="22"/>
          <w:szCs w:val="22"/>
        </w:rPr>
        <w:t xml:space="preserve"> </w:t>
      </w:r>
      <w:r w:rsidR="00B64B42">
        <w:rPr>
          <w:bCs/>
          <w:smallCaps/>
          <w:sz w:val="22"/>
          <w:szCs w:val="22"/>
        </w:rPr>
        <w:t>a</w:t>
      </w:r>
      <w:r w:rsidRPr="00A867CE">
        <w:rPr>
          <w:bCs/>
          <w:smallCaps/>
          <w:sz w:val="22"/>
          <w:szCs w:val="22"/>
        </w:rPr>
        <w:t xml:space="preserve"> 26/3/2012</w:t>
      </w:r>
      <w:r w:rsidR="00F6089D" w:rsidRPr="00A867CE">
        <w:rPr>
          <w:bCs/>
          <w:smallCaps/>
          <w:sz w:val="22"/>
          <w:szCs w:val="22"/>
        </w:rPr>
        <w:t>.</w:t>
      </w:r>
    </w:p>
    <w:p w:rsidR="00A300CB" w:rsidRPr="00A867CE" w:rsidRDefault="00B96872" w:rsidP="00044C77">
      <w:pPr>
        <w:pStyle w:val="NormalWeb"/>
        <w:spacing w:line="240" w:lineRule="auto"/>
        <w:ind w:firstLine="0"/>
        <w:jc w:val="both"/>
        <w:rPr>
          <w:sz w:val="22"/>
          <w:szCs w:val="22"/>
        </w:rPr>
      </w:pPr>
      <w:hyperlink r:id="rId9" w:history="1">
        <w:r w:rsidR="00CE2DAF" w:rsidRPr="00A867CE">
          <w:rPr>
            <w:rStyle w:val="Hyperlink"/>
            <w:color w:val="auto"/>
            <w:sz w:val="22"/>
            <w:szCs w:val="22"/>
          </w:rPr>
          <w:t>Lei nº 12.598, de 22.3.2012</w:t>
        </w:r>
      </w:hyperlink>
      <w:r w:rsidR="003911D3" w:rsidRPr="00A867CE">
        <w:rPr>
          <w:sz w:val="22"/>
          <w:szCs w:val="22"/>
        </w:rPr>
        <w:t>: e</w:t>
      </w:r>
      <w:r w:rsidR="00CE2DAF" w:rsidRPr="00A867CE">
        <w:rPr>
          <w:sz w:val="22"/>
          <w:szCs w:val="22"/>
        </w:rPr>
        <w:t>stabelece normas especiais para as compras, as contratações e o desenvolvimento de produtos e de sistemas de defesa; dispõe sobre regras de incentivo à área estratégica de defesa; altera a Lei n</w:t>
      </w:r>
      <w:r w:rsidR="00CE2DAF" w:rsidRPr="00A867CE">
        <w:rPr>
          <w:sz w:val="22"/>
          <w:szCs w:val="22"/>
          <w:u w:val="single"/>
          <w:vertAlign w:val="superscript"/>
        </w:rPr>
        <w:t>o</w:t>
      </w:r>
      <w:r w:rsidR="00CE2DAF" w:rsidRPr="00A867CE">
        <w:rPr>
          <w:sz w:val="22"/>
          <w:szCs w:val="22"/>
        </w:rPr>
        <w:t xml:space="preserve"> 12.249, de 11</w:t>
      </w:r>
      <w:r w:rsidR="004E4561" w:rsidRPr="00A867CE">
        <w:rPr>
          <w:sz w:val="22"/>
          <w:szCs w:val="22"/>
        </w:rPr>
        <w:t>/6/</w:t>
      </w:r>
      <w:r w:rsidR="00CE2DAF" w:rsidRPr="00A867CE">
        <w:rPr>
          <w:sz w:val="22"/>
          <w:szCs w:val="22"/>
        </w:rPr>
        <w:t>2010; e dá outras providências.</w:t>
      </w:r>
      <w:r w:rsidR="003D78EF" w:rsidRPr="00A867CE">
        <w:rPr>
          <w:sz w:val="22"/>
          <w:szCs w:val="22"/>
        </w:rPr>
        <w:t xml:space="preserve"> Publicad</w:t>
      </w:r>
      <w:r w:rsidR="00B20EA4" w:rsidRPr="00A867CE">
        <w:rPr>
          <w:sz w:val="22"/>
          <w:szCs w:val="22"/>
        </w:rPr>
        <w:t>a</w:t>
      </w:r>
      <w:r w:rsidR="003D78EF" w:rsidRPr="00A867CE">
        <w:rPr>
          <w:sz w:val="22"/>
          <w:szCs w:val="22"/>
        </w:rPr>
        <w:t xml:space="preserve"> no D.O.U, em 22.3.2012.</w:t>
      </w:r>
    </w:p>
    <w:p w:rsidR="005F7F34" w:rsidRPr="00A867CE" w:rsidRDefault="005F7F34" w:rsidP="00044C77">
      <w:pPr>
        <w:pStyle w:val="NormalWeb"/>
        <w:spacing w:line="240" w:lineRule="auto"/>
        <w:ind w:firstLine="0"/>
        <w:jc w:val="both"/>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A867CE" w:rsidTr="0030360F">
        <w:trPr>
          <w:trHeight w:val="779"/>
          <w:jc w:val="center"/>
        </w:trPr>
        <w:tc>
          <w:tcPr>
            <w:tcW w:w="0" w:type="auto"/>
            <w:vAlign w:val="center"/>
          </w:tcPr>
          <w:p w:rsidR="007334B1" w:rsidRPr="00A867CE" w:rsidRDefault="00C10DD5" w:rsidP="00E30339">
            <w:pPr>
              <w:pStyle w:val="enter-3pt"/>
              <w:tabs>
                <w:tab w:val="left" w:pos="2590"/>
              </w:tabs>
              <w:spacing w:line="240" w:lineRule="auto"/>
              <w:rPr>
                <w:b/>
                <w:i/>
                <w:sz w:val="22"/>
                <w:szCs w:val="22"/>
              </w:rPr>
            </w:pPr>
            <w:r w:rsidRPr="00A867CE">
              <w:rPr>
                <w:b/>
                <w:i/>
                <w:sz w:val="22"/>
                <w:szCs w:val="22"/>
              </w:rPr>
              <w:t>Elaboração: Secretaria das Sessões</w:t>
            </w:r>
          </w:p>
          <w:p w:rsidR="007334B1" w:rsidRPr="00A867CE" w:rsidRDefault="007334B1" w:rsidP="00E30339">
            <w:pPr>
              <w:pStyle w:val="enter-3pt"/>
              <w:tabs>
                <w:tab w:val="left" w:pos="2590"/>
              </w:tabs>
              <w:spacing w:line="240" w:lineRule="auto"/>
              <w:rPr>
                <w:b/>
                <w:i/>
                <w:sz w:val="22"/>
                <w:szCs w:val="22"/>
              </w:rPr>
            </w:pPr>
            <w:r w:rsidRPr="00A867CE">
              <w:rPr>
                <w:b/>
                <w:i/>
                <w:sz w:val="22"/>
                <w:szCs w:val="22"/>
              </w:rPr>
              <w:t xml:space="preserve">Contato: </w:t>
            </w:r>
            <w:hyperlink r:id="rId10" w:history="1">
              <w:r w:rsidRPr="00A867CE">
                <w:rPr>
                  <w:rStyle w:val="Hyperlink"/>
                  <w:b/>
                  <w:i/>
                  <w:color w:val="auto"/>
                  <w:sz w:val="22"/>
                  <w:szCs w:val="22"/>
                </w:rPr>
                <w:t>infojuris@tcu.gov.br</w:t>
              </w:r>
            </w:hyperlink>
          </w:p>
        </w:tc>
      </w:tr>
    </w:tbl>
    <w:p w:rsidR="007334B1" w:rsidRPr="00A867CE" w:rsidRDefault="007334B1" w:rsidP="00E30339">
      <w:pPr>
        <w:pStyle w:val="PargrafodaLista"/>
        <w:widowControl w:val="0"/>
        <w:autoSpaceDE w:val="0"/>
        <w:autoSpaceDN w:val="0"/>
        <w:adjustRightInd w:val="0"/>
        <w:spacing w:before="120"/>
        <w:ind w:left="0"/>
        <w:jc w:val="both"/>
        <w:rPr>
          <w:b/>
          <w:color w:val="FF0000"/>
          <w:sz w:val="22"/>
        </w:rPr>
      </w:pPr>
    </w:p>
    <w:sectPr w:rsidR="007334B1" w:rsidRPr="00A867CE" w:rsidSect="00A418FF">
      <w:headerReference w:type="default" r:id="rId11"/>
      <w:footerReference w:type="default" r:id="rId12"/>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779" w:rsidRDefault="00900779" w:rsidP="008B0547">
      <w:pPr>
        <w:spacing w:after="0"/>
      </w:pPr>
      <w:r>
        <w:separator/>
      </w:r>
    </w:p>
  </w:endnote>
  <w:endnote w:type="continuationSeparator" w:id="0">
    <w:p w:rsidR="00900779" w:rsidRDefault="00900779"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577269"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B96872">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779" w:rsidRDefault="00900779" w:rsidP="008B0547">
      <w:pPr>
        <w:spacing w:after="0"/>
      </w:pPr>
      <w:r>
        <w:separator/>
      </w:r>
    </w:p>
  </w:footnote>
  <w:footnote w:type="continuationSeparator" w:id="0">
    <w:p w:rsidR="00900779" w:rsidRDefault="00900779"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515BBA"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515BBA" w:rsidP="00080148">
    <w:pPr>
      <w:spacing w:after="0"/>
      <w:rPr>
        <w:rFonts w:ascii="Arial" w:hAnsi="Arial" w:cs="Arial"/>
        <w:b/>
      </w:rPr>
    </w:pPr>
    <w:r w:rsidRPr="00577269">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F3968"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 xml:space="preserve">rmativo </w:t>
    </w:r>
    <w:r w:rsidR="0074327D">
      <w:rPr>
        <w:rFonts w:ascii="Arial" w:hAnsi="Arial" w:cs="Arial"/>
        <w:noProof/>
        <w:lang w:eastAsia="pt-BR"/>
      </w:rPr>
      <w:t xml:space="preserve">de jurisprudência </w:t>
    </w:r>
    <w:r w:rsidR="005875A3">
      <w:rPr>
        <w:rFonts w:ascii="Arial" w:hAnsi="Arial" w:cs="Arial"/>
        <w:noProof/>
        <w:lang w:eastAsia="pt-BR"/>
      </w:rPr>
      <w:t>sobre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w:t>
    </w:r>
    <w:r w:rsidR="00E0199E">
      <w:rPr>
        <w:rFonts w:ascii="Arial" w:hAnsi="Arial" w:cs="Arial"/>
        <w:noProof/>
        <w:lang w:eastAsia="pt-BR"/>
      </w:rPr>
      <w:t>9</w:t>
    </w:r>
    <w:r w:rsidR="00C703C2">
      <w:rPr>
        <w:rFonts w:ascii="Arial" w:hAnsi="Arial" w:cs="Arial"/>
        <w:noProof/>
        <w:lang w:eastAsia="pt-BR"/>
      </w:rPr>
      <w:t>8</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3">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6">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9">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19"/>
  </w:num>
  <w:num w:numId="3">
    <w:abstractNumId w:val="8"/>
  </w:num>
  <w:num w:numId="4">
    <w:abstractNumId w:val="0"/>
  </w:num>
  <w:num w:numId="5">
    <w:abstractNumId w:val="11"/>
  </w:num>
  <w:num w:numId="6">
    <w:abstractNumId w:val="18"/>
  </w:num>
  <w:num w:numId="7">
    <w:abstractNumId w:val="27"/>
  </w:num>
  <w:num w:numId="8">
    <w:abstractNumId w:val="24"/>
  </w:num>
  <w:num w:numId="9">
    <w:abstractNumId w:val="20"/>
  </w:num>
  <w:num w:numId="10">
    <w:abstractNumId w:val="6"/>
  </w:num>
  <w:num w:numId="11">
    <w:abstractNumId w:val="29"/>
  </w:num>
  <w:num w:numId="12">
    <w:abstractNumId w:val="4"/>
  </w:num>
  <w:num w:numId="13">
    <w:abstractNumId w:val="17"/>
  </w:num>
  <w:num w:numId="14">
    <w:abstractNumId w:val="26"/>
  </w:num>
  <w:num w:numId="15">
    <w:abstractNumId w:val="15"/>
  </w:num>
  <w:num w:numId="16">
    <w:abstractNumId w:val="2"/>
  </w:num>
  <w:num w:numId="17">
    <w:abstractNumId w:val="13"/>
  </w:num>
  <w:num w:numId="18">
    <w:abstractNumId w:val="28"/>
    <w:lvlOverride w:ilvl="0">
      <w:startOverride w:val="1"/>
    </w:lvlOverride>
  </w:num>
  <w:num w:numId="19">
    <w:abstractNumId w:val="22"/>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4D04"/>
    <w:rsid w:val="00005435"/>
    <w:rsid w:val="00005E1E"/>
    <w:rsid w:val="000118BC"/>
    <w:rsid w:val="000118CC"/>
    <w:rsid w:val="00011BA0"/>
    <w:rsid w:val="00011D5A"/>
    <w:rsid w:val="00012468"/>
    <w:rsid w:val="00013851"/>
    <w:rsid w:val="000161F7"/>
    <w:rsid w:val="0001636D"/>
    <w:rsid w:val="000179E2"/>
    <w:rsid w:val="00020C27"/>
    <w:rsid w:val="00020C75"/>
    <w:rsid w:val="00020FC8"/>
    <w:rsid w:val="0002237E"/>
    <w:rsid w:val="0002327E"/>
    <w:rsid w:val="00023D72"/>
    <w:rsid w:val="000253D1"/>
    <w:rsid w:val="00025450"/>
    <w:rsid w:val="00025753"/>
    <w:rsid w:val="000271FA"/>
    <w:rsid w:val="000300A2"/>
    <w:rsid w:val="00032198"/>
    <w:rsid w:val="00033551"/>
    <w:rsid w:val="00037DCE"/>
    <w:rsid w:val="000400F7"/>
    <w:rsid w:val="000412D4"/>
    <w:rsid w:val="00041450"/>
    <w:rsid w:val="000438FC"/>
    <w:rsid w:val="00044C77"/>
    <w:rsid w:val="000460E4"/>
    <w:rsid w:val="0004660A"/>
    <w:rsid w:val="00046CF7"/>
    <w:rsid w:val="0005133B"/>
    <w:rsid w:val="00051AAB"/>
    <w:rsid w:val="0005205F"/>
    <w:rsid w:val="00052B15"/>
    <w:rsid w:val="0005356E"/>
    <w:rsid w:val="000540FC"/>
    <w:rsid w:val="0005412B"/>
    <w:rsid w:val="00054432"/>
    <w:rsid w:val="00054FBE"/>
    <w:rsid w:val="00056268"/>
    <w:rsid w:val="000562CD"/>
    <w:rsid w:val="00056A5A"/>
    <w:rsid w:val="00056D51"/>
    <w:rsid w:val="0006028E"/>
    <w:rsid w:val="00060CE3"/>
    <w:rsid w:val="00061C2E"/>
    <w:rsid w:val="000622E0"/>
    <w:rsid w:val="000647B1"/>
    <w:rsid w:val="00065A8B"/>
    <w:rsid w:val="00065E95"/>
    <w:rsid w:val="0006707B"/>
    <w:rsid w:val="000675D5"/>
    <w:rsid w:val="00067E95"/>
    <w:rsid w:val="00070785"/>
    <w:rsid w:val="0007259B"/>
    <w:rsid w:val="00074384"/>
    <w:rsid w:val="00074AC5"/>
    <w:rsid w:val="0007588B"/>
    <w:rsid w:val="00077A56"/>
    <w:rsid w:val="00077BA4"/>
    <w:rsid w:val="00080148"/>
    <w:rsid w:val="000807D4"/>
    <w:rsid w:val="00081DFB"/>
    <w:rsid w:val="000835D8"/>
    <w:rsid w:val="00084282"/>
    <w:rsid w:val="00084727"/>
    <w:rsid w:val="00086A39"/>
    <w:rsid w:val="00086BAA"/>
    <w:rsid w:val="00087006"/>
    <w:rsid w:val="0009133A"/>
    <w:rsid w:val="000916AF"/>
    <w:rsid w:val="000929ED"/>
    <w:rsid w:val="00092C2E"/>
    <w:rsid w:val="00094C5B"/>
    <w:rsid w:val="00094EEC"/>
    <w:rsid w:val="00095069"/>
    <w:rsid w:val="00095D98"/>
    <w:rsid w:val="0009649A"/>
    <w:rsid w:val="0009748C"/>
    <w:rsid w:val="00097863"/>
    <w:rsid w:val="00097ABD"/>
    <w:rsid w:val="00097BF6"/>
    <w:rsid w:val="000A07B4"/>
    <w:rsid w:val="000A0EF8"/>
    <w:rsid w:val="000A152A"/>
    <w:rsid w:val="000A1EBD"/>
    <w:rsid w:val="000A2C56"/>
    <w:rsid w:val="000A402F"/>
    <w:rsid w:val="000A47EA"/>
    <w:rsid w:val="000A57DA"/>
    <w:rsid w:val="000A599E"/>
    <w:rsid w:val="000A6269"/>
    <w:rsid w:val="000A62BD"/>
    <w:rsid w:val="000B0396"/>
    <w:rsid w:val="000B0ECB"/>
    <w:rsid w:val="000B0FEA"/>
    <w:rsid w:val="000B2AFA"/>
    <w:rsid w:val="000B5DB2"/>
    <w:rsid w:val="000B639F"/>
    <w:rsid w:val="000B6475"/>
    <w:rsid w:val="000B6BC1"/>
    <w:rsid w:val="000C02AD"/>
    <w:rsid w:val="000C22C0"/>
    <w:rsid w:val="000C3DAB"/>
    <w:rsid w:val="000C4611"/>
    <w:rsid w:val="000C4A10"/>
    <w:rsid w:val="000C5799"/>
    <w:rsid w:val="000C7D11"/>
    <w:rsid w:val="000C7DBA"/>
    <w:rsid w:val="000D1878"/>
    <w:rsid w:val="000D1B91"/>
    <w:rsid w:val="000D1C53"/>
    <w:rsid w:val="000D1DC7"/>
    <w:rsid w:val="000D1EF5"/>
    <w:rsid w:val="000D1FD7"/>
    <w:rsid w:val="000D6388"/>
    <w:rsid w:val="000D6418"/>
    <w:rsid w:val="000D6906"/>
    <w:rsid w:val="000D7997"/>
    <w:rsid w:val="000D7DB6"/>
    <w:rsid w:val="000D7DED"/>
    <w:rsid w:val="000E020F"/>
    <w:rsid w:val="000E12F7"/>
    <w:rsid w:val="000E1D37"/>
    <w:rsid w:val="000E2D47"/>
    <w:rsid w:val="000E3B31"/>
    <w:rsid w:val="000E3C6D"/>
    <w:rsid w:val="000E504D"/>
    <w:rsid w:val="000E7FD4"/>
    <w:rsid w:val="000F2133"/>
    <w:rsid w:val="000F2D05"/>
    <w:rsid w:val="000F2F92"/>
    <w:rsid w:val="000F6986"/>
    <w:rsid w:val="000F6D85"/>
    <w:rsid w:val="000F7B66"/>
    <w:rsid w:val="000F7CEE"/>
    <w:rsid w:val="000F7D84"/>
    <w:rsid w:val="001005A8"/>
    <w:rsid w:val="00101707"/>
    <w:rsid w:val="00102D37"/>
    <w:rsid w:val="001041ED"/>
    <w:rsid w:val="001104BA"/>
    <w:rsid w:val="001125A2"/>
    <w:rsid w:val="00112676"/>
    <w:rsid w:val="00112A5F"/>
    <w:rsid w:val="0011373A"/>
    <w:rsid w:val="00113A1F"/>
    <w:rsid w:val="00114511"/>
    <w:rsid w:val="00115911"/>
    <w:rsid w:val="00116614"/>
    <w:rsid w:val="00116BAB"/>
    <w:rsid w:val="001203BE"/>
    <w:rsid w:val="0012072B"/>
    <w:rsid w:val="00122F63"/>
    <w:rsid w:val="00125F9A"/>
    <w:rsid w:val="00126026"/>
    <w:rsid w:val="00130A0C"/>
    <w:rsid w:val="001316FC"/>
    <w:rsid w:val="00133EA9"/>
    <w:rsid w:val="00133FBC"/>
    <w:rsid w:val="00135D01"/>
    <w:rsid w:val="00137B22"/>
    <w:rsid w:val="00137FE3"/>
    <w:rsid w:val="00140FED"/>
    <w:rsid w:val="00141C3A"/>
    <w:rsid w:val="00141D7A"/>
    <w:rsid w:val="001420D1"/>
    <w:rsid w:val="00142621"/>
    <w:rsid w:val="00142C16"/>
    <w:rsid w:val="001444A2"/>
    <w:rsid w:val="00144987"/>
    <w:rsid w:val="00151F92"/>
    <w:rsid w:val="0015258E"/>
    <w:rsid w:val="00152ECC"/>
    <w:rsid w:val="001532E4"/>
    <w:rsid w:val="0015699C"/>
    <w:rsid w:val="00156A48"/>
    <w:rsid w:val="00156C90"/>
    <w:rsid w:val="00156DDB"/>
    <w:rsid w:val="00157614"/>
    <w:rsid w:val="00157AFE"/>
    <w:rsid w:val="00157C0F"/>
    <w:rsid w:val="001612C0"/>
    <w:rsid w:val="001665B9"/>
    <w:rsid w:val="00171E89"/>
    <w:rsid w:val="001737F7"/>
    <w:rsid w:val="001744E7"/>
    <w:rsid w:val="00176375"/>
    <w:rsid w:val="001766A9"/>
    <w:rsid w:val="00181339"/>
    <w:rsid w:val="00181848"/>
    <w:rsid w:val="00183A7D"/>
    <w:rsid w:val="001847D6"/>
    <w:rsid w:val="00184DD0"/>
    <w:rsid w:val="00192052"/>
    <w:rsid w:val="00194053"/>
    <w:rsid w:val="00195F77"/>
    <w:rsid w:val="0019617F"/>
    <w:rsid w:val="001A0B42"/>
    <w:rsid w:val="001A0CC1"/>
    <w:rsid w:val="001A204B"/>
    <w:rsid w:val="001A2A67"/>
    <w:rsid w:val="001A3198"/>
    <w:rsid w:val="001A330B"/>
    <w:rsid w:val="001A3AC0"/>
    <w:rsid w:val="001A4C6F"/>
    <w:rsid w:val="001A58D8"/>
    <w:rsid w:val="001A60A2"/>
    <w:rsid w:val="001A75FE"/>
    <w:rsid w:val="001A79D3"/>
    <w:rsid w:val="001B1669"/>
    <w:rsid w:val="001B19FF"/>
    <w:rsid w:val="001B2580"/>
    <w:rsid w:val="001B3729"/>
    <w:rsid w:val="001B3BEF"/>
    <w:rsid w:val="001B3E8E"/>
    <w:rsid w:val="001B4316"/>
    <w:rsid w:val="001B4F90"/>
    <w:rsid w:val="001B5333"/>
    <w:rsid w:val="001B5426"/>
    <w:rsid w:val="001B6823"/>
    <w:rsid w:val="001B7F4F"/>
    <w:rsid w:val="001C0575"/>
    <w:rsid w:val="001C08D8"/>
    <w:rsid w:val="001C1568"/>
    <w:rsid w:val="001C1903"/>
    <w:rsid w:val="001C23B5"/>
    <w:rsid w:val="001C2950"/>
    <w:rsid w:val="001C437E"/>
    <w:rsid w:val="001C5C51"/>
    <w:rsid w:val="001C71E3"/>
    <w:rsid w:val="001C72D6"/>
    <w:rsid w:val="001D03C7"/>
    <w:rsid w:val="001D0FAF"/>
    <w:rsid w:val="001D1478"/>
    <w:rsid w:val="001D1E52"/>
    <w:rsid w:val="001D35B4"/>
    <w:rsid w:val="001D56C3"/>
    <w:rsid w:val="001D74CE"/>
    <w:rsid w:val="001D7622"/>
    <w:rsid w:val="001E0BF1"/>
    <w:rsid w:val="001E1E28"/>
    <w:rsid w:val="001E2620"/>
    <w:rsid w:val="001E4147"/>
    <w:rsid w:val="001E5B5B"/>
    <w:rsid w:val="001E7019"/>
    <w:rsid w:val="001E71F9"/>
    <w:rsid w:val="001E747D"/>
    <w:rsid w:val="001E76DA"/>
    <w:rsid w:val="001E7C3D"/>
    <w:rsid w:val="001E7F81"/>
    <w:rsid w:val="001F00DF"/>
    <w:rsid w:val="001F1E8F"/>
    <w:rsid w:val="001F553C"/>
    <w:rsid w:val="001F64D1"/>
    <w:rsid w:val="00200260"/>
    <w:rsid w:val="002002CE"/>
    <w:rsid w:val="0020066F"/>
    <w:rsid w:val="0020107A"/>
    <w:rsid w:val="0020135D"/>
    <w:rsid w:val="00201FED"/>
    <w:rsid w:val="00202EAD"/>
    <w:rsid w:val="00203A6F"/>
    <w:rsid w:val="00211816"/>
    <w:rsid w:val="002139A2"/>
    <w:rsid w:val="00217566"/>
    <w:rsid w:val="00217B1B"/>
    <w:rsid w:val="00223BB9"/>
    <w:rsid w:val="00225D42"/>
    <w:rsid w:val="00226AEF"/>
    <w:rsid w:val="00226D9D"/>
    <w:rsid w:val="00227776"/>
    <w:rsid w:val="002308C7"/>
    <w:rsid w:val="00232158"/>
    <w:rsid w:val="002328F9"/>
    <w:rsid w:val="0023395B"/>
    <w:rsid w:val="00233CE3"/>
    <w:rsid w:val="002343BF"/>
    <w:rsid w:val="00234556"/>
    <w:rsid w:val="0023535F"/>
    <w:rsid w:val="002353E9"/>
    <w:rsid w:val="00235D4C"/>
    <w:rsid w:val="002366B7"/>
    <w:rsid w:val="00236F05"/>
    <w:rsid w:val="002401FC"/>
    <w:rsid w:val="002415A6"/>
    <w:rsid w:val="00242061"/>
    <w:rsid w:val="002435FC"/>
    <w:rsid w:val="002442D9"/>
    <w:rsid w:val="00244BA7"/>
    <w:rsid w:val="00245432"/>
    <w:rsid w:val="0024593F"/>
    <w:rsid w:val="00247220"/>
    <w:rsid w:val="002476B6"/>
    <w:rsid w:val="00247E76"/>
    <w:rsid w:val="00247E8F"/>
    <w:rsid w:val="002510D5"/>
    <w:rsid w:val="00253242"/>
    <w:rsid w:val="00254590"/>
    <w:rsid w:val="002549FC"/>
    <w:rsid w:val="00257D8A"/>
    <w:rsid w:val="00261488"/>
    <w:rsid w:val="0026222C"/>
    <w:rsid w:val="00262359"/>
    <w:rsid w:val="002633D9"/>
    <w:rsid w:val="0026362E"/>
    <w:rsid w:val="002639CA"/>
    <w:rsid w:val="002649A7"/>
    <w:rsid w:val="00264FC3"/>
    <w:rsid w:val="002663B7"/>
    <w:rsid w:val="002666C5"/>
    <w:rsid w:val="00266C8A"/>
    <w:rsid w:val="00270EAC"/>
    <w:rsid w:val="00271CD7"/>
    <w:rsid w:val="00271CF2"/>
    <w:rsid w:val="00271D81"/>
    <w:rsid w:val="0027213F"/>
    <w:rsid w:val="0027267D"/>
    <w:rsid w:val="00273058"/>
    <w:rsid w:val="0027357E"/>
    <w:rsid w:val="00273E72"/>
    <w:rsid w:val="00274068"/>
    <w:rsid w:val="0027498E"/>
    <w:rsid w:val="0027686D"/>
    <w:rsid w:val="00276B43"/>
    <w:rsid w:val="00276DC0"/>
    <w:rsid w:val="00277F47"/>
    <w:rsid w:val="00280F3D"/>
    <w:rsid w:val="002810D9"/>
    <w:rsid w:val="00281830"/>
    <w:rsid w:val="00281D9E"/>
    <w:rsid w:val="0028288E"/>
    <w:rsid w:val="002830F6"/>
    <w:rsid w:val="002836D4"/>
    <w:rsid w:val="00287326"/>
    <w:rsid w:val="0029043B"/>
    <w:rsid w:val="00290A06"/>
    <w:rsid w:val="00291766"/>
    <w:rsid w:val="0029211E"/>
    <w:rsid w:val="00293198"/>
    <w:rsid w:val="0029450E"/>
    <w:rsid w:val="00297A00"/>
    <w:rsid w:val="002A03ED"/>
    <w:rsid w:val="002A040F"/>
    <w:rsid w:val="002A0F15"/>
    <w:rsid w:val="002A190F"/>
    <w:rsid w:val="002A2129"/>
    <w:rsid w:val="002A2FA2"/>
    <w:rsid w:val="002A3796"/>
    <w:rsid w:val="002A3B3F"/>
    <w:rsid w:val="002A5A02"/>
    <w:rsid w:val="002A5F01"/>
    <w:rsid w:val="002A6CE6"/>
    <w:rsid w:val="002B059A"/>
    <w:rsid w:val="002B1AD6"/>
    <w:rsid w:val="002B2414"/>
    <w:rsid w:val="002B32DD"/>
    <w:rsid w:val="002B3968"/>
    <w:rsid w:val="002B4001"/>
    <w:rsid w:val="002B409B"/>
    <w:rsid w:val="002B4392"/>
    <w:rsid w:val="002B56C3"/>
    <w:rsid w:val="002B5AD5"/>
    <w:rsid w:val="002B5C5A"/>
    <w:rsid w:val="002B6422"/>
    <w:rsid w:val="002B71BA"/>
    <w:rsid w:val="002B7B4D"/>
    <w:rsid w:val="002C14DF"/>
    <w:rsid w:val="002C208E"/>
    <w:rsid w:val="002C2F67"/>
    <w:rsid w:val="002C45B6"/>
    <w:rsid w:val="002C4633"/>
    <w:rsid w:val="002C506F"/>
    <w:rsid w:val="002C662D"/>
    <w:rsid w:val="002C7B61"/>
    <w:rsid w:val="002C7B6D"/>
    <w:rsid w:val="002C7C2B"/>
    <w:rsid w:val="002D0B7C"/>
    <w:rsid w:val="002D0D1A"/>
    <w:rsid w:val="002D155C"/>
    <w:rsid w:val="002D1637"/>
    <w:rsid w:val="002D1688"/>
    <w:rsid w:val="002D1B69"/>
    <w:rsid w:val="002D1BA5"/>
    <w:rsid w:val="002D3043"/>
    <w:rsid w:val="002D35F5"/>
    <w:rsid w:val="002D47FE"/>
    <w:rsid w:val="002D532D"/>
    <w:rsid w:val="002D739A"/>
    <w:rsid w:val="002D73BD"/>
    <w:rsid w:val="002D76AB"/>
    <w:rsid w:val="002D786D"/>
    <w:rsid w:val="002E0C55"/>
    <w:rsid w:val="002E0CBF"/>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3866"/>
    <w:rsid w:val="002F4696"/>
    <w:rsid w:val="002F5F3B"/>
    <w:rsid w:val="002F693C"/>
    <w:rsid w:val="002F7C6D"/>
    <w:rsid w:val="003020F4"/>
    <w:rsid w:val="003023A1"/>
    <w:rsid w:val="003025C7"/>
    <w:rsid w:val="0030360F"/>
    <w:rsid w:val="00303790"/>
    <w:rsid w:val="00303984"/>
    <w:rsid w:val="00304161"/>
    <w:rsid w:val="00304A73"/>
    <w:rsid w:val="00304DFD"/>
    <w:rsid w:val="003057F7"/>
    <w:rsid w:val="00306864"/>
    <w:rsid w:val="003069F9"/>
    <w:rsid w:val="00310208"/>
    <w:rsid w:val="0031058F"/>
    <w:rsid w:val="003107E3"/>
    <w:rsid w:val="0031089E"/>
    <w:rsid w:val="00310D69"/>
    <w:rsid w:val="003147B7"/>
    <w:rsid w:val="00314844"/>
    <w:rsid w:val="003149A9"/>
    <w:rsid w:val="0031528D"/>
    <w:rsid w:val="00317E59"/>
    <w:rsid w:val="00320465"/>
    <w:rsid w:val="00322AE7"/>
    <w:rsid w:val="00325246"/>
    <w:rsid w:val="00325869"/>
    <w:rsid w:val="00325D35"/>
    <w:rsid w:val="00326448"/>
    <w:rsid w:val="0032650F"/>
    <w:rsid w:val="0032662E"/>
    <w:rsid w:val="003275E4"/>
    <w:rsid w:val="00330069"/>
    <w:rsid w:val="00330144"/>
    <w:rsid w:val="003304A1"/>
    <w:rsid w:val="0033244F"/>
    <w:rsid w:val="00332EF9"/>
    <w:rsid w:val="00335707"/>
    <w:rsid w:val="00337E16"/>
    <w:rsid w:val="00340E66"/>
    <w:rsid w:val="00340F10"/>
    <w:rsid w:val="00341D56"/>
    <w:rsid w:val="00342A44"/>
    <w:rsid w:val="003436D7"/>
    <w:rsid w:val="00343FC9"/>
    <w:rsid w:val="00344520"/>
    <w:rsid w:val="0034486B"/>
    <w:rsid w:val="003449A9"/>
    <w:rsid w:val="00344D92"/>
    <w:rsid w:val="003455A2"/>
    <w:rsid w:val="00345760"/>
    <w:rsid w:val="00345BD4"/>
    <w:rsid w:val="0034675B"/>
    <w:rsid w:val="0034796E"/>
    <w:rsid w:val="003506E7"/>
    <w:rsid w:val="00350BE7"/>
    <w:rsid w:val="00350E87"/>
    <w:rsid w:val="00353B7C"/>
    <w:rsid w:val="0035438E"/>
    <w:rsid w:val="00355828"/>
    <w:rsid w:val="00356418"/>
    <w:rsid w:val="00356E38"/>
    <w:rsid w:val="00357CBE"/>
    <w:rsid w:val="00361487"/>
    <w:rsid w:val="00361661"/>
    <w:rsid w:val="00370BC7"/>
    <w:rsid w:val="003719DE"/>
    <w:rsid w:val="00371A33"/>
    <w:rsid w:val="00372E83"/>
    <w:rsid w:val="00375080"/>
    <w:rsid w:val="00377407"/>
    <w:rsid w:val="00380026"/>
    <w:rsid w:val="00381780"/>
    <w:rsid w:val="003824E4"/>
    <w:rsid w:val="00383CFE"/>
    <w:rsid w:val="00384BEF"/>
    <w:rsid w:val="003853FF"/>
    <w:rsid w:val="00385609"/>
    <w:rsid w:val="003856A4"/>
    <w:rsid w:val="00385DAB"/>
    <w:rsid w:val="0038696B"/>
    <w:rsid w:val="00387CA6"/>
    <w:rsid w:val="00387CBD"/>
    <w:rsid w:val="003900C7"/>
    <w:rsid w:val="0039039F"/>
    <w:rsid w:val="00390853"/>
    <w:rsid w:val="00390ED6"/>
    <w:rsid w:val="003911D3"/>
    <w:rsid w:val="00391B5C"/>
    <w:rsid w:val="00392509"/>
    <w:rsid w:val="003925E5"/>
    <w:rsid w:val="00392CD3"/>
    <w:rsid w:val="00393FCC"/>
    <w:rsid w:val="003943E5"/>
    <w:rsid w:val="00396025"/>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B6508"/>
    <w:rsid w:val="003C1911"/>
    <w:rsid w:val="003C1B4F"/>
    <w:rsid w:val="003C1CD8"/>
    <w:rsid w:val="003C2288"/>
    <w:rsid w:val="003C331C"/>
    <w:rsid w:val="003C3336"/>
    <w:rsid w:val="003C39E6"/>
    <w:rsid w:val="003C3A11"/>
    <w:rsid w:val="003C526E"/>
    <w:rsid w:val="003C6DEB"/>
    <w:rsid w:val="003C7585"/>
    <w:rsid w:val="003C7A5C"/>
    <w:rsid w:val="003D660C"/>
    <w:rsid w:val="003D73BD"/>
    <w:rsid w:val="003D78EF"/>
    <w:rsid w:val="003D7CCE"/>
    <w:rsid w:val="003E0864"/>
    <w:rsid w:val="003E0D8C"/>
    <w:rsid w:val="003E0E16"/>
    <w:rsid w:val="003E154A"/>
    <w:rsid w:val="003E15A3"/>
    <w:rsid w:val="003E1B68"/>
    <w:rsid w:val="003E2601"/>
    <w:rsid w:val="003E65D7"/>
    <w:rsid w:val="003E7483"/>
    <w:rsid w:val="003F0515"/>
    <w:rsid w:val="003F163F"/>
    <w:rsid w:val="003F1ACE"/>
    <w:rsid w:val="003F1CE1"/>
    <w:rsid w:val="003F2D7E"/>
    <w:rsid w:val="003F413A"/>
    <w:rsid w:val="003F5154"/>
    <w:rsid w:val="003F5249"/>
    <w:rsid w:val="003F54FB"/>
    <w:rsid w:val="003F6572"/>
    <w:rsid w:val="003F6D1F"/>
    <w:rsid w:val="00400F7F"/>
    <w:rsid w:val="004036AF"/>
    <w:rsid w:val="00403A0F"/>
    <w:rsid w:val="0040424B"/>
    <w:rsid w:val="00405316"/>
    <w:rsid w:val="0041153E"/>
    <w:rsid w:val="00412488"/>
    <w:rsid w:val="00412B7F"/>
    <w:rsid w:val="00412CEF"/>
    <w:rsid w:val="004141A8"/>
    <w:rsid w:val="004169D8"/>
    <w:rsid w:val="00420098"/>
    <w:rsid w:val="004201AF"/>
    <w:rsid w:val="00422BF5"/>
    <w:rsid w:val="00425FF9"/>
    <w:rsid w:val="00426328"/>
    <w:rsid w:val="00427B3B"/>
    <w:rsid w:val="00427EBF"/>
    <w:rsid w:val="0043072D"/>
    <w:rsid w:val="00431085"/>
    <w:rsid w:val="00431AA2"/>
    <w:rsid w:val="00432278"/>
    <w:rsid w:val="00434EDF"/>
    <w:rsid w:val="00435269"/>
    <w:rsid w:val="004362AB"/>
    <w:rsid w:val="00436F6D"/>
    <w:rsid w:val="00441101"/>
    <w:rsid w:val="004415FB"/>
    <w:rsid w:val="00441CE3"/>
    <w:rsid w:val="004421F5"/>
    <w:rsid w:val="004425E2"/>
    <w:rsid w:val="0044284D"/>
    <w:rsid w:val="00443050"/>
    <w:rsid w:val="0044434A"/>
    <w:rsid w:val="0044437F"/>
    <w:rsid w:val="00445E76"/>
    <w:rsid w:val="00446606"/>
    <w:rsid w:val="004471BC"/>
    <w:rsid w:val="00447217"/>
    <w:rsid w:val="00450515"/>
    <w:rsid w:val="00451471"/>
    <w:rsid w:val="00452C60"/>
    <w:rsid w:val="00453FC2"/>
    <w:rsid w:val="0045665B"/>
    <w:rsid w:val="004573D3"/>
    <w:rsid w:val="00457F93"/>
    <w:rsid w:val="004617A9"/>
    <w:rsid w:val="00461B70"/>
    <w:rsid w:val="0046258E"/>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3FC1"/>
    <w:rsid w:val="00484250"/>
    <w:rsid w:val="00484E4C"/>
    <w:rsid w:val="004878ED"/>
    <w:rsid w:val="00490C52"/>
    <w:rsid w:val="00491438"/>
    <w:rsid w:val="00491B1C"/>
    <w:rsid w:val="00492E3F"/>
    <w:rsid w:val="00493F5C"/>
    <w:rsid w:val="00494EB3"/>
    <w:rsid w:val="00495DB3"/>
    <w:rsid w:val="004A171B"/>
    <w:rsid w:val="004A2385"/>
    <w:rsid w:val="004A2D91"/>
    <w:rsid w:val="004A3B95"/>
    <w:rsid w:val="004A7912"/>
    <w:rsid w:val="004B0194"/>
    <w:rsid w:val="004B1113"/>
    <w:rsid w:val="004B176A"/>
    <w:rsid w:val="004B1DC3"/>
    <w:rsid w:val="004B326B"/>
    <w:rsid w:val="004B36AE"/>
    <w:rsid w:val="004B4672"/>
    <w:rsid w:val="004B58F5"/>
    <w:rsid w:val="004B67A4"/>
    <w:rsid w:val="004C289A"/>
    <w:rsid w:val="004C61A3"/>
    <w:rsid w:val="004C6E03"/>
    <w:rsid w:val="004C780C"/>
    <w:rsid w:val="004D03BA"/>
    <w:rsid w:val="004D098D"/>
    <w:rsid w:val="004D3100"/>
    <w:rsid w:val="004D3441"/>
    <w:rsid w:val="004D45C8"/>
    <w:rsid w:val="004D6A38"/>
    <w:rsid w:val="004D6C65"/>
    <w:rsid w:val="004D708E"/>
    <w:rsid w:val="004D760C"/>
    <w:rsid w:val="004D7C91"/>
    <w:rsid w:val="004E26E4"/>
    <w:rsid w:val="004E357A"/>
    <w:rsid w:val="004E3861"/>
    <w:rsid w:val="004E4561"/>
    <w:rsid w:val="004E5000"/>
    <w:rsid w:val="004E586B"/>
    <w:rsid w:val="004E65EB"/>
    <w:rsid w:val="004E7114"/>
    <w:rsid w:val="004F0244"/>
    <w:rsid w:val="004F0A27"/>
    <w:rsid w:val="004F3D4A"/>
    <w:rsid w:val="004F401E"/>
    <w:rsid w:val="004F7174"/>
    <w:rsid w:val="004F7E98"/>
    <w:rsid w:val="00500DD0"/>
    <w:rsid w:val="005010BA"/>
    <w:rsid w:val="005012AA"/>
    <w:rsid w:val="005012CF"/>
    <w:rsid w:val="0050355D"/>
    <w:rsid w:val="005055B5"/>
    <w:rsid w:val="00506619"/>
    <w:rsid w:val="00507E53"/>
    <w:rsid w:val="00510257"/>
    <w:rsid w:val="00510D1D"/>
    <w:rsid w:val="00511033"/>
    <w:rsid w:val="00511BBF"/>
    <w:rsid w:val="00511BDC"/>
    <w:rsid w:val="00512E62"/>
    <w:rsid w:val="00515BBA"/>
    <w:rsid w:val="00515E7B"/>
    <w:rsid w:val="00517868"/>
    <w:rsid w:val="00520894"/>
    <w:rsid w:val="00520BC0"/>
    <w:rsid w:val="005217F8"/>
    <w:rsid w:val="0052267A"/>
    <w:rsid w:val="005226D4"/>
    <w:rsid w:val="005239DD"/>
    <w:rsid w:val="00523CA1"/>
    <w:rsid w:val="00524A9C"/>
    <w:rsid w:val="005266F4"/>
    <w:rsid w:val="0052675C"/>
    <w:rsid w:val="00526D46"/>
    <w:rsid w:val="00527BF5"/>
    <w:rsid w:val="005303B5"/>
    <w:rsid w:val="00531143"/>
    <w:rsid w:val="0053186B"/>
    <w:rsid w:val="00532A2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474C7"/>
    <w:rsid w:val="00550F71"/>
    <w:rsid w:val="005512D3"/>
    <w:rsid w:val="00551C0E"/>
    <w:rsid w:val="00551F46"/>
    <w:rsid w:val="005544FA"/>
    <w:rsid w:val="00554A33"/>
    <w:rsid w:val="0055588A"/>
    <w:rsid w:val="0055716D"/>
    <w:rsid w:val="005571A6"/>
    <w:rsid w:val="00557953"/>
    <w:rsid w:val="00560E55"/>
    <w:rsid w:val="00561058"/>
    <w:rsid w:val="00562E8F"/>
    <w:rsid w:val="0056301A"/>
    <w:rsid w:val="005635AD"/>
    <w:rsid w:val="005636B0"/>
    <w:rsid w:val="005640E1"/>
    <w:rsid w:val="00564EA1"/>
    <w:rsid w:val="0056534C"/>
    <w:rsid w:val="00566E81"/>
    <w:rsid w:val="00567CEE"/>
    <w:rsid w:val="005713F4"/>
    <w:rsid w:val="00571E64"/>
    <w:rsid w:val="00573D3B"/>
    <w:rsid w:val="0057455A"/>
    <w:rsid w:val="00575CC3"/>
    <w:rsid w:val="00575D10"/>
    <w:rsid w:val="00575E54"/>
    <w:rsid w:val="00576018"/>
    <w:rsid w:val="00577269"/>
    <w:rsid w:val="005808CA"/>
    <w:rsid w:val="00580F26"/>
    <w:rsid w:val="00581A7C"/>
    <w:rsid w:val="0058427E"/>
    <w:rsid w:val="005864FA"/>
    <w:rsid w:val="005875A3"/>
    <w:rsid w:val="00590750"/>
    <w:rsid w:val="00590907"/>
    <w:rsid w:val="00592491"/>
    <w:rsid w:val="0059346F"/>
    <w:rsid w:val="00594A7B"/>
    <w:rsid w:val="00596C07"/>
    <w:rsid w:val="00597AA7"/>
    <w:rsid w:val="005A1EAB"/>
    <w:rsid w:val="005A2D82"/>
    <w:rsid w:val="005A3789"/>
    <w:rsid w:val="005A3835"/>
    <w:rsid w:val="005A3AEC"/>
    <w:rsid w:val="005A6858"/>
    <w:rsid w:val="005A72F2"/>
    <w:rsid w:val="005B0B7A"/>
    <w:rsid w:val="005B2194"/>
    <w:rsid w:val="005B2BC3"/>
    <w:rsid w:val="005B4350"/>
    <w:rsid w:val="005B4CFA"/>
    <w:rsid w:val="005B5B3D"/>
    <w:rsid w:val="005B6D64"/>
    <w:rsid w:val="005B7112"/>
    <w:rsid w:val="005B7166"/>
    <w:rsid w:val="005B74D2"/>
    <w:rsid w:val="005C04FD"/>
    <w:rsid w:val="005C18EE"/>
    <w:rsid w:val="005C1A79"/>
    <w:rsid w:val="005C4397"/>
    <w:rsid w:val="005C48CC"/>
    <w:rsid w:val="005C7644"/>
    <w:rsid w:val="005C791C"/>
    <w:rsid w:val="005C7BF4"/>
    <w:rsid w:val="005D1B66"/>
    <w:rsid w:val="005D1FDF"/>
    <w:rsid w:val="005D2B0F"/>
    <w:rsid w:val="005D323E"/>
    <w:rsid w:val="005D3352"/>
    <w:rsid w:val="005D3D1E"/>
    <w:rsid w:val="005D4218"/>
    <w:rsid w:val="005E06AE"/>
    <w:rsid w:val="005E111B"/>
    <w:rsid w:val="005E12DD"/>
    <w:rsid w:val="005E269C"/>
    <w:rsid w:val="005E3586"/>
    <w:rsid w:val="005E386D"/>
    <w:rsid w:val="005E3EC0"/>
    <w:rsid w:val="005E4DEE"/>
    <w:rsid w:val="005E5FF1"/>
    <w:rsid w:val="005E72FB"/>
    <w:rsid w:val="005F01CE"/>
    <w:rsid w:val="005F135B"/>
    <w:rsid w:val="005F3EAB"/>
    <w:rsid w:val="005F4E54"/>
    <w:rsid w:val="005F70B6"/>
    <w:rsid w:val="005F7A87"/>
    <w:rsid w:val="005F7F34"/>
    <w:rsid w:val="006011A3"/>
    <w:rsid w:val="006017DF"/>
    <w:rsid w:val="00601F0A"/>
    <w:rsid w:val="00603630"/>
    <w:rsid w:val="0060382E"/>
    <w:rsid w:val="00604DBE"/>
    <w:rsid w:val="006061B0"/>
    <w:rsid w:val="006063E1"/>
    <w:rsid w:val="006065E4"/>
    <w:rsid w:val="006066D1"/>
    <w:rsid w:val="00606F56"/>
    <w:rsid w:val="00607D48"/>
    <w:rsid w:val="00610039"/>
    <w:rsid w:val="00610381"/>
    <w:rsid w:val="00610917"/>
    <w:rsid w:val="00611B68"/>
    <w:rsid w:val="00611C07"/>
    <w:rsid w:val="00611E07"/>
    <w:rsid w:val="00612045"/>
    <w:rsid w:val="0061286E"/>
    <w:rsid w:val="00612F12"/>
    <w:rsid w:val="00613AC9"/>
    <w:rsid w:val="00615808"/>
    <w:rsid w:val="00620E86"/>
    <w:rsid w:val="006219DD"/>
    <w:rsid w:val="00621D63"/>
    <w:rsid w:val="00623DAF"/>
    <w:rsid w:val="006242BF"/>
    <w:rsid w:val="0062524C"/>
    <w:rsid w:val="006252AC"/>
    <w:rsid w:val="00631FE7"/>
    <w:rsid w:val="00632ACC"/>
    <w:rsid w:val="006345C1"/>
    <w:rsid w:val="00634F76"/>
    <w:rsid w:val="00637FDD"/>
    <w:rsid w:val="00641E57"/>
    <w:rsid w:val="0064260D"/>
    <w:rsid w:val="00642DBC"/>
    <w:rsid w:val="00643CED"/>
    <w:rsid w:val="00644234"/>
    <w:rsid w:val="00644DE2"/>
    <w:rsid w:val="006478E6"/>
    <w:rsid w:val="006503A5"/>
    <w:rsid w:val="00650463"/>
    <w:rsid w:val="00651660"/>
    <w:rsid w:val="00651C0A"/>
    <w:rsid w:val="00652171"/>
    <w:rsid w:val="00652FFB"/>
    <w:rsid w:val="00653133"/>
    <w:rsid w:val="006532C3"/>
    <w:rsid w:val="00654C9C"/>
    <w:rsid w:val="0065528E"/>
    <w:rsid w:val="0065606D"/>
    <w:rsid w:val="00661BD2"/>
    <w:rsid w:val="00662B7A"/>
    <w:rsid w:val="00663B35"/>
    <w:rsid w:val="006645FD"/>
    <w:rsid w:val="00666285"/>
    <w:rsid w:val="0066731A"/>
    <w:rsid w:val="0066750F"/>
    <w:rsid w:val="00670BE7"/>
    <w:rsid w:val="00670FEA"/>
    <w:rsid w:val="00671DC9"/>
    <w:rsid w:val="0067252D"/>
    <w:rsid w:val="00672C31"/>
    <w:rsid w:val="00672C3B"/>
    <w:rsid w:val="006734AA"/>
    <w:rsid w:val="006734B3"/>
    <w:rsid w:val="0067353C"/>
    <w:rsid w:val="00676163"/>
    <w:rsid w:val="006764C4"/>
    <w:rsid w:val="006777E4"/>
    <w:rsid w:val="00677C22"/>
    <w:rsid w:val="006808CC"/>
    <w:rsid w:val="00682F4C"/>
    <w:rsid w:val="00684966"/>
    <w:rsid w:val="00685899"/>
    <w:rsid w:val="00691611"/>
    <w:rsid w:val="00692D30"/>
    <w:rsid w:val="00695597"/>
    <w:rsid w:val="00696A89"/>
    <w:rsid w:val="00696F75"/>
    <w:rsid w:val="00696FEC"/>
    <w:rsid w:val="00697477"/>
    <w:rsid w:val="006A037E"/>
    <w:rsid w:val="006A2019"/>
    <w:rsid w:val="006A21CC"/>
    <w:rsid w:val="006A30E6"/>
    <w:rsid w:val="006A3D41"/>
    <w:rsid w:val="006A7796"/>
    <w:rsid w:val="006B0495"/>
    <w:rsid w:val="006B0DCB"/>
    <w:rsid w:val="006B2408"/>
    <w:rsid w:val="006B2582"/>
    <w:rsid w:val="006B3AF9"/>
    <w:rsid w:val="006B3C91"/>
    <w:rsid w:val="006B414C"/>
    <w:rsid w:val="006B4B0F"/>
    <w:rsid w:val="006C32CF"/>
    <w:rsid w:val="006C335E"/>
    <w:rsid w:val="006C3A1F"/>
    <w:rsid w:val="006C54BB"/>
    <w:rsid w:val="006C56FC"/>
    <w:rsid w:val="006C5C6C"/>
    <w:rsid w:val="006C5F8C"/>
    <w:rsid w:val="006C63EB"/>
    <w:rsid w:val="006C7DE0"/>
    <w:rsid w:val="006D024B"/>
    <w:rsid w:val="006D16CA"/>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0ECE"/>
    <w:rsid w:val="007025BA"/>
    <w:rsid w:val="00702D07"/>
    <w:rsid w:val="0070385B"/>
    <w:rsid w:val="0070407E"/>
    <w:rsid w:val="0070494F"/>
    <w:rsid w:val="00704969"/>
    <w:rsid w:val="00704EA3"/>
    <w:rsid w:val="00705758"/>
    <w:rsid w:val="0070707A"/>
    <w:rsid w:val="0070717A"/>
    <w:rsid w:val="00707244"/>
    <w:rsid w:val="00712CCC"/>
    <w:rsid w:val="007136E9"/>
    <w:rsid w:val="00713DE5"/>
    <w:rsid w:val="007155D9"/>
    <w:rsid w:val="007157A0"/>
    <w:rsid w:val="007174DA"/>
    <w:rsid w:val="00720910"/>
    <w:rsid w:val="00720F29"/>
    <w:rsid w:val="00721038"/>
    <w:rsid w:val="007224C2"/>
    <w:rsid w:val="00726FEB"/>
    <w:rsid w:val="0072771B"/>
    <w:rsid w:val="00731117"/>
    <w:rsid w:val="00731409"/>
    <w:rsid w:val="007334B1"/>
    <w:rsid w:val="007339F3"/>
    <w:rsid w:val="00733EB2"/>
    <w:rsid w:val="007361CA"/>
    <w:rsid w:val="00737FEC"/>
    <w:rsid w:val="00740292"/>
    <w:rsid w:val="007424E5"/>
    <w:rsid w:val="00742B07"/>
    <w:rsid w:val="0074327D"/>
    <w:rsid w:val="00744619"/>
    <w:rsid w:val="0075064C"/>
    <w:rsid w:val="00752E39"/>
    <w:rsid w:val="00754944"/>
    <w:rsid w:val="00755956"/>
    <w:rsid w:val="00756AA0"/>
    <w:rsid w:val="00757CE6"/>
    <w:rsid w:val="007622F8"/>
    <w:rsid w:val="00763097"/>
    <w:rsid w:val="00764CB0"/>
    <w:rsid w:val="007666D8"/>
    <w:rsid w:val="00766D03"/>
    <w:rsid w:val="007671B6"/>
    <w:rsid w:val="007671DA"/>
    <w:rsid w:val="00767C28"/>
    <w:rsid w:val="00770C72"/>
    <w:rsid w:val="007719A8"/>
    <w:rsid w:val="0077228C"/>
    <w:rsid w:val="00772599"/>
    <w:rsid w:val="00772FA8"/>
    <w:rsid w:val="00773CAE"/>
    <w:rsid w:val="00774593"/>
    <w:rsid w:val="00774C88"/>
    <w:rsid w:val="00774D02"/>
    <w:rsid w:val="00776EDA"/>
    <w:rsid w:val="00777599"/>
    <w:rsid w:val="00782B59"/>
    <w:rsid w:val="00785646"/>
    <w:rsid w:val="00785CF8"/>
    <w:rsid w:val="00793277"/>
    <w:rsid w:val="0079435F"/>
    <w:rsid w:val="00796068"/>
    <w:rsid w:val="00796CC0"/>
    <w:rsid w:val="00796CF1"/>
    <w:rsid w:val="007974AF"/>
    <w:rsid w:val="007979EA"/>
    <w:rsid w:val="00797A74"/>
    <w:rsid w:val="007A19BC"/>
    <w:rsid w:val="007A1A35"/>
    <w:rsid w:val="007A2166"/>
    <w:rsid w:val="007A2B7F"/>
    <w:rsid w:val="007A3059"/>
    <w:rsid w:val="007A5922"/>
    <w:rsid w:val="007A5969"/>
    <w:rsid w:val="007A63D4"/>
    <w:rsid w:val="007A7C23"/>
    <w:rsid w:val="007B1ABA"/>
    <w:rsid w:val="007B2070"/>
    <w:rsid w:val="007B221D"/>
    <w:rsid w:val="007B259B"/>
    <w:rsid w:val="007B3F28"/>
    <w:rsid w:val="007B434A"/>
    <w:rsid w:val="007B471E"/>
    <w:rsid w:val="007B5018"/>
    <w:rsid w:val="007B53E7"/>
    <w:rsid w:val="007B65B3"/>
    <w:rsid w:val="007B6A14"/>
    <w:rsid w:val="007B7287"/>
    <w:rsid w:val="007B7A70"/>
    <w:rsid w:val="007C08AB"/>
    <w:rsid w:val="007C38F7"/>
    <w:rsid w:val="007C4E99"/>
    <w:rsid w:val="007C5151"/>
    <w:rsid w:val="007C546B"/>
    <w:rsid w:val="007C5B8D"/>
    <w:rsid w:val="007C670D"/>
    <w:rsid w:val="007C7359"/>
    <w:rsid w:val="007D0CD1"/>
    <w:rsid w:val="007D0ED0"/>
    <w:rsid w:val="007D1F01"/>
    <w:rsid w:val="007D250D"/>
    <w:rsid w:val="007D3500"/>
    <w:rsid w:val="007D3868"/>
    <w:rsid w:val="007D3E0E"/>
    <w:rsid w:val="007D4104"/>
    <w:rsid w:val="007D48CF"/>
    <w:rsid w:val="007D4A4A"/>
    <w:rsid w:val="007E018B"/>
    <w:rsid w:val="007E0721"/>
    <w:rsid w:val="007E0B69"/>
    <w:rsid w:val="007E0C58"/>
    <w:rsid w:val="007E0E05"/>
    <w:rsid w:val="007E1DD3"/>
    <w:rsid w:val="007E209F"/>
    <w:rsid w:val="007E23C8"/>
    <w:rsid w:val="007E25F0"/>
    <w:rsid w:val="007E2878"/>
    <w:rsid w:val="007E4655"/>
    <w:rsid w:val="007E50E4"/>
    <w:rsid w:val="007E55E0"/>
    <w:rsid w:val="007E5C50"/>
    <w:rsid w:val="007E5DED"/>
    <w:rsid w:val="007F0546"/>
    <w:rsid w:val="007F1DEB"/>
    <w:rsid w:val="007F22A5"/>
    <w:rsid w:val="007F421D"/>
    <w:rsid w:val="007F5688"/>
    <w:rsid w:val="007F588F"/>
    <w:rsid w:val="007F5E3E"/>
    <w:rsid w:val="007F66A5"/>
    <w:rsid w:val="0080038A"/>
    <w:rsid w:val="0080065F"/>
    <w:rsid w:val="00802DA0"/>
    <w:rsid w:val="008051DE"/>
    <w:rsid w:val="00805659"/>
    <w:rsid w:val="0080733E"/>
    <w:rsid w:val="00810CC2"/>
    <w:rsid w:val="00812C2A"/>
    <w:rsid w:val="0081324B"/>
    <w:rsid w:val="0081440E"/>
    <w:rsid w:val="00816193"/>
    <w:rsid w:val="008165E4"/>
    <w:rsid w:val="008234BD"/>
    <w:rsid w:val="00824A8C"/>
    <w:rsid w:val="00825155"/>
    <w:rsid w:val="00825EB9"/>
    <w:rsid w:val="008301B7"/>
    <w:rsid w:val="008303E2"/>
    <w:rsid w:val="00831B7E"/>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3F97"/>
    <w:rsid w:val="0085433A"/>
    <w:rsid w:val="00854A85"/>
    <w:rsid w:val="00854B32"/>
    <w:rsid w:val="00855F2B"/>
    <w:rsid w:val="00856252"/>
    <w:rsid w:val="00857634"/>
    <w:rsid w:val="00857FFB"/>
    <w:rsid w:val="0086124E"/>
    <w:rsid w:val="00861B74"/>
    <w:rsid w:val="00864A10"/>
    <w:rsid w:val="008652C9"/>
    <w:rsid w:val="00866084"/>
    <w:rsid w:val="00866992"/>
    <w:rsid w:val="00866CA9"/>
    <w:rsid w:val="00867E32"/>
    <w:rsid w:val="00872942"/>
    <w:rsid w:val="0087504D"/>
    <w:rsid w:val="00875991"/>
    <w:rsid w:val="00875BB5"/>
    <w:rsid w:val="008771B6"/>
    <w:rsid w:val="00877865"/>
    <w:rsid w:val="00877FDD"/>
    <w:rsid w:val="00880FED"/>
    <w:rsid w:val="0088186D"/>
    <w:rsid w:val="008841C8"/>
    <w:rsid w:val="00885367"/>
    <w:rsid w:val="008855A4"/>
    <w:rsid w:val="00885989"/>
    <w:rsid w:val="00887082"/>
    <w:rsid w:val="00887C8D"/>
    <w:rsid w:val="00887DC7"/>
    <w:rsid w:val="00891FCC"/>
    <w:rsid w:val="00892BB8"/>
    <w:rsid w:val="00893014"/>
    <w:rsid w:val="0089513A"/>
    <w:rsid w:val="00896755"/>
    <w:rsid w:val="00896F38"/>
    <w:rsid w:val="008A2417"/>
    <w:rsid w:val="008A5D49"/>
    <w:rsid w:val="008A6952"/>
    <w:rsid w:val="008A69D6"/>
    <w:rsid w:val="008A751E"/>
    <w:rsid w:val="008A756C"/>
    <w:rsid w:val="008B0547"/>
    <w:rsid w:val="008B11A3"/>
    <w:rsid w:val="008B1FE5"/>
    <w:rsid w:val="008B2AD7"/>
    <w:rsid w:val="008B3A74"/>
    <w:rsid w:val="008B3D72"/>
    <w:rsid w:val="008B434A"/>
    <w:rsid w:val="008B5DA7"/>
    <w:rsid w:val="008B7B55"/>
    <w:rsid w:val="008C25D0"/>
    <w:rsid w:val="008C39CB"/>
    <w:rsid w:val="008C3A5B"/>
    <w:rsid w:val="008C3D50"/>
    <w:rsid w:val="008C4823"/>
    <w:rsid w:val="008C5B71"/>
    <w:rsid w:val="008C6D01"/>
    <w:rsid w:val="008D0E23"/>
    <w:rsid w:val="008D2382"/>
    <w:rsid w:val="008D2F21"/>
    <w:rsid w:val="008D3521"/>
    <w:rsid w:val="008D3570"/>
    <w:rsid w:val="008D4A52"/>
    <w:rsid w:val="008D5667"/>
    <w:rsid w:val="008D6F5D"/>
    <w:rsid w:val="008E003A"/>
    <w:rsid w:val="008E15E3"/>
    <w:rsid w:val="008E2045"/>
    <w:rsid w:val="008E4C62"/>
    <w:rsid w:val="008E727E"/>
    <w:rsid w:val="008F0B17"/>
    <w:rsid w:val="008F2902"/>
    <w:rsid w:val="008F3912"/>
    <w:rsid w:val="008F4047"/>
    <w:rsid w:val="008F4111"/>
    <w:rsid w:val="008F4593"/>
    <w:rsid w:val="008F660B"/>
    <w:rsid w:val="008F695F"/>
    <w:rsid w:val="009005CE"/>
    <w:rsid w:val="00900779"/>
    <w:rsid w:val="00901376"/>
    <w:rsid w:val="0090188B"/>
    <w:rsid w:val="009021A4"/>
    <w:rsid w:val="00903309"/>
    <w:rsid w:val="00904305"/>
    <w:rsid w:val="00904362"/>
    <w:rsid w:val="0090441C"/>
    <w:rsid w:val="00904986"/>
    <w:rsid w:val="00904EC5"/>
    <w:rsid w:val="0091406E"/>
    <w:rsid w:val="009149EC"/>
    <w:rsid w:val="00914B48"/>
    <w:rsid w:val="0091511B"/>
    <w:rsid w:val="009172D7"/>
    <w:rsid w:val="00917B6F"/>
    <w:rsid w:val="00917E84"/>
    <w:rsid w:val="00920CE7"/>
    <w:rsid w:val="009236AA"/>
    <w:rsid w:val="009239AA"/>
    <w:rsid w:val="009245B5"/>
    <w:rsid w:val="009245D0"/>
    <w:rsid w:val="00924AB4"/>
    <w:rsid w:val="00925EF2"/>
    <w:rsid w:val="00925F3C"/>
    <w:rsid w:val="00926204"/>
    <w:rsid w:val="009263E9"/>
    <w:rsid w:val="009326F5"/>
    <w:rsid w:val="00935C40"/>
    <w:rsid w:val="00935F4D"/>
    <w:rsid w:val="009377EA"/>
    <w:rsid w:val="0093795C"/>
    <w:rsid w:val="00937DCB"/>
    <w:rsid w:val="00937F7E"/>
    <w:rsid w:val="009440DE"/>
    <w:rsid w:val="0094429F"/>
    <w:rsid w:val="009444E6"/>
    <w:rsid w:val="00944A8E"/>
    <w:rsid w:val="009455E6"/>
    <w:rsid w:val="0094589B"/>
    <w:rsid w:val="00950775"/>
    <w:rsid w:val="009509C0"/>
    <w:rsid w:val="00952B9C"/>
    <w:rsid w:val="00953B70"/>
    <w:rsid w:val="00955E2A"/>
    <w:rsid w:val="00956330"/>
    <w:rsid w:val="00956348"/>
    <w:rsid w:val="00956BA7"/>
    <w:rsid w:val="00956FD8"/>
    <w:rsid w:val="009575F7"/>
    <w:rsid w:val="00957E4B"/>
    <w:rsid w:val="0096021A"/>
    <w:rsid w:val="00960F73"/>
    <w:rsid w:val="00961346"/>
    <w:rsid w:val="009642CA"/>
    <w:rsid w:val="00964BE5"/>
    <w:rsid w:val="009652B6"/>
    <w:rsid w:val="0096655D"/>
    <w:rsid w:val="00970E8A"/>
    <w:rsid w:val="00971139"/>
    <w:rsid w:val="00971F5D"/>
    <w:rsid w:val="00972B10"/>
    <w:rsid w:val="0097401F"/>
    <w:rsid w:val="00975E28"/>
    <w:rsid w:val="00976D54"/>
    <w:rsid w:val="00976F32"/>
    <w:rsid w:val="00981FA0"/>
    <w:rsid w:val="0098263A"/>
    <w:rsid w:val="009827D7"/>
    <w:rsid w:val="00983541"/>
    <w:rsid w:val="00984366"/>
    <w:rsid w:val="00984898"/>
    <w:rsid w:val="00984E80"/>
    <w:rsid w:val="0098690F"/>
    <w:rsid w:val="00987994"/>
    <w:rsid w:val="00987EE5"/>
    <w:rsid w:val="00991CD8"/>
    <w:rsid w:val="00991EBE"/>
    <w:rsid w:val="009928B3"/>
    <w:rsid w:val="00992B6B"/>
    <w:rsid w:val="00992C88"/>
    <w:rsid w:val="00993C2E"/>
    <w:rsid w:val="00997C8A"/>
    <w:rsid w:val="009A0E89"/>
    <w:rsid w:val="009A1339"/>
    <w:rsid w:val="009A188A"/>
    <w:rsid w:val="009A1A95"/>
    <w:rsid w:val="009A2CCC"/>
    <w:rsid w:val="009A3006"/>
    <w:rsid w:val="009A3994"/>
    <w:rsid w:val="009B1B10"/>
    <w:rsid w:val="009B2FB9"/>
    <w:rsid w:val="009B540C"/>
    <w:rsid w:val="009B5D6F"/>
    <w:rsid w:val="009B62AF"/>
    <w:rsid w:val="009B6745"/>
    <w:rsid w:val="009B68AF"/>
    <w:rsid w:val="009B74EA"/>
    <w:rsid w:val="009B7AB9"/>
    <w:rsid w:val="009C33CA"/>
    <w:rsid w:val="009C4B6D"/>
    <w:rsid w:val="009C72E6"/>
    <w:rsid w:val="009D0928"/>
    <w:rsid w:val="009D1B99"/>
    <w:rsid w:val="009D2884"/>
    <w:rsid w:val="009D51D5"/>
    <w:rsid w:val="009D5393"/>
    <w:rsid w:val="009D5445"/>
    <w:rsid w:val="009D565F"/>
    <w:rsid w:val="009D6026"/>
    <w:rsid w:val="009D65B9"/>
    <w:rsid w:val="009D70EE"/>
    <w:rsid w:val="009D733B"/>
    <w:rsid w:val="009E04DC"/>
    <w:rsid w:val="009E0FB3"/>
    <w:rsid w:val="009E3B5A"/>
    <w:rsid w:val="009E3E85"/>
    <w:rsid w:val="009E5105"/>
    <w:rsid w:val="009E59A1"/>
    <w:rsid w:val="009E66EE"/>
    <w:rsid w:val="009F015D"/>
    <w:rsid w:val="009F20C6"/>
    <w:rsid w:val="009F37BF"/>
    <w:rsid w:val="009F4326"/>
    <w:rsid w:val="009F7078"/>
    <w:rsid w:val="009F7BB2"/>
    <w:rsid w:val="009F7FA6"/>
    <w:rsid w:val="00A0082F"/>
    <w:rsid w:val="00A00AE7"/>
    <w:rsid w:val="00A016AA"/>
    <w:rsid w:val="00A0244C"/>
    <w:rsid w:val="00A033FF"/>
    <w:rsid w:val="00A036C9"/>
    <w:rsid w:val="00A0409E"/>
    <w:rsid w:val="00A046C7"/>
    <w:rsid w:val="00A04EDA"/>
    <w:rsid w:val="00A06137"/>
    <w:rsid w:val="00A063FE"/>
    <w:rsid w:val="00A06EDB"/>
    <w:rsid w:val="00A07ACC"/>
    <w:rsid w:val="00A11259"/>
    <w:rsid w:val="00A119A8"/>
    <w:rsid w:val="00A1329C"/>
    <w:rsid w:val="00A14503"/>
    <w:rsid w:val="00A14E25"/>
    <w:rsid w:val="00A14E81"/>
    <w:rsid w:val="00A16896"/>
    <w:rsid w:val="00A16A60"/>
    <w:rsid w:val="00A17A3D"/>
    <w:rsid w:val="00A203C2"/>
    <w:rsid w:val="00A2062A"/>
    <w:rsid w:val="00A2066E"/>
    <w:rsid w:val="00A21E19"/>
    <w:rsid w:val="00A236A1"/>
    <w:rsid w:val="00A239A8"/>
    <w:rsid w:val="00A25B79"/>
    <w:rsid w:val="00A27FF0"/>
    <w:rsid w:val="00A300CB"/>
    <w:rsid w:val="00A30683"/>
    <w:rsid w:val="00A3115F"/>
    <w:rsid w:val="00A32209"/>
    <w:rsid w:val="00A32BA0"/>
    <w:rsid w:val="00A33030"/>
    <w:rsid w:val="00A34307"/>
    <w:rsid w:val="00A35A7A"/>
    <w:rsid w:val="00A378A2"/>
    <w:rsid w:val="00A407B6"/>
    <w:rsid w:val="00A40CDE"/>
    <w:rsid w:val="00A418FF"/>
    <w:rsid w:val="00A43FBD"/>
    <w:rsid w:val="00A43FD4"/>
    <w:rsid w:val="00A44703"/>
    <w:rsid w:val="00A473D7"/>
    <w:rsid w:val="00A52DA1"/>
    <w:rsid w:val="00A54367"/>
    <w:rsid w:val="00A54CCB"/>
    <w:rsid w:val="00A57301"/>
    <w:rsid w:val="00A5757E"/>
    <w:rsid w:val="00A60F52"/>
    <w:rsid w:val="00A6166F"/>
    <w:rsid w:val="00A61DFE"/>
    <w:rsid w:val="00A62AA8"/>
    <w:rsid w:val="00A630D8"/>
    <w:rsid w:val="00A63B4C"/>
    <w:rsid w:val="00A6466B"/>
    <w:rsid w:val="00A6526F"/>
    <w:rsid w:val="00A6604B"/>
    <w:rsid w:val="00A664AD"/>
    <w:rsid w:val="00A664E7"/>
    <w:rsid w:val="00A66E7F"/>
    <w:rsid w:val="00A67917"/>
    <w:rsid w:val="00A679B0"/>
    <w:rsid w:val="00A70904"/>
    <w:rsid w:val="00A709BB"/>
    <w:rsid w:val="00A7257A"/>
    <w:rsid w:val="00A740EA"/>
    <w:rsid w:val="00A75C52"/>
    <w:rsid w:val="00A767B2"/>
    <w:rsid w:val="00A7717C"/>
    <w:rsid w:val="00A77CCE"/>
    <w:rsid w:val="00A80B0C"/>
    <w:rsid w:val="00A81B11"/>
    <w:rsid w:val="00A82B9E"/>
    <w:rsid w:val="00A82D16"/>
    <w:rsid w:val="00A84186"/>
    <w:rsid w:val="00A846F1"/>
    <w:rsid w:val="00A857B4"/>
    <w:rsid w:val="00A85B14"/>
    <w:rsid w:val="00A867CE"/>
    <w:rsid w:val="00A875C0"/>
    <w:rsid w:val="00A87C15"/>
    <w:rsid w:val="00A925D7"/>
    <w:rsid w:val="00A92706"/>
    <w:rsid w:val="00A92CF1"/>
    <w:rsid w:val="00A943F8"/>
    <w:rsid w:val="00A946F5"/>
    <w:rsid w:val="00A962D6"/>
    <w:rsid w:val="00A9704A"/>
    <w:rsid w:val="00A97AD0"/>
    <w:rsid w:val="00AA0874"/>
    <w:rsid w:val="00AA0C5B"/>
    <w:rsid w:val="00AA1110"/>
    <w:rsid w:val="00AA1377"/>
    <w:rsid w:val="00AA1D1B"/>
    <w:rsid w:val="00AA34B8"/>
    <w:rsid w:val="00AA49AF"/>
    <w:rsid w:val="00AA4F2F"/>
    <w:rsid w:val="00AA57CE"/>
    <w:rsid w:val="00AA5ADC"/>
    <w:rsid w:val="00AA5E45"/>
    <w:rsid w:val="00AA7211"/>
    <w:rsid w:val="00AA7540"/>
    <w:rsid w:val="00AB0B9C"/>
    <w:rsid w:val="00AB3E6B"/>
    <w:rsid w:val="00AB4D0B"/>
    <w:rsid w:val="00AB51C8"/>
    <w:rsid w:val="00AB5586"/>
    <w:rsid w:val="00AB708C"/>
    <w:rsid w:val="00AB7B25"/>
    <w:rsid w:val="00AC0BAE"/>
    <w:rsid w:val="00AC0E78"/>
    <w:rsid w:val="00AC126F"/>
    <w:rsid w:val="00AC13F7"/>
    <w:rsid w:val="00AC3256"/>
    <w:rsid w:val="00AC43D2"/>
    <w:rsid w:val="00AC4A94"/>
    <w:rsid w:val="00AC4B34"/>
    <w:rsid w:val="00AC6DE2"/>
    <w:rsid w:val="00AC737D"/>
    <w:rsid w:val="00AD05A6"/>
    <w:rsid w:val="00AD283D"/>
    <w:rsid w:val="00AD3920"/>
    <w:rsid w:val="00AD5922"/>
    <w:rsid w:val="00AD5F80"/>
    <w:rsid w:val="00AD6555"/>
    <w:rsid w:val="00AD6F4A"/>
    <w:rsid w:val="00AE05EA"/>
    <w:rsid w:val="00AE0EDF"/>
    <w:rsid w:val="00AE1128"/>
    <w:rsid w:val="00AE14F4"/>
    <w:rsid w:val="00AE1AB0"/>
    <w:rsid w:val="00AE2609"/>
    <w:rsid w:val="00AE29A8"/>
    <w:rsid w:val="00AE3960"/>
    <w:rsid w:val="00AE4074"/>
    <w:rsid w:val="00AE439A"/>
    <w:rsid w:val="00AE591D"/>
    <w:rsid w:val="00AE617A"/>
    <w:rsid w:val="00AE6CD9"/>
    <w:rsid w:val="00AE713F"/>
    <w:rsid w:val="00AF01CB"/>
    <w:rsid w:val="00AF09C7"/>
    <w:rsid w:val="00AF1474"/>
    <w:rsid w:val="00AF1A40"/>
    <w:rsid w:val="00AF37F7"/>
    <w:rsid w:val="00AF4BF4"/>
    <w:rsid w:val="00AF551F"/>
    <w:rsid w:val="00B0025D"/>
    <w:rsid w:val="00B006D8"/>
    <w:rsid w:val="00B02238"/>
    <w:rsid w:val="00B03D35"/>
    <w:rsid w:val="00B05065"/>
    <w:rsid w:val="00B05194"/>
    <w:rsid w:val="00B0688D"/>
    <w:rsid w:val="00B06AA0"/>
    <w:rsid w:val="00B06B45"/>
    <w:rsid w:val="00B06D33"/>
    <w:rsid w:val="00B074B3"/>
    <w:rsid w:val="00B10AD8"/>
    <w:rsid w:val="00B121B8"/>
    <w:rsid w:val="00B149B2"/>
    <w:rsid w:val="00B154B5"/>
    <w:rsid w:val="00B1664E"/>
    <w:rsid w:val="00B17303"/>
    <w:rsid w:val="00B1744E"/>
    <w:rsid w:val="00B20833"/>
    <w:rsid w:val="00B20EA4"/>
    <w:rsid w:val="00B21343"/>
    <w:rsid w:val="00B219AA"/>
    <w:rsid w:val="00B21A5B"/>
    <w:rsid w:val="00B221C7"/>
    <w:rsid w:val="00B25143"/>
    <w:rsid w:val="00B2585D"/>
    <w:rsid w:val="00B25962"/>
    <w:rsid w:val="00B266FA"/>
    <w:rsid w:val="00B26C40"/>
    <w:rsid w:val="00B26D82"/>
    <w:rsid w:val="00B27359"/>
    <w:rsid w:val="00B30BA2"/>
    <w:rsid w:val="00B31DDF"/>
    <w:rsid w:val="00B33FC2"/>
    <w:rsid w:val="00B3423E"/>
    <w:rsid w:val="00B347F1"/>
    <w:rsid w:val="00B34A99"/>
    <w:rsid w:val="00B3502B"/>
    <w:rsid w:val="00B35755"/>
    <w:rsid w:val="00B35774"/>
    <w:rsid w:val="00B3599F"/>
    <w:rsid w:val="00B35C3E"/>
    <w:rsid w:val="00B36473"/>
    <w:rsid w:val="00B408FD"/>
    <w:rsid w:val="00B40BEA"/>
    <w:rsid w:val="00B40EC3"/>
    <w:rsid w:val="00B414C9"/>
    <w:rsid w:val="00B41D9D"/>
    <w:rsid w:val="00B44029"/>
    <w:rsid w:val="00B44FFA"/>
    <w:rsid w:val="00B45428"/>
    <w:rsid w:val="00B475CB"/>
    <w:rsid w:val="00B47943"/>
    <w:rsid w:val="00B50446"/>
    <w:rsid w:val="00B50A6E"/>
    <w:rsid w:val="00B512D2"/>
    <w:rsid w:val="00B527BF"/>
    <w:rsid w:val="00B52DC6"/>
    <w:rsid w:val="00B530FD"/>
    <w:rsid w:val="00B53920"/>
    <w:rsid w:val="00B53C03"/>
    <w:rsid w:val="00B53C9C"/>
    <w:rsid w:val="00B54B68"/>
    <w:rsid w:val="00B558FE"/>
    <w:rsid w:val="00B56396"/>
    <w:rsid w:val="00B5639B"/>
    <w:rsid w:val="00B60C3E"/>
    <w:rsid w:val="00B615CB"/>
    <w:rsid w:val="00B63E30"/>
    <w:rsid w:val="00B645FA"/>
    <w:rsid w:val="00B64775"/>
    <w:rsid w:val="00B64B42"/>
    <w:rsid w:val="00B657AB"/>
    <w:rsid w:val="00B65AF9"/>
    <w:rsid w:val="00B663CD"/>
    <w:rsid w:val="00B67B4F"/>
    <w:rsid w:val="00B702CD"/>
    <w:rsid w:val="00B763BE"/>
    <w:rsid w:val="00B7749A"/>
    <w:rsid w:val="00B77BB8"/>
    <w:rsid w:val="00B800EC"/>
    <w:rsid w:val="00B81718"/>
    <w:rsid w:val="00B8198B"/>
    <w:rsid w:val="00B85A97"/>
    <w:rsid w:val="00B86278"/>
    <w:rsid w:val="00B86AF6"/>
    <w:rsid w:val="00B86E2A"/>
    <w:rsid w:val="00B877AA"/>
    <w:rsid w:val="00B909E7"/>
    <w:rsid w:val="00B90A3B"/>
    <w:rsid w:val="00B9389E"/>
    <w:rsid w:val="00B94EB5"/>
    <w:rsid w:val="00B96872"/>
    <w:rsid w:val="00B96EA4"/>
    <w:rsid w:val="00B97282"/>
    <w:rsid w:val="00B97A3E"/>
    <w:rsid w:val="00BA2F02"/>
    <w:rsid w:val="00BA2FFD"/>
    <w:rsid w:val="00BA3492"/>
    <w:rsid w:val="00BA428A"/>
    <w:rsid w:val="00BA4ED9"/>
    <w:rsid w:val="00BA5023"/>
    <w:rsid w:val="00BA5365"/>
    <w:rsid w:val="00BA58B6"/>
    <w:rsid w:val="00BA62AD"/>
    <w:rsid w:val="00BA6DBD"/>
    <w:rsid w:val="00BB0267"/>
    <w:rsid w:val="00BB078B"/>
    <w:rsid w:val="00BB0E0C"/>
    <w:rsid w:val="00BB37AF"/>
    <w:rsid w:val="00BB4769"/>
    <w:rsid w:val="00BB4C08"/>
    <w:rsid w:val="00BB4FDA"/>
    <w:rsid w:val="00BB61BE"/>
    <w:rsid w:val="00BB6AC3"/>
    <w:rsid w:val="00BB779D"/>
    <w:rsid w:val="00BC050A"/>
    <w:rsid w:val="00BC122C"/>
    <w:rsid w:val="00BC1866"/>
    <w:rsid w:val="00BC1DBD"/>
    <w:rsid w:val="00BC2414"/>
    <w:rsid w:val="00BC322A"/>
    <w:rsid w:val="00BC5092"/>
    <w:rsid w:val="00BC526B"/>
    <w:rsid w:val="00BC5737"/>
    <w:rsid w:val="00BC65A7"/>
    <w:rsid w:val="00BD1747"/>
    <w:rsid w:val="00BD3C68"/>
    <w:rsid w:val="00BD421D"/>
    <w:rsid w:val="00BD4493"/>
    <w:rsid w:val="00BD5052"/>
    <w:rsid w:val="00BD6B87"/>
    <w:rsid w:val="00BD73FC"/>
    <w:rsid w:val="00BD79B1"/>
    <w:rsid w:val="00BE04D9"/>
    <w:rsid w:val="00BE08EF"/>
    <w:rsid w:val="00BE0BCC"/>
    <w:rsid w:val="00BE2B7A"/>
    <w:rsid w:val="00BE4614"/>
    <w:rsid w:val="00BE4E6F"/>
    <w:rsid w:val="00BE5100"/>
    <w:rsid w:val="00BE529D"/>
    <w:rsid w:val="00BE53DD"/>
    <w:rsid w:val="00BE573E"/>
    <w:rsid w:val="00BE6584"/>
    <w:rsid w:val="00BE6637"/>
    <w:rsid w:val="00BE749B"/>
    <w:rsid w:val="00BE7D8D"/>
    <w:rsid w:val="00BF0D00"/>
    <w:rsid w:val="00BF10E8"/>
    <w:rsid w:val="00BF12C4"/>
    <w:rsid w:val="00BF2033"/>
    <w:rsid w:val="00BF214C"/>
    <w:rsid w:val="00BF3158"/>
    <w:rsid w:val="00BF3169"/>
    <w:rsid w:val="00BF34E0"/>
    <w:rsid w:val="00BF51B7"/>
    <w:rsid w:val="00BF56BE"/>
    <w:rsid w:val="00C00953"/>
    <w:rsid w:val="00C00F38"/>
    <w:rsid w:val="00C0314D"/>
    <w:rsid w:val="00C03312"/>
    <w:rsid w:val="00C03532"/>
    <w:rsid w:val="00C039A5"/>
    <w:rsid w:val="00C03A04"/>
    <w:rsid w:val="00C03C67"/>
    <w:rsid w:val="00C046F7"/>
    <w:rsid w:val="00C064FE"/>
    <w:rsid w:val="00C066AB"/>
    <w:rsid w:val="00C06EA1"/>
    <w:rsid w:val="00C10C0B"/>
    <w:rsid w:val="00C10DD5"/>
    <w:rsid w:val="00C11F76"/>
    <w:rsid w:val="00C12989"/>
    <w:rsid w:val="00C14D9F"/>
    <w:rsid w:val="00C15A27"/>
    <w:rsid w:val="00C15FEF"/>
    <w:rsid w:val="00C165A1"/>
    <w:rsid w:val="00C1776A"/>
    <w:rsid w:val="00C20301"/>
    <w:rsid w:val="00C20BBA"/>
    <w:rsid w:val="00C20FFB"/>
    <w:rsid w:val="00C22519"/>
    <w:rsid w:val="00C22F12"/>
    <w:rsid w:val="00C2305C"/>
    <w:rsid w:val="00C233D0"/>
    <w:rsid w:val="00C2380D"/>
    <w:rsid w:val="00C24162"/>
    <w:rsid w:val="00C24E78"/>
    <w:rsid w:val="00C2509D"/>
    <w:rsid w:val="00C2796E"/>
    <w:rsid w:val="00C27A2E"/>
    <w:rsid w:val="00C302BD"/>
    <w:rsid w:val="00C32176"/>
    <w:rsid w:val="00C34ABD"/>
    <w:rsid w:val="00C353CF"/>
    <w:rsid w:val="00C35F43"/>
    <w:rsid w:val="00C363A9"/>
    <w:rsid w:val="00C36C55"/>
    <w:rsid w:val="00C37088"/>
    <w:rsid w:val="00C3715E"/>
    <w:rsid w:val="00C408C2"/>
    <w:rsid w:val="00C408D5"/>
    <w:rsid w:val="00C40B77"/>
    <w:rsid w:val="00C41D3C"/>
    <w:rsid w:val="00C43801"/>
    <w:rsid w:val="00C44A07"/>
    <w:rsid w:val="00C44BDC"/>
    <w:rsid w:val="00C45BFB"/>
    <w:rsid w:val="00C45DCE"/>
    <w:rsid w:val="00C46085"/>
    <w:rsid w:val="00C46D15"/>
    <w:rsid w:val="00C50C7D"/>
    <w:rsid w:val="00C50FF9"/>
    <w:rsid w:val="00C54B14"/>
    <w:rsid w:val="00C6352A"/>
    <w:rsid w:val="00C65B2D"/>
    <w:rsid w:val="00C65C5D"/>
    <w:rsid w:val="00C65DA0"/>
    <w:rsid w:val="00C6656A"/>
    <w:rsid w:val="00C66C03"/>
    <w:rsid w:val="00C703C2"/>
    <w:rsid w:val="00C711E5"/>
    <w:rsid w:val="00C730CB"/>
    <w:rsid w:val="00C731FC"/>
    <w:rsid w:val="00C73782"/>
    <w:rsid w:val="00C74107"/>
    <w:rsid w:val="00C80D90"/>
    <w:rsid w:val="00C81B05"/>
    <w:rsid w:val="00C832C0"/>
    <w:rsid w:val="00C83AEE"/>
    <w:rsid w:val="00C84CAA"/>
    <w:rsid w:val="00C85531"/>
    <w:rsid w:val="00C85563"/>
    <w:rsid w:val="00C85AC7"/>
    <w:rsid w:val="00C85B0B"/>
    <w:rsid w:val="00C87F13"/>
    <w:rsid w:val="00C9003E"/>
    <w:rsid w:val="00C9045E"/>
    <w:rsid w:val="00C90466"/>
    <w:rsid w:val="00C906CD"/>
    <w:rsid w:val="00C90F10"/>
    <w:rsid w:val="00C9133D"/>
    <w:rsid w:val="00C92840"/>
    <w:rsid w:val="00C934E0"/>
    <w:rsid w:val="00C94A2F"/>
    <w:rsid w:val="00C961CA"/>
    <w:rsid w:val="00C96454"/>
    <w:rsid w:val="00CA08DA"/>
    <w:rsid w:val="00CA0FB8"/>
    <w:rsid w:val="00CA15F3"/>
    <w:rsid w:val="00CA2680"/>
    <w:rsid w:val="00CA3312"/>
    <w:rsid w:val="00CA4D23"/>
    <w:rsid w:val="00CA50CD"/>
    <w:rsid w:val="00CA522F"/>
    <w:rsid w:val="00CA6716"/>
    <w:rsid w:val="00CA7FB2"/>
    <w:rsid w:val="00CB036A"/>
    <w:rsid w:val="00CB0D34"/>
    <w:rsid w:val="00CB1C4E"/>
    <w:rsid w:val="00CB3818"/>
    <w:rsid w:val="00CB6930"/>
    <w:rsid w:val="00CB79F7"/>
    <w:rsid w:val="00CC18C0"/>
    <w:rsid w:val="00CC1939"/>
    <w:rsid w:val="00CC23EB"/>
    <w:rsid w:val="00CC3CA7"/>
    <w:rsid w:val="00CC42D4"/>
    <w:rsid w:val="00CC4364"/>
    <w:rsid w:val="00CC64E3"/>
    <w:rsid w:val="00CC7712"/>
    <w:rsid w:val="00CC774A"/>
    <w:rsid w:val="00CD179A"/>
    <w:rsid w:val="00CD2030"/>
    <w:rsid w:val="00CD2536"/>
    <w:rsid w:val="00CD407F"/>
    <w:rsid w:val="00CD5740"/>
    <w:rsid w:val="00CD7420"/>
    <w:rsid w:val="00CE0BA7"/>
    <w:rsid w:val="00CE2DAF"/>
    <w:rsid w:val="00CE2FAA"/>
    <w:rsid w:val="00CE334D"/>
    <w:rsid w:val="00CE36EF"/>
    <w:rsid w:val="00CE3FC3"/>
    <w:rsid w:val="00CE552B"/>
    <w:rsid w:val="00CE6ACB"/>
    <w:rsid w:val="00CE6D09"/>
    <w:rsid w:val="00CF0E4D"/>
    <w:rsid w:val="00CF146E"/>
    <w:rsid w:val="00CF19C6"/>
    <w:rsid w:val="00CF230D"/>
    <w:rsid w:val="00CF2A98"/>
    <w:rsid w:val="00CF5489"/>
    <w:rsid w:val="00CF7615"/>
    <w:rsid w:val="00CF7796"/>
    <w:rsid w:val="00CF7823"/>
    <w:rsid w:val="00D003F8"/>
    <w:rsid w:val="00D0052C"/>
    <w:rsid w:val="00D01540"/>
    <w:rsid w:val="00D01AFE"/>
    <w:rsid w:val="00D02757"/>
    <w:rsid w:val="00D02FB7"/>
    <w:rsid w:val="00D04613"/>
    <w:rsid w:val="00D05C77"/>
    <w:rsid w:val="00D07739"/>
    <w:rsid w:val="00D10769"/>
    <w:rsid w:val="00D11642"/>
    <w:rsid w:val="00D116C7"/>
    <w:rsid w:val="00D13AC5"/>
    <w:rsid w:val="00D14E5F"/>
    <w:rsid w:val="00D14FB2"/>
    <w:rsid w:val="00D16754"/>
    <w:rsid w:val="00D16A06"/>
    <w:rsid w:val="00D17548"/>
    <w:rsid w:val="00D17604"/>
    <w:rsid w:val="00D17CC6"/>
    <w:rsid w:val="00D2041E"/>
    <w:rsid w:val="00D20454"/>
    <w:rsid w:val="00D20D10"/>
    <w:rsid w:val="00D2153B"/>
    <w:rsid w:val="00D23801"/>
    <w:rsid w:val="00D25AEC"/>
    <w:rsid w:val="00D25B2F"/>
    <w:rsid w:val="00D27E9B"/>
    <w:rsid w:val="00D3037E"/>
    <w:rsid w:val="00D305AC"/>
    <w:rsid w:val="00D32074"/>
    <w:rsid w:val="00D32376"/>
    <w:rsid w:val="00D326DD"/>
    <w:rsid w:val="00D33DBD"/>
    <w:rsid w:val="00D341C9"/>
    <w:rsid w:val="00D3447D"/>
    <w:rsid w:val="00D3488B"/>
    <w:rsid w:val="00D35F32"/>
    <w:rsid w:val="00D361DE"/>
    <w:rsid w:val="00D37427"/>
    <w:rsid w:val="00D3793E"/>
    <w:rsid w:val="00D37E78"/>
    <w:rsid w:val="00D37FB2"/>
    <w:rsid w:val="00D404C7"/>
    <w:rsid w:val="00D41A6A"/>
    <w:rsid w:val="00D4233A"/>
    <w:rsid w:val="00D43E3F"/>
    <w:rsid w:val="00D44B3D"/>
    <w:rsid w:val="00D46787"/>
    <w:rsid w:val="00D4691A"/>
    <w:rsid w:val="00D46C4C"/>
    <w:rsid w:val="00D51F18"/>
    <w:rsid w:val="00D52DA3"/>
    <w:rsid w:val="00D52E5A"/>
    <w:rsid w:val="00D53537"/>
    <w:rsid w:val="00D54E9E"/>
    <w:rsid w:val="00D551C8"/>
    <w:rsid w:val="00D55972"/>
    <w:rsid w:val="00D564BB"/>
    <w:rsid w:val="00D565FA"/>
    <w:rsid w:val="00D5674B"/>
    <w:rsid w:val="00D568ED"/>
    <w:rsid w:val="00D56BF9"/>
    <w:rsid w:val="00D56E3F"/>
    <w:rsid w:val="00D571B4"/>
    <w:rsid w:val="00D6014E"/>
    <w:rsid w:val="00D630E7"/>
    <w:rsid w:val="00D640BA"/>
    <w:rsid w:val="00D64C56"/>
    <w:rsid w:val="00D66F17"/>
    <w:rsid w:val="00D67FE4"/>
    <w:rsid w:val="00D700E5"/>
    <w:rsid w:val="00D70900"/>
    <w:rsid w:val="00D71B77"/>
    <w:rsid w:val="00D74A87"/>
    <w:rsid w:val="00D75CE3"/>
    <w:rsid w:val="00D76186"/>
    <w:rsid w:val="00D771E9"/>
    <w:rsid w:val="00D7771F"/>
    <w:rsid w:val="00D817F1"/>
    <w:rsid w:val="00D8414C"/>
    <w:rsid w:val="00D844B1"/>
    <w:rsid w:val="00D86C20"/>
    <w:rsid w:val="00D86DD4"/>
    <w:rsid w:val="00D909BB"/>
    <w:rsid w:val="00D92529"/>
    <w:rsid w:val="00D94BD0"/>
    <w:rsid w:val="00D973C9"/>
    <w:rsid w:val="00DA1613"/>
    <w:rsid w:val="00DA330A"/>
    <w:rsid w:val="00DA5AAB"/>
    <w:rsid w:val="00DA671A"/>
    <w:rsid w:val="00DA6858"/>
    <w:rsid w:val="00DA7CBB"/>
    <w:rsid w:val="00DB08FA"/>
    <w:rsid w:val="00DB1CD7"/>
    <w:rsid w:val="00DB2086"/>
    <w:rsid w:val="00DB2651"/>
    <w:rsid w:val="00DB30B1"/>
    <w:rsid w:val="00DB31FF"/>
    <w:rsid w:val="00DB3ECD"/>
    <w:rsid w:val="00DB4717"/>
    <w:rsid w:val="00DB79D5"/>
    <w:rsid w:val="00DC0F8C"/>
    <w:rsid w:val="00DC12C8"/>
    <w:rsid w:val="00DC508C"/>
    <w:rsid w:val="00DC6AB5"/>
    <w:rsid w:val="00DC6F31"/>
    <w:rsid w:val="00DC7004"/>
    <w:rsid w:val="00DC7FFD"/>
    <w:rsid w:val="00DD0277"/>
    <w:rsid w:val="00DD1B11"/>
    <w:rsid w:val="00DD1B33"/>
    <w:rsid w:val="00DD1CE2"/>
    <w:rsid w:val="00DD645B"/>
    <w:rsid w:val="00DD6667"/>
    <w:rsid w:val="00DD69DA"/>
    <w:rsid w:val="00DD6D82"/>
    <w:rsid w:val="00DE045E"/>
    <w:rsid w:val="00DE1240"/>
    <w:rsid w:val="00DE1AA5"/>
    <w:rsid w:val="00DE231A"/>
    <w:rsid w:val="00DE23D6"/>
    <w:rsid w:val="00DE2825"/>
    <w:rsid w:val="00DE2982"/>
    <w:rsid w:val="00DE29B9"/>
    <w:rsid w:val="00DE2CB6"/>
    <w:rsid w:val="00DE2DDE"/>
    <w:rsid w:val="00DE395F"/>
    <w:rsid w:val="00DE5414"/>
    <w:rsid w:val="00DE5BAE"/>
    <w:rsid w:val="00DE7566"/>
    <w:rsid w:val="00DE7E46"/>
    <w:rsid w:val="00DF066D"/>
    <w:rsid w:val="00DF0C37"/>
    <w:rsid w:val="00DF24FD"/>
    <w:rsid w:val="00DF2506"/>
    <w:rsid w:val="00DF2F26"/>
    <w:rsid w:val="00DF301A"/>
    <w:rsid w:val="00DF330B"/>
    <w:rsid w:val="00DF3469"/>
    <w:rsid w:val="00DF3BE2"/>
    <w:rsid w:val="00DF4E2C"/>
    <w:rsid w:val="00DF4E34"/>
    <w:rsid w:val="00DF5ACC"/>
    <w:rsid w:val="00DF6A93"/>
    <w:rsid w:val="00DF75EC"/>
    <w:rsid w:val="00E0133D"/>
    <w:rsid w:val="00E0199E"/>
    <w:rsid w:val="00E019ED"/>
    <w:rsid w:val="00E01B31"/>
    <w:rsid w:val="00E02392"/>
    <w:rsid w:val="00E0312F"/>
    <w:rsid w:val="00E04C48"/>
    <w:rsid w:val="00E05C97"/>
    <w:rsid w:val="00E05DA6"/>
    <w:rsid w:val="00E06065"/>
    <w:rsid w:val="00E07901"/>
    <w:rsid w:val="00E079C6"/>
    <w:rsid w:val="00E1273C"/>
    <w:rsid w:val="00E1434A"/>
    <w:rsid w:val="00E146CF"/>
    <w:rsid w:val="00E14BED"/>
    <w:rsid w:val="00E17711"/>
    <w:rsid w:val="00E23C05"/>
    <w:rsid w:val="00E2425F"/>
    <w:rsid w:val="00E242F0"/>
    <w:rsid w:val="00E245B0"/>
    <w:rsid w:val="00E2461C"/>
    <w:rsid w:val="00E247E2"/>
    <w:rsid w:val="00E24B86"/>
    <w:rsid w:val="00E25A4E"/>
    <w:rsid w:val="00E27F00"/>
    <w:rsid w:val="00E30339"/>
    <w:rsid w:val="00E30431"/>
    <w:rsid w:val="00E304EB"/>
    <w:rsid w:val="00E329D0"/>
    <w:rsid w:val="00E330AD"/>
    <w:rsid w:val="00E33746"/>
    <w:rsid w:val="00E342B3"/>
    <w:rsid w:val="00E3451F"/>
    <w:rsid w:val="00E34B80"/>
    <w:rsid w:val="00E36ADF"/>
    <w:rsid w:val="00E36B53"/>
    <w:rsid w:val="00E37585"/>
    <w:rsid w:val="00E41B64"/>
    <w:rsid w:val="00E42C35"/>
    <w:rsid w:val="00E43E70"/>
    <w:rsid w:val="00E469D5"/>
    <w:rsid w:val="00E46CD5"/>
    <w:rsid w:val="00E500D9"/>
    <w:rsid w:val="00E51AB5"/>
    <w:rsid w:val="00E51DFD"/>
    <w:rsid w:val="00E52345"/>
    <w:rsid w:val="00E52763"/>
    <w:rsid w:val="00E5619A"/>
    <w:rsid w:val="00E563AE"/>
    <w:rsid w:val="00E61029"/>
    <w:rsid w:val="00E62BF6"/>
    <w:rsid w:val="00E638B2"/>
    <w:rsid w:val="00E65B70"/>
    <w:rsid w:val="00E662CD"/>
    <w:rsid w:val="00E67427"/>
    <w:rsid w:val="00E676F1"/>
    <w:rsid w:val="00E73271"/>
    <w:rsid w:val="00E735DA"/>
    <w:rsid w:val="00E73F5C"/>
    <w:rsid w:val="00E74214"/>
    <w:rsid w:val="00E74762"/>
    <w:rsid w:val="00E74D52"/>
    <w:rsid w:val="00E75855"/>
    <w:rsid w:val="00E75D63"/>
    <w:rsid w:val="00E7609C"/>
    <w:rsid w:val="00E82556"/>
    <w:rsid w:val="00E85CBE"/>
    <w:rsid w:val="00E8650C"/>
    <w:rsid w:val="00E86566"/>
    <w:rsid w:val="00E875F5"/>
    <w:rsid w:val="00E92527"/>
    <w:rsid w:val="00E92A93"/>
    <w:rsid w:val="00E93620"/>
    <w:rsid w:val="00E959A0"/>
    <w:rsid w:val="00E97045"/>
    <w:rsid w:val="00E97DA3"/>
    <w:rsid w:val="00EA270C"/>
    <w:rsid w:val="00EA3185"/>
    <w:rsid w:val="00EA36EA"/>
    <w:rsid w:val="00EA466B"/>
    <w:rsid w:val="00EA5CB5"/>
    <w:rsid w:val="00EA5CF4"/>
    <w:rsid w:val="00EA72FC"/>
    <w:rsid w:val="00EB09B9"/>
    <w:rsid w:val="00EB3C52"/>
    <w:rsid w:val="00EB76F7"/>
    <w:rsid w:val="00EB7CB1"/>
    <w:rsid w:val="00EC0569"/>
    <w:rsid w:val="00EC0C7B"/>
    <w:rsid w:val="00EC1C35"/>
    <w:rsid w:val="00EC1F63"/>
    <w:rsid w:val="00EC224F"/>
    <w:rsid w:val="00EC5E45"/>
    <w:rsid w:val="00EC608C"/>
    <w:rsid w:val="00EC61C2"/>
    <w:rsid w:val="00ED0557"/>
    <w:rsid w:val="00ED0CF0"/>
    <w:rsid w:val="00ED34D4"/>
    <w:rsid w:val="00ED3D84"/>
    <w:rsid w:val="00ED42FF"/>
    <w:rsid w:val="00ED5E6C"/>
    <w:rsid w:val="00ED766C"/>
    <w:rsid w:val="00ED76FB"/>
    <w:rsid w:val="00EE05C2"/>
    <w:rsid w:val="00EE0D01"/>
    <w:rsid w:val="00EE30EE"/>
    <w:rsid w:val="00EE3C6D"/>
    <w:rsid w:val="00EE4C6E"/>
    <w:rsid w:val="00EE5135"/>
    <w:rsid w:val="00EE558C"/>
    <w:rsid w:val="00EE61BE"/>
    <w:rsid w:val="00EE6DE6"/>
    <w:rsid w:val="00EE754C"/>
    <w:rsid w:val="00EE7929"/>
    <w:rsid w:val="00EF057C"/>
    <w:rsid w:val="00EF1D14"/>
    <w:rsid w:val="00EF4FEE"/>
    <w:rsid w:val="00EF6873"/>
    <w:rsid w:val="00EF6F24"/>
    <w:rsid w:val="00EF7143"/>
    <w:rsid w:val="00F0080B"/>
    <w:rsid w:val="00F00BE1"/>
    <w:rsid w:val="00F01B31"/>
    <w:rsid w:val="00F02D9C"/>
    <w:rsid w:val="00F03AB9"/>
    <w:rsid w:val="00F03F4E"/>
    <w:rsid w:val="00F0439A"/>
    <w:rsid w:val="00F06479"/>
    <w:rsid w:val="00F076C5"/>
    <w:rsid w:val="00F10B0A"/>
    <w:rsid w:val="00F120D9"/>
    <w:rsid w:val="00F124BE"/>
    <w:rsid w:val="00F125DE"/>
    <w:rsid w:val="00F12A9F"/>
    <w:rsid w:val="00F14C13"/>
    <w:rsid w:val="00F16EEC"/>
    <w:rsid w:val="00F211DE"/>
    <w:rsid w:val="00F2254A"/>
    <w:rsid w:val="00F22EDB"/>
    <w:rsid w:val="00F24232"/>
    <w:rsid w:val="00F2526C"/>
    <w:rsid w:val="00F27170"/>
    <w:rsid w:val="00F30016"/>
    <w:rsid w:val="00F30CE5"/>
    <w:rsid w:val="00F3144A"/>
    <w:rsid w:val="00F31C75"/>
    <w:rsid w:val="00F32543"/>
    <w:rsid w:val="00F33277"/>
    <w:rsid w:val="00F339D7"/>
    <w:rsid w:val="00F33CE0"/>
    <w:rsid w:val="00F340CD"/>
    <w:rsid w:val="00F341CC"/>
    <w:rsid w:val="00F34E67"/>
    <w:rsid w:val="00F36B6C"/>
    <w:rsid w:val="00F36D10"/>
    <w:rsid w:val="00F37C18"/>
    <w:rsid w:val="00F40CAB"/>
    <w:rsid w:val="00F4352E"/>
    <w:rsid w:val="00F43960"/>
    <w:rsid w:val="00F43C3C"/>
    <w:rsid w:val="00F459C7"/>
    <w:rsid w:val="00F45D8C"/>
    <w:rsid w:val="00F47C5C"/>
    <w:rsid w:val="00F50173"/>
    <w:rsid w:val="00F53166"/>
    <w:rsid w:val="00F54856"/>
    <w:rsid w:val="00F55337"/>
    <w:rsid w:val="00F5565E"/>
    <w:rsid w:val="00F55D35"/>
    <w:rsid w:val="00F567ED"/>
    <w:rsid w:val="00F56AF3"/>
    <w:rsid w:val="00F56CB9"/>
    <w:rsid w:val="00F57650"/>
    <w:rsid w:val="00F579FC"/>
    <w:rsid w:val="00F6089D"/>
    <w:rsid w:val="00F60C74"/>
    <w:rsid w:val="00F61841"/>
    <w:rsid w:val="00F62773"/>
    <w:rsid w:val="00F62FE5"/>
    <w:rsid w:val="00F64DD3"/>
    <w:rsid w:val="00F64F51"/>
    <w:rsid w:val="00F65006"/>
    <w:rsid w:val="00F66122"/>
    <w:rsid w:val="00F666FD"/>
    <w:rsid w:val="00F67099"/>
    <w:rsid w:val="00F672F1"/>
    <w:rsid w:val="00F67A35"/>
    <w:rsid w:val="00F72620"/>
    <w:rsid w:val="00F759AD"/>
    <w:rsid w:val="00F765E8"/>
    <w:rsid w:val="00F7768D"/>
    <w:rsid w:val="00F8200C"/>
    <w:rsid w:val="00F85D77"/>
    <w:rsid w:val="00F86D88"/>
    <w:rsid w:val="00F87FA7"/>
    <w:rsid w:val="00F90898"/>
    <w:rsid w:val="00F914C8"/>
    <w:rsid w:val="00F914EA"/>
    <w:rsid w:val="00F92EAE"/>
    <w:rsid w:val="00F9473C"/>
    <w:rsid w:val="00F947A1"/>
    <w:rsid w:val="00FA0942"/>
    <w:rsid w:val="00FA40A3"/>
    <w:rsid w:val="00FA427F"/>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5F90"/>
    <w:rsid w:val="00FC64F3"/>
    <w:rsid w:val="00FD08A7"/>
    <w:rsid w:val="00FD1295"/>
    <w:rsid w:val="00FD2E55"/>
    <w:rsid w:val="00FD2FA9"/>
    <w:rsid w:val="00FD3572"/>
    <w:rsid w:val="00FD510B"/>
    <w:rsid w:val="00FD5360"/>
    <w:rsid w:val="00FD54CC"/>
    <w:rsid w:val="00FE06A2"/>
    <w:rsid w:val="00FE0CE6"/>
    <w:rsid w:val="00FE28C8"/>
    <w:rsid w:val="00FE2C3A"/>
    <w:rsid w:val="00FE4CFC"/>
    <w:rsid w:val="00FE62CD"/>
    <w:rsid w:val="00FE79EF"/>
    <w:rsid w:val="00FF025A"/>
    <w:rsid w:val="00FF088B"/>
    <w:rsid w:val="00FF0AC4"/>
    <w:rsid w:val="00FF10AF"/>
    <w:rsid w:val="00FF1304"/>
    <w:rsid w:val="00FF23FB"/>
    <w:rsid w:val="00FF334E"/>
    <w:rsid w:val="00FF394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4C1B9F3-6727-4213-9B4A-87410AE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uiPriority w:val="99"/>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uiPriority w:val="99"/>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951278531">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2/Lei/L1259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juris@tcu.gov.br" TargetMode="External"/><Relationship Id="rId4" Type="http://schemas.openxmlformats.org/officeDocument/2006/relationships/settings" Target="settings.xml"/><Relationship Id="rId9" Type="http://schemas.openxmlformats.org/officeDocument/2006/relationships/hyperlink" Target="http://www.planalto.gov.br/ccivil_03/_Ato2011-2014/2012/Lei/L12598.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CB81-92EC-4B54-89E7-E5EB59FD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2490</Words>
  <Characters>13451</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15910</CharactersWithSpaces>
  <SharedDoc>false</SharedDoc>
  <HLinks>
    <vt:vector size="18" baseType="variant">
      <vt:variant>
        <vt:i4>7602203</vt:i4>
      </vt:variant>
      <vt:variant>
        <vt:i4>6</vt:i4>
      </vt:variant>
      <vt:variant>
        <vt:i4>0</vt:i4>
      </vt:variant>
      <vt:variant>
        <vt:i4>5</vt:i4>
      </vt:variant>
      <vt:variant>
        <vt:lpwstr>mailto:infojuris@tcu.gov.br</vt:lpwstr>
      </vt:variant>
      <vt:variant>
        <vt:lpwstr/>
      </vt:variant>
      <vt:variant>
        <vt:i4>6488178</vt:i4>
      </vt:variant>
      <vt:variant>
        <vt:i4>3</vt:i4>
      </vt:variant>
      <vt:variant>
        <vt:i4>0</vt:i4>
      </vt:variant>
      <vt:variant>
        <vt:i4>5</vt:i4>
      </vt:variant>
      <vt:variant>
        <vt:lpwstr>http://www.planalto.gov.br/ccivil_03/_Ato2011-2014/2012/Lei/L12598.htm</vt:lpwstr>
      </vt:variant>
      <vt:variant>
        <vt:lpwstr/>
      </vt:variant>
      <vt:variant>
        <vt:i4>6488178</vt:i4>
      </vt:variant>
      <vt:variant>
        <vt:i4>0</vt:i4>
      </vt:variant>
      <vt:variant>
        <vt:i4>0</vt:i4>
      </vt:variant>
      <vt:variant>
        <vt:i4>5</vt:i4>
      </vt:variant>
      <vt:variant>
        <vt:lpwstr>http://www.planalto.gov.br/ccivil_03/_Ato2011-2014/2012/Lei/L12598.htm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2012-03-26T21:43:00Z</cp:lastPrinted>
  <dcterms:created xsi:type="dcterms:W3CDTF">2015-05-07T12:44:00Z</dcterms:created>
  <dcterms:modified xsi:type="dcterms:W3CDTF">2015-05-07T12:44:00Z</dcterms:modified>
</cp:coreProperties>
</file>