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C62" w:rsidRPr="00E01654" w:rsidRDefault="009444E6" w:rsidP="00B408FD">
      <w:pPr>
        <w:pStyle w:val="Ttulo8"/>
        <w:tabs>
          <w:tab w:val="right" w:pos="4423"/>
        </w:tabs>
        <w:spacing w:before="0" w:after="0"/>
        <w:ind w:left="0"/>
        <w:rPr>
          <w:rFonts w:ascii="Times New Roman" w:hAnsi="Times New Roman"/>
          <w:b/>
          <w:i w:val="0"/>
          <w:color w:val="000000"/>
          <w:sz w:val="22"/>
          <w:szCs w:val="22"/>
        </w:rPr>
      </w:pPr>
      <w:bookmarkStart w:id="0" w:name="_GoBack"/>
      <w:bookmarkEnd w:id="0"/>
      <w:r w:rsidRPr="00E01654">
        <w:rPr>
          <w:rFonts w:ascii="Times New Roman" w:hAnsi="Times New Roman"/>
          <w:b/>
          <w:i w:val="0"/>
          <w:color w:val="000000"/>
          <w:sz w:val="22"/>
          <w:szCs w:val="22"/>
        </w:rPr>
        <w:t>Sess</w:t>
      </w:r>
      <w:r w:rsidR="00F41FB3" w:rsidRPr="00E01654">
        <w:rPr>
          <w:rFonts w:ascii="Times New Roman" w:hAnsi="Times New Roman"/>
          <w:b/>
          <w:i w:val="0"/>
          <w:color w:val="000000"/>
          <w:sz w:val="22"/>
          <w:szCs w:val="22"/>
        </w:rPr>
        <w:t>ões</w:t>
      </w:r>
      <w:r w:rsidRPr="00E01654">
        <w:rPr>
          <w:rFonts w:ascii="Times New Roman" w:hAnsi="Times New Roman"/>
          <w:b/>
          <w:i w:val="0"/>
          <w:color w:val="000000"/>
          <w:sz w:val="22"/>
          <w:szCs w:val="22"/>
        </w:rPr>
        <w:t>:</w:t>
      </w:r>
      <w:r w:rsidR="00531DD5" w:rsidRPr="00E01654">
        <w:rPr>
          <w:rFonts w:ascii="Times New Roman" w:hAnsi="Times New Roman"/>
          <w:b/>
          <w:i w:val="0"/>
          <w:color w:val="000000"/>
          <w:sz w:val="22"/>
          <w:szCs w:val="22"/>
        </w:rPr>
        <w:t xml:space="preserve"> </w:t>
      </w:r>
      <w:r w:rsidR="00496E9E" w:rsidRPr="00E01654">
        <w:rPr>
          <w:rFonts w:ascii="Times New Roman" w:hAnsi="Times New Roman"/>
          <w:b/>
          <w:i w:val="0"/>
          <w:color w:val="000000"/>
          <w:sz w:val="22"/>
          <w:szCs w:val="22"/>
        </w:rPr>
        <w:t>28 e 29</w:t>
      </w:r>
      <w:r w:rsidR="00F41FB3" w:rsidRPr="00E01654">
        <w:rPr>
          <w:rFonts w:ascii="Times New Roman" w:hAnsi="Times New Roman"/>
          <w:b/>
          <w:i w:val="0"/>
          <w:color w:val="000000"/>
          <w:sz w:val="22"/>
          <w:szCs w:val="22"/>
        </w:rPr>
        <w:t xml:space="preserve"> de fevereiro </w:t>
      </w:r>
      <w:r w:rsidRPr="00E01654">
        <w:rPr>
          <w:rFonts w:ascii="Times New Roman" w:hAnsi="Times New Roman"/>
          <w:b/>
          <w:i w:val="0"/>
          <w:color w:val="000000"/>
          <w:sz w:val="22"/>
          <w:szCs w:val="22"/>
        </w:rPr>
        <w:t>de 201</w:t>
      </w:r>
      <w:r w:rsidR="00025753" w:rsidRPr="00E01654">
        <w:rPr>
          <w:rFonts w:ascii="Times New Roman" w:hAnsi="Times New Roman"/>
          <w:b/>
          <w:i w:val="0"/>
          <w:color w:val="000000"/>
          <w:sz w:val="22"/>
          <w:szCs w:val="22"/>
        </w:rPr>
        <w:t>2</w:t>
      </w:r>
    </w:p>
    <w:p w:rsidR="002D35F5" w:rsidRPr="00E01654" w:rsidRDefault="002D35F5" w:rsidP="00B408FD">
      <w:pPr>
        <w:pStyle w:val="Corpodetexto2"/>
        <w:spacing w:after="0" w:line="240" w:lineRule="auto"/>
        <w:ind w:left="0"/>
        <w:rPr>
          <w:sz w:val="22"/>
          <w:szCs w:val="22"/>
        </w:rPr>
      </w:pPr>
      <w:r w:rsidRPr="00E01654">
        <w:rPr>
          <w:sz w:val="22"/>
          <w:szCs w:val="22"/>
        </w:rPr>
        <w:t>Este Informativo, elaborado a partir das deliberações tomadas pelo Tribunal nas sessões de julgamento das Câmaras e do Plenário, contém resumos de algumas decisões proferidas nas datas acima indicadas, relativas a licitações e contratos, e tem por finalidade facilitar o acompanhamento, pelo leitor, da jurisprudência do TCU quanto aos aspectos relevantes que envolvem o tema. Por esse motivo, a seleção das decisões que constam do Informativo é feita pela Secretaria das Sessões, levando em consideração ao menos um dos seguintes fatores: ineditismo da deliberação, discussão no colegiado ou reiteração de entendimento importante. Os resumos apresentados no Informativo não são repositórios oficiais de jurisprudência.</w:t>
      </w:r>
    </w:p>
    <w:p w:rsidR="00FF7C62" w:rsidRPr="00E01654" w:rsidRDefault="00FF7C62" w:rsidP="00B408FD">
      <w:pPr>
        <w:pStyle w:val="Corpodetexto2"/>
        <w:spacing w:after="0" w:line="240" w:lineRule="auto"/>
        <w:ind w:left="0"/>
        <w:rPr>
          <w:sz w:val="22"/>
          <w:szCs w:val="22"/>
        </w:rPr>
      </w:pPr>
    </w:p>
    <w:p w:rsidR="002D35F5" w:rsidRPr="00E01654" w:rsidRDefault="002D35F5" w:rsidP="00E11756">
      <w:pPr>
        <w:pBdr>
          <w:top w:val="threeDEmboss" w:sz="24" w:space="2" w:color="auto"/>
        </w:pBdr>
        <w:tabs>
          <w:tab w:val="left" w:pos="284"/>
        </w:tabs>
        <w:spacing w:before="60" w:after="0"/>
        <w:ind w:left="0"/>
        <w:jc w:val="center"/>
        <w:rPr>
          <w:b/>
          <w:bCs/>
          <w:smallCaps/>
          <w:sz w:val="22"/>
          <w:szCs w:val="22"/>
        </w:rPr>
      </w:pPr>
      <w:r w:rsidRPr="00E01654">
        <w:rPr>
          <w:b/>
          <w:bCs/>
          <w:smallCaps/>
          <w:sz w:val="22"/>
          <w:szCs w:val="22"/>
        </w:rPr>
        <w:t>S</w:t>
      </w:r>
      <w:r w:rsidR="00FF7C62" w:rsidRPr="00E01654">
        <w:rPr>
          <w:b/>
          <w:bCs/>
          <w:smallCaps/>
          <w:sz w:val="22"/>
          <w:szCs w:val="22"/>
        </w:rPr>
        <w:t>UMÁRIO</w:t>
      </w:r>
    </w:p>
    <w:p w:rsidR="009444E6" w:rsidRPr="00E01654" w:rsidRDefault="009444E6" w:rsidP="00E11756">
      <w:pPr>
        <w:pStyle w:val="tita"/>
        <w:tabs>
          <w:tab w:val="left" w:pos="2590"/>
        </w:tabs>
        <w:spacing w:before="60" w:after="0" w:line="240" w:lineRule="auto"/>
        <w:jc w:val="both"/>
        <w:rPr>
          <w:i w:val="0"/>
          <w:iCs w:val="0"/>
          <w:sz w:val="22"/>
          <w:szCs w:val="22"/>
        </w:rPr>
      </w:pPr>
      <w:r w:rsidRPr="00E01654">
        <w:rPr>
          <w:i w:val="0"/>
          <w:iCs w:val="0"/>
          <w:sz w:val="22"/>
          <w:szCs w:val="22"/>
        </w:rPr>
        <w:t>Plenário</w:t>
      </w:r>
      <w:r w:rsidR="00E163A5" w:rsidRPr="00E01654">
        <w:rPr>
          <w:i w:val="0"/>
          <w:iCs w:val="0"/>
          <w:sz w:val="22"/>
          <w:szCs w:val="22"/>
        </w:rPr>
        <w:t xml:space="preserve"> </w:t>
      </w:r>
    </w:p>
    <w:p w:rsidR="00E11756" w:rsidRPr="00942CC9" w:rsidRDefault="00942CC9" w:rsidP="00DE6B47">
      <w:pPr>
        <w:pStyle w:val="Default"/>
        <w:spacing w:before="60"/>
        <w:jc w:val="both"/>
        <w:rPr>
          <w:sz w:val="22"/>
          <w:szCs w:val="22"/>
        </w:rPr>
      </w:pPr>
      <w:r w:rsidRPr="00942CC9">
        <w:rPr>
          <w:sz w:val="22"/>
          <w:szCs w:val="22"/>
        </w:rPr>
        <w:t>É ilegal o estabelecimento de critérios de classificação para a escolha de escritórios de advocacia por entidade da Administração em credenciamento</w:t>
      </w:r>
      <w:r w:rsidR="003C2C76">
        <w:rPr>
          <w:sz w:val="22"/>
          <w:szCs w:val="22"/>
        </w:rPr>
        <w:t>.</w:t>
      </w:r>
    </w:p>
    <w:p w:rsidR="00942CC9" w:rsidRPr="00942CC9" w:rsidRDefault="00942CC9" w:rsidP="00DE6B47">
      <w:pPr>
        <w:pStyle w:val="Default"/>
        <w:spacing w:before="60"/>
        <w:jc w:val="both"/>
        <w:rPr>
          <w:sz w:val="22"/>
          <w:szCs w:val="22"/>
        </w:rPr>
      </w:pPr>
      <w:r w:rsidRPr="00942CC9">
        <w:rPr>
          <w:sz w:val="22"/>
          <w:szCs w:val="22"/>
        </w:rPr>
        <w:t xml:space="preserve">O estabelecimento, em edital de pregão que tem por objeto a aquisição de aparelhos de raio-x, de especificações </w:t>
      </w:r>
      <w:r w:rsidRPr="00942CC9">
        <w:rPr>
          <w:color w:val="1D1D1D"/>
          <w:sz w:val="22"/>
          <w:szCs w:val="22"/>
        </w:rPr>
        <w:t>que conduzem à aceitação de uma única marca, com a consequente exclusão de outras conceituadas, e que, provavelmente, imporão gastos evitáveis com adaptações de prédios para recebê-los faz presumir a ocorrência de ilicitude e justifica a suspensão cautelar do certame</w:t>
      </w:r>
      <w:r>
        <w:rPr>
          <w:color w:val="1D1D1D"/>
          <w:sz w:val="22"/>
          <w:szCs w:val="22"/>
        </w:rPr>
        <w:t>.</w:t>
      </w:r>
    </w:p>
    <w:p w:rsidR="00E11756" w:rsidRPr="00942CC9" w:rsidRDefault="003C2C76" w:rsidP="003C2C76">
      <w:pPr>
        <w:pStyle w:val="Default"/>
        <w:spacing w:before="60"/>
        <w:jc w:val="both"/>
        <w:rPr>
          <w:sz w:val="22"/>
          <w:szCs w:val="22"/>
        </w:rPr>
      </w:pPr>
      <w:r w:rsidRPr="003C2C76">
        <w:rPr>
          <w:sz w:val="22"/>
          <w:szCs w:val="22"/>
        </w:rPr>
        <w:t>É possível a contração por dispensa de licitação, com suporte no comando contido no inciso IV do art. 24 da Lei nº 8.666/1993, ainda que a emergência decorra da inércia ou incúria administrativa, devendo ser apurada, todavia, a responsabilidade do agente público que não adotou tempestivamente as providências a ele</w:t>
      </w:r>
      <w:r>
        <w:rPr>
          <w:sz w:val="22"/>
          <w:szCs w:val="22"/>
        </w:rPr>
        <w:t xml:space="preserve"> </w:t>
      </w:r>
      <w:r w:rsidRPr="003C2C76">
        <w:rPr>
          <w:sz w:val="22"/>
          <w:szCs w:val="22"/>
        </w:rPr>
        <w:t>cabíveis</w:t>
      </w:r>
      <w:r w:rsidR="00942CC9">
        <w:rPr>
          <w:sz w:val="22"/>
          <w:szCs w:val="22"/>
        </w:rPr>
        <w:t>.</w:t>
      </w:r>
    </w:p>
    <w:p w:rsidR="00942CC9" w:rsidRDefault="00942CC9" w:rsidP="00DE6B47">
      <w:pPr>
        <w:pStyle w:val="Default"/>
        <w:spacing w:before="60"/>
        <w:jc w:val="both"/>
        <w:rPr>
          <w:sz w:val="22"/>
          <w:szCs w:val="22"/>
        </w:rPr>
      </w:pPr>
      <w:r w:rsidRPr="00942CC9">
        <w:rPr>
          <w:sz w:val="22"/>
          <w:szCs w:val="22"/>
        </w:rPr>
        <w:t xml:space="preserve">A falta de parcelamento de objeto que consiste em instalação de sistemas de ar condicionado em seis unidades de ente do “Sistema S”, situadas em municípios distintos, sugere restrição ao universo de pretensos licitantes e justifica o acompanhamento pelo Tribunal da concorrência  anunciada, </w:t>
      </w:r>
      <w:r w:rsidR="00E95BF0">
        <w:rPr>
          <w:sz w:val="22"/>
          <w:szCs w:val="22"/>
        </w:rPr>
        <w:t xml:space="preserve">a fim de </w:t>
      </w:r>
      <w:r w:rsidRPr="00942CC9">
        <w:rPr>
          <w:sz w:val="22"/>
          <w:szCs w:val="22"/>
        </w:rPr>
        <w:t>que se verifique se tal opção está baseada em estudos prévios que denotem a complexidade do objeto ou que atestem perda de escala resultante d</w:t>
      </w:r>
      <w:r w:rsidR="00E95BF0">
        <w:rPr>
          <w:sz w:val="22"/>
          <w:szCs w:val="22"/>
        </w:rPr>
        <w:t>e</w:t>
      </w:r>
      <w:r w:rsidRPr="00942CC9">
        <w:rPr>
          <w:sz w:val="22"/>
          <w:szCs w:val="22"/>
        </w:rPr>
        <w:t xml:space="preserve"> parcelamento</w:t>
      </w:r>
      <w:r>
        <w:rPr>
          <w:sz w:val="22"/>
          <w:szCs w:val="22"/>
        </w:rPr>
        <w:t>.</w:t>
      </w:r>
    </w:p>
    <w:p w:rsidR="00070D4C" w:rsidRPr="00E01654" w:rsidRDefault="00070D4C" w:rsidP="00DE6B47">
      <w:pPr>
        <w:pStyle w:val="Default"/>
        <w:spacing w:before="60"/>
        <w:jc w:val="both"/>
        <w:rPr>
          <w:sz w:val="22"/>
          <w:szCs w:val="22"/>
        </w:rPr>
      </w:pPr>
    </w:p>
    <w:p w:rsidR="00E163A5" w:rsidRPr="00E01654" w:rsidRDefault="00E163A5" w:rsidP="00B408FD">
      <w:pPr>
        <w:pBdr>
          <w:top w:val="threeDEmboss" w:sz="24" w:space="0" w:color="auto"/>
        </w:pBdr>
        <w:tabs>
          <w:tab w:val="left" w:pos="284"/>
          <w:tab w:val="left" w:pos="2590"/>
        </w:tabs>
        <w:spacing w:after="0"/>
        <w:ind w:left="0"/>
        <w:jc w:val="center"/>
        <w:rPr>
          <w:b/>
          <w:bCs/>
          <w:smallCaps/>
          <w:sz w:val="22"/>
          <w:szCs w:val="22"/>
        </w:rPr>
      </w:pPr>
    </w:p>
    <w:p w:rsidR="00861A73" w:rsidRPr="00E01654" w:rsidRDefault="003C6DEB" w:rsidP="00DE6B47">
      <w:pPr>
        <w:pStyle w:val="Default"/>
        <w:jc w:val="center"/>
        <w:rPr>
          <w:b/>
          <w:bCs/>
          <w:smallCaps/>
          <w:sz w:val="22"/>
          <w:szCs w:val="22"/>
        </w:rPr>
      </w:pPr>
      <w:r w:rsidRPr="00E01654">
        <w:rPr>
          <w:b/>
          <w:bCs/>
          <w:smallCaps/>
          <w:sz w:val="22"/>
          <w:szCs w:val="22"/>
        </w:rPr>
        <w:t>PLENÁRIO</w:t>
      </w:r>
    </w:p>
    <w:p w:rsidR="00A840B0" w:rsidRPr="00E01654" w:rsidRDefault="00A840B0" w:rsidP="00DE6B47">
      <w:pPr>
        <w:pStyle w:val="Default"/>
        <w:jc w:val="center"/>
        <w:rPr>
          <w:b/>
          <w:bCs/>
          <w:smallCaps/>
          <w:sz w:val="22"/>
          <w:szCs w:val="22"/>
        </w:rPr>
      </w:pPr>
    </w:p>
    <w:p w:rsidR="00A840B0" w:rsidRPr="00E01654" w:rsidRDefault="00A840B0" w:rsidP="00A840B0">
      <w:pPr>
        <w:pStyle w:val="Default"/>
        <w:jc w:val="both"/>
        <w:rPr>
          <w:b/>
          <w:sz w:val="22"/>
          <w:szCs w:val="22"/>
        </w:rPr>
      </w:pPr>
      <w:r w:rsidRPr="00E01654">
        <w:rPr>
          <w:b/>
          <w:sz w:val="22"/>
          <w:szCs w:val="22"/>
        </w:rPr>
        <w:t xml:space="preserve">É ilegal o estabelecimento de critérios de classificação </w:t>
      </w:r>
      <w:r w:rsidR="00E52660">
        <w:rPr>
          <w:b/>
          <w:sz w:val="22"/>
          <w:szCs w:val="22"/>
        </w:rPr>
        <w:t>para</w:t>
      </w:r>
      <w:r w:rsidRPr="00E01654">
        <w:rPr>
          <w:b/>
          <w:sz w:val="22"/>
          <w:szCs w:val="22"/>
        </w:rPr>
        <w:t xml:space="preserve"> a escolha d</w:t>
      </w:r>
      <w:r w:rsidR="00B11A82">
        <w:rPr>
          <w:b/>
          <w:sz w:val="22"/>
          <w:szCs w:val="22"/>
        </w:rPr>
        <w:t>e escritórios de advocacia</w:t>
      </w:r>
      <w:r w:rsidRPr="00E01654">
        <w:rPr>
          <w:b/>
          <w:sz w:val="22"/>
          <w:szCs w:val="22"/>
        </w:rPr>
        <w:t xml:space="preserve"> p</w:t>
      </w:r>
      <w:r w:rsidR="00B11A82">
        <w:rPr>
          <w:b/>
          <w:sz w:val="22"/>
          <w:szCs w:val="22"/>
        </w:rPr>
        <w:t>or</w:t>
      </w:r>
      <w:r w:rsidRPr="00E01654">
        <w:rPr>
          <w:b/>
          <w:sz w:val="22"/>
          <w:szCs w:val="22"/>
        </w:rPr>
        <w:t xml:space="preserve"> entidade </w:t>
      </w:r>
      <w:r w:rsidR="00B11A82">
        <w:rPr>
          <w:b/>
          <w:sz w:val="22"/>
          <w:szCs w:val="22"/>
        </w:rPr>
        <w:t xml:space="preserve">da Administração </w:t>
      </w:r>
      <w:r w:rsidR="003C2C76">
        <w:rPr>
          <w:b/>
          <w:sz w:val="22"/>
          <w:szCs w:val="22"/>
        </w:rPr>
        <w:t>em credenciamento</w:t>
      </w:r>
    </w:p>
    <w:p w:rsidR="00A840B0" w:rsidRPr="00E60CC3" w:rsidRDefault="00A840B0" w:rsidP="00A840B0">
      <w:pPr>
        <w:pStyle w:val="Default"/>
        <w:jc w:val="both"/>
        <w:rPr>
          <w:b/>
          <w:i/>
          <w:sz w:val="22"/>
          <w:szCs w:val="22"/>
        </w:rPr>
      </w:pPr>
      <w:r w:rsidRPr="00E01654">
        <w:rPr>
          <w:sz w:val="22"/>
          <w:szCs w:val="22"/>
        </w:rPr>
        <w:t>Representação formulada por pessoa física apontou indícios de irregularidades no Edital de Credenciamento 10/2011, lançado pelo IRB-Brasil Resseguros S/A, com a finalidade de promover o cadastramento de dois escritórios de advocacia para prestação de serviços de patrocínio de causas judiciais e administrativas em questões trabalhista e previdenciária e de quatro para a área de seguros e resseguros. O citado certame foi suspenso por medida cautelar do relator, que foi homologada pelo Plenário. Foi também promovida oitiva do IRB e de interessados. O relator, ao examinar os esclarecimentos trazidos, reiterou ensinamento contido no Voto condutor do Acórdão nº 351/2010-Plenário, no sentido de que, “</w:t>
      </w:r>
      <w:r w:rsidRPr="00E01654">
        <w:rPr>
          <w:i/>
          <w:sz w:val="22"/>
          <w:szCs w:val="22"/>
        </w:rPr>
        <w:t>embora não esteja previsto nos incisos do art. 25 da Lei n. 8.666/1993, o credenciamento tem sido admitido pela doutrina e pela jurisprudência como hipótese de inexigibilidade inserida no caput do referido dispositivo legal</w:t>
      </w:r>
      <w:r w:rsidRPr="00E01654">
        <w:rPr>
          <w:sz w:val="22"/>
          <w:szCs w:val="22"/>
        </w:rPr>
        <w:t>”; a inviabilidade de competição “</w:t>
      </w:r>
      <w:r w:rsidRPr="00E01654">
        <w:rPr>
          <w:i/>
          <w:sz w:val="22"/>
          <w:szCs w:val="22"/>
        </w:rPr>
        <w:t>configura-se pelo fato de a Administração dispor-se a contratar todos os que tiverem interesse e que satisfaçam as condições por ela estabelecidas</w:t>
      </w:r>
      <w:r w:rsidRPr="00E01654">
        <w:rPr>
          <w:sz w:val="22"/>
          <w:szCs w:val="22"/>
        </w:rPr>
        <w:t>”. Deixou assente o relator que não há concorrência entre os interessados; preenchidos os critérios mínimos estabelecidos no edital, a empresa será credenciada, podendo ser contratada em igualdade de condições com todas as demais que forem credenciadas. “</w:t>
      </w:r>
      <w:r w:rsidRPr="00E01654">
        <w:rPr>
          <w:i/>
          <w:sz w:val="22"/>
          <w:szCs w:val="22"/>
        </w:rPr>
        <w:t>Inexiste, portanto, a possibilidade de escolha de empresas que mais se destaquem dentre os parâmetros fixados pela entidade</w:t>
      </w:r>
      <w:r w:rsidRPr="00E01654">
        <w:rPr>
          <w:sz w:val="22"/>
          <w:szCs w:val="22"/>
        </w:rPr>
        <w:t>”. Acrescentou que, consoante orientação contida na Decisão nº 624/1994-Plenário, o credenciamento para contratação de serviços advocatícios seria justificável “</w:t>
      </w:r>
      <w:r w:rsidRPr="00E01654">
        <w:rPr>
          <w:i/>
          <w:sz w:val="22"/>
          <w:szCs w:val="22"/>
        </w:rPr>
        <w:t>quando se tratasse de serviços comuns, que podem ser realizados de modo satisfatório pela maior parte dos advogados</w:t>
      </w:r>
      <w:r w:rsidRPr="00E01654">
        <w:rPr>
          <w:sz w:val="22"/>
          <w:szCs w:val="22"/>
        </w:rPr>
        <w:t>”. O estabelecimento de critério de pontuação diferenciada, que beneficia empresas que tenham patrocinado ações com valor superior a R$ 3 milhões afigura-se, portanto, ilegal. E mais: “</w:t>
      </w:r>
      <w:r w:rsidRPr="00E01654">
        <w:rPr>
          <w:i/>
          <w:sz w:val="22"/>
          <w:szCs w:val="22"/>
        </w:rPr>
        <w:t>O credenciamento implica, necessariamente, a pulverização da distribuição dos processos</w:t>
      </w:r>
      <w:r w:rsidRPr="00E01654">
        <w:rPr>
          <w:sz w:val="22"/>
          <w:szCs w:val="22"/>
        </w:rPr>
        <w:t>”, o que destoa da intenção declarada do IRB. Considerou, ainda, que aquele Instituto lançou mão de um tipo de licitação para o qual não há previsão legal, com afronta ao que estabelece o art. 45, § 5º da Lei nº 8666/1993. E que os elementos de convicção indicariam, como solução adequada, a realização de licitação do tipo melhor técnica ou, ainda, técnica e preço. O Tribunal, então, ao acolher proposta do relator, decidiu: a) fixar prazo de 15 dias para que o IRB-Brasil Resseguros S/A adote as “</w:t>
      </w:r>
      <w:r w:rsidRPr="00E01654">
        <w:rPr>
          <w:i/>
          <w:sz w:val="22"/>
          <w:szCs w:val="22"/>
        </w:rPr>
        <w:t>providências necessárias ao exato cumprimento da lei, procedendo à anulação do Edital de Credenciamento nº 010/2011</w:t>
      </w:r>
      <w:r w:rsidRPr="00E01654">
        <w:rPr>
          <w:sz w:val="22"/>
          <w:szCs w:val="22"/>
        </w:rPr>
        <w:t>”; b) informar ao IRB que, se decidir iniciar novo procedimento de credenciamento, deverá promover ajustes, com o intuito de afastar a adoção de critérios de classificação e de garantir que todos credenciados estarão apt</w:t>
      </w:r>
      <w:r>
        <w:rPr>
          <w:sz w:val="22"/>
          <w:szCs w:val="22"/>
        </w:rPr>
        <w:t>o</w:t>
      </w:r>
      <w:r w:rsidRPr="00E01654">
        <w:rPr>
          <w:sz w:val="22"/>
          <w:szCs w:val="22"/>
        </w:rPr>
        <w:t xml:space="preserve">s a serem contratados; c) caso entenda mais adequado, realize procedimento licitatório, nos termos da lei. </w:t>
      </w:r>
      <w:r w:rsidRPr="00E60CC3">
        <w:rPr>
          <w:b/>
          <w:i/>
          <w:sz w:val="22"/>
          <w:szCs w:val="22"/>
        </w:rPr>
        <w:t>Acórdão n.º 408/2012</w:t>
      </w:r>
      <w:r>
        <w:rPr>
          <w:b/>
          <w:i/>
          <w:sz w:val="22"/>
          <w:szCs w:val="22"/>
        </w:rPr>
        <w:t>-</w:t>
      </w:r>
      <w:r w:rsidRPr="00E60CC3">
        <w:rPr>
          <w:b/>
          <w:i/>
          <w:sz w:val="22"/>
          <w:szCs w:val="22"/>
        </w:rPr>
        <w:t>TCU-Plenário, TC</w:t>
      </w:r>
      <w:r w:rsidR="003C2C76">
        <w:rPr>
          <w:b/>
          <w:i/>
          <w:sz w:val="22"/>
          <w:szCs w:val="22"/>
        </w:rPr>
        <w:t>-</w:t>
      </w:r>
      <w:r w:rsidRPr="00E60CC3">
        <w:rPr>
          <w:b/>
          <w:i/>
          <w:sz w:val="22"/>
          <w:szCs w:val="22"/>
        </w:rPr>
        <w:t xml:space="preserve"> 034.565/2011-6, rel. Min. Valmir Campelo,</w:t>
      </w:r>
      <w:r w:rsidR="003C2C76">
        <w:rPr>
          <w:b/>
          <w:i/>
          <w:sz w:val="22"/>
          <w:szCs w:val="22"/>
        </w:rPr>
        <w:t xml:space="preserve"> </w:t>
      </w:r>
      <w:r w:rsidRPr="00E60CC3">
        <w:rPr>
          <w:b/>
          <w:i/>
          <w:sz w:val="22"/>
          <w:szCs w:val="22"/>
        </w:rPr>
        <w:t>29.2.2012.</w:t>
      </w:r>
    </w:p>
    <w:p w:rsidR="00A840B0" w:rsidRDefault="00A840B0" w:rsidP="006322A4">
      <w:pPr>
        <w:pStyle w:val="Default"/>
        <w:jc w:val="both"/>
        <w:rPr>
          <w:b/>
          <w:sz w:val="22"/>
          <w:szCs w:val="22"/>
        </w:rPr>
      </w:pPr>
    </w:p>
    <w:p w:rsidR="00A840B0" w:rsidRPr="00E01654" w:rsidRDefault="00A840B0" w:rsidP="00A840B0">
      <w:pPr>
        <w:autoSpaceDE w:val="0"/>
        <w:autoSpaceDN w:val="0"/>
        <w:adjustRightInd w:val="0"/>
        <w:spacing w:after="0"/>
        <w:ind w:left="0"/>
        <w:rPr>
          <w:b/>
          <w:color w:val="1D1D1D"/>
          <w:sz w:val="22"/>
          <w:szCs w:val="22"/>
        </w:rPr>
      </w:pPr>
      <w:r w:rsidRPr="00E01654">
        <w:rPr>
          <w:b/>
          <w:sz w:val="22"/>
          <w:szCs w:val="22"/>
          <w:lang w:eastAsia="pt-BR"/>
        </w:rPr>
        <w:t xml:space="preserve">O estabelecimento, em edital de pregão que tem por objeto a aquisição de aparelhos de raio-x, de especificações </w:t>
      </w:r>
      <w:r w:rsidRPr="00E01654">
        <w:rPr>
          <w:b/>
          <w:color w:val="1D1D1D"/>
          <w:sz w:val="22"/>
          <w:szCs w:val="22"/>
        </w:rPr>
        <w:t>que conduz</w:t>
      </w:r>
      <w:r>
        <w:rPr>
          <w:b/>
          <w:color w:val="1D1D1D"/>
          <w:sz w:val="22"/>
          <w:szCs w:val="22"/>
        </w:rPr>
        <w:t>em</w:t>
      </w:r>
      <w:r w:rsidRPr="00E01654">
        <w:rPr>
          <w:b/>
          <w:color w:val="1D1D1D"/>
          <w:sz w:val="22"/>
          <w:szCs w:val="22"/>
        </w:rPr>
        <w:t xml:space="preserve"> à aceitação de uma única marca, com a consequente exclusão de outras conceituadas, e que, provavelmente, impor</w:t>
      </w:r>
      <w:r>
        <w:rPr>
          <w:b/>
          <w:color w:val="1D1D1D"/>
          <w:sz w:val="22"/>
          <w:szCs w:val="22"/>
        </w:rPr>
        <w:t>ão</w:t>
      </w:r>
      <w:r w:rsidRPr="00E01654">
        <w:rPr>
          <w:b/>
          <w:color w:val="1D1D1D"/>
          <w:sz w:val="22"/>
          <w:szCs w:val="22"/>
        </w:rPr>
        <w:t xml:space="preserve"> gastos evitáveis com adaptações de prédios para recebê-los faz presumir a ocorrência de ilicitude e justifica a suspensão cautelar d</w:t>
      </w:r>
      <w:r>
        <w:rPr>
          <w:b/>
          <w:color w:val="1D1D1D"/>
          <w:sz w:val="22"/>
          <w:szCs w:val="22"/>
        </w:rPr>
        <w:t>o</w:t>
      </w:r>
      <w:r w:rsidRPr="00E01654">
        <w:rPr>
          <w:b/>
          <w:color w:val="1D1D1D"/>
          <w:sz w:val="22"/>
          <w:szCs w:val="22"/>
        </w:rPr>
        <w:t xml:space="preserve"> certame   </w:t>
      </w:r>
    </w:p>
    <w:p w:rsidR="00A840B0" w:rsidRDefault="00A840B0" w:rsidP="00A840B0">
      <w:pPr>
        <w:pStyle w:val="Default"/>
        <w:jc w:val="both"/>
        <w:rPr>
          <w:b/>
          <w:i/>
          <w:sz w:val="22"/>
          <w:szCs w:val="22"/>
        </w:rPr>
      </w:pPr>
      <w:r w:rsidRPr="00E01654">
        <w:rPr>
          <w:sz w:val="22"/>
          <w:szCs w:val="22"/>
        </w:rPr>
        <w:t xml:space="preserve">Representação de unidade técnica apontou supostas irregularidades na condução do Pregão 17/2012 pelo Instituto Nacional de Traumatologia e Ortopedia (Into), que tem por objeto a aquisição de </w:t>
      </w:r>
      <w:r w:rsidRPr="00E01654">
        <w:rPr>
          <w:color w:val="1D1D1D"/>
          <w:sz w:val="22"/>
          <w:szCs w:val="22"/>
        </w:rPr>
        <w:t xml:space="preserve">150 aparelhos de raio-x, sendo </w:t>
      </w:r>
      <w:r w:rsidRPr="00E01654">
        <w:rPr>
          <w:color w:val="313131"/>
          <w:sz w:val="22"/>
          <w:szCs w:val="22"/>
        </w:rPr>
        <w:t xml:space="preserve">50 </w:t>
      </w:r>
      <w:r w:rsidRPr="00E01654">
        <w:rPr>
          <w:color w:val="1D1D1D"/>
          <w:sz w:val="22"/>
          <w:szCs w:val="22"/>
        </w:rPr>
        <w:t xml:space="preserve">fixos e 100 móveis, no valor estimado total de R$ 19 </w:t>
      </w:r>
      <w:r w:rsidRPr="00E01654">
        <w:rPr>
          <w:color w:val="313131"/>
          <w:sz w:val="22"/>
          <w:szCs w:val="22"/>
        </w:rPr>
        <w:t xml:space="preserve">milhões.  A autora da representação argumentou ter havido </w:t>
      </w:r>
      <w:r w:rsidRPr="00E01654">
        <w:rPr>
          <w:sz w:val="22"/>
          <w:szCs w:val="22"/>
        </w:rPr>
        <w:t xml:space="preserve">direcionamento da licitação para uma única marca, com potencial </w:t>
      </w:r>
      <w:r w:rsidRPr="00E01654">
        <w:rPr>
          <w:color w:val="313131"/>
          <w:sz w:val="22"/>
          <w:szCs w:val="22"/>
        </w:rPr>
        <w:t xml:space="preserve">dano ao </w:t>
      </w:r>
      <w:r w:rsidRPr="00E01654">
        <w:rPr>
          <w:sz w:val="22"/>
          <w:szCs w:val="22"/>
        </w:rPr>
        <w:t>erário.  O direcionamento resultaria da combinação de especificações técnicas contidas no edital, entre elas: a) dimensão do tampo flutuante (&gt; 220 cm); b) faixa de corrente (10 a 620 mA), c) deslocamento vertical mínimo; d) capacidade de carga da mesa (200kg); e) memorização de programas (&gt;235) d) coluna para realização de exames em pé (estativa) do tipo teto-chão e várias outras.  A unidade técnica anotou, também, que a especificação da estativa, do tipo teto-chão, “</w:t>
      </w:r>
      <w:r w:rsidRPr="00E01654">
        <w:rPr>
          <w:i/>
          <w:sz w:val="22"/>
          <w:szCs w:val="22"/>
        </w:rPr>
        <w:t>requer um tipo específico de piso e teto</w:t>
      </w:r>
      <w:r w:rsidRPr="00E01654">
        <w:rPr>
          <w:sz w:val="22"/>
          <w:szCs w:val="22"/>
        </w:rPr>
        <w:t xml:space="preserve">”, o que, possivelmente, demandaria gastos adicionais a serem enfrentados pelas unidades destinatárias desses equipamentos. Observou que seis empresas </w:t>
      </w:r>
      <w:r w:rsidRPr="00E01654">
        <w:rPr>
          <w:color w:val="313131"/>
          <w:sz w:val="22"/>
          <w:szCs w:val="22"/>
        </w:rPr>
        <w:t>foram d</w:t>
      </w:r>
      <w:r w:rsidRPr="00E01654">
        <w:rPr>
          <w:sz w:val="22"/>
          <w:szCs w:val="22"/>
        </w:rPr>
        <w:t>esclassificadas e</w:t>
      </w:r>
      <w:r w:rsidRPr="00E01654">
        <w:rPr>
          <w:i/>
          <w:sz w:val="22"/>
          <w:szCs w:val="22"/>
        </w:rPr>
        <w:t xml:space="preserve"> </w:t>
      </w:r>
      <w:r w:rsidRPr="00E01654">
        <w:rPr>
          <w:sz w:val="22"/>
          <w:szCs w:val="22"/>
        </w:rPr>
        <w:t>“</w:t>
      </w:r>
      <w:r w:rsidRPr="00E01654">
        <w:rPr>
          <w:i/>
          <w:sz w:val="22"/>
          <w:szCs w:val="22"/>
        </w:rPr>
        <w:t xml:space="preserve">apenas </w:t>
      </w:r>
      <w:r w:rsidRPr="00E01654">
        <w:rPr>
          <w:i/>
          <w:color w:val="313131"/>
          <w:sz w:val="22"/>
          <w:szCs w:val="22"/>
        </w:rPr>
        <w:t xml:space="preserve">três, </w:t>
      </w:r>
      <w:r w:rsidRPr="00E01654">
        <w:rPr>
          <w:i/>
          <w:sz w:val="22"/>
          <w:szCs w:val="22"/>
        </w:rPr>
        <w:t xml:space="preserve">que entraram com propostas para fornecimento de </w:t>
      </w:r>
      <w:r w:rsidRPr="00E01654">
        <w:rPr>
          <w:i/>
          <w:color w:val="313131"/>
          <w:sz w:val="22"/>
          <w:szCs w:val="22"/>
        </w:rPr>
        <w:t xml:space="preserve">aparelho </w:t>
      </w:r>
      <w:r w:rsidRPr="00E01654">
        <w:rPr>
          <w:i/>
          <w:sz w:val="22"/>
          <w:szCs w:val="22"/>
        </w:rPr>
        <w:t xml:space="preserve">de raio-x da marca </w:t>
      </w:r>
      <w:r w:rsidRPr="00E01654">
        <w:rPr>
          <w:i/>
          <w:color w:val="313131"/>
          <w:sz w:val="22"/>
          <w:szCs w:val="22"/>
        </w:rPr>
        <w:t xml:space="preserve">Shimadzu, </w:t>
      </w:r>
      <w:r w:rsidRPr="00E01654">
        <w:rPr>
          <w:i/>
          <w:sz w:val="22"/>
          <w:szCs w:val="22"/>
        </w:rPr>
        <w:t>puderam participar da etapa de lances</w:t>
      </w:r>
      <w:r w:rsidRPr="00E01654">
        <w:rPr>
          <w:sz w:val="22"/>
          <w:szCs w:val="22"/>
        </w:rPr>
        <w:t>”. O</w:t>
      </w:r>
      <w:r w:rsidRPr="00E01654">
        <w:rPr>
          <w:color w:val="313131"/>
          <w:sz w:val="22"/>
          <w:szCs w:val="22"/>
        </w:rPr>
        <w:t xml:space="preserve">utras </w:t>
      </w:r>
      <w:r w:rsidRPr="00E01654">
        <w:rPr>
          <w:sz w:val="22"/>
          <w:szCs w:val="22"/>
        </w:rPr>
        <w:t xml:space="preserve">empresas </w:t>
      </w:r>
      <w:r w:rsidRPr="00E01654">
        <w:rPr>
          <w:color w:val="313131"/>
          <w:sz w:val="22"/>
          <w:szCs w:val="22"/>
        </w:rPr>
        <w:t xml:space="preserve">cadastradas pretendiam </w:t>
      </w:r>
      <w:r w:rsidRPr="00E01654">
        <w:rPr>
          <w:sz w:val="22"/>
          <w:szCs w:val="22"/>
        </w:rPr>
        <w:t xml:space="preserve">fornecer </w:t>
      </w:r>
      <w:r w:rsidRPr="00E01654">
        <w:rPr>
          <w:color w:val="313131"/>
          <w:sz w:val="22"/>
          <w:szCs w:val="22"/>
        </w:rPr>
        <w:t xml:space="preserve">aparelhos </w:t>
      </w:r>
      <w:r w:rsidRPr="00E01654">
        <w:rPr>
          <w:sz w:val="22"/>
          <w:szCs w:val="22"/>
        </w:rPr>
        <w:t xml:space="preserve">de raio-x de </w:t>
      </w:r>
      <w:r w:rsidRPr="00E01654">
        <w:rPr>
          <w:color w:val="313131"/>
          <w:sz w:val="22"/>
          <w:szCs w:val="22"/>
        </w:rPr>
        <w:t xml:space="preserve">marcas bem conceituadas,  </w:t>
      </w:r>
      <w:r w:rsidRPr="00E01654">
        <w:rPr>
          <w:sz w:val="22"/>
          <w:szCs w:val="22"/>
        </w:rPr>
        <w:t xml:space="preserve">tais como Phillips, CDK, </w:t>
      </w:r>
      <w:r w:rsidRPr="00E01654">
        <w:rPr>
          <w:color w:val="313131"/>
          <w:sz w:val="22"/>
          <w:szCs w:val="22"/>
        </w:rPr>
        <w:t>Sawae.</w:t>
      </w:r>
      <w:r w:rsidRPr="00E01654">
        <w:rPr>
          <w:sz w:val="22"/>
          <w:szCs w:val="22"/>
        </w:rPr>
        <w:t xml:space="preserve"> Acrescentou que houve impugnação do edital por algumas empresas, mas o Into “</w:t>
      </w:r>
      <w:r w:rsidRPr="00E01654">
        <w:rPr>
          <w:i/>
          <w:sz w:val="22"/>
          <w:szCs w:val="22"/>
        </w:rPr>
        <w:t>apenas reforçou a necessidade das exigências sem fornecer explicações técnicas para cada item</w:t>
      </w:r>
      <w:r w:rsidRPr="00E01654">
        <w:rPr>
          <w:sz w:val="22"/>
          <w:szCs w:val="22"/>
        </w:rPr>
        <w:t>”. O relator</w:t>
      </w:r>
      <w:r w:rsidR="00E52660">
        <w:rPr>
          <w:sz w:val="22"/>
          <w:szCs w:val="22"/>
        </w:rPr>
        <w:t>,</w:t>
      </w:r>
      <w:r w:rsidRPr="00E01654">
        <w:rPr>
          <w:sz w:val="22"/>
          <w:szCs w:val="22"/>
        </w:rPr>
        <w:t xml:space="preserve"> ao considerar consistentes os questionamentos contidos na representação, concluiu</w:t>
      </w:r>
      <w:r w:rsidR="003C2C76">
        <w:rPr>
          <w:sz w:val="22"/>
          <w:szCs w:val="22"/>
        </w:rPr>
        <w:t xml:space="preserve"> que</w:t>
      </w:r>
      <w:r w:rsidRPr="00E01654">
        <w:rPr>
          <w:sz w:val="22"/>
          <w:szCs w:val="22"/>
        </w:rPr>
        <w:t xml:space="preserve">: </w:t>
      </w:r>
      <w:r w:rsidRPr="00E01654">
        <w:rPr>
          <w:i/>
          <w:sz w:val="22"/>
          <w:szCs w:val="22"/>
        </w:rPr>
        <w:t xml:space="preserve">“estão caracterizados os requisitos necessários à adoção de medida cautelar, quais sejam, o </w:t>
      </w:r>
      <w:r w:rsidRPr="00E01654">
        <w:rPr>
          <w:b/>
          <w:bCs/>
          <w:i/>
          <w:sz w:val="22"/>
          <w:szCs w:val="22"/>
        </w:rPr>
        <w:t>fumus boni iuris</w:t>
      </w:r>
      <w:r w:rsidRPr="00E01654">
        <w:rPr>
          <w:i/>
          <w:sz w:val="22"/>
          <w:szCs w:val="22"/>
        </w:rPr>
        <w:t xml:space="preserve">, decorrente dos indícios de direcionamento, bem como o </w:t>
      </w:r>
      <w:r w:rsidRPr="00E01654">
        <w:rPr>
          <w:b/>
          <w:bCs/>
          <w:i/>
          <w:sz w:val="22"/>
          <w:szCs w:val="22"/>
        </w:rPr>
        <w:t xml:space="preserve">periculum in mora, </w:t>
      </w:r>
      <w:r w:rsidRPr="00E01654">
        <w:rPr>
          <w:i/>
          <w:sz w:val="22"/>
          <w:szCs w:val="22"/>
        </w:rPr>
        <w:t>derivado do risco de que sejam declaradas vencedoras propostas que não sejam as mais vantajosas</w:t>
      </w:r>
      <w:r w:rsidRPr="00E01654">
        <w:rPr>
          <w:sz w:val="22"/>
          <w:szCs w:val="22"/>
        </w:rPr>
        <w:t xml:space="preserve">”. </w:t>
      </w:r>
      <w:r w:rsidR="00E52660">
        <w:rPr>
          <w:sz w:val="22"/>
          <w:szCs w:val="22"/>
        </w:rPr>
        <w:t>Po</w:t>
      </w:r>
      <w:r w:rsidRPr="00E01654">
        <w:rPr>
          <w:sz w:val="22"/>
          <w:szCs w:val="22"/>
        </w:rPr>
        <w:t xml:space="preserve">r esses motivos, decidiu: a) adotar medida cautelar, </w:t>
      </w:r>
      <w:r w:rsidRPr="00E01654">
        <w:rPr>
          <w:b/>
          <w:bCs/>
          <w:sz w:val="22"/>
          <w:szCs w:val="22"/>
        </w:rPr>
        <w:t>inaudita altera pars</w:t>
      </w:r>
      <w:r w:rsidRPr="00E01654">
        <w:rPr>
          <w:sz w:val="22"/>
          <w:szCs w:val="22"/>
        </w:rPr>
        <w:t xml:space="preserve">, determinando ao Into a suspensão do certame; b) condicionar o restabelecimento do procedimento licitatório à apreciação de mérito da representação por parte deste Tribunal; c) promover a oitiva do Into para que se manifeste acerca da </w:t>
      </w:r>
      <w:r w:rsidRPr="00E01654">
        <w:rPr>
          <w:color w:val="0F0F0F"/>
          <w:sz w:val="22"/>
          <w:szCs w:val="22"/>
        </w:rPr>
        <w:t>pertinência de cada especificação contida no termo de referência e sobre eventual necessidade da adequação das salas de raios-x já existentes, em face da especificação '</w:t>
      </w:r>
      <w:r w:rsidRPr="00E01654">
        <w:rPr>
          <w:i/>
          <w:color w:val="0F0F0F"/>
          <w:sz w:val="22"/>
          <w:szCs w:val="22"/>
        </w:rPr>
        <w:t>estativa: estativa de montagem teto-chão</w:t>
      </w:r>
      <w:r w:rsidRPr="00E01654">
        <w:rPr>
          <w:color w:val="0F0F0F"/>
          <w:sz w:val="22"/>
          <w:szCs w:val="22"/>
        </w:rPr>
        <w:t xml:space="preserve">'. </w:t>
      </w:r>
      <w:r w:rsidRPr="00E01654">
        <w:rPr>
          <w:b/>
          <w:i/>
          <w:color w:val="0F0F0F"/>
          <w:sz w:val="22"/>
          <w:szCs w:val="22"/>
        </w:rPr>
        <w:t>Comunicação ao Plenário-</w:t>
      </w:r>
      <w:r w:rsidRPr="00E01654">
        <w:rPr>
          <w:b/>
          <w:i/>
          <w:sz w:val="22"/>
          <w:szCs w:val="22"/>
        </w:rPr>
        <w:t>TC-003.933/2012-1,</w:t>
      </w:r>
      <w:r w:rsidRPr="00E01654">
        <w:rPr>
          <w:b/>
          <w:i/>
          <w:color w:val="0F0F0F"/>
          <w:sz w:val="22"/>
          <w:szCs w:val="22"/>
        </w:rPr>
        <w:t xml:space="preserve"> </w:t>
      </w:r>
      <w:r w:rsidRPr="00E01654">
        <w:rPr>
          <w:b/>
          <w:i/>
          <w:sz w:val="22"/>
          <w:szCs w:val="22"/>
        </w:rPr>
        <w:t>rel. Min. Walton Alencar Rodrigues,</w:t>
      </w:r>
      <w:r>
        <w:rPr>
          <w:b/>
          <w:i/>
          <w:sz w:val="22"/>
          <w:szCs w:val="22"/>
        </w:rPr>
        <w:t xml:space="preserve"> </w:t>
      </w:r>
      <w:r w:rsidRPr="00E01654">
        <w:rPr>
          <w:b/>
          <w:i/>
          <w:sz w:val="22"/>
          <w:szCs w:val="22"/>
        </w:rPr>
        <w:t>29.2.2012.</w:t>
      </w:r>
    </w:p>
    <w:p w:rsidR="00A840B0" w:rsidRPr="00A840B0" w:rsidRDefault="00A840B0" w:rsidP="00A840B0">
      <w:pPr>
        <w:pStyle w:val="Default"/>
        <w:jc w:val="both"/>
        <w:rPr>
          <w:b/>
          <w:sz w:val="22"/>
          <w:szCs w:val="22"/>
        </w:rPr>
      </w:pPr>
    </w:p>
    <w:p w:rsidR="003C2C76" w:rsidRPr="003C2C76" w:rsidRDefault="003C2C76" w:rsidP="006322A4">
      <w:pPr>
        <w:pStyle w:val="Default"/>
        <w:jc w:val="both"/>
        <w:rPr>
          <w:b/>
          <w:sz w:val="22"/>
          <w:szCs w:val="22"/>
        </w:rPr>
      </w:pPr>
      <w:r>
        <w:rPr>
          <w:b/>
          <w:sz w:val="22"/>
          <w:szCs w:val="22"/>
        </w:rPr>
        <w:t xml:space="preserve">É possível a </w:t>
      </w:r>
      <w:r w:rsidR="00E95BF0" w:rsidRPr="00E95BF0">
        <w:rPr>
          <w:b/>
          <w:sz w:val="22"/>
          <w:szCs w:val="22"/>
        </w:rPr>
        <w:t xml:space="preserve">contração por dispensa de licitação, com suporte no comando contido no inciso IV do art. 24 da Lei nº 8.666/1993, </w:t>
      </w:r>
      <w:r>
        <w:rPr>
          <w:b/>
          <w:sz w:val="22"/>
          <w:szCs w:val="22"/>
        </w:rPr>
        <w:t xml:space="preserve">ainda que a emergência decorra da inércia ou incúria administrativa, </w:t>
      </w:r>
      <w:r w:rsidRPr="003C2C76">
        <w:rPr>
          <w:b/>
          <w:sz w:val="22"/>
          <w:szCs w:val="22"/>
        </w:rPr>
        <w:t>devendo ser apurada, todavia, a responsabilidade do agente público que não adotou tempestivamente as providências a ele cabíveis</w:t>
      </w:r>
    </w:p>
    <w:p w:rsidR="00645BAB" w:rsidRPr="00E01654" w:rsidRDefault="006322A4" w:rsidP="008C5704">
      <w:pPr>
        <w:pStyle w:val="Default"/>
        <w:jc w:val="both"/>
        <w:rPr>
          <w:b/>
          <w:i/>
          <w:sz w:val="22"/>
          <w:szCs w:val="22"/>
        </w:rPr>
      </w:pPr>
      <w:r w:rsidRPr="00E01654">
        <w:rPr>
          <w:sz w:val="22"/>
          <w:szCs w:val="22"/>
        </w:rPr>
        <w:t xml:space="preserve">Representação, com pedido de medida cautelar, </w:t>
      </w:r>
      <w:r w:rsidR="00D01121" w:rsidRPr="00E01654">
        <w:rPr>
          <w:sz w:val="22"/>
          <w:szCs w:val="22"/>
        </w:rPr>
        <w:t xml:space="preserve">apontou possíveis irregularidades na contratação </w:t>
      </w:r>
      <w:r w:rsidR="00ED2AFF" w:rsidRPr="00E01654">
        <w:rPr>
          <w:sz w:val="22"/>
          <w:szCs w:val="22"/>
        </w:rPr>
        <w:t xml:space="preserve">direta, </w:t>
      </w:r>
      <w:r w:rsidR="00D01121" w:rsidRPr="00E01654">
        <w:rPr>
          <w:sz w:val="22"/>
          <w:szCs w:val="22"/>
        </w:rPr>
        <w:t xml:space="preserve">por </w:t>
      </w:r>
      <w:r w:rsidRPr="00E01654">
        <w:rPr>
          <w:sz w:val="22"/>
          <w:szCs w:val="22"/>
        </w:rPr>
        <w:t>dispensa de licitação</w:t>
      </w:r>
      <w:r w:rsidR="00ED2AFF" w:rsidRPr="00E01654">
        <w:rPr>
          <w:sz w:val="22"/>
          <w:szCs w:val="22"/>
        </w:rPr>
        <w:t xml:space="preserve">, de empresa para </w:t>
      </w:r>
      <w:r w:rsidR="00D01121" w:rsidRPr="00E01654">
        <w:rPr>
          <w:sz w:val="22"/>
          <w:szCs w:val="22"/>
        </w:rPr>
        <w:t>instala</w:t>
      </w:r>
      <w:r w:rsidR="00A70F4E" w:rsidRPr="00E01654">
        <w:rPr>
          <w:sz w:val="22"/>
          <w:szCs w:val="22"/>
        </w:rPr>
        <w:t>r</w:t>
      </w:r>
      <w:r w:rsidR="00D01121" w:rsidRPr="00E01654">
        <w:rPr>
          <w:sz w:val="22"/>
          <w:szCs w:val="22"/>
        </w:rPr>
        <w:t xml:space="preserve"> nova rede de gás n</w:t>
      </w:r>
      <w:r w:rsidRPr="00E01654">
        <w:rPr>
          <w:sz w:val="22"/>
          <w:szCs w:val="22"/>
        </w:rPr>
        <w:t>o Hospital Universitário Clementino Fraga Filho – HUCFF</w:t>
      </w:r>
      <w:r w:rsidR="00D01121" w:rsidRPr="00E01654">
        <w:rPr>
          <w:sz w:val="22"/>
          <w:szCs w:val="22"/>
        </w:rPr>
        <w:t xml:space="preserve">. Em face da existência de indícios de que não </w:t>
      </w:r>
      <w:r w:rsidR="00E52660">
        <w:rPr>
          <w:sz w:val="22"/>
          <w:szCs w:val="22"/>
        </w:rPr>
        <w:t xml:space="preserve">se </w:t>
      </w:r>
      <w:r w:rsidR="00D01121" w:rsidRPr="00E01654">
        <w:rPr>
          <w:sz w:val="22"/>
          <w:szCs w:val="22"/>
        </w:rPr>
        <w:t>teria configurado a hipótese de emergência</w:t>
      </w:r>
      <w:r w:rsidR="00343D7D" w:rsidRPr="00E01654">
        <w:rPr>
          <w:sz w:val="22"/>
          <w:szCs w:val="22"/>
        </w:rPr>
        <w:t xml:space="preserve"> invocada</w:t>
      </w:r>
      <w:r w:rsidR="00D01121" w:rsidRPr="00E01654">
        <w:rPr>
          <w:sz w:val="22"/>
          <w:szCs w:val="22"/>
        </w:rPr>
        <w:t xml:space="preserve">, prevista no inciso IV do art. 24 da Lei nº 8.666/1993, o </w:t>
      </w:r>
      <w:r w:rsidR="00B62634" w:rsidRPr="00E01654">
        <w:rPr>
          <w:sz w:val="22"/>
          <w:szCs w:val="22"/>
        </w:rPr>
        <w:t>Presidente do Tribunal</w:t>
      </w:r>
      <w:r w:rsidR="003C2C76">
        <w:rPr>
          <w:sz w:val="22"/>
          <w:szCs w:val="22"/>
        </w:rPr>
        <w:t>, em substituição ao relator,</w:t>
      </w:r>
      <w:r w:rsidR="00B62634" w:rsidRPr="00E01654">
        <w:rPr>
          <w:sz w:val="22"/>
          <w:szCs w:val="22"/>
        </w:rPr>
        <w:t xml:space="preserve"> suspendeu</w:t>
      </w:r>
      <w:r w:rsidR="00343D7D" w:rsidRPr="00E01654">
        <w:rPr>
          <w:sz w:val="22"/>
          <w:szCs w:val="22"/>
        </w:rPr>
        <w:t>, em caráter cautelar,</w:t>
      </w:r>
      <w:r w:rsidR="00B62634" w:rsidRPr="00E01654">
        <w:rPr>
          <w:sz w:val="22"/>
          <w:szCs w:val="22"/>
        </w:rPr>
        <w:t xml:space="preserve"> a execução do respectivo contrato, </w:t>
      </w:r>
      <w:r w:rsidR="00ED2AFF" w:rsidRPr="00E01654">
        <w:rPr>
          <w:sz w:val="22"/>
          <w:szCs w:val="22"/>
        </w:rPr>
        <w:t>decisão essa</w:t>
      </w:r>
      <w:r w:rsidR="00B62634" w:rsidRPr="00E01654">
        <w:rPr>
          <w:sz w:val="22"/>
          <w:szCs w:val="22"/>
        </w:rPr>
        <w:t xml:space="preserve"> que mereceu endosso do Plenário. Nesta oportunidade, ao examina</w:t>
      </w:r>
      <w:r w:rsidR="0033307E" w:rsidRPr="00E01654">
        <w:rPr>
          <w:sz w:val="22"/>
          <w:szCs w:val="22"/>
        </w:rPr>
        <w:t>r</w:t>
      </w:r>
      <w:r w:rsidR="00B62634" w:rsidRPr="00E01654">
        <w:rPr>
          <w:sz w:val="22"/>
          <w:szCs w:val="22"/>
        </w:rPr>
        <w:t xml:space="preserve"> </w:t>
      </w:r>
      <w:r w:rsidR="0033307E" w:rsidRPr="00E01654">
        <w:rPr>
          <w:sz w:val="22"/>
          <w:szCs w:val="22"/>
        </w:rPr>
        <w:t>os esclarecimentos apresentados pela entidade, anotou o relato</w:t>
      </w:r>
      <w:r w:rsidR="00117D98" w:rsidRPr="00E01654">
        <w:rPr>
          <w:sz w:val="22"/>
          <w:szCs w:val="22"/>
        </w:rPr>
        <w:t>r</w:t>
      </w:r>
      <w:r w:rsidR="00A70F4E" w:rsidRPr="00E01654">
        <w:rPr>
          <w:sz w:val="22"/>
          <w:szCs w:val="22"/>
        </w:rPr>
        <w:t xml:space="preserve"> do feito</w:t>
      </w:r>
      <w:r w:rsidR="0033307E" w:rsidRPr="00E01654">
        <w:rPr>
          <w:sz w:val="22"/>
          <w:szCs w:val="22"/>
        </w:rPr>
        <w:t xml:space="preserve"> que a suposta circunstância emergencial consistiu no repasse tardio de recursos ao HUCFF</w:t>
      </w:r>
      <w:r w:rsidR="00ED2AFF" w:rsidRPr="00E01654">
        <w:rPr>
          <w:sz w:val="22"/>
          <w:szCs w:val="22"/>
        </w:rPr>
        <w:t xml:space="preserve"> para fazer frente às respectivas despesas</w:t>
      </w:r>
      <w:r w:rsidR="0033307E" w:rsidRPr="00E01654">
        <w:rPr>
          <w:sz w:val="22"/>
          <w:szCs w:val="22"/>
        </w:rPr>
        <w:t xml:space="preserve">, o que teria impedido a deflagração de regular procedimento licitatório. </w:t>
      </w:r>
      <w:r w:rsidR="00241502" w:rsidRPr="00E01654">
        <w:rPr>
          <w:sz w:val="22"/>
          <w:szCs w:val="22"/>
        </w:rPr>
        <w:t>O relator, ao examinar os esclarecimentos apresentados, r</w:t>
      </w:r>
      <w:r w:rsidR="00A70F4E" w:rsidRPr="00E01654">
        <w:rPr>
          <w:sz w:val="22"/>
          <w:szCs w:val="22"/>
        </w:rPr>
        <w:t>econheceu</w:t>
      </w:r>
      <w:r w:rsidR="00D32889" w:rsidRPr="00E01654">
        <w:rPr>
          <w:sz w:val="22"/>
          <w:szCs w:val="22"/>
        </w:rPr>
        <w:t xml:space="preserve"> que, mesmo quando há “</w:t>
      </w:r>
      <w:r w:rsidR="00D32889" w:rsidRPr="00E01654">
        <w:rPr>
          <w:i/>
          <w:sz w:val="22"/>
          <w:szCs w:val="22"/>
        </w:rPr>
        <w:t>inércia ou incúria administrativa</w:t>
      </w:r>
      <w:r w:rsidR="00D32889" w:rsidRPr="00E01654">
        <w:rPr>
          <w:sz w:val="22"/>
          <w:szCs w:val="22"/>
        </w:rPr>
        <w:t>”, é possível efetuar contratação com suporte no referido permissivo legal</w:t>
      </w:r>
      <w:r w:rsidR="0033097E" w:rsidRPr="00E01654">
        <w:rPr>
          <w:i/>
          <w:sz w:val="22"/>
          <w:szCs w:val="22"/>
        </w:rPr>
        <w:t>,</w:t>
      </w:r>
      <w:r w:rsidR="00D32889" w:rsidRPr="00E01654">
        <w:rPr>
          <w:i/>
          <w:sz w:val="22"/>
          <w:szCs w:val="22"/>
        </w:rPr>
        <w:t xml:space="preserve"> </w:t>
      </w:r>
      <w:r w:rsidR="0033097E" w:rsidRPr="00E01654">
        <w:rPr>
          <w:sz w:val="22"/>
          <w:szCs w:val="22"/>
        </w:rPr>
        <w:t>“</w:t>
      </w:r>
      <w:r w:rsidR="00D32889" w:rsidRPr="00E01654">
        <w:rPr>
          <w:i/>
          <w:sz w:val="22"/>
          <w:szCs w:val="22"/>
        </w:rPr>
        <w:t>devendo ser apurada, todavia, a responsabilidade do agente público que não adotou tempestivamente as providências a ele cabíveis</w:t>
      </w:r>
      <w:r w:rsidR="00D32889" w:rsidRPr="00E01654">
        <w:rPr>
          <w:sz w:val="22"/>
          <w:szCs w:val="22"/>
        </w:rPr>
        <w:t>”.</w:t>
      </w:r>
      <w:r w:rsidR="0033097E" w:rsidRPr="00E01654">
        <w:rPr>
          <w:sz w:val="22"/>
          <w:szCs w:val="22"/>
        </w:rPr>
        <w:t xml:space="preserve"> N</w:t>
      </w:r>
      <w:r w:rsidR="0085731F" w:rsidRPr="00E01654">
        <w:rPr>
          <w:sz w:val="22"/>
          <w:szCs w:val="22"/>
        </w:rPr>
        <w:t>o</w:t>
      </w:r>
      <w:r w:rsidR="0033097E" w:rsidRPr="00E01654">
        <w:rPr>
          <w:sz w:val="22"/>
          <w:szCs w:val="22"/>
        </w:rPr>
        <w:t xml:space="preserve"> caso </w:t>
      </w:r>
      <w:r w:rsidR="00241502" w:rsidRPr="00E01654">
        <w:rPr>
          <w:sz w:val="22"/>
          <w:szCs w:val="22"/>
        </w:rPr>
        <w:t xml:space="preserve">sob </w:t>
      </w:r>
      <w:r w:rsidR="00A70F4E" w:rsidRPr="00E01654">
        <w:rPr>
          <w:sz w:val="22"/>
          <w:szCs w:val="22"/>
        </w:rPr>
        <w:t>e</w:t>
      </w:r>
      <w:r w:rsidR="00241502" w:rsidRPr="00E01654">
        <w:rPr>
          <w:sz w:val="22"/>
          <w:szCs w:val="22"/>
        </w:rPr>
        <w:t>xame</w:t>
      </w:r>
      <w:r w:rsidR="0033097E" w:rsidRPr="00E01654">
        <w:rPr>
          <w:sz w:val="22"/>
          <w:szCs w:val="22"/>
        </w:rPr>
        <w:t>, contudo,</w:t>
      </w:r>
      <w:r w:rsidR="0085731F" w:rsidRPr="00E01654">
        <w:rPr>
          <w:sz w:val="22"/>
          <w:szCs w:val="22"/>
        </w:rPr>
        <w:t xml:space="preserve"> “</w:t>
      </w:r>
      <w:r w:rsidR="0085731F" w:rsidRPr="00E01654">
        <w:rPr>
          <w:i/>
          <w:sz w:val="22"/>
          <w:szCs w:val="22"/>
        </w:rPr>
        <w:t>não restou caracterizada a situação emergencial ou calamitosa capaz de ocasionar prejuízo ou comprometer a segurança de pessoas, obras, serviços, equipamentos e outros bens, públicos ou particulares</w:t>
      </w:r>
      <w:r w:rsidR="0085731F" w:rsidRPr="00E01654">
        <w:rPr>
          <w:sz w:val="22"/>
          <w:szCs w:val="22"/>
        </w:rPr>
        <w:t xml:space="preserve">”. Não se demonstrou a ocorrência de problemas que demandassem a instalação urgente de uma nova rede de gás no hospital. </w:t>
      </w:r>
      <w:r w:rsidR="00645BAB" w:rsidRPr="00E01654">
        <w:rPr>
          <w:sz w:val="22"/>
          <w:szCs w:val="22"/>
        </w:rPr>
        <w:t xml:space="preserve">O Tribunal, então, ao acolher </w:t>
      </w:r>
      <w:r w:rsidR="004760C2" w:rsidRPr="00E01654">
        <w:rPr>
          <w:sz w:val="22"/>
          <w:szCs w:val="22"/>
        </w:rPr>
        <w:t xml:space="preserve">sua </w:t>
      </w:r>
      <w:r w:rsidR="00645BAB" w:rsidRPr="00E01654">
        <w:rPr>
          <w:sz w:val="22"/>
          <w:szCs w:val="22"/>
        </w:rPr>
        <w:t>proposta, decidiu: “</w:t>
      </w:r>
      <w:r w:rsidR="00645BAB" w:rsidRPr="00E01654">
        <w:rPr>
          <w:i/>
          <w:sz w:val="22"/>
          <w:szCs w:val="22"/>
        </w:rPr>
        <w:t>9.2. determinar ao HUCFF, com base no art. 71, IX, da Constituição Federal, que adote, no prazo de cinco dias a contar da ciência, as providências necessárias à anulação da Dispensa de Licitação 257/2011, e dos eventuais atos dela decorrentes, inclusive o contrato celebrado com a empresa TX Comércio de Produtos Médicos Ltda., encaminhando ao Tribunal, no mesmo prazo, documentação que comprove o cumprimento desta determinação</w:t>
      </w:r>
      <w:r w:rsidR="00645BAB" w:rsidRPr="00E01654">
        <w:rPr>
          <w:sz w:val="22"/>
          <w:szCs w:val="22"/>
        </w:rPr>
        <w:t xml:space="preserve">”. </w:t>
      </w:r>
      <w:r w:rsidR="00645BAB" w:rsidRPr="00E01654">
        <w:rPr>
          <w:b/>
          <w:i/>
          <w:sz w:val="22"/>
          <w:szCs w:val="22"/>
        </w:rPr>
        <w:t xml:space="preserve">Acórdão n.º </w:t>
      </w:r>
      <w:r w:rsidR="008C5704" w:rsidRPr="00E01654">
        <w:rPr>
          <w:b/>
          <w:i/>
          <w:sz w:val="22"/>
          <w:szCs w:val="22"/>
        </w:rPr>
        <w:t>425/2012</w:t>
      </w:r>
      <w:r w:rsidR="00103844">
        <w:rPr>
          <w:b/>
          <w:i/>
          <w:sz w:val="22"/>
          <w:szCs w:val="22"/>
        </w:rPr>
        <w:t>-</w:t>
      </w:r>
      <w:r w:rsidR="008C5704" w:rsidRPr="00E01654">
        <w:rPr>
          <w:b/>
          <w:i/>
          <w:sz w:val="22"/>
          <w:szCs w:val="22"/>
        </w:rPr>
        <w:t>TCU</w:t>
      </w:r>
      <w:r w:rsidR="00645BAB" w:rsidRPr="00E01654">
        <w:rPr>
          <w:b/>
          <w:i/>
          <w:sz w:val="22"/>
          <w:szCs w:val="22"/>
        </w:rPr>
        <w:t>-Plenário, TC-</w:t>
      </w:r>
      <w:r w:rsidR="008C5704" w:rsidRPr="00E01654">
        <w:rPr>
          <w:b/>
          <w:i/>
          <w:sz w:val="22"/>
          <w:szCs w:val="22"/>
        </w:rPr>
        <w:t>038.000/2011-3</w:t>
      </w:r>
      <w:r w:rsidR="00645BAB" w:rsidRPr="00E01654">
        <w:rPr>
          <w:b/>
          <w:i/>
          <w:sz w:val="22"/>
          <w:szCs w:val="22"/>
        </w:rPr>
        <w:t xml:space="preserve">, rel. Min. </w:t>
      </w:r>
      <w:r w:rsidR="008C5704" w:rsidRPr="00E01654">
        <w:rPr>
          <w:b/>
          <w:i/>
          <w:sz w:val="22"/>
          <w:szCs w:val="22"/>
        </w:rPr>
        <w:t>José Jorge</w:t>
      </w:r>
      <w:r w:rsidR="0022133B">
        <w:rPr>
          <w:b/>
          <w:i/>
          <w:sz w:val="22"/>
          <w:szCs w:val="22"/>
        </w:rPr>
        <w:t>, 29</w:t>
      </w:r>
      <w:r w:rsidR="00645BAB" w:rsidRPr="00E01654">
        <w:rPr>
          <w:b/>
          <w:i/>
          <w:sz w:val="22"/>
          <w:szCs w:val="22"/>
        </w:rPr>
        <w:t>.2.2012.</w:t>
      </w:r>
    </w:p>
    <w:p w:rsidR="004760C2" w:rsidRPr="00E01654" w:rsidRDefault="004760C2" w:rsidP="00A47ABF">
      <w:pPr>
        <w:pStyle w:val="Default"/>
        <w:jc w:val="both"/>
        <w:rPr>
          <w:b/>
          <w:sz w:val="22"/>
          <w:szCs w:val="22"/>
        </w:rPr>
      </w:pPr>
    </w:p>
    <w:p w:rsidR="0022133B" w:rsidRPr="00E95BF0" w:rsidRDefault="00E95BF0" w:rsidP="00B677AD">
      <w:pPr>
        <w:autoSpaceDE w:val="0"/>
        <w:autoSpaceDN w:val="0"/>
        <w:adjustRightInd w:val="0"/>
        <w:spacing w:after="0"/>
        <w:ind w:left="0"/>
        <w:rPr>
          <w:b/>
          <w:color w:val="000000"/>
          <w:sz w:val="22"/>
          <w:szCs w:val="22"/>
        </w:rPr>
      </w:pPr>
      <w:r w:rsidRPr="00E95BF0">
        <w:rPr>
          <w:b/>
          <w:sz w:val="22"/>
          <w:szCs w:val="22"/>
        </w:rPr>
        <w:t xml:space="preserve">A falta de parcelamento de objeto que consiste em instalação de sistemas de ar condicionado em seis unidades de ente do “Sistema S”, situadas em municípios distintos, sugere </w:t>
      </w:r>
      <w:r w:rsidRPr="00E95BF0">
        <w:rPr>
          <w:b/>
          <w:color w:val="000000"/>
          <w:sz w:val="22"/>
          <w:szCs w:val="22"/>
        </w:rPr>
        <w:t>restrição ao universo de pretensos licitantes e justifica o acompanhamento pelo Tribunal d</w:t>
      </w:r>
      <w:r w:rsidR="006465EB">
        <w:rPr>
          <w:b/>
          <w:color w:val="000000"/>
          <w:sz w:val="22"/>
          <w:szCs w:val="22"/>
        </w:rPr>
        <w:t>a</w:t>
      </w:r>
      <w:r w:rsidRPr="00E95BF0">
        <w:rPr>
          <w:b/>
          <w:color w:val="000000"/>
          <w:sz w:val="22"/>
          <w:szCs w:val="22"/>
        </w:rPr>
        <w:t xml:space="preserve"> concorrência anunciada, </w:t>
      </w:r>
      <w:r w:rsidRPr="00E95BF0">
        <w:rPr>
          <w:b/>
          <w:sz w:val="22"/>
          <w:szCs w:val="22"/>
        </w:rPr>
        <w:t xml:space="preserve">a fim de </w:t>
      </w:r>
      <w:r w:rsidRPr="00E95BF0">
        <w:rPr>
          <w:b/>
          <w:color w:val="000000"/>
          <w:sz w:val="22"/>
          <w:szCs w:val="22"/>
        </w:rPr>
        <w:t xml:space="preserve">que se verifique se tal opção está baseada em </w:t>
      </w:r>
      <w:r w:rsidRPr="00E95BF0">
        <w:rPr>
          <w:b/>
          <w:sz w:val="22"/>
          <w:szCs w:val="22"/>
        </w:rPr>
        <w:t xml:space="preserve">estudos prévios que denotem a </w:t>
      </w:r>
      <w:r w:rsidRPr="00E95BF0">
        <w:rPr>
          <w:b/>
          <w:color w:val="000000"/>
          <w:sz w:val="22"/>
          <w:szCs w:val="22"/>
        </w:rPr>
        <w:t>complexidade do objeto ou que atestem perda de escala resultante d</w:t>
      </w:r>
      <w:r w:rsidRPr="00E95BF0">
        <w:rPr>
          <w:b/>
          <w:sz w:val="22"/>
          <w:szCs w:val="22"/>
        </w:rPr>
        <w:t>e</w:t>
      </w:r>
      <w:r w:rsidRPr="00E95BF0">
        <w:rPr>
          <w:b/>
          <w:color w:val="000000"/>
          <w:sz w:val="22"/>
          <w:szCs w:val="22"/>
        </w:rPr>
        <w:t xml:space="preserve"> parcelamento</w:t>
      </w:r>
    </w:p>
    <w:p w:rsidR="00070D4C" w:rsidRDefault="00ED2AFF" w:rsidP="00070D4C">
      <w:pPr>
        <w:pStyle w:val="Default"/>
        <w:jc w:val="both"/>
        <w:rPr>
          <w:b/>
          <w:i/>
          <w:sz w:val="22"/>
          <w:szCs w:val="22"/>
        </w:rPr>
      </w:pPr>
      <w:r w:rsidRPr="00E01654">
        <w:rPr>
          <w:sz w:val="22"/>
          <w:szCs w:val="22"/>
        </w:rPr>
        <w:t xml:space="preserve">Representação de empresa, com pedido de media cautelar, apontou indícios de irregularidades na Concorrência n. 6.986/2011 promovida pelo Serviço Nacional de Aprendizagem Comercial – Senac/SP, com a finalidade de promover a instalação de sistemas de ar condicionado </w:t>
      </w:r>
      <w:r w:rsidRPr="00E01654">
        <w:rPr>
          <w:b/>
          <w:sz w:val="22"/>
          <w:szCs w:val="22"/>
        </w:rPr>
        <w:t>em seis unidades do Senac</w:t>
      </w:r>
      <w:r w:rsidR="00285BCB" w:rsidRPr="00E01654">
        <w:rPr>
          <w:b/>
          <w:sz w:val="22"/>
          <w:szCs w:val="22"/>
        </w:rPr>
        <w:t>/SP</w:t>
      </w:r>
      <w:r w:rsidRPr="00E01654">
        <w:rPr>
          <w:sz w:val="22"/>
          <w:szCs w:val="22"/>
        </w:rPr>
        <w:t xml:space="preserve"> situadas em Santo Amaro, Santos, Jundiaí, Limeira, Lapa e Tiradentes, </w:t>
      </w:r>
      <w:r w:rsidR="00EF3B3E" w:rsidRPr="00E01654">
        <w:rPr>
          <w:sz w:val="22"/>
          <w:szCs w:val="22"/>
        </w:rPr>
        <w:t>no</w:t>
      </w:r>
      <w:r w:rsidRPr="00E01654">
        <w:rPr>
          <w:sz w:val="22"/>
          <w:szCs w:val="22"/>
        </w:rPr>
        <w:t xml:space="preserve"> valor estimado em R$ 11.828.913,12. Foram identificados os seguintes indícios de irregularidades: a) ausência de p</w:t>
      </w:r>
      <w:r w:rsidRPr="00E01654">
        <w:rPr>
          <w:color w:val="auto"/>
          <w:sz w:val="22"/>
          <w:szCs w:val="22"/>
        </w:rPr>
        <w:t xml:space="preserve">arcelamento do objeto a ser contratado; b) estipulação de marcas específicas dos respectivos equipamentos, sem fundamentação que a respaldasse; c) limitação de número de atestados para demonstrar capacidade técnico-profissional; d) exigência de comprovação, em dois atestados, de execução anterior de serviços no percentual de 50% do quantitativo total dos sistemas a serem instalados. Em resposta a oitiva, o </w:t>
      </w:r>
      <w:r w:rsidRPr="00E01654">
        <w:rPr>
          <w:sz w:val="22"/>
          <w:szCs w:val="22"/>
        </w:rPr>
        <w:t xml:space="preserve">Senac/SP </w:t>
      </w:r>
      <w:r w:rsidR="00942CC9">
        <w:rPr>
          <w:sz w:val="22"/>
          <w:szCs w:val="22"/>
        </w:rPr>
        <w:t>informou que estava prestes a</w:t>
      </w:r>
      <w:r w:rsidR="00E52660">
        <w:rPr>
          <w:sz w:val="22"/>
          <w:szCs w:val="22"/>
        </w:rPr>
        <w:t xml:space="preserve"> </w:t>
      </w:r>
      <w:r w:rsidRPr="00E01654">
        <w:rPr>
          <w:sz w:val="22"/>
          <w:szCs w:val="22"/>
        </w:rPr>
        <w:t>cancelar o referido certame e reconheceu a necessidade de efetuar ajustes na nova licitação a ser deflagrada, como a admissão de equipamentos de quaisquer marcas “</w:t>
      </w:r>
      <w:r w:rsidRPr="00E01654">
        <w:rPr>
          <w:i/>
          <w:sz w:val="22"/>
          <w:szCs w:val="22"/>
        </w:rPr>
        <w:t>equivalentes ao modelo de referência informado no edital</w:t>
      </w:r>
      <w:r w:rsidRPr="00E01654">
        <w:rPr>
          <w:sz w:val="22"/>
          <w:szCs w:val="22"/>
        </w:rPr>
        <w:t xml:space="preserve">”, além de passar a exigir somente um atestado para comprovação técnico-operacional e um atestado para comprovação técnico-profissional. Reafirmaram, contudo, a pretensão de contratar uma única empresa para instalar sistemas de ar condicionado nas seis unidades do Senac/SP e de exigirem a comprovação de capacidade técnico-operacional, por meio de atestado de execução de sistema com capacidade da ordem de 50% do somatório das capacidades demandadas </w:t>
      </w:r>
      <w:r w:rsidR="00B677AD" w:rsidRPr="00E01654">
        <w:rPr>
          <w:sz w:val="22"/>
          <w:szCs w:val="22"/>
        </w:rPr>
        <w:t>pelas unidades do Senac/</w:t>
      </w:r>
      <w:r w:rsidRPr="00E01654">
        <w:rPr>
          <w:sz w:val="22"/>
          <w:szCs w:val="22"/>
        </w:rPr>
        <w:t>SP. O relator, ao avaliar tais declarações, relembrou pronunciamento contido em Voto de sua lavra que norteou a prolação do Acórdão n. 1.695/2001–Plenário, “</w:t>
      </w:r>
      <w:r w:rsidRPr="00E01654">
        <w:rPr>
          <w:i/>
          <w:sz w:val="22"/>
          <w:szCs w:val="22"/>
        </w:rPr>
        <w:t>tanto a opção de contratação por preço global como a consequente exigência de atestado de execução anterior de serviços no percentual de 50% do volume total de serviços contratados podem ser respaldados por estudos que evidenciem a perda no ganho de escala em caso de contratações parceladas e/ou a complexidade do objeto, de modo a justificar o afastamento da regra de adjudicação por item</w:t>
      </w:r>
      <w:r w:rsidRPr="00E01654">
        <w:rPr>
          <w:sz w:val="22"/>
          <w:szCs w:val="22"/>
        </w:rPr>
        <w:t>”. Quanto ao caso em tela, anotou: “</w:t>
      </w:r>
      <w:r w:rsidRPr="00E01654">
        <w:rPr>
          <w:i/>
          <w:sz w:val="22"/>
          <w:szCs w:val="22"/>
        </w:rPr>
        <w:t>Tendo em vista que a ausência do parcelamento restringe o universo de possíveis interessados na licitação, o Senac/SP, caso opte por adotá-lo, deverá formalizar estudos prévios que evidenciem a complexidade do objeto e/ou a perda no ganho de escala, nos termos da Súmula n. 247/TCU. Em especial, caber-lhe-á evidenciar pesquisas de preços atualizadas, suas respectivas fontes e datas de coleta</w:t>
      </w:r>
      <w:r w:rsidRPr="00E01654">
        <w:rPr>
          <w:sz w:val="22"/>
          <w:szCs w:val="22"/>
        </w:rPr>
        <w:t>”. O Tribunal, então, ao acolher proposta do relator decidiu: “</w:t>
      </w:r>
      <w:r w:rsidRPr="00E01654">
        <w:rPr>
          <w:i/>
          <w:sz w:val="22"/>
          <w:szCs w:val="22"/>
        </w:rPr>
        <w:t>9.1. considerar esta Representação prejudicada, ante a perda de seu objeto decorrente da anulação da Concorrência n. 6.986/2011; 9</w:t>
      </w:r>
      <w:r w:rsidR="00E60CC3">
        <w:rPr>
          <w:i/>
          <w:sz w:val="22"/>
          <w:szCs w:val="22"/>
        </w:rPr>
        <w:t>.</w:t>
      </w:r>
      <w:r w:rsidRPr="00E01654">
        <w:rPr>
          <w:i/>
          <w:sz w:val="22"/>
          <w:szCs w:val="22"/>
        </w:rPr>
        <w:t>2. determinar à Secex/SP que proceda ao acompanhamento, caso o Senac/SP opte por realizar nova licitação para contratação do mesmo objeto;</w:t>
      </w:r>
      <w:r w:rsidRPr="00E01654">
        <w:rPr>
          <w:sz w:val="22"/>
          <w:szCs w:val="22"/>
        </w:rPr>
        <w:t>”</w:t>
      </w:r>
      <w:r w:rsidR="00823AED" w:rsidRPr="00E01654">
        <w:rPr>
          <w:sz w:val="22"/>
          <w:szCs w:val="22"/>
        </w:rPr>
        <w:t>.</w:t>
      </w:r>
      <w:r w:rsidRPr="00E01654">
        <w:rPr>
          <w:b/>
          <w:sz w:val="22"/>
          <w:szCs w:val="22"/>
        </w:rPr>
        <w:t xml:space="preserve"> </w:t>
      </w:r>
      <w:r w:rsidR="0022133B" w:rsidRPr="00E60CC3">
        <w:rPr>
          <w:b/>
          <w:i/>
          <w:sz w:val="22"/>
          <w:szCs w:val="22"/>
        </w:rPr>
        <w:t>Acórdão n.º 4</w:t>
      </w:r>
      <w:r w:rsidR="00E60CC3" w:rsidRPr="00E60CC3">
        <w:rPr>
          <w:b/>
          <w:i/>
          <w:sz w:val="22"/>
          <w:szCs w:val="22"/>
        </w:rPr>
        <w:t>32</w:t>
      </w:r>
      <w:r w:rsidR="0022133B" w:rsidRPr="00E60CC3">
        <w:rPr>
          <w:b/>
          <w:i/>
          <w:sz w:val="22"/>
          <w:szCs w:val="22"/>
        </w:rPr>
        <w:t>/2012</w:t>
      </w:r>
      <w:r w:rsidR="00942CC9">
        <w:rPr>
          <w:b/>
          <w:i/>
          <w:sz w:val="22"/>
          <w:szCs w:val="22"/>
        </w:rPr>
        <w:t>-</w:t>
      </w:r>
      <w:r w:rsidR="0022133B" w:rsidRPr="00E60CC3">
        <w:rPr>
          <w:b/>
          <w:i/>
          <w:sz w:val="22"/>
          <w:szCs w:val="22"/>
        </w:rPr>
        <w:t>TCU-Plenário, TC-</w:t>
      </w:r>
      <w:r w:rsidR="00E60CC3" w:rsidRPr="00E60CC3">
        <w:rPr>
          <w:b/>
          <w:i/>
          <w:sz w:val="22"/>
          <w:szCs w:val="22"/>
        </w:rPr>
        <w:t>015.264/2011-4</w:t>
      </w:r>
      <w:r w:rsidR="0022133B" w:rsidRPr="00E60CC3">
        <w:rPr>
          <w:b/>
          <w:i/>
          <w:sz w:val="22"/>
          <w:szCs w:val="22"/>
        </w:rPr>
        <w:t xml:space="preserve">, rel. Min. </w:t>
      </w:r>
      <w:r w:rsidR="00E60CC3" w:rsidRPr="00E60CC3">
        <w:rPr>
          <w:b/>
          <w:i/>
          <w:sz w:val="22"/>
          <w:szCs w:val="22"/>
        </w:rPr>
        <w:t>Marcos Bemquerer Costa</w:t>
      </w:r>
      <w:r w:rsidR="0022133B" w:rsidRPr="00E60CC3">
        <w:rPr>
          <w:b/>
          <w:i/>
          <w:sz w:val="22"/>
          <w:szCs w:val="22"/>
        </w:rPr>
        <w:t>,</w:t>
      </w:r>
      <w:r w:rsidR="00B54FEB">
        <w:rPr>
          <w:b/>
          <w:i/>
          <w:sz w:val="22"/>
          <w:szCs w:val="22"/>
        </w:rPr>
        <w:t xml:space="preserve"> </w:t>
      </w:r>
      <w:r w:rsidR="00E60CC3" w:rsidRPr="00E60CC3">
        <w:rPr>
          <w:b/>
          <w:i/>
          <w:sz w:val="22"/>
          <w:szCs w:val="22"/>
        </w:rPr>
        <w:t>29</w:t>
      </w:r>
      <w:r w:rsidR="0022133B" w:rsidRPr="00E60CC3">
        <w:rPr>
          <w:b/>
          <w:i/>
          <w:sz w:val="22"/>
          <w:szCs w:val="22"/>
        </w:rPr>
        <w:t>.2.2012</w:t>
      </w:r>
      <w:r w:rsidR="0022133B" w:rsidRPr="00E01654">
        <w:rPr>
          <w:b/>
          <w:i/>
          <w:sz w:val="22"/>
          <w:szCs w:val="22"/>
        </w:rPr>
        <w:t>.</w:t>
      </w:r>
    </w:p>
    <w:p w:rsidR="00C64E1A" w:rsidRPr="00E01654" w:rsidRDefault="00861A73" w:rsidP="00070D4C">
      <w:pPr>
        <w:pStyle w:val="Default"/>
        <w:jc w:val="both"/>
        <w:rPr>
          <w:i/>
          <w:sz w:val="22"/>
          <w:szCs w:val="22"/>
        </w:rPr>
      </w:pPr>
      <w:r w:rsidRPr="00E01654">
        <w:rPr>
          <w:i/>
          <w:sz w:val="22"/>
          <w:szCs w:val="22"/>
        </w:rPr>
        <w:tab/>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25"/>
      </w:tblGrid>
      <w:tr w:rsidR="007334B1" w:rsidRPr="00E01654" w:rsidTr="0030360F">
        <w:trPr>
          <w:trHeight w:val="779"/>
          <w:jc w:val="center"/>
        </w:trPr>
        <w:tc>
          <w:tcPr>
            <w:tcW w:w="0" w:type="auto"/>
            <w:vAlign w:val="center"/>
          </w:tcPr>
          <w:p w:rsidR="007334B1" w:rsidRPr="00E01654" w:rsidRDefault="00C10DD5" w:rsidP="00B408FD">
            <w:pPr>
              <w:pStyle w:val="enter-3pt"/>
              <w:tabs>
                <w:tab w:val="left" w:pos="2590"/>
              </w:tabs>
              <w:spacing w:line="240" w:lineRule="auto"/>
              <w:jc w:val="center"/>
              <w:rPr>
                <w:b/>
                <w:i/>
                <w:sz w:val="22"/>
                <w:szCs w:val="22"/>
              </w:rPr>
            </w:pPr>
            <w:r w:rsidRPr="00E01654">
              <w:rPr>
                <w:b/>
                <w:i/>
                <w:sz w:val="22"/>
                <w:szCs w:val="22"/>
              </w:rPr>
              <w:t>Elaboração: Secretaria das Sessões</w:t>
            </w:r>
          </w:p>
          <w:p w:rsidR="007334B1" w:rsidRPr="00E01654" w:rsidRDefault="007334B1" w:rsidP="00B408FD">
            <w:pPr>
              <w:pStyle w:val="enter-3pt"/>
              <w:tabs>
                <w:tab w:val="left" w:pos="2590"/>
              </w:tabs>
              <w:spacing w:line="240" w:lineRule="auto"/>
              <w:jc w:val="center"/>
              <w:rPr>
                <w:b/>
                <w:i/>
                <w:sz w:val="22"/>
                <w:szCs w:val="22"/>
              </w:rPr>
            </w:pPr>
            <w:r w:rsidRPr="00E01654">
              <w:rPr>
                <w:b/>
                <w:i/>
                <w:sz w:val="22"/>
                <w:szCs w:val="22"/>
              </w:rPr>
              <w:t xml:space="preserve">Contato: </w:t>
            </w:r>
            <w:hyperlink r:id="rId8" w:history="1">
              <w:r w:rsidRPr="00E01654">
                <w:rPr>
                  <w:rStyle w:val="Hyperlink"/>
                  <w:b/>
                  <w:i/>
                  <w:color w:val="auto"/>
                  <w:sz w:val="22"/>
                  <w:szCs w:val="22"/>
                </w:rPr>
                <w:t>infojuris@tcu.gov.br</w:t>
              </w:r>
            </w:hyperlink>
          </w:p>
        </w:tc>
      </w:tr>
    </w:tbl>
    <w:p w:rsidR="007334B1" w:rsidRPr="00E01654" w:rsidRDefault="007334B1" w:rsidP="00070D4C">
      <w:pPr>
        <w:pStyle w:val="PargrafodaLista"/>
        <w:widowControl w:val="0"/>
        <w:autoSpaceDE w:val="0"/>
        <w:autoSpaceDN w:val="0"/>
        <w:adjustRightInd w:val="0"/>
        <w:spacing w:before="120"/>
        <w:ind w:left="0"/>
        <w:jc w:val="both"/>
        <w:rPr>
          <w:b/>
          <w:color w:val="FF0000"/>
          <w:sz w:val="22"/>
        </w:rPr>
      </w:pPr>
    </w:p>
    <w:sectPr w:rsidR="007334B1" w:rsidRPr="00E01654" w:rsidSect="00A418FF">
      <w:headerReference w:type="default" r:id="rId9"/>
      <w:footerReference w:type="default" r:id="rId10"/>
      <w:pgSz w:w="11906" w:h="16838" w:code="9"/>
      <w:pgMar w:top="1134" w:right="851" w:bottom="851" w:left="1418" w:header="85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3F6" w:rsidRDefault="000C53F6" w:rsidP="008B0547">
      <w:pPr>
        <w:spacing w:after="0"/>
      </w:pPr>
      <w:r>
        <w:separator/>
      </w:r>
    </w:p>
  </w:endnote>
  <w:endnote w:type="continuationSeparator" w:id="0">
    <w:p w:rsidR="000C53F6" w:rsidRDefault="000C53F6" w:rsidP="008B05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altName w:val=" Arial"/>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Pr="00C906CD" w:rsidRDefault="00F602F9" w:rsidP="004E357A">
    <w:pPr>
      <w:pStyle w:val="Rodap"/>
      <w:jc w:val="right"/>
      <w:rPr>
        <w:sz w:val="20"/>
        <w:szCs w:val="20"/>
      </w:rPr>
    </w:pPr>
    <w:r w:rsidRPr="00C906CD">
      <w:rPr>
        <w:sz w:val="20"/>
        <w:szCs w:val="20"/>
      </w:rPr>
      <w:fldChar w:fldCharType="begin"/>
    </w:r>
    <w:r w:rsidR="005875A3" w:rsidRPr="00C906CD">
      <w:rPr>
        <w:sz w:val="20"/>
        <w:szCs w:val="20"/>
      </w:rPr>
      <w:instrText xml:space="preserve"> PAGE   \* MERGEFORMAT </w:instrText>
    </w:r>
    <w:r w:rsidRPr="00C906CD">
      <w:rPr>
        <w:sz w:val="20"/>
        <w:szCs w:val="20"/>
      </w:rPr>
      <w:fldChar w:fldCharType="separate"/>
    </w:r>
    <w:r w:rsidR="00CD3C43">
      <w:rPr>
        <w:noProof/>
        <w:sz w:val="20"/>
        <w:szCs w:val="20"/>
      </w:rPr>
      <w:t>1</w:t>
    </w:r>
    <w:r w:rsidRPr="00C906CD">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3F6" w:rsidRDefault="000C53F6" w:rsidP="008B0547">
      <w:pPr>
        <w:spacing w:after="0"/>
      </w:pPr>
      <w:r>
        <w:separator/>
      </w:r>
    </w:p>
  </w:footnote>
  <w:footnote w:type="continuationSeparator" w:id="0">
    <w:p w:rsidR="000C53F6" w:rsidRDefault="000C53F6" w:rsidP="008B054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5A3" w:rsidRDefault="005E4CFF" w:rsidP="00080148">
    <w:pPr>
      <w:spacing w:after="0"/>
      <w:rPr>
        <w:rFonts w:ascii="Arial" w:hAnsi="Arial" w:cs="Arial"/>
        <w:b/>
      </w:rPr>
    </w:pPr>
    <w:r>
      <w:rPr>
        <w:rFonts w:ascii="Arial" w:hAnsi="Arial" w:cs="Arial"/>
        <w:b/>
        <w:noProof/>
        <w:lang w:eastAsia="pt-BR"/>
      </w:rPr>
      <w:drawing>
        <wp:anchor distT="0" distB="0" distL="114300" distR="114300" simplePos="0" relativeHeight="251657216" behindDoc="0" locked="0" layoutInCell="1" allowOverlap="1">
          <wp:simplePos x="0" y="0"/>
          <wp:positionH relativeFrom="column">
            <wp:posOffset>-37465</wp:posOffset>
          </wp:positionH>
          <wp:positionV relativeFrom="paragraph">
            <wp:posOffset>-71120</wp:posOffset>
          </wp:positionV>
          <wp:extent cx="551815" cy="436880"/>
          <wp:effectExtent l="0" t="0" r="635" b="1270"/>
          <wp:wrapNone/>
          <wp:docPr id="2" name="Imagem 1" descr="LogoT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T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815" cy="436880"/>
                  </a:xfrm>
                  <a:prstGeom prst="rect">
                    <a:avLst/>
                  </a:prstGeom>
                  <a:noFill/>
                  <a:ln>
                    <a:noFill/>
                  </a:ln>
                </pic:spPr>
              </pic:pic>
            </a:graphicData>
          </a:graphic>
          <wp14:sizeRelH relativeFrom="page">
            <wp14:pctWidth>0</wp14:pctWidth>
          </wp14:sizeRelH>
          <wp14:sizeRelV relativeFrom="page">
            <wp14:pctHeight>0</wp14:pctHeight>
          </wp14:sizeRelV>
        </wp:anchor>
      </w:drawing>
    </w:r>
    <w:r w:rsidR="005875A3">
      <w:rPr>
        <w:rFonts w:ascii="Arial" w:hAnsi="Arial" w:cs="Arial"/>
        <w:b/>
      </w:rPr>
      <w:t>TRIBUNAL DE CONTAS DA UNIÃO</w:t>
    </w:r>
  </w:p>
  <w:p w:rsidR="005875A3" w:rsidRPr="00515E7B" w:rsidRDefault="005E4CFF" w:rsidP="00080148">
    <w:pPr>
      <w:spacing w:after="0"/>
      <w:rPr>
        <w:rFonts w:ascii="Arial" w:hAnsi="Arial" w:cs="Arial"/>
        <w:b/>
      </w:rPr>
    </w:pPr>
    <w:r w:rsidRPr="00F602F9">
      <w:rPr>
        <w:rFonts w:ascii="Arial" w:hAnsi="Arial" w:cs="Arial"/>
        <w:noProof/>
        <w:lang w:eastAsia="pt-BR"/>
      </w:rPr>
      <mc:AlternateContent>
        <mc:Choice Requires="wps">
          <w:drawing>
            <wp:anchor distT="0" distB="0" distL="114300" distR="114300" simplePos="0" relativeHeight="251658240" behindDoc="0" locked="0" layoutInCell="1" allowOverlap="1">
              <wp:simplePos x="0" y="0"/>
              <wp:positionH relativeFrom="margin">
                <wp:posOffset>37465</wp:posOffset>
              </wp:positionH>
              <wp:positionV relativeFrom="paragraph">
                <wp:posOffset>243840</wp:posOffset>
              </wp:positionV>
              <wp:extent cx="6120130" cy="0"/>
              <wp:effectExtent l="8890" t="5715" r="5080" b="1333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CEE82" id="Line 1" o:spid="_x0000_s1026" style="position:absolute;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95pt,19.2pt" to="484.85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OOF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">
              <w10:wrap anchorx="margin"/>
            </v:line>
          </w:pict>
        </mc:Fallback>
      </mc:AlternateContent>
    </w:r>
    <w:r w:rsidR="005875A3" w:rsidRPr="00515E7B">
      <w:rPr>
        <w:rFonts w:ascii="Arial" w:hAnsi="Arial" w:cs="Arial"/>
        <w:noProof/>
        <w:lang w:eastAsia="pt-BR"/>
      </w:rPr>
      <w:t>Info</w:t>
    </w:r>
    <w:r w:rsidR="005875A3">
      <w:rPr>
        <w:rFonts w:ascii="Arial" w:hAnsi="Arial" w:cs="Arial"/>
        <w:noProof/>
        <w:lang w:eastAsia="pt-BR"/>
      </w:rPr>
      <w:t xml:space="preserve">rmativo </w:t>
    </w:r>
    <w:r w:rsidR="0049612D">
      <w:rPr>
        <w:rFonts w:ascii="Arial" w:hAnsi="Arial" w:cs="Arial"/>
        <w:noProof/>
        <w:lang w:eastAsia="pt-BR"/>
      </w:rPr>
      <w:t xml:space="preserve">de Jurisprudência </w:t>
    </w:r>
    <w:r w:rsidR="005875A3">
      <w:rPr>
        <w:rFonts w:ascii="Arial" w:hAnsi="Arial" w:cs="Arial"/>
        <w:noProof/>
        <w:lang w:eastAsia="pt-BR"/>
      </w:rPr>
      <w:t>sobre L</w:t>
    </w:r>
    <w:r w:rsidR="005875A3" w:rsidRPr="00515E7B">
      <w:rPr>
        <w:rFonts w:ascii="Arial" w:hAnsi="Arial" w:cs="Arial"/>
        <w:noProof/>
        <w:lang w:eastAsia="pt-BR"/>
      </w:rPr>
      <w:t xml:space="preserve">icitações e </w:t>
    </w:r>
    <w:r w:rsidR="005875A3">
      <w:rPr>
        <w:rFonts w:ascii="Arial" w:hAnsi="Arial" w:cs="Arial"/>
        <w:noProof/>
        <w:lang w:eastAsia="pt-BR"/>
      </w:rPr>
      <w:t>C</w:t>
    </w:r>
    <w:r w:rsidR="005875A3" w:rsidRPr="00515E7B">
      <w:rPr>
        <w:rFonts w:ascii="Arial" w:hAnsi="Arial" w:cs="Arial"/>
        <w:noProof/>
        <w:lang w:eastAsia="pt-BR"/>
      </w:rPr>
      <w:t>ontratos</w:t>
    </w:r>
    <w:r w:rsidR="005875A3">
      <w:rPr>
        <w:rFonts w:ascii="Arial" w:hAnsi="Arial" w:cs="Arial"/>
        <w:noProof/>
        <w:lang w:eastAsia="pt-BR"/>
      </w:rPr>
      <w:t xml:space="preserve"> nº </w:t>
    </w:r>
    <w:r w:rsidR="00166D7E">
      <w:rPr>
        <w:rFonts w:ascii="Arial" w:hAnsi="Arial" w:cs="Arial"/>
        <w:noProof/>
        <w:lang w:eastAsia="pt-BR"/>
      </w:rPr>
      <w:t>9</w:t>
    </w:r>
    <w:r w:rsidR="00B54FEB">
      <w:rPr>
        <w:rFonts w:ascii="Arial" w:hAnsi="Arial" w:cs="Arial"/>
        <w:noProof/>
        <w:lang w:eastAsia="pt-BR"/>
      </w:rPr>
      <w:t>5</w:t>
    </w:r>
  </w:p>
  <w:p w:rsidR="005875A3" w:rsidRDefault="005875A3">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81BB1"/>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nsid w:val="023D0350"/>
    <w:multiLevelType w:val="hybridMultilevel"/>
    <w:tmpl w:val="720CCA86"/>
    <w:lvl w:ilvl="0" w:tplc="E6D07442">
      <w:start w:val="2"/>
      <w:numFmt w:val="decimal"/>
      <w:lvlText w:val="%1."/>
      <w:lvlJc w:val="left"/>
      <w:pPr>
        <w:tabs>
          <w:tab w:val="num" w:pos="2061"/>
        </w:tabs>
        <w:ind w:left="2061"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095F393A"/>
    <w:multiLevelType w:val="hybridMultilevel"/>
    <w:tmpl w:val="CC3EFE78"/>
    <w:lvl w:ilvl="0" w:tplc="F27285C2">
      <w:start w:val="2"/>
      <w:numFmt w:val="decimal"/>
      <w:pStyle w:val="Normal-numerado-REL01"/>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3">
    <w:nsid w:val="0B7538BA"/>
    <w:multiLevelType w:val="multilevel"/>
    <w:tmpl w:val="003A07FC"/>
    <w:lvl w:ilvl="0">
      <w:start w:val="2"/>
      <w:numFmt w:val="decimal"/>
      <w:lvlText w:val="%1."/>
      <w:lvlJc w:val="left"/>
      <w:pPr>
        <w:ind w:left="1080" w:hanging="360"/>
      </w:pPr>
      <w:rPr>
        <w:rFonts w:cs="Times New Roman" w:hint="default"/>
        <w:color w:val="000000"/>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2160" w:hanging="144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520" w:hanging="1800"/>
      </w:pPr>
      <w:rPr>
        <w:rFonts w:cs="Times New Roman" w:hint="default"/>
      </w:rPr>
    </w:lvl>
  </w:abstractNum>
  <w:abstractNum w:abstractNumId="4">
    <w:nsid w:val="11202DB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nsid w:val="17844A58"/>
    <w:multiLevelType w:val="hybridMultilevel"/>
    <w:tmpl w:val="5A222BB8"/>
    <w:lvl w:ilvl="0" w:tplc="C8562B38">
      <w:start w:val="2"/>
      <w:numFmt w:val="decimal"/>
      <w:lvlText w:val="%1."/>
      <w:lvlJc w:val="left"/>
      <w:pPr>
        <w:ind w:left="1854" w:hanging="360"/>
      </w:pPr>
      <w:rPr>
        <w:rFonts w:cs="Times New Roman" w:hint="default"/>
      </w:rPr>
    </w:lvl>
    <w:lvl w:ilvl="1" w:tplc="04160019" w:tentative="1">
      <w:start w:val="1"/>
      <w:numFmt w:val="lowerLetter"/>
      <w:lvlText w:val="%2."/>
      <w:lvlJc w:val="left"/>
      <w:pPr>
        <w:ind w:left="2574" w:hanging="360"/>
      </w:pPr>
      <w:rPr>
        <w:rFonts w:cs="Times New Roman"/>
      </w:rPr>
    </w:lvl>
    <w:lvl w:ilvl="2" w:tplc="0416001B" w:tentative="1">
      <w:start w:val="1"/>
      <w:numFmt w:val="lowerRoman"/>
      <w:lvlText w:val="%3."/>
      <w:lvlJc w:val="right"/>
      <w:pPr>
        <w:ind w:left="3294" w:hanging="180"/>
      </w:pPr>
      <w:rPr>
        <w:rFonts w:cs="Times New Roman"/>
      </w:rPr>
    </w:lvl>
    <w:lvl w:ilvl="3" w:tplc="0416000F" w:tentative="1">
      <w:start w:val="1"/>
      <w:numFmt w:val="decimal"/>
      <w:lvlText w:val="%4."/>
      <w:lvlJc w:val="left"/>
      <w:pPr>
        <w:ind w:left="4014" w:hanging="360"/>
      </w:pPr>
      <w:rPr>
        <w:rFonts w:cs="Times New Roman"/>
      </w:rPr>
    </w:lvl>
    <w:lvl w:ilvl="4" w:tplc="04160019" w:tentative="1">
      <w:start w:val="1"/>
      <w:numFmt w:val="lowerLetter"/>
      <w:lvlText w:val="%5."/>
      <w:lvlJc w:val="left"/>
      <w:pPr>
        <w:ind w:left="4734" w:hanging="360"/>
      </w:pPr>
      <w:rPr>
        <w:rFonts w:cs="Times New Roman"/>
      </w:rPr>
    </w:lvl>
    <w:lvl w:ilvl="5" w:tplc="0416001B" w:tentative="1">
      <w:start w:val="1"/>
      <w:numFmt w:val="lowerRoman"/>
      <w:lvlText w:val="%6."/>
      <w:lvlJc w:val="right"/>
      <w:pPr>
        <w:ind w:left="5454" w:hanging="180"/>
      </w:pPr>
      <w:rPr>
        <w:rFonts w:cs="Times New Roman"/>
      </w:rPr>
    </w:lvl>
    <w:lvl w:ilvl="6" w:tplc="0416000F" w:tentative="1">
      <w:start w:val="1"/>
      <w:numFmt w:val="decimal"/>
      <w:lvlText w:val="%7."/>
      <w:lvlJc w:val="left"/>
      <w:pPr>
        <w:ind w:left="6174" w:hanging="360"/>
      </w:pPr>
      <w:rPr>
        <w:rFonts w:cs="Times New Roman"/>
      </w:rPr>
    </w:lvl>
    <w:lvl w:ilvl="7" w:tplc="04160019" w:tentative="1">
      <w:start w:val="1"/>
      <w:numFmt w:val="lowerLetter"/>
      <w:lvlText w:val="%8."/>
      <w:lvlJc w:val="left"/>
      <w:pPr>
        <w:ind w:left="6894" w:hanging="360"/>
      </w:pPr>
      <w:rPr>
        <w:rFonts w:cs="Times New Roman"/>
      </w:rPr>
    </w:lvl>
    <w:lvl w:ilvl="8" w:tplc="0416001B" w:tentative="1">
      <w:start w:val="1"/>
      <w:numFmt w:val="lowerRoman"/>
      <w:lvlText w:val="%9."/>
      <w:lvlJc w:val="right"/>
      <w:pPr>
        <w:ind w:left="7614" w:hanging="180"/>
      </w:pPr>
      <w:rPr>
        <w:rFonts w:cs="Times New Roman"/>
      </w:rPr>
    </w:lvl>
  </w:abstractNum>
  <w:abstractNum w:abstractNumId="6">
    <w:nsid w:val="185F349C"/>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19283672"/>
    <w:multiLevelType w:val="hybridMultilevel"/>
    <w:tmpl w:val="889899D2"/>
    <w:lvl w:ilvl="0" w:tplc="E45636D6">
      <w:start w:val="2"/>
      <w:numFmt w:val="decimal"/>
      <w:pStyle w:val="Normal-numerado-VOT01"/>
      <w:lvlText w:val="%1."/>
      <w:lvlJc w:val="left"/>
      <w:pPr>
        <w:ind w:left="720" w:hanging="360"/>
      </w:pPr>
      <w:rPr>
        <w:rFonts w:ascii="Times New Roman" w:hAnsi="Times New Roman" w:cs="Times New Roman" w:hint="default"/>
      </w:rPr>
    </w:lvl>
    <w:lvl w:ilvl="1" w:tplc="04160019">
      <w:start w:val="1"/>
      <w:numFmt w:val="lowerLetter"/>
      <w:lvlText w:val="%2."/>
      <w:lvlJc w:val="left"/>
      <w:pPr>
        <w:ind w:left="1440" w:hanging="360"/>
      </w:pPr>
      <w:rPr>
        <w:rFonts w:ascii="Times New Roman" w:hAnsi="Times New Roman" w:cs="Times New Roman"/>
      </w:rPr>
    </w:lvl>
    <w:lvl w:ilvl="2" w:tplc="0416001B">
      <w:start w:val="1"/>
      <w:numFmt w:val="lowerRoman"/>
      <w:lvlText w:val="%3."/>
      <w:lvlJc w:val="right"/>
      <w:pPr>
        <w:ind w:left="2160" w:hanging="180"/>
      </w:pPr>
      <w:rPr>
        <w:rFonts w:ascii="Times New Roman" w:hAnsi="Times New Roman" w:cs="Times New Roman"/>
      </w:rPr>
    </w:lvl>
    <w:lvl w:ilvl="3" w:tplc="0416000F">
      <w:start w:val="1"/>
      <w:numFmt w:val="decimal"/>
      <w:lvlText w:val="%4."/>
      <w:lvlJc w:val="left"/>
      <w:pPr>
        <w:ind w:left="2880" w:hanging="360"/>
      </w:pPr>
      <w:rPr>
        <w:rFonts w:ascii="Times New Roman" w:hAnsi="Times New Roman" w:cs="Times New Roman"/>
      </w:rPr>
    </w:lvl>
    <w:lvl w:ilvl="4" w:tplc="04160019">
      <w:start w:val="1"/>
      <w:numFmt w:val="lowerLetter"/>
      <w:lvlText w:val="%5."/>
      <w:lvlJc w:val="left"/>
      <w:pPr>
        <w:ind w:left="3600" w:hanging="360"/>
      </w:pPr>
      <w:rPr>
        <w:rFonts w:ascii="Times New Roman" w:hAnsi="Times New Roman" w:cs="Times New Roman"/>
      </w:rPr>
    </w:lvl>
    <w:lvl w:ilvl="5" w:tplc="0416001B">
      <w:start w:val="1"/>
      <w:numFmt w:val="lowerRoman"/>
      <w:lvlText w:val="%6."/>
      <w:lvlJc w:val="right"/>
      <w:pPr>
        <w:ind w:left="4320" w:hanging="180"/>
      </w:pPr>
      <w:rPr>
        <w:rFonts w:ascii="Times New Roman" w:hAnsi="Times New Roman" w:cs="Times New Roman"/>
      </w:rPr>
    </w:lvl>
    <w:lvl w:ilvl="6" w:tplc="0416000F">
      <w:start w:val="1"/>
      <w:numFmt w:val="decimal"/>
      <w:lvlText w:val="%7."/>
      <w:lvlJc w:val="left"/>
      <w:pPr>
        <w:ind w:left="5040" w:hanging="360"/>
      </w:pPr>
      <w:rPr>
        <w:rFonts w:ascii="Times New Roman" w:hAnsi="Times New Roman" w:cs="Times New Roman"/>
      </w:rPr>
    </w:lvl>
    <w:lvl w:ilvl="7" w:tplc="04160019">
      <w:start w:val="1"/>
      <w:numFmt w:val="lowerLetter"/>
      <w:lvlText w:val="%8."/>
      <w:lvlJc w:val="left"/>
      <w:pPr>
        <w:ind w:left="5760" w:hanging="360"/>
      </w:pPr>
      <w:rPr>
        <w:rFonts w:ascii="Times New Roman" w:hAnsi="Times New Roman" w:cs="Times New Roman"/>
      </w:rPr>
    </w:lvl>
    <w:lvl w:ilvl="8" w:tplc="0416001B">
      <w:start w:val="1"/>
      <w:numFmt w:val="lowerRoman"/>
      <w:lvlText w:val="%9."/>
      <w:lvlJc w:val="right"/>
      <w:pPr>
        <w:ind w:left="6480" w:hanging="180"/>
      </w:pPr>
      <w:rPr>
        <w:rFonts w:ascii="Times New Roman" w:hAnsi="Times New Roman" w:cs="Times New Roman"/>
      </w:rPr>
    </w:lvl>
  </w:abstractNum>
  <w:abstractNum w:abstractNumId="8">
    <w:nsid w:val="1A66630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1C7B4539"/>
    <w:multiLevelType w:val="hybridMultilevel"/>
    <w:tmpl w:val="C19E3BEA"/>
    <w:lvl w:ilvl="0" w:tplc="7B36304C">
      <w:start w:val="2"/>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200E7711"/>
    <w:multiLevelType w:val="singleLevel"/>
    <w:tmpl w:val="16926312"/>
    <w:lvl w:ilvl="0">
      <w:start w:val="2"/>
      <w:numFmt w:val="decimal"/>
      <w:lvlText w:val="%1."/>
      <w:lvlJc w:val="left"/>
      <w:pPr>
        <w:tabs>
          <w:tab w:val="num" w:pos="360"/>
        </w:tabs>
        <w:ind w:left="0" w:firstLine="0"/>
      </w:pPr>
      <w:rPr>
        <w:sz w:val="24"/>
        <w:szCs w:val="24"/>
      </w:rPr>
    </w:lvl>
  </w:abstractNum>
  <w:abstractNum w:abstractNumId="11">
    <w:nsid w:val="214212D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222E7845"/>
    <w:multiLevelType w:val="multilevel"/>
    <w:tmpl w:val="90E2DA72"/>
    <w:lvl w:ilvl="0">
      <w:start w:val="9"/>
      <w:numFmt w:val="decimal"/>
      <w:lvlText w:val="%1."/>
      <w:lvlJc w:val="left"/>
      <w:pPr>
        <w:ind w:left="360" w:hanging="360"/>
      </w:pPr>
      <w:rPr>
        <w:rFonts w:cs="Times New Roman" w:hint="default"/>
      </w:rPr>
    </w:lvl>
    <w:lvl w:ilvl="1">
      <w:start w:val="2"/>
      <w:numFmt w:val="decimal"/>
      <w:lvlText w:val="%1.%2."/>
      <w:lvlJc w:val="left"/>
      <w:pPr>
        <w:ind w:left="1494" w:hanging="360"/>
      </w:pPr>
      <w:rPr>
        <w:rFonts w:cs="Times New Roman" w:hint="default"/>
      </w:rPr>
    </w:lvl>
    <w:lvl w:ilvl="2">
      <w:start w:val="1"/>
      <w:numFmt w:val="decimal"/>
      <w:lvlText w:val="%1.%2.%3."/>
      <w:lvlJc w:val="left"/>
      <w:pPr>
        <w:ind w:left="2988" w:hanging="720"/>
      </w:pPr>
      <w:rPr>
        <w:rFonts w:cs="Times New Roman" w:hint="default"/>
      </w:rPr>
    </w:lvl>
    <w:lvl w:ilvl="3">
      <w:start w:val="1"/>
      <w:numFmt w:val="decimal"/>
      <w:lvlText w:val="%1.%2.%3.%4."/>
      <w:lvlJc w:val="left"/>
      <w:pPr>
        <w:ind w:left="4122" w:hanging="720"/>
      </w:pPr>
      <w:rPr>
        <w:rFonts w:cs="Times New Roman" w:hint="default"/>
      </w:rPr>
    </w:lvl>
    <w:lvl w:ilvl="4">
      <w:start w:val="1"/>
      <w:numFmt w:val="decimal"/>
      <w:lvlText w:val="%1.%2.%3.%4.%5."/>
      <w:lvlJc w:val="left"/>
      <w:pPr>
        <w:ind w:left="5616" w:hanging="1080"/>
      </w:pPr>
      <w:rPr>
        <w:rFonts w:cs="Times New Roman" w:hint="default"/>
      </w:rPr>
    </w:lvl>
    <w:lvl w:ilvl="5">
      <w:start w:val="1"/>
      <w:numFmt w:val="decimal"/>
      <w:lvlText w:val="%1.%2.%3.%4.%5.%6."/>
      <w:lvlJc w:val="left"/>
      <w:pPr>
        <w:ind w:left="6750" w:hanging="1080"/>
      </w:pPr>
      <w:rPr>
        <w:rFonts w:cs="Times New Roman" w:hint="default"/>
      </w:rPr>
    </w:lvl>
    <w:lvl w:ilvl="6">
      <w:start w:val="1"/>
      <w:numFmt w:val="decimal"/>
      <w:lvlText w:val="%1.%2.%3.%4.%5.%6.%7."/>
      <w:lvlJc w:val="left"/>
      <w:pPr>
        <w:ind w:left="8244" w:hanging="1440"/>
      </w:pPr>
      <w:rPr>
        <w:rFonts w:cs="Times New Roman" w:hint="default"/>
      </w:rPr>
    </w:lvl>
    <w:lvl w:ilvl="7">
      <w:start w:val="1"/>
      <w:numFmt w:val="decimal"/>
      <w:lvlText w:val="%1.%2.%3.%4.%5.%6.%7.%8."/>
      <w:lvlJc w:val="left"/>
      <w:pPr>
        <w:ind w:left="9378" w:hanging="1440"/>
      </w:pPr>
      <w:rPr>
        <w:rFonts w:cs="Times New Roman" w:hint="default"/>
      </w:rPr>
    </w:lvl>
    <w:lvl w:ilvl="8">
      <w:start w:val="1"/>
      <w:numFmt w:val="decimal"/>
      <w:lvlText w:val="%1.%2.%3.%4.%5.%6.%7.%8.%9."/>
      <w:lvlJc w:val="left"/>
      <w:pPr>
        <w:ind w:left="10872" w:hanging="1800"/>
      </w:pPr>
      <w:rPr>
        <w:rFonts w:cs="Times New Roman" w:hint="default"/>
      </w:rPr>
    </w:lvl>
  </w:abstractNum>
  <w:abstractNum w:abstractNumId="13">
    <w:nsid w:val="239C54D4"/>
    <w:multiLevelType w:val="hybridMultilevel"/>
    <w:tmpl w:val="EFBED870"/>
    <w:lvl w:ilvl="0" w:tplc="04160017">
      <w:start w:val="1"/>
      <w:numFmt w:val="lowerLetter"/>
      <w:lvlText w:val="%1)"/>
      <w:lvlJc w:val="left"/>
      <w:pPr>
        <w:ind w:left="1500" w:hanging="360"/>
      </w:pPr>
      <w:rPr>
        <w:rFonts w:cs="Times New Roman" w:hint="default"/>
        <w:b/>
        <w:color w:val="auto"/>
      </w:rPr>
    </w:lvl>
    <w:lvl w:ilvl="1" w:tplc="04160019" w:tentative="1">
      <w:start w:val="1"/>
      <w:numFmt w:val="lowerLetter"/>
      <w:lvlText w:val="%2."/>
      <w:lvlJc w:val="left"/>
      <w:pPr>
        <w:ind w:left="2220" w:hanging="360"/>
      </w:pPr>
      <w:rPr>
        <w:rFonts w:cs="Times New Roman"/>
      </w:rPr>
    </w:lvl>
    <w:lvl w:ilvl="2" w:tplc="0416001B" w:tentative="1">
      <w:start w:val="1"/>
      <w:numFmt w:val="lowerRoman"/>
      <w:lvlText w:val="%3."/>
      <w:lvlJc w:val="right"/>
      <w:pPr>
        <w:ind w:left="2940" w:hanging="180"/>
      </w:pPr>
      <w:rPr>
        <w:rFonts w:cs="Times New Roman"/>
      </w:rPr>
    </w:lvl>
    <w:lvl w:ilvl="3" w:tplc="0416000F" w:tentative="1">
      <w:start w:val="1"/>
      <w:numFmt w:val="decimal"/>
      <w:lvlText w:val="%4."/>
      <w:lvlJc w:val="left"/>
      <w:pPr>
        <w:ind w:left="3660" w:hanging="360"/>
      </w:pPr>
      <w:rPr>
        <w:rFonts w:cs="Times New Roman"/>
      </w:rPr>
    </w:lvl>
    <w:lvl w:ilvl="4" w:tplc="04160019" w:tentative="1">
      <w:start w:val="1"/>
      <w:numFmt w:val="lowerLetter"/>
      <w:lvlText w:val="%5."/>
      <w:lvlJc w:val="left"/>
      <w:pPr>
        <w:ind w:left="4380" w:hanging="360"/>
      </w:pPr>
      <w:rPr>
        <w:rFonts w:cs="Times New Roman"/>
      </w:rPr>
    </w:lvl>
    <w:lvl w:ilvl="5" w:tplc="0416001B" w:tentative="1">
      <w:start w:val="1"/>
      <w:numFmt w:val="lowerRoman"/>
      <w:lvlText w:val="%6."/>
      <w:lvlJc w:val="right"/>
      <w:pPr>
        <w:ind w:left="5100" w:hanging="180"/>
      </w:pPr>
      <w:rPr>
        <w:rFonts w:cs="Times New Roman"/>
      </w:rPr>
    </w:lvl>
    <w:lvl w:ilvl="6" w:tplc="0416000F" w:tentative="1">
      <w:start w:val="1"/>
      <w:numFmt w:val="decimal"/>
      <w:lvlText w:val="%7."/>
      <w:lvlJc w:val="left"/>
      <w:pPr>
        <w:ind w:left="5820" w:hanging="360"/>
      </w:pPr>
      <w:rPr>
        <w:rFonts w:cs="Times New Roman"/>
      </w:rPr>
    </w:lvl>
    <w:lvl w:ilvl="7" w:tplc="04160019" w:tentative="1">
      <w:start w:val="1"/>
      <w:numFmt w:val="lowerLetter"/>
      <w:lvlText w:val="%8."/>
      <w:lvlJc w:val="left"/>
      <w:pPr>
        <w:ind w:left="6540" w:hanging="360"/>
      </w:pPr>
      <w:rPr>
        <w:rFonts w:cs="Times New Roman"/>
      </w:rPr>
    </w:lvl>
    <w:lvl w:ilvl="8" w:tplc="0416001B" w:tentative="1">
      <w:start w:val="1"/>
      <w:numFmt w:val="lowerRoman"/>
      <w:lvlText w:val="%9."/>
      <w:lvlJc w:val="right"/>
      <w:pPr>
        <w:ind w:left="7260" w:hanging="180"/>
      </w:pPr>
      <w:rPr>
        <w:rFonts w:cs="Times New Roman"/>
      </w:rPr>
    </w:lvl>
  </w:abstractNum>
  <w:abstractNum w:abstractNumId="14">
    <w:nsid w:val="23AE7D70"/>
    <w:multiLevelType w:val="singleLevel"/>
    <w:tmpl w:val="734460AE"/>
    <w:lvl w:ilvl="0">
      <w:start w:val="2"/>
      <w:numFmt w:val="decimal"/>
      <w:lvlText w:val="%1."/>
      <w:lvlJc w:val="left"/>
      <w:pPr>
        <w:tabs>
          <w:tab w:val="num" w:pos="357"/>
        </w:tabs>
        <w:ind w:left="357" w:hanging="357"/>
      </w:pPr>
      <w:rPr>
        <w:rFonts w:cs="Times New Roman"/>
      </w:rPr>
    </w:lvl>
  </w:abstractNum>
  <w:abstractNum w:abstractNumId="15">
    <w:nsid w:val="2C6715D6"/>
    <w:multiLevelType w:val="singleLevel"/>
    <w:tmpl w:val="B478D55A"/>
    <w:lvl w:ilvl="0">
      <w:start w:val="2"/>
      <w:numFmt w:val="decimal"/>
      <w:pStyle w:val="votonumerado"/>
      <w:lvlText w:val="%1."/>
      <w:lvlJc w:val="left"/>
      <w:pPr>
        <w:tabs>
          <w:tab w:val="num" w:pos="360"/>
        </w:tabs>
      </w:pPr>
      <w:rPr>
        <w:rFonts w:ascii="Times New (W1)" w:hAnsi="Times New (W1)" w:cs="Times New Roman" w:hint="default"/>
        <w:b w:val="0"/>
        <w:i w:val="0"/>
        <w:sz w:val="24"/>
      </w:rPr>
    </w:lvl>
  </w:abstractNum>
  <w:abstractNum w:abstractNumId="16">
    <w:nsid w:val="2D403205"/>
    <w:multiLevelType w:val="hybridMultilevel"/>
    <w:tmpl w:val="3E6E9232"/>
    <w:lvl w:ilvl="0" w:tplc="682A7260">
      <w:start w:val="2"/>
      <w:numFmt w:val="decimal"/>
      <w:lvlText w:val="%1."/>
      <w:lvlJc w:val="left"/>
      <w:pPr>
        <w:ind w:left="1859" w:hanging="360"/>
      </w:pPr>
      <w:rPr>
        <w:rFonts w:cs="Times New Roman" w:hint="default"/>
      </w:rPr>
    </w:lvl>
    <w:lvl w:ilvl="1" w:tplc="04160019" w:tentative="1">
      <w:start w:val="1"/>
      <w:numFmt w:val="lowerLetter"/>
      <w:lvlText w:val="%2."/>
      <w:lvlJc w:val="left"/>
      <w:pPr>
        <w:ind w:left="2579" w:hanging="360"/>
      </w:pPr>
      <w:rPr>
        <w:rFonts w:cs="Times New Roman"/>
      </w:rPr>
    </w:lvl>
    <w:lvl w:ilvl="2" w:tplc="0416001B" w:tentative="1">
      <w:start w:val="1"/>
      <w:numFmt w:val="lowerRoman"/>
      <w:lvlText w:val="%3."/>
      <w:lvlJc w:val="right"/>
      <w:pPr>
        <w:ind w:left="3299" w:hanging="180"/>
      </w:pPr>
      <w:rPr>
        <w:rFonts w:cs="Times New Roman"/>
      </w:rPr>
    </w:lvl>
    <w:lvl w:ilvl="3" w:tplc="0416000F" w:tentative="1">
      <w:start w:val="1"/>
      <w:numFmt w:val="decimal"/>
      <w:lvlText w:val="%4."/>
      <w:lvlJc w:val="left"/>
      <w:pPr>
        <w:ind w:left="4019" w:hanging="360"/>
      </w:pPr>
      <w:rPr>
        <w:rFonts w:cs="Times New Roman"/>
      </w:rPr>
    </w:lvl>
    <w:lvl w:ilvl="4" w:tplc="04160019" w:tentative="1">
      <w:start w:val="1"/>
      <w:numFmt w:val="lowerLetter"/>
      <w:lvlText w:val="%5."/>
      <w:lvlJc w:val="left"/>
      <w:pPr>
        <w:ind w:left="4739" w:hanging="360"/>
      </w:pPr>
      <w:rPr>
        <w:rFonts w:cs="Times New Roman"/>
      </w:rPr>
    </w:lvl>
    <w:lvl w:ilvl="5" w:tplc="0416001B" w:tentative="1">
      <w:start w:val="1"/>
      <w:numFmt w:val="lowerRoman"/>
      <w:lvlText w:val="%6."/>
      <w:lvlJc w:val="right"/>
      <w:pPr>
        <w:ind w:left="5459" w:hanging="180"/>
      </w:pPr>
      <w:rPr>
        <w:rFonts w:cs="Times New Roman"/>
      </w:rPr>
    </w:lvl>
    <w:lvl w:ilvl="6" w:tplc="0416000F" w:tentative="1">
      <w:start w:val="1"/>
      <w:numFmt w:val="decimal"/>
      <w:lvlText w:val="%7."/>
      <w:lvlJc w:val="left"/>
      <w:pPr>
        <w:ind w:left="6179" w:hanging="360"/>
      </w:pPr>
      <w:rPr>
        <w:rFonts w:cs="Times New Roman"/>
      </w:rPr>
    </w:lvl>
    <w:lvl w:ilvl="7" w:tplc="04160019" w:tentative="1">
      <w:start w:val="1"/>
      <w:numFmt w:val="lowerLetter"/>
      <w:lvlText w:val="%8."/>
      <w:lvlJc w:val="left"/>
      <w:pPr>
        <w:ind w:left="6899" w:hanging="360"/>
      </w:pPr>
      <w:rPr>
        <w:rFonts w:cs="Times New Roman"/>
      </w:rPr>
    </w:lvl>
    <w:lvl w:ilvl="8" w:tplc="0416001B" w:tentative="1">
      <w:start w:val="1"/>
      <w:numFmt w:val="lowerRoman"/>
      <w:lvlText w:val="%9."/>
      <w:lvlJc w:val="right"/>
      <w:pPr>
        <w:ind w:left="7619" w:hanging="180"/>
      </w:pPr>
      <w:rPr>
        <w:rFonts w:cs="Times New Roman"/>
      </w:rPr>
    </w:lvl>
  </w:abstractNum>
  <w:abstractNum w:abstractNumId="17">
    <w:nsid w:val="39384A0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B0318E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425027A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nsid w:val="4C576ABE"/>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24A2369"/>
    <w:multiLevelType w:val="hybridMultilevel"/>
    <w:tmpl w:val="5FA23E98"/>
    <w:lvl w:ilvl="0" w:tplc="04160001">
      <w:start w:val="1"/>
      <w:numFmt w:val="lowerLetter"/>
      <w:pStyle w:val="tensletras"/>
      <w:lvlText w:val="%1)"/>
      <w:lvlJc w:val="left"/>
      <w:pPr>
        <w:tabs>
          <w:tab w:val="num" w:pos="360"/>
        </w:tabs>
        <w:ind w:left="360" w:hanging="360"/>
      </w:pPr>
      <w:rPr>
        <w:rFonts w:cs="Times New Roman" w:hint="default"/>
      </w:rPr>
    </w:lvl>
    <w:lvl w:ilvl="1" w:tplc="04160003" w:tentative="1">
      <w:start w:val="1"/>
      <w:numFmt w:val="lowerLetter"/>
      <w:lvlText w:val="%2."/>
      <w:lvlJc w:val="left"/>
      <w:pPr>
        <w:ind w:left="1440" w:hanging="360"/>
      </w:pPr>
      <w:rPr>
        <w:rFonts w:cs="Times New Roman"/>
      </w:rPr>
    </w:lvl>
    <w:lvl w:ilvl="2" w:tplc="04160005" w:tentative="1">
      <w:start w:val="1"/>
      <w:numFmt w:val="lowerRoman"/>
      <w:lvlText w:val="%3."/>
      <w:lvlJc w:val="right"/>
      <w:pPr>
        <w:ind w:left="2160" w:hanging="180"/>
      </w:pPr>
      <w:rPr>
        <w:rFonts w:cs="Times New Roman"/>
      </w:rPr>
    </w:lvl>
    <w:lvl w:ilvl="3" w:tplc="04160001" w:tentative="1">
      <w:start w:val="1"/>
      <w:numFmt w:val="decimal"/>
      <w:lvlText w:val="%4."/>
      <w:lvlJc w:val="left"/>
      <w:pPr>
        <w:ind w:left="2880" w:hanging="360"/>
      </w:pPr>
      <w:rPr>
        <w:rFonts w:cs="Times New Roman"/>
      </w:rPr>
    </w:lvl>
    <w:lvl w:ilvl="4" w:tplc="04160003" w:tentative="1">
      <w:start w:val="1"/>
      <w:numFmt w:val="lowerLetter"/>
      <w:lvlText w:val="%5."/>
      <w:lvlJc w:val="left"/>
      <w:pPr>
        <w:ind w:left="3600" w:hanging="360"/>
      </w:pPr>
      <w:rPr>
        <w:rFonts w:cs="Times New Roman"/>
      </w:rPr>
    </w:lvl>
    <w:lvl w:ilvl="5" w:tplc="04160005" w:tentative="1">
      <w:start w:val="1"/>
      <w:numFmt w:val="lowerRoman"/>
      <w:lvlText w:val="%6."/>
      <w:lvlJc w:val="right"/>
      <w:pPr>
        <w:ind w:left="4320" w:hanging="180"/>
      </w:pPr>
      <w:rPr>
        <w:rFonts w:cs="Times New Roman"/>
      </w:rPr>
    </w:lvl>
    <w:lvl w:ilvl="6" w:tplc="04160001" w:tentative="1">
      <w:start w:val="1"/>
      <w:numFmt w:val="decimal"/>
      <w:lvlText w:val="%7."/>
      <w:lvlJc w:val="left"/>
      <w:pPr>
        <w:ind w:left="5040" w:hanging="360"/>
      </w:pPr>
      <w:rPr>
        <w:rFonts w:cs="Times New Roman"/>
      </w:rPr>
    </w:lvl>
    <w:lvl w:ilvl="7" w:tplc="04160003" w:tentative="1">
      <w:start w:val="1"/>
      <w:numFmt w:val="lowerLetter"/>
      <w:lvlText w:val="%8."/>
      <w:lvlJc w:val="left"/>
      <w:pPr>
        <w:ind w:left="5760" w:hanging="360"/>
      </w:pPr>
      <w:rPr>
        <w:rFonts w:cs="Times New Roman"/>
      </w:rPr>
    </w:lvl>
    <w:lvl w:ilvl="8" w:tplc="04160005" w:tentative="1">
      <w:start w:val="1"/>
      <w:numFmt w:val="lowerRoman"/>
      <w:lvlText w:val="%9."/>
      <w:lvlJc w:val="right"/>
      <w:pPr>
        <w:ind w:left="6480" w:hanging="180"/>
      </w:pPr>
      <w:rPr>
        <w:rFonts w:cs="Times New Roman"/>
      </w:rPr>
    </w:lvl>
  </w:abstractNum>
  <w:abstractNum w:abstractNumId="22">
    <w:nsid w:val="561A6E63"/>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5CFC6DCD"/>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65F47D22"/>
    <w:multiLevelType w:val="multilevel"/>
    <w:tmpl w:val="06FAEB28"/>
    <w:lvl w:ilvl="0">
      <w:start w:val="2"/>
      <w:numFmt w:val="decimal"/>
      <w:lvlText w:val="%1."/>
      <w:lvlJc w:val="left"/>
      <w:pPr>
        <w:ind w:left="360" w:hanging="360"/>
      </w:pPr>
      <w:rPr>
        <w:rFonts w:cs="Times New Roman"/>
        <w:b w:val="0"/>
        <w:i w:val="0"/>
        <w:sz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numFmt w:val="none"/>
      <w:lvlText w:val=""/>
      <w:lvlJc w:val="left"/>
      <w:pPr>
        <w:tabs>
          <w:tab w:val="num" w:pos="360"/>
        </w:tabs>
      </w:pPr>
      <w:rPr>
        <w:rFonts w:cs="Times New Roman"/>
      </w:rPr>
    </w:lvl>
    <w:lvl w:ilvl="8">
      <w:start w:val="1"/>
      <w:numFmt w:val="decimal"/>
      <w:lvlText w:val="%1.%2.%3.%4.%5.%6.%7.%8.%9."/>
      <w:lvlJc w:val="left"/>
      <w:pPr>
        <w:ind w:left="4320" w:hanging="1440"/>
      </w:pPr>
      <w:rPr>
        <w:rFonts w:cs="Times New Roman"/>
      </w:rPr>
    </w:lvl>
  </w:abstractNum>
  <w:abstractNum w:abstractNumId="25">
    <w:nsid w:val="671316A9"/>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6E4770F8"/>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725324A1"/>
    <w:multiLevelType w:val="hybridMultilevel"/>
    <w:tmpl w:val="8C7850A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8">
    <w:nsid w:val="7585349A"/>
    <w:multiLevelType w:val="singleLevel"/>
    <w:tmpl w:val="4170D9F4"/>
    <w:lvl w:ilvl="0">
      <w:start w:val="1"/>
      <w:numFmt w:val="decimal"/>
      <w:pStyle w:val="CorpodeTextoResumo"/>
      <w:lvlText w:val="%1."/>
      <w:lvlJc w:val="left"/>
      <w:pPr>
        <w:tabs>
          <w:tab w:val="num" w:pos="360"/>
        </w:tabs>
      </w:pPr>
      <w:rPr>
        <w:rFonts w:cs="Times New Roman"/>
      </w:rPr>
    </w:lvl>
  </w:abstractNum>
  <w:abstractNum w:abstractNumId="29">
    <w:nsid w:val="7E7641FF"/>
    <w:multiLevelType w:val="multilevel"/>
    <w:tmpl w:val="4C0E4DF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2"/>
  </w:num>
  <w:num w:numId="2">
    <w:abstractNumId w:val="19"/>
  </w:num>
  <w:num w:numId="3">
    <w:abstractNumId w:val="8"/>
  </w:num>
  <w:num w:numId="4">
    <w:abstractNumId w:val="0"/>
  </w:num>
  <w:num w:numId="5">
    <w:abstractNumId w:val="11"/>
  </w:num>
  <w:num w:numId="6">
    <w:abstractNumId w:val="18"/>
  </w:num>
  <w:num w:numId="7">
    <w:abstractNumId w:val="26"/>
  </w:num>
  <w:num w:numId="8">
    <w:abstractNumId w:val="23"/>
  </w:num>
  <w:num w:numId="9">
    <w:abstractNumId w:val="20"/>
  </w:num>
  <w:num w:numId="10">
    <w:abstractNumId w:val="6"/>
  </w:num>
  <w:num w:numId="11">
    <w:abstractNumId w:val="29"/>
  </w:num>
  <w:num w:numId="12">
    <w:abstractNumId w:val="4"/>
  </w:num>
  <w:num w:numId="13">
    <w:abstractNumId w:val="17"/>
  </w:num>
  <w:num w:numId="14">
    <w:abstractNumId w:val="25"/>
  </w:num>
  <w:num w:numId="15">
    <w:abstractNumId w:val="15"/>
  </w:num>
  <w:num w:numId="16">
    <w:abstractNumId w:val="2"/>
  </w:num>
  <w:num w:numId="17">
    <w:abstractNumId w:val="13"/>
  </w:num>
  <w:num w:numId="18">
    <w:abstractNumId w:val="28"/>
    <w:lvlOverride w:ilvl="0">
      <w:startOverride w:val="1"/>
    </w:lvlOverride>
  </w:num>
  <w:num w:numId="19">
    <w:abstractNumId w:val="21"/>
  </w:num>
  <w:num w:numId="20">
    <w:abstractNumId w:val="12"/>
  </w:num>
  <w:num w:numId="21">
    <w:abstractNumId w:val="7"/>
  </w:num>
  <w:num w:numId="22">
    <w:abstractNumId w:val="10"/>
  </w:num>
  <w:num w:numId="23">
    <w:abstractNumId w:val="1"/>
  </w:num>
  <w:num w:numId="24">
    <w:abstractNumId w:val="3"/>
  </w:num>
  <w:num w:numId="25">
    <w:abstractNumId w:val="5"/>
  </w:num>
  <w:num w:numId="26">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num>
  <w:num w:numId="28">
    <w:abstractNumId w:val="14"/>
  </w:num>
  <w:num w:numId="2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lvlOverride w:ilvl="8">
      <w:startOverride w:val="1"/>
    </w:lvlOverride>
  </w:num>
  <w:num w:numId="30">
    <w:abstractNumId w:val="9"/>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547"/>
    <w:rsid w:val="00000605"/>
    <w:rsid w:val="00001878"/>
    <w:rsid w:val="000039C6"/>
    <w:rsid w:val="00003CEA"/>
    <w:rsid w:val="00004614"/>
    <w:rsid w:val="00004D04"/>
    <w:rsid w:val="00005435"/>
    <w:rsid w:val="00005E1E"/>
    <w:rsid w:val="000118BC"/>
    <w:rsid w:val="000118CC"/>
    <w:rsid w:val="00011BA0"/>
    <w:rsid w:val="00011D5A"/>
    <w:rsid w:val="00012468"/>
    <w:rsid w:val="00013851"/>
    <w:rsid w:val="00013EDA"/>
    <w:rsid w:val="00015B6B"/>
    <w:rsid w:val="000161F7"/>
    <w:rsid w:val="0001636D"/>
    <w:rsid w:val="00020A25"/>
    <w:rsid w:val="00020C27"/>
    <w:rsid w:val="00020C75"/>
    <w:rsid w:val="00020FC8"/>
    <w:rsid w:val="0002237E"/>
    <w:rsid w:val="0002327E"/>
    <w:rsid w:val="00023D72"/>
    <w:rsid w:val="000253D1"/>
    <w:rsid w:val="00025450"/>
    <w:rsid w:val="00025753"/>
    <w:rsid w:val="00026B3F"/>
    <w:rsid w:val="000271FA"/>
    <w:rsid w:val="000300A2"/>
    <w:rsid w:val="00031590"/>
    <w:rsid w:val="00032198"/>
    <w:rsid w:val="0003252F"/>
    <w:rsid w:val="00033551"/>
    <w:rsid w:val="00037DCE"/>
    <w:rsid w:val="00037E26"/>
    <w:rsid w:val="00041450"/>
    <w:rsid w:val="000438FC"/>
    <w:rsid w:val="00045CF0"/>
    <w:rsid w:val="000460E4"/>
    <w:rsid w:val="0004660A"/>
    <w:rsid w:val="00046CF7"/>
    <w:rsid w:val="0005133B"/>
    <w:rsid w:val="0005205F"/>
    <w:rsid w:val="00052B15"/>
    <w:rsid w:val="0005356E"/>
    <w:rsid w:val="000540FC"/>
    <w:rsid w:val="0005412B"/>
    <w:rsid w:val="00054432"/>
    <w:rsid w:val="00054FBE"/>
    <w:rsid w:val="000562CD"/>
    <w:rsid w:val="00056A5A"/>
    <w:rsid w:val="00056D51"/>
    <w:rsid w:val="0006028E"/>
    <w:rsid w:val="000606E0"/>
    <w:rsid w:val="00060CE3"/>
    <w:rsid w:val="00061C2E"/>
    <w:rsid w:val="000622E0"/>
    <w:rsid w:val="000647B1"/>
    <w:rsid w:val="000648BD"/>
    <w:rsid w:val="00065A8B"/>
    <w:rsid w:val="00065E95"/>
    <w:rsid w:val="000675D5"/>
    <w:rsid w:val="00067E95"/>
    <w:rsid w:val="00070785"/>
    <w:rsid w:val="00070D4C"/>
    <w:rsid w:val="0007259B"/>
    <w:rsid w:val="00074384"/>
    <w:rsid w:val="00074AC5"/>
    <w:rsid w:val="00074F93"/>
    <w:rsid w:val="00076C9C"/>
    <w:rsid w:val="00077A56"/>
    <w:rsid w:val="00077BA4"/>
    <w:rsid w:val="00080078"/>
    <w:rsid w:val="00080148"/>
    <w:rsid w:val="000807D4"/>
    <w:rsid w:val="00081DFB"/>
    <w:rsid w:val="000835D8"/>
    <w:rsid w:val="0008394A"/>
    <w:rsid w:val="00084282"/>
    <w:rsid w:val="00084727"/>
    <w:rsid w:val="00086A39"/>
    <w:rsid w:val="00086BAA"/>
    <w:rsid w:val="00087006"/>
    <w:rsid w:val="0009133A"/>
    <w:rsid w:val="000916AF"/>
    <w:rsid w:val="000929ED"/>
    <w:rsid w:val="00092C2E"/>
    <w:rsid w:val="00094C5B"/>
    <w:rsid w:val="00094EEC"/>
    <w:rsid w:val="00095069"/>
    <w:rsid w:val="00095D98"/>
    <w:rsid w:val="0009649A"/>
    <w:rsid w:val="0009748C"/>
    <w:rsid w:val="00097863"/>
    <w:rsid w:val="00097ABD"/>
    <w:rsid w:val="00097BF6"/>
    <w:rsid w:val="000A04D2"/>
    <w:rsid w:val="000A0EF8"/>
    <w:rsid w:val="000A152A"/>
    <w:rsid w:val="000A1EBD"/>
    <w:rsid w:val="000A2C56"/>
    <w:rsid w:val="000A47EA"/>
    <w:rsid w:val="000A57DA"/>
    <w:rsid w:val="000A599E"/>
    <w:rsid w:val="000A6269"/>
    <w:rsid w:val="000A62BD"/>
    <w:rsid w:val="000B0ECB"/>
    <w:rsid w:val="000B0FEA"/>
    <w:rsid w:val="000B17E0"/>
    <w:rsid w:val="000B2AFA"/>
    <w:rsid w:val="000B5DB2"/>
    <w:rsid w:val="000B639F"/>
    <w:rsid w:val="000B6BC1"/>
    <w:rsid w:val="000C02AD"/>
    <w:rsid w:val="000C22C0"/>
    <w:rsid w:val="000C2558"/>
    <w:rsid w:val="000C2C66"/>
    <w:rsid w:val="000C2E3A"/>
    <w:rsid w:val="000C3DAB"/>
    <w:rsid w:val="000C4611"/>
    <w:rsid w:val="000C4648"/>
    <w:rsid w:val="000C4A10"/>
    <w:rsid w:val="000C53F6"/>
    <w:rsid w:val="000C5799"/>
    <w:rsid w:val="000C7D11"/>
    <w:rsid w:val="000D1878"/>
    <w:rsid w:val="000D1B91"/>
    <w:rsid w:val="000D1DC7"/>
    <w:rsid w:val="000D1EF5"/>
    <w:rsid w:val="000D1FD7"/>
    <w:rsid w:val="000D6388"/>
    <w:rsid w:val="000D6418"/>
    <w:rsid w:val="000D6906"/>
    <w:rsid w:val="000D7DB6"/>
    <w:rsid w:val="000D7DED"/>
    <w:rsid w:val="000E020F"/>
    <w:rsid w:val="000E12F7"/>
    <w:rsid w:val="000E1D37"/>
    <w:rsid w:val="000E2D47"/>
    <w:rsid w:val="000E3B31"/>
    <w:rsid w:val="000E3C6D"/>
    <w:rsid w:val="000E501F"/>
    <w:rsid w:val="000E504D"/>
    <w:rsid w:val="000E55C6"/>
    <w:rsid w:val="000E7FD4"/>
    <w:rsid w:val="000F136B"/>
    <w:rsid w:val="000F2133"/>
    <w:rsid w:val="000F2D05"/>
    <w:rsid w:val="000F2F92"/>
    <w:rsid w:val="000F4373"/>
    <w:rsid w:val="000F45F0"/>
    <w:rsid w:val="000F6986"/>
    <w:rsid w:val="000F6D85"/>
    <w:rsid w:val="000F7B66"/>
    <w:rsid w:val="000F7CEE"/>
    <w:rsid w:val="000F7D84"/>
    <w:rsid w:val="000F7F62"/>
    <w:rsid w:val="001005A8"/>
    <w:rsid w:val="00102D37"/>
    <w:rsid w:val="00103844"/>
    <w:rsid w:val="00103C87"/>
    <w:rsid w:val="001041ED"/>
    <w:rsid w:val="00104A62"/>
    <w:rsid w:val="00105454"/>
    <w:rsid w:val="001056D9"/>
    <w:rsid w:val="001057E4"/>
    <w:rsid w:val="00105B82"/>
    <w:rsid w:val="00106775"/>
    <w:rsid w:val="001104BA"/>
    <w:rsid w:val="001121B7"/>
    <w:rsid w:val="001125A2"/>
    <w:rsid w:val="00112676"/>
    <w:rsid w:val="00112A5F"/>
    <w:rsid w:val="0011373A"/>
    <w:rsid w:val="00113A1F"/>
    <w:rsid w:val="00114511"/>
    <w:rsid w:val="00115911"/>
    <w:rsid w:val="001163BC"/>
    <w:rsid w:val="00116BAB"/>
    <w:rsid w:val="00117D98"/>
    <w:rsid w:val="001203BE"/>
    <w:rsid w:val="00122F63"/>
    <w:rsid w:val="001236D4"/>
    <w:rsid w:val="001242E4"/>
    <w:rsid w:val="00125F9A"/>
    <w:rsid w:val="00126026"/>
    <w:rsid w:val="001277C5"/>
    <w:rsid w:val="00130A0C"/>
    <w:rsid w:val="001316FC"/>
    <w:rsid w:val="00133EA9"/>
    <w:rsid w:val="00133FBC"/>
    <w:rsid w:val="00137B22"/>
    <w:rsid w:val="00137FE3"/>
    <w:rsid w:val="00140FED"/>
    <w:rsid w:val="00141D7A"/>
    <w:rsid w:val="001420D1"/>
    <w:rsid w:val="00142446"/>
    <w:rsid w:val="00142621"/>
    <w:rsid w:val="00142C16"/>
    <w:rsid w:val="001444A2"/>
    <w:rsid w:val="00144987"/>
    <w:rsid w:val="00151F92"/>
    <w:rsid w:val="0015258E"/>
    <w:rsid w:val="00152ECC"/>
    <w:rsid w:val="001532E4"/>
    <w:rsid w:val="0015496C"/>
    <w:rsid w:val="0015699C"/>
    <w:rsid w:val="00156A48"/>
    <w:rsid w:val="00156C90"/>
    <w:rsid w:val="00156DDB"/>
    <w:rsid w:val="00157614"/>
    <w:rsid w:val="00157AFE"/>
    <w:rsid w:val="00157C0F"/>
    <w:rsid w:val="001612C0"/>
    <w:rsid w:val="00163664"/>
    <w:rsid w:val="001658B2"/>
    <w:rsid w:val="001665B9"/>
    <w:rsid w:val="00166D7E"/>
    <w:rsid w:val="00171E89"/>
    <w:rsid w:val="001737F7"/>
    <w:rsid w:val="001744E7"/>
    <w:rsid w:val="00176375"/>
    <w:rsid w:val="001766A9"/>
    <w:rsid w:val="00177405"/>
    <w:rsid w:val="001809FD"/>
    <w:rsid w:val="00181339"/>
    <w:rsid w:val="00181848"/>
    <w:rsid w:val="00183A7D"/>
    <w:rsid w:val="001847D6"/>
    <w:rsid w:val="00184DD0"/>
    <w:rsid w:val="00192052"/>
    <w:rsid w:val="00194053"/>
    <w:rsid w:val="001945D9"/>
    <w:rsid w:val="00195759"/>
    <w:rsid w:val="00195F77"/>
    <w:rsid w:val="001A0A44"/>
    <w:rsid w:val="001A0B42"/>
    <w:rsid w:val="001A0CC1"/>
    <w:rsid w:val="001A204B"/>
    <w:rsid w:val="001A2A67"/>
    <w:rsid w:val="001A3198"/>
    <w:rsid w:val="001A330B"/>
    <w:rsid w:val="001A4C6F"/>
    <w:rsid w:val="001A58D8"/>
    <w:rsid w:val="001A60A2"/>
    <w:rsid w:val="001A75FE"/>
    <w:rsid w:val="001A79D3"/>
    <w:rsid w:val="001B1669"/>
    <w:rsid w:val="001B19FF"/>
    <w:rsid w:val="001B2580"/>
    <w:rsid w:val="001B3530"/>
    <w:rsid w:val="001B3729"/>
    <w:rsid w:val="001B3BEF"/>
    <w:rsid w:val="001B3E8E"/>
    <w:rsid w:val="001B4316"/>
    <w:rsid w:val="001B4F90"/>
    <w:rsid w:val="001B5333"/>
    <w:rsid w:val="001B5426"/>
    <w:rsid w:val="001B6823"/>
    <w:rsid w:val="001B7F4F"/>
    <w:rsid w:val="001C0575"/>
    <w:rsid w:val="001C1568"/>
    <w:rsid w:val="001C1903"/>
    <w:rsid w:val="001C23B5"/>
    <w:rsid w:val="001C2950"/>
    <w:rsid w:val="001C437E"/>
    <w:rsid w:val="001C45FA"/>
    <w:rsid w:val="001C5C51"/>
    <w:rsid w:val="001C71E3"/>
    <w:rsid w:val="001C72D6"/>
    <w:rsid w:val="001D03C7"/>
    <w:rsid w:val="001D0FAF"/>
    <w:rsid w:val="001D1478"/>
    <w:rsid w:val="001D1E52"/>
    <w:rsid w:val="001D35B4"/>
    <w:rsid w:val="001D3C57"/>
    <w:rsid w:val="001D56C3"/>
    <w:rsid w:val="001D74CE"/>
    <w:rsid w:val="001E0BF1"/>
    <w:rsid w:val="001E112F"/>
    <w:rsid w:val="001E1E28"/>
    <w:rsid w:val="001E2620"/>
    <w:rsid w:val="001E4147"/>
    <w:rsid w:val="001E5B5B"/>
    <w:rsid w:val="001E7019"/>
    <w:rsid w:val="001E71F9"/>
    <w:rsid w:val="001E747D"/>
    <w:rsid w:val="001E76DA"/>
    <w:rsid w:val="001E7C3D"/>
    <w:rsid w:val="001F00DF"/>
    <w:rsid w:val="001F0DEE"/>
    <w:rsid w:val="001F1E8F"/>
    <w:rsid w:val="001F4B90"/>
    <w:rsid w:val="001F553C"/>
    <w:rsid w:val="001F64D1"/>
    <w:rsid w:val="002000F8"/>
    <w:rsid w:val="00200260"/>
    <w:rsid w:val="002002CE"/>
    <w:rsid w:val="0020066F"/>
    <w:rsid w:val="0020107A"/>
    <w:rsid w:val="0020135D"/>
    <w:rsid w:val="00201A21"/>
    <w:rsid w:val="00201FED"/>
    <w:rsid w:val="00202EAD"/>
    <w:rsid w:val="00203A6F"/>
    <w:rsid w:val="00205DB1"/>
    <w:rsid w:val="00205F3A"/>
    <w:rsid w:val="00211816"/>
    <w:rsid w:val="002139A2"/>
    <w:rsid w:val="00217566"/>
    <w:rsid w:val="00217B1B"/>
    <w:rsid w:val="0022133B"/>
    <w:rsid w:val="00223BB9"/>
    <w:rsid w:val="002256C5"/>
    <w:rsid w:val="00225D42"/>
    <w:rsid w:val="00226AEF"/>
    <w:rsid w:val="00226D9D"/>
    <w:rsid w:val="00227776"/>
    <w:rsid w:val="00231C86"/>
    <w:rsid w:val="00232158"/>
    <w:rsid w:val="002328F9"/>
    <w:rsid w:val="002329D4"/>
    <w:rsid w:val="0023395B"/>
    <w:rsid w:val="00233CE3"/>
    <w:rsid w:val="002343BF"/>
    <w:rsid w:val="00234556"/>
    <w:rsid w:val="0023535F"/>
    <w:rsid w:val="002353E9"/>
    <w:rsid w:val="00235D4C"/>
    <w:rsid w:val="0023623D"/>
    <w:rsid w:val="002366B7"/>
    <w:rsid w:val="00236F05"/>
    <w:rsid w:val="00241502"/>
    <w:rsid w:val="002415A6"/>
    <w:rsid w:val="00242061"/>
    <w:rsid w:val="002435FC"/>
    <w:rsid w:val="002442D9"/>
    <w:rsid w:val="00244BA7"/>
    <w:rsid w:val="00245432"/>
    <w:rsid w:val="0024593F"/>
    <w:rsid w:val="00247107"/>
    <w:rsid w:val="002475EC"/>
    <w:rsid w:val="002476B6"/>
    <w:rsid w:val="00247E76"/>
    <w:rsid w:val="00247E8F"/>
    <w:rsid w:val="00250EBD"/>
    <w:rsid w:val="002510D5"/>
    <w:rsid w:val="0025206C"/>
    <w:rsid w:val="00253242"/>
    <w:rsid w:val="00254590"/>
    <w:rsid w:val="002549FC"/>
    <w:rsid w:val="00255C16"/>
    <w:rsid w:val="00257D8A"/>
    <w:rsid w:val="00261488"/>
    <w:rsid w:val="0026222C"/>
    <w:rsid w:val="00262359"/>
    <w:rsid w:val="0026362E"/>
    <w:rsid w:val="002639CA"/>
    <w:rsid w:val="002649A7"/>
    <w:rsid w:val="00264FC3"/>
    <w:rsid w:val="002663B7"/>
    <w:rsid w:val="002666C5"/>
    <w:rsid w:val="00266C8A"/>
    <w:rsid w:val="00267900"/>
    <w:rsid w:val="00270EAC"/>
    <w:rsid w:val="00271CD7"/>
    <w:rsid w:val="00271CF2"/>
    <w:rsid w:val="00271D81"/>
    <w:rsid w:val="0027213F"/>
    <w:rsid w:val="0027267D"/>
    <w:rsid w:val="00273058"/>
    <w:rsid w:val="00273E72"/>
    <w:rsid w:val="00274068"/>
    <w:rsid w:val="0027498E"/>
    <w:rsid w:val="00276215"/>
    <w:rsid w:val="0027686D"/>
    <w:rsid w:val="00276B43"/>
    <w:rsid w:val="00276DC0"/>
    <w:rsid w:val="00277F47"/>
    <w:rsid w:val="00280F3D"/>
    <w:rsid w:val="002810D9"/>
    <w:rsid w:val="00281830"/>
    <w:rsid w:val="00281D9E"/>
    <w:rsid w:val="0028259E"/>
    <w:rsid w:val="002830F6"/>
    <w:rsid w:val="002836D4"/>
    <w:rsid w:val="00285052"/>
    <w:rsid w:val="00285BCB"/>
    <w:rsid w:val="00285FDD"/>
    <w:rsid w:val="00287326"/>
    <w:rsid w:val="0029043B"/>
    <w:rsid w:val="00290A06"/>
    <w:rsid w:val="00291766"/>
    <w:rsid w:val="0029211E"/>
    <w:rsid w:val="00293198"/>
    <w:rsid w:val="0029450E"/>
    <w:rsid w:val="0029746F"/>
    <w:rsid w:val="00297A00"/>
    <w:rsid w:val="002A03ED"/>
    <w:rsid w:val="002A040F"/>
    <w:rsid w:val="002A190F"/>
    <w:rsid w:val="002A1C49"/>
    <w:rsid w:val="002A2129"/>
    <w:rsid w:val="002A3796"/>
    <w:rsid w:val="002A3B3F"/>
    <w:rsid w:val="002A42CE"/>
    <w:rsid w:val="002A5A02"/>
    <w:rsid w:val="002A651C"/>
    <w:rsid w:val="002A6CE6"/>
    <w:rsid w:val="002B059A"/>
    <w:rsid w:val="002B1AD6"/>
    <w:rsid w:val="002B2414"/>
    <w:rsid w:val="002B3128"/>
    <w:rsid w:val="002B32DD"/>
    <w:rsid w:val="002B3968"/>
    <w:rsid w:val="002B4001"/>
    <w:rsid w:val="002B409B"/>
    <w:rsid w:val="002B4392"/>
    <w:rsid w:val="002B4764"/>
    <w:rsid w:val="002B56C3"/>
    <w:rsid w:val="002B5AD5"/>
    <w:rsid w:val="002B5C5A"/>
    <w:rsid w:val="002B60AE"/>
    <w:rsid w:val="002B6422"/>
    <w:rsid w:val="002B71BA"/>
    <w:rsid w:val="002B7B4D"/>
    <w:rsid w:val="002C208E"/>
    <w:rsid w:val="002C2831"/>
    <w:rsid w:val="002C2B9A"/>
    <w:rsid w:val="002C2F67"/>
    <w:rsid w:val="002C4633"/>
    <w:rsid w:val="002C506F"/>
    <w:rsid w:val="002C662D"/>
    <w:rsid w:val="002C7B61"/>
    <w:rsid w:val="002C7B6D"/>
    <w:rsid w:val="002D0B7C"/>
    <w:rsid w:val="002D0D1A"/>
    <w:rsid w:val="002D0ECD"/>
    <w:rsid w:val="002D155C"/>
    <w:rsid w:val="002D1637"/>
    <w:rsid w:val="002D1688"/>
    <w:rsid w:val="002D1B69"/>
    <w:rsid w:val="002D1BA5"/>
    <w:rsid w:val="002D3043"/>
    <w:rsid w:val="002D35F5"/>
    <w:rsid w:val="002D47FE"/>
    <w:rsid w:val="002D532D"/>
    <w:rsid w:val="002D739A"/>
    <w:rsid w:val="002D73BD"/>
    <w:rsid w:val="002D76AB"/>
    <w:rsid w:val="002D786D"/>
    <w:rsid w:val="002E0C55"/>
    <w:rsid w:val="002E0CBF"/>
    <w:rsid w:val="002E1545"/>
    <w:rsid w:val="002E1910"/>
    <w:rsid w:val="002E2433"/>
    <w:rsid w:val="002E28BA"/>
    <w:rsid w:val="002E361C"/>
    <w:rsid w:val="002E3943"/>
    <w:rsid w:val="002E3F7C"/>
    <w:rsid w:val="002E4254"/>
    <w:rsid w:val="002E4F13"/>
    <w:rsid w:val="002E4FB7"/>
    <w:rsid w:val="002E6712"/>
    <w:rsid w:val="002E6FDB"/>
    <w:rsid w:val="002F104B"/>
    <w:rsid w:val="002F1C09"/>
    <w:rsid w:val="002F1E70"/>
    <w:rsid w:val="002F2AEE"/>
    <w:rsid w:val="002F3866"/>
    <w:rsid w:val="002F4696"/>
    <w:rsid w:val="002F5E6B"/>
    <w:rsid w:val="002F5F3B"/>
    <w:rsid w:val="002F693C"/>
    <w:rsid w:val="002F7C6D"/>
    <w:rsid w:val="003019D7"/>
    <w:rsid w:val="003020F4"/>
    <w:rsid w:val="003023A1"/>
    <w:rsid w:val="003025C7"/>
    <w:rsid w:val="0030360F"/>
    <w:rsid w:val="00303790"/>
    <w:rsid w:val="00303984"/>
    <w:rsid w:val="00304161"/>
    <w:rsid w:val="00304A73"/>
    <w:rsid w:val="00304DFD"/>
    <w:rsid w:val="003057F7"/>
    <w:rsid w:val="00306864"/>
    <w:rsid w:val="003069F9"/>
    <w:rsid w:val="00310208"/>
    <w:rsid w:val="0031058F"/>
    <w:rsid w:val="0031089E"/>
    <w:rsid w:val="00310D69"/>
    <w:rsid w:val="00311B02"/>
    <w:rsid w:val="003147B7"/>
    <w:rsid w:val="00314844"/>
    <w:rsid w:val="003149A9"/>
    <w:rsid w:val="0031528D"/>
    <w:rsid w:val="00316FB0"/>
    <w:rsid w:val="00317E59"/>
    <w:rsid w:val="00320465"/>
    <w:rsid w:val="00322AE7"/>
    <w:rsid w:val="00325246"/>
    <w:rsid w:val="00325D35"/>
    <w:rsid w:val="00326448"/>
    <w:rsid w:val="0032650F"/>
    <w:rsid w:val="0032662E"/>
    <w:rsid w:val="00326B3B"/>
    <w:rsid w:val="003275E4"/>
    <w:rsid w:val="00330069"/>
    <w:rsid w:val="00330144"/>
    <w:rsid w:val="0033097E"/>
    <w:rsid w:val="0033244F"/>
    <w:rsid w:val="00332EF9"/>
    <w:rsid w:val="0033307E"/>
    <w:rsid w:val="00333F1D"/>
    <w:rsid w:val="00335707"/>
    <w:rsid w:val="00337E16"/>
    <w:rsid w:val="0034069B"/>
    <w:rsid w:val="00340E66"/>
    <w:rsid w:val="00340F10"/>
    <w:rsid w:val="00341D56"/>
    <w:rsid w:val="00342A44"/>
    <w:rsid w:val="003436D7"/>
    <w:rsid w:val="00343D7D"/>
    <w:rsid w:val="00343FC9"/>
    <w:rsid w:val="00344520"/>
    <w:rsid w:val="0034486B"/>
    <w:rsid w:val="00344D92"/>
    <w:rsid w:val="003455A2"/>
    <w:rsid w:val="00345760"/>
    <w:rsid w:val="00345BD4"/>
    <w:rsid w:val="0034675B"/>
    <w:rsid w:val="0034741D"/>
    <w:rsid w:val="0034796E"/>
    <w:rsid w:val="003506E7"/>
    <w:rsid w:val="00350BE7"/>
    <w:rsid w:val="00350E87"/>
    <w:rsid w:val="00353B7C"/>
    <w:rsid w:val="0035438E"/>
    <w:rsid w:val="00355828"/>
    <w:rsid w:val="00356418"/>
    <w:rsid w:val="00356E38"/>
    <w:rsid w:val="00357C3C"/>
    <w:rsid w:val="00357CBE"/>
    <w:rsid w:val="00360A45"/>
    <w:rsid w:val="0036100D"/>
    <w:rsid w:val="00361487"/>
    <w:rsid w:val="00361661"/>
    <w:rsid w:val="00363344"/>
    <w:rsid w:val="00365F91"/>
    <w:rsid w:val="00370BC7"/>
    <w:rsid w:val="00371289"/>
    <w:rsid w:val="003719DE"/>
    <w:rsid w:val="00371A33"/>
    <w:rsid w:val="00372E83"/>
    <w:rsid w:val="00375080"/>
    <w:rsid w:val="00375F02"/>
    <w:rsid w:val="00377407"/>
    <w:rsid w:val="00380026"/>
    <w:rsid w:val="00381780"/>
    <w:rsid w:val="0038242D"/>
    <w:rsid w:val="003824E4"/>
    <w:rsid w:val="00383CFE"/>
    <w:rsid w:val="00384BEF"/>
    <w:rsid w:val="003853FF"/>
    <w:rsid w:val="00385609"/>
    <w:rsid w:val="003856A4"/>
    <w:rsid w:val="00385DAB"/>
    <w:rsid w:val="0038696B"/>
    <w:rsid w:val="00387CA6"/>
    <w:rsid w:val="00387CBD"/>
    <w:rsid w:val="003900C7"/>
    <w:rsid w:val="0039039F"/>
    <w:rsid w:val="00390ED6"/>
    <w:rsid w:val="00391B5C"/>
    <w:rsid w:val="00391BDA"/>
    <w:rsid w:val="00392509"/>
    <w:rsid w:val="003925E5"/>
    <w:rsid w:val="00392CD3"/>
    <w:rsid w:val="00393786"/>
    <w:rsid w:val="00393FCC"/>
    <w:rsid w:val="003943E5"/>
    <w:rsid w:val="0039629A"/>
    <w:rsid w:val="003971DC"/>
    <w:rsid w:val="00397D8E"/>
    <w:rsid w:val="003A105C"/>
    <w:rsid w:val="003A2222"/>
    <w:rsid w:val="003A3262"/>
    <w:rsid w:val="003A5479"/>
    <w:rsid w:val="003A5C1B"/>
    <w:rsid w:val="003A7C7F"/>
    <w:rsid w:val="003B023B"/>
    <w:rsid w:val="003B0304"/>
    <w:rsid w:val="003B043F"/>
    <w:rsid w:val="003B155C"/>
    <w:rsid w:val="003B1E19"/>
    <w:rsid w:val="003B2442"/>
    <w:rsid w:val="003B2486"/>
    <w:rsid w:val="003B2E10"/>
    <w:rsid w:val="003B33CE"/>
    <w:rsid w:val="003B343D"/>
    <w:rsid w:val="003B391B"/>
    <w:rsid w:val="003B4936"/>
    <w:rsid w:val="003B56D7"/>
    <w:rsid w:val="003C1911"/>
    <w:rsid w:val="003C1B4F"/>
    <w:rsid w:val="003C1CD8"/>
    <w:rsid w:val="003C21BD"/>
    <w:rsid w:val="003C2288"/>
    <w:rsid w:val="003C2C76"/>
    <w:rsid w:val="003C331C"/>
    <w:rsid w:val="003C3336"/>
    <w:rsid w:val="003C39E6"/>
    <w:rsid w:val="003C526E"/>
    <w:rsid w:val="003C5A68"/>
    <w:rsid w:val="003C6DEB"/>
    <w:rsid w:val="003C7585"/>
    <w:rsid w:val="003C7A5C"/>
    <w:rsid w:val="003D0C03"/>
    <w:rsid w:val="003D660C"/>
    <w:rsid w:val="003D73BD"/>
    <w:rsid w:val="003D7409"/>
    <w:rsid w:val="003D7CCE"/>
    <w:rsid w:val="003E0864"/>
    <w:rsid w:val="003E0D8C"/>
    <w:rsid w:val="003E154A"/>
    <w:rsid w:val="003E15A3"/>
    <w:rsid w:val="003E1B68"/>
    <w:rsid w:val="003E2473"/>
    <w:rsid w:val="003E2601"/>
    <w:rsid w:val="003E65D7"/>
    <w:rsid w:val="003E7483"/>
    <w:rsid w:val="003F0515"/>
    <w:rsid w:val="003F0E8A"/>
    <w:rsid w:val="003F163F"/>
    <w:rsid w:val="003F1ACE"/>
    <w:rsid w:val="003F1CE1"/>
    <w:rsid w:val="003F2D7E"/>
    <w:rsid w:val="003F3782"/>
    <w:rsid w:val="003F4057"/>
    <w:rsid w:val="003F413A"/>
    <w:rsid w:val="003F5154"/>
    <w:rsid w:val="003F5249"/>
    <w:rsid w:val="003F54FB"/>
    <w:rsid w:val="003F6572"/>
    <w:rsid w:val="003F68AD"/>
    <w:rsid w:val="003F6D1F"/>
    <w:rsid w:val="00400F7F"/>
    <w:rsid w:val="004017DA"/>
    <w:rsid w:val="004036AF"/>
    <w:rsid w:val="00403E3F"/>
    <w:rsid w:val="0040424B"/>
    <w:rsid w:val="00405316"/>
    <w:rsid w:val="0041018F"/>
    <w:rsid w:val="0041153E"/>
    <w:rsid w:val="004123CF"/>
    <w:rsid w:val="00412488"/>
    <w:rsid w:val="00412B7F"/>
    <w:rsid w:val="00412CEF"/>
    <w:rsid w:val="004141A8"/>
    <w:rsid w:val="004169D8"/>
    <w:rsid w:val="00420098"/>
    <w:rsid w:val="004201AF"/>
    <w:rsid w:val="00424E58"/>
    <w:rsid w:val="00425FF9"/>
    <w:rsid w:val="00426328"/>
    <w:rsid w:val="00427B3B"/>
    <w:rsid w:val="00427EBF"/>
    <w:rsid w:val="0043072D"/>
    <w:rsid w:val="00430A9E"/>
    <w:rsid w:val="00431085"/>
    <w:rsid w:val="00431AA2"/>
    <w:rsid w:val="00432278"/>
    <w:rsid w:val="00432341"/>
    <w:rsid w:val="00435269"/>
    <w:rsid w:val="004362AB"/>
    <w:rsid w:val="00441101"/>
    <w:rsid w:val="004415FB"/>
    <w:rsid w:val="00441CE3"/>
    <w:rsid w:val="004421F5"/>
    <w:rsid w:val="004425E2"/>
    <w:rsid w:val="0044284D"/>
    <w:rsid w:val="00443050"/>
    <w:rsid w:val="0044434A"/>
    <w:rsid w:val="0044437F"/>
    <w:rsid w:val="00445E76"/>
    <w:rsid w:val="00446606"/>
    <w:rsid w:val="004471BC"/>
    <w:rsid w:val="00447217"/>
    <w:rsid w:val="00451471"/>
    <w:rsid w:val="00452C60"/>
    <w:rsid w:val="00453555"/>
    <w:rsid w:val="00453FC2"/>
    <w:rsid w:val="00454CB9"/>
    <w:rsid w:val="0045665B"/>
    <w:rsid w:val="00457182"/>
    <w:rsid w:val="004573D3"/>
    <w:rsid w:val="00457F93"/>
    <w:rsid w:val="00460A1A"/>
    <w:rsid w:val="004617A9"/>
    <w:rsid w:val="00461B70"/>
    <w:rsid w:val="0046258E"/>
    <w:rsid w:val="00462D93"/>
    <w:rsid w:val="0046384E"/>
    <w:rsid w:val="00464CF4"/>
    <w:rsid w:val="00466E73"/>
    <w:rsid w:val="0046706B"/>
    <w:rsid w:val="00467737"/>
    <w:rsid w:val="00467815"/>
    <w:rsid w:val="00467BED"/>
    <w:rsid w:val="0047067A"/>
    <w:rsid w:val="00471284"/>
    <w:rsid w:val="00472C57"/>
    <w:rsid w:val="00472FB0"/>
    <w:rsid w:val="00473696"/>
    <w:rsid w:val="00473721"/>
    <w:rsid w:val="00473840"/>
    <w:rsid w:val="00473A4B"/>
    <w:rsid w:val="00473C16"/>
    <w:rsid w:val="0047480E"/>
    <w:rsid w:val="0047491E"/>
    <w:rsid w:val="00474A6A"/>
    <w:rsid w:val="004760C2"/>
    <w:rsid w:val="0047658E"/>
    <w:rsid w:val="004836D8"/>
    <w:rsid w:val="004837C6"/>
    <w:rsid w:val="00483998"/>
    <w:rsid w:val="00483FC1"/>
    <w:rsid w:val="0048408F"/>
    <w:rsid w:val="00484250"/>
    <w:rsid w:val="00484E4C"/>
    <w:rsid w:val="004861CA"/>
    <w:rsid w:val="004878ED"/>
    <w:rsid w:val="00490C52"/>
    <w:rsid w:val="00491438"/>
    <w:rsid w:val="00491B1C"/>
    <w:rsid w:val="00492E3F"/>
    <w:rsid w:val="00493F5C"/>
    <w:rsid w:val="00494EB3"/>
    <w:rsid w:val="00495DB3"/>
    <w:rsid w:val="0049612D"/>
    <w:rsid w:val="00496E9E"/>
    <w:rsid w:val="004A171B"/>
    <w:rsid w:val="004A2385"/>
    <w:rsid w:val="004A2D91"/>
    <w:rsid w:val="004A34CF"/>
    <w:rsid w:val="004A3B95"/>
    <w:rsid w:val="004A7912"/>
    <w:rsid w:val="004B0194"/>
    <w:rsid w:val="004B073F"/>
    <w:rsid w:val="004B1113"/>
    <w:rsid w:val="004B176A"/>
    <w:rsid w:val="004B1DC3"/>
    <w:rsid w:val="004B326B"/>
    <w:rsid w:val="004B36AE"/>
    <w:rsid w:val="004B4672"/>
    <w:rsid w:val="004B4FB1"/>
    <w:rsid w:val="004B58F5"/>
    <w:rsid w:val="004B67A4"/>
    <w:rsid w:val="004C1412"/>
    <w:rsid w:val="004C289A"/>
    <w:rsid w:val="004C303E"/>
    <w:rsid w:val="004C61A3"/>
    <w:rsid w:val="004C6E03"/>
    <w:rsid w:val="004C780C"/>
    <w:rsid w:val="004D03BA"/>
    <w:rsid w:val="004D3008"/>
    <w:rsid w:val="004D3100"/>
    <w:rsid w:val="004D3441"/>
    <w:rsid w:val="004D45C8"/>
    <w:rsid w:val="004D6A38"/>
    <w:rsid w:val="004D6C65"/>
    <w:rsid w:val="004D708E"/>
    <w:rsid w:val="004D760C"/>
    <w:rsid w:val="004D7C91"/>
    <w:rsid w:val="004E26E4"/>
    <w:rsid w:val="004E357A"/>
    <w:rsid w:val="004E3861"/>
    <w:rsid w:val="004E5000"/>
    <w:rsid w:val="004E586B"/>
    <w:rsid w:val="004E65EB"/>
    <w:rsid w:val="004E7114"/>
    <w:rsid w:val="004E7E70"/>
    <w:rsid w:val="004F0244"/>
    <w:rsid w:val="004F0A27"/>
    <w:rsid w:val="004F3D4A"/>
    <w:rsid w:val="004F401E"/>
    <w:rsid w:val="004F7174"/>
    <w:rsid w:val="004F77A8"/>
    <w:rsid w:val="004F7E98"/>
    <w:rsid w:val="00500DD0"/>
    <w:rsid w:val="005010BA"/>
    <w:rsid w:val="005012AA"/>
    <w:rsid w:val="005012CF"/>
    <w:rsid w:val="0050355D"/>
    <w:rsid w:val="0050489B"/>
    <w:rsid w:val="005055B5"/>
    <w:rsid w:val="00505EC6"/>
    <w:rsid w:val="00506619"/>
    <w:rsid w:val="00507E53"/>
    <w:rsid w:val="00510257"/>
    <w:rsid w:val="00510A23"/>
    <w:rsid w:val="00510D1D"/>
    <w:rsid w:val="00511033"/>
    <w:rsid w:val="00511973"/>
    <w:rsid w:val="00511BBF"/>
    <w:rsid w:val="00512DD0"/>
    <w:rsid w:val="00515D2F"/>
    <w:rsid w:val="00515E7B"/>
    <w:rsid w:val="00517868"/>
    <w:rsid w:val="00520894"/>
    <w:rsid w:val="00520BC0"/>
    <w:rsid w:val="005215AB"/>
    <w:rsid w:val="005217F8"/>
    <w:rsid w:val="0052267A"/>
    <w:rsid w:val="005226D4"/>
    <w:rsid w:val="005239DD"/>
    <w:rsid w:val="00523CA1"/>
    <w:rsid w:val="00524A9C"/>
    <w:rsid w:val="005266F4"/>
    <w:rsid w:val="0052675C"/>
    <w:rsid w:val="00526D46"/>
    <w:rsid w:val="005303B5"/>
    <w:rsid w:val="00531143"/>
    <w:rsid w:val="0053186B"/>
    <w:rsid w:val="00531DD5"/>
    <w:rsid w:val="00532A23"/>
    <w:rsid w:val="00533BDA"/>
    <w:rsid w:val="005340EA"/>
    <w:rsid w:val="00534A44"/>
    <w:rsid w:val="00536332"/>
    <w:rsid w:val="0054271B"/>
    <w:rsid w:val="00542821"/>
    <w:rsid w:val="005432C8"/>
    <w:rsid w:val="00543514"/>
    <w:rsid w:val="005438A1"/>
    <w:rsid w:val="00543B81"/>
    <w:rsid w:val="00543C00"/>
    <w:rsid w:val="00543C23"/>
    <w:rsid w:val="00543EB8"/>
    <w:rsid w:val="00543F41"/>
    <w:rsid w:val="00544550"/>
    <w:rsid w:val="00544FCF"/>
    <w:rsid w:val="005450DC"/>
    <w:rsid w:val="00545A47"/>
    <w:rsid w:val="00545FC7"/>
    <w:rsid w:val="0054634E"/>
    <w:rsid w:val="00546B67"/>
    <w:rsid w:val="005474C7"/>
    <w:rsid w:val="00550309"/>
    <w:rsid w:val="00550F71"/>
    <w:rsid w:val="005512D3"/>
    <w:rsid w:val="00551C0E"/>
    <w:rsid w:val="005529EE"/>
    <w:rsid w:val="005544FA"/>
    <w:rsid w:val="00554A33"/>
    <w:rsid w:val="0055588A"/>
    <w:rsid w:val="0055716D"/>
    <w:rsid w:val="005571A6"/>
    <w:rsid w:val="00557953"/>
    <w:rsid w:val="00560CA9"/>
    <w:rsid w:val="00560E55"/>
    <w:rsid w:val="00562E8F"/>
    <w:rsid w:val="0056301A"/>
    <w:rsid w:val="005635AD"/>
    <w:rsid w:val="005636B0"/>
    <w:rsid w:val="005640E1"/>
    <w:rsid w:val="00564EA1"/>
    <w:rsid w:val="0056534C"/>
    <w:rsid w:val="00566E81"/>
    <w:rsid w:val="00567CEE"/>
    <w:rsid w:val="005713F4"/>
    <w:rsid w:val="00571B61"/>
    <w:rsid w:val="00571E64"/>
    <w:rsid w:val="00573D3B"/>
    <w:rsid w:val="00575CC3"/>
    <w:rsid w:val="00575D10"/>
    <w:rsid w:val="00576018"/>
    <w:rsid w:val="0057638F"/>
    <w:rsid w:val="005808CA"/>
    <w:rsid w:val="00580F26"/>
    <w:rsid w:val="00581A7C"/>
    <w:rsid w:val="0058427E"/>
    <w:rsid w:val="005864FA"/>
    <w:rsid w:val="005875A3"/>
    <w:rsid w:val="005902C9"/>
    <w:rsid w:val="00590750"/>
    <w:rsid w:val="00590907"/>
    <w:rsid w:val="0059346F"/>
    <w:rsid w:val="00594A7B"/>
    <w:rsid w:val="00595178"/>
    <w:rsid w:val="00596C07"/>
    <w:rsid w:val="00597AA7"/>
    <w:rsid w:val="005A1EAB"/>
    <w:rsid w:val="005A2D82"/>
    <w:rsid w:val="005A3789"/>
    <w:rsid w:val="005A3835"/>
    <w:rsid w:val="005A3AEC"/>
    <w:rsid w:val="005A6120"/>
    <w:rsid w:val="005A61F7"/>
    <w:rsid w:val="005A6858"/>
    <w:rsid w:val="005A72F2"/>
    <w:rsid w:val="005B2194"/>
    <w:rsid w:val="005B2BC3"/>
    <w:rsid w:val="005B2D1E"/>
    <w:rsid w:val="005B4460"/>
    <w:rsid w:val="005B4CFA"/>
    <w:rsid w:val="005B5B3D"/>
    <w:rsid w:val="005B6D64"/>
    <w:rsid w:val="005B7112"/>
    <w:rsid w:val="005B7166"/>
    <w:rsid w:val="005B74D2"/>
    <w:rsid w:val="005C10C7"/>
    <w:rsid w:val="005C18EE"/>
    <w:rsid w:val="005C1A79"/>
    <w:rsid w:val="005C4397"/>
    <w:rsid w:val="005C48CC"/>
    <w:rsid w:val="005C7644"/>
    <w:rsid w:val="005C791C"/>
    <w:rsid w:val="005C7BF4"/>
    <w:rsid w:val="005D1B66"/>
    <w:rsid w:val="005D1FDF"/>
    <w:rsid w:val="005D2B0F"/>
    <w:rsid w:val="005D323E"/>
    <w:rsid w:val="005D3352"/>
    <w:rsid w:val="005D3917"/>
    <w:rsid w:val="005D3D1E"/>
    <w:rsid w:val="005E06AE"/>
    <w:rsid w:val="005E111B"/>
    <w:rsid w:val="005E12DD"/>
    <w:rsid w:val="005E1D51"/>
    <w:rsid w:val="005E269C"/>
    <w:rsid w:val="005E3586"/>
    <w:rsid w:val="005E386D"/>
    <w:rsid w:val="005E3EC0"/>
    <w:rsid w:val="005E4CFF"/>
    <w:rsid w:val="005E4DEE"/>
    <w:rsid w:val="005E5FF1"/>
    <w:rsid w:val="005E72FB"/>
    <w:rsid w:val="005E7A63"/>
    <w:rsid w:val="005F01CE"/>
    <w:rsid w:val="005F135B"/>
    <w:rsid w:val="005F4E54"/>
    <w:rsid w:val="005F70B6"/>
    <w:rsid w:val="005F7A87"/>
    <w:rsid w:val="006011A3"/>
    <w:rsid w:val="006017DF"/>
    <w:rsid w:val="00601F0A"/>
    <w:rsid w:val="00602B38"/>
    <w:rsid w:val="00603630"/>
    <w:rsid w:val="0060382E"/>
    <w:rsid w:val="00604DBE"/>
    <w:rsid w:val="006063E1"/>
    <w:rsid w:val="006065E4"/>
    <w:rsid w:val="006066D1"/>
    <w:rsid w:val="00606F56"/>
    <w:rsid w:val="00607D48"/>
    <w:rsid w:val="00610039"/>
    <w:rsid w:val="00610381"/>
    <w:rsid w:val="00610917"/>
    <w:rsid w:val="00611699"/>
    <w:rsid w:val="00611B68"/>
    <w:rsid w:val="00611C07"/>
    <w:rsid w:val="00611E07"/>
    <w:rsid w:val="00612045"/>
    <w:rsid w:val="00612F12"/>
    <w:rsid w:val="00613AC9"/>
    <w:rsid w:val="00615808"/>
    <w:rsid w:val="00620E86"/>
    <w:rsid w:val="006219DD"/>
    <w:rsid w:val="00621D63"/>
    <w:rsid w:val="006223AE"/>
    <w:rsid w:val="006232EF"/>
    <w:rsid w:val="00623DAF"/>
    <w:rsid w:val="006242BF"/>
    <w:rsid w:val="0062524C"/>
    <w:rsid w:val="00626249"/>
    <w:rsid w:val="0063037F"/>
    <w:rsid w:val="00631FE7"/>
    <w:rsid w:val="006322A4"/>
    <w:rsid w:val="00632ACC"/>
    <w:rsid w:val="00633FF2"/>
    <w:rsid w:val="006345C1"/>
    <w:rsid w:val="00634EDB"/>
    <w:rsid w:val="00634F76"/>
    <w:rsid w:val="00637FDD"/>
    <w:rsid w:val="00641E57"/>
    <w:rsid w:val="0064260D"/>
    <w:rsid w:val="00643438"/>
    <w:rsid w:val="00643CED"/>
    <w:rsid w:val="00644DE2"/>
    <w:rsid w:val="00645BAB"/>
    <w:rsid w:val="006465EB"/>
    <w:rsid w:val="006478E6"/>
    <w:rsid w:val="006503A5"/>
    <w:rsid w:val="00650463"/>
    <w:rsid w:val="00651660"/>
    <w:rsid w:val="00651C0A"/>
    <w:rsid w:val="00652171"/>
    <w:rsid w:val="00652FFB"/>
    <w:rsid w:val="00653133"/>
    <w:rsid w:val="006532C3"/>
    <w:rsid w:val="00654C9C"/>
    <w:rsid w:val="0065528E"/>
    <w:rsid w:val="00655485"/>
    <w:rsid w:val="0065606D"/>
    <w:rsid w:val="006571CC"/>
    <w:rsid w:val="006617ED"/>
    <w:rsid w:val="0066194C"/>
    <w:rsid w:val="00661BD2"/>
    <w:rsid w:val="00663B35"/>
    <w:rsid w:val="006654B7"/>
    <w:rsid w:val="00666285"/>
    <w:rsid w:val="0066731A"/>
    <w:rsid w:val="0067097B"/>
    <w:rsid w:val="00670BE7"/>
    <w:rsid w:val="00670FEA"/>
    <w:rsid w:val="00671408"/>
    <w:rsid w:val="00671DC9"/>
    <w:rsid w:val="0067252D"/>
    <w:rsid w:val="006734AA"/>
    <w:rsid w:val="006734B3"/>
    <w:rsid w:val="0067353C"/>
    <w:rsid w:val="00675390"/>
    <w:rsid w:val="00676163"/>
    <w:rsid w:val="006764C4"/>
    <w:rsid w:val="006777E4"/>
    <w:rsid w:val="00677C22"/>
    <w:rsid w:val="006808CC"/>
    <w:rsid w:val="006813BF"/>
    <w:rsid w:val="00682F4C"/>
    <w:rsid w:val="00684171"/>
    <w:rsid w:val="00684966"/>
    <w:rsid w:val="00685899"/>
    <w:rsid w:val="00691611"/>
    <w:rsid w:val="00692D30"/>
    <w:rsid w:val="00695597"/>
    <w:rsid w:val="00696A89"/>
    <w:rsid w:val="00696DAE"/>
    <w:rsid w:val="00696F75"/>
    <w:rsid w:val="00696FEC"/>
    <w:rsid w:val="00697477"/>
    <w:rsid w:val="006A037E"/>
    <w:rsid w:val="006A131E"/>
    <w:rsid w:val="006A2019"/>
    <w:rsid w:val="006A21CC"/>
    <w:rsid w:val="006A30E6"/>
    <w:rsid w:val="006A3D41"/>
    <w:rsid w:val="006A7796"/>
    <w:rsid w:val="006B0495"/>
    <w:rsid w:val="006B0DCB"/>
    <w:rsid w:val="006B2408"/>
    <w:rsid w:val="006B24DB"/>
    <w:rsid w:val="006B3AF9"/>
    <w:rsid w:val="006B3C91"/>
    <w:rsid w:val="006B3D9E"/>
    <w:rsid w:val="006B414C"/>
    <w:rsid w:val="006B4B0F"/>
    <w:rsid w:val="006C32CF"/>
    <w:rsid w:val="006C335E"/>
    <w:rsid w:val="006C3A1F"/>
    <w:rsid w:val="006C54BB"/>
    <w:rsid w:val="006C5C6C"/>
    <w:rsid w:val="006C63EB"/>
    <w:rsid w:val="006C6F73"/>
    <w:rsid w:val="006C7DE0"/>
    <w:rsid w:val="006D024B"/>
    <w:rsid w:val="006D16CA"/>
    <w:rsid w:val="006D3693"/>
    <w:rsid w:val="006D3DC7"/>
    <w:rsid w:val="006D4245"/>
    <w:rsid w:val="006D45AC"/>
    <w:rsid w:val="006D5843"/>
    <w:rsid w:val="006E0A93"/>
    <w:rsid w:val="006E3977"/>
    <w:rsid w:val="006E4064"/>
    <w:rsid w:val="006E58EA"/>
    <w:rsid w:val="006E5BF8"/>
    <w:rsid w:val="006F0036"/>
    <w:rsid w:val="006F2F67"/>
    <w:rsid w:val="006F3CA4"/>
    <w:rsid w:val="006F4DE0"/>
    <w:rsid w:val="006F4FB2"/>
    <w:rsid w:val="006F5E2D"/>
    <w:rsid w:val="006F60DE"/>
    <w:rsid w:val="006F6483"/>
    <w:rsid w:val="006F6EEB"/>
    <w:rsid w:val="006F7332"/>
    <w:rsid w:val="007025BA"/>
    <w:rsid w:val="0070385B"/>
    <w:rsid w:val="0070407E"/>
    <w:rsid w:val="0070494F"/>
    <w:rsid w:val="00704969"/>
    <w:rsid w:val="00705758"/>
    <w:rsid w:val="00705E45"/>
    <w:rsid w:val="0070707A"/>
    <w:rsid w:val="0070717A"/>
    <w:rsid w:val="00707244"/>
    <w:rsid w:val="00711167"/>
    <w:rsid w:val="00712CCC"/>
    <w:rsid w:val="007136E9"/>
    <w:rsid w:val="00713DE5"/>
    <w:rsid w:val="007155D9"/>
    <w:rsid w:val="007157A0"/>
    <w:rsid w:val="007174DA"/>
    <w:rsid w:val="00720910"/>
    <w:rsid w:val="00720F29"/>
    <w:rsid w:val="00721038"/>
    <w:rsid w:val="007224C2"/>
    <w:rsid w:val="0072306A"/>
    <w:rsid w:val="00723294"/>
    <w:rsid w:val="00726FEB"/>
    <w:rsid w:val="00731117"/>
    <w:rsid w:val="00731409"/>
    <w:rsid w:val="007334B1"/>
    <w:rsid w:val="007337F4"/>
    <w:rsid w:val="007339F3"/>
    <w:rsid w:val="00733EB2"/>
    <w:rsid w:val="00737FEC"/>
    <w:rsid w:val="00740292"/>
    <w:rsid w:val="007424E5"/>
    <w:rsid w:val="00742B07"/>
    <w:rsid w:val="0074394A"/>
    <w:rsid w:val="00744619"/>
    <w:rsid w:val="0075064C"/>
    <w:rsid w:val="00752E39"/>
    <w:rsid w:val="00755956"/>
    <w:rsid w:val="00756161"/>
    <w:rsid w:val="00756AA0"/>
    <w:rsid w:val="00757B85"/>
    <w:rsid w:val="00757CE6"/>
    <w:rsid w:val="007622F8"/>
    <w:rsid w:val="00762AA2"/>
    <w:rsid w:val="00762CD7"/>
    <w:rsid w:val="00763097"/>
    <w:rsid w:val="00764CB0"/>
    <w:rsid w:val="007666D8"/>
    <w:rsid w:val="00766D03"/>
    <w:rsid w:val="007671B6"/>
    <w:rsid w:val="007671DA"/>
    <w:rsid w:val="00767C28"/>
    <w:rsid w:val="00770C72"/>
    <w:rsid w:val="007719A8"/>
    <w:rsid w:val="0077228C"/>
    <w:rsid w:val="00772356"/>
    <w:rsid w:val="00772FA8"/>
    <w:rsid w:val="00773CAE"/>
    <w:rsid w:val="00774593"/>
    <w:rsid w:val="007746F3"/>
    <w:rsid w:val="00774C88"/>
    <w:rsid w:val="00774D02"/>
    <w:rsid w:val="00776EDA"/>
    <w:rsid w:val="00777599"/>
    <w:rsid w:val="00782AE7"/>
    <w:rsid w:val="00782B59"/>
    <w:rsid w:val="00782CF1"/>
    <w:rsid w:val="00783A87"/>
    <w:rsid w:val="00784327"/>
    <w:rsid w:val="00784E47"/>
    <w:rsid w:val="00785646"/>
    <w:rsid w:val="00785CF8"/>
    <w:rsid w:val="0078685A"/>
    <w:rsid w:val="007870BA"/>
    <w:rsid w:val="00793277"/>
    <w:rsid w:val="00793463"/>
    <w:rsid w:val="0079435F"/>
    <w:rsid w:val="00796068"/>
    <w:rsid w:val="007965B0"/>
    <w:rsid w:val="00796CC0"/>
    <w:rsid w:val="00796CF1"/>
    <w:rsid w:val="007979EA"/>
    <w:rsid w:val="00797A74"/>
    <w:rsid w:val="007A19BC"/>
    <w:rsid w:val="007A19EF"/>
    <w:rsid w:val="007A1A35"/>
    <w:rsid w:val="007A1C2A"/>
    <w:rsid w:val="007A2166"/>
    <w:rsid w:val="007A2B7F"/>
    <w:rsid w:val="007A3059"/>
    <w:rsid w:val="007A581B"/>
    <w:rsid w:val="007A5922"/>
    <w:rsid w:val="007A5969"/>
    <w:rsid w:val="007A63D4"/>
    <w:rsid w:val="007A73F9"/>
    <w:rsid w:val="007A7C23"/>
    <w:rsid w:val="007B17F0"/>
    <w:rsid w:val="007B1ABA"/>
    <w:rsid w:val="007B2070"/>
    <w:rsid w:val="007B259B"/>
    <w:rsid w:val="007B2DDE"/>
    <w:rsid w:val="007B3F28"/>
    <w:rsid w:val="007B434A"/>
    <w:rsid w:val="007B471E"/>
    <w:rsid w:val="007B5018"/>
    <w:rsid w:val="007B53E7"/>
    <w:rsid w:val="007B65B3"/>
    <w:rsid w:val="007B6A14"/>
    <w:rsid w:val="007B7287"/>
    <w:rsid w:val="007B7A70"/>
    <w:rsid w:val="007C08AB"/>
    <w:rsid w:val="007C2D69"/>
    <w:rsid w:val="007C31C1"/>
    <w:rsid w:val="007C38F7"/>
    <w:rsid w:val="007C4E99"/>
    <w:rsid w:val="007C5151"/>
    <w:rsid w:val="007C546B"/>
    <w:rsid w:val="007C5B8D"/>
    <w:rsid w:val="007C670D"/>
    <w:rsid w:val="007C7359"/>
    <w:rsid w:val="007D0CD1"/>
    <w:rsid w:val="007D0ED0"/>
    <w:rsid w:val="007D1F01"/>
    <w:rsid w:val="007D250D"/>
    <w:rsid w:val="007D3500"/>
    <w:rsid w:val="007D3868"/>
    <w:rsid w:val="007D3E0E"/>
    <w:rsid w:val="007D4104"/>
    <w:rsid w:val="007D48CF"/>
    <w:rsid w:val="007D4A4A"/>
    <w:rsid w:val="007D4AE5"/>
    <w:rsid w:val="007E0721"/>
    <w:rsid w:val="007E0B69"/>
    <w:rsid w:val="007E0C58"/>
    <w:rsid w:val="007E0E05"/>
    <w:rsid w:val="007E1DD3"/>
    <w:rsid w:val="007E209F"/>
    <w:rsid w:val="007E23C8"/>
    <w:rsid w:val="007E25F0"/>
    <w:rsid w:val="007E2878"/>
    <w:rsid w:val="007E4655"/>
    <w:rsid w:val="007E50E4"/>
    <w:rsid w:val="007E55E0"/>
    <w:rsid w:val="007E5C50"/>
    <w:rsid w:val="007E5DED"/>
    <w:rsid w:val="007F0546"/>
    <w:rsid w:val="007F09D3"/>
    <w:rsid w:val="007F1DEB"/>
    <w:rsid w:val="007F22A5"/>
    <w:rsid w:val="007F421D"/>
    <w:rsid w:val="007F4997"/>
    <w:rsid w:val="007F5688"/>
    <w:rsid w:val="007F588F"/>
    <w:rsid w:val="007F66A5"/>
    <w:rsid w:val="007F7F95"/>
    <w:rsid w:val="0080038A"/>
    <w:rsid w:val="0080065F"/>
    <w:rsid w:val="00802DA0"/>
    <w:rsid w:val="008037D9"/>
    <w:rsid w:val="00804B2B"/>
    <w:rsid w:val="008051DE"/>
    <w:rsid w:val="00805659"/>
    <w:rsid w:val="00805B36"/>
    <w:rsid w:val="0080733E"/>
    <w:rsid w:val="00807A2A"/>
    <w:rsid w:val="00810CC2"/>
    <w:rsid w:val="00812C2A"/>
    <w:rsid w:val="0081324B"/>
    <w:rsid w:val="0081440E"/>
    <w:rsid w:val="00816193"/>
    <w:rsid w:val="008165E4"/>
    <w:rsid w:val="008172C9"/>
    <w:rsid w:val="008213DB"/>
    <w:rsid w:val="008234BD"/>
    <w:rsid w:val="00823AED"/>
    <w:rsid w:val="0082489C"/>
    <w:rsid w:val="00824A8C"/>
    <w:rsid w:val="00825155"/>
    <w:rsid w:val="00825D55"/>
    <w:rsid w:val="00825EB9"/>
    <w:rsid w:val="00826561"/>
    <w:rsid w:val="008279D7"/>
    <w:rsid w:val="008301B7"/>
    <w:rsid w:val="008303E2"/>
    <w:rsid w:val="008310A5"/>
    <w:rsid w:val="00831B7E"/>
    <w:rsid w:val="00833A8F"/>
    <w:rsid w:val="008341F8"/>
    <w:rsid w:val="00834584"/>
    <w:rsid w:val="008359F3"/>
    <w:rsid w:val="00835DB6"/>
    <w:rsid w:val="00836AC2"/>
    <w:rsid w:val="00837D13"/>
    <w:rsid w:val="008406D5"/>
    <w:rsid w:val="00841B60"/>
    <w:rsid w:val="00843BED"/>
    <w:rsid w:val="008447C8"/>
    <w:rsid w:val="00844C5B"/>
    <w:rsid w:val="008453E7"/>
    <w:rsid w:val="00846992"/>
    <w:rsid w:val="00847B37"/>
    <w:rsid w:val="008501A4"/>
    <w:rsid w:val="008505A1"/>
    <w:rsid w:val="008505EB"/>
    <w:rsid w:val="00850817"/>
    <w:rsid w:val="008508DF"/>
    <w:rsid w:val="00851B47"/>
    <w:rsid w:val="00851D16"/>
    <w:rsid w:val="00851E54"/>
    <w:rsid w:val="00852993"/>
    <w:rsid w:val="0085433A"/>
    <w:rsid w:val="00854A85"/>
    <w:rsid w:val="00854B32"/>
    <w:rsid w:val="00855F2B"/>
    <w:rsid w:val="00856252"/>
    <w:rsid w:val="0085731F"/>
    <w:rsid w:val="00857634"/>
    <w:rsid w:val="00857FFB"/>
    <w:rsid w:val="0086124E"/>
    <w:rsid w:val="00861A73"/>
    <w:rsid w:val="00861B74"/>
    <w:rsid w:val="00863B4B"/>
    <w:rsid w:val="00864A10"/>
    <w:rsid w:val="008652C9"/>
    <w:rsid w:val="00866084"/>
    <w:rsid w:val="00866992"/>
    <w:rsid w:val="00866CA9"/>
    <w:rsid w:val="00867E32"/>
    <w:rsid w:val="008705AA"/>
    <w:rsid w:val="00872942"/>
    <w:rsid w:val="00873069"/>
    <w:rsid w:val="0087504D"/>
    <w:rsid w:val="00875991"/>
    <w:rsid w:val="00875BB5"/>
    <w:rsid w:val="008771B6"/>
    <w:rsid w:val="00877865"/>
    <w:rsid w:val="00877FDD"/>
    <w:rsid w:val="00880FED"/>
    <w:rsid w:val="0088186D"/>
    <w:rsid w:val="008841C8"/>
    <w:rsid w:val="00885367"/>
    <w:rsid w:val="008855A4"/>
    <w:rsid w:val="00885989"/>
    <w:rsid w:val="00887082"/>
    <w:rsid w:val="00887C8D"/>
    <w:rsid w:val="00887DC7"/>
    <w:rsid w:val="00891FCC"/>
    <w:rsid w:val="00892BB8"/>
    <w:rsid w:val="00893014"/>
    <w:rsid w:val="0089513A"/>
    <w:rsid w:val="00896755"/>
    <w:rsid w:val="00896F38"/>
    <w:rsid w:val="008A2417"/>
    <w:rsid w:val="008A5D49"/>
    <w:rsid w:val="008A6952"/>
    <w:rsid w:val="008A74D8"/>
    <w:rsid w:val="008A751E"/>
    <w:rsid w:val="008A756C"/>
    <w:rsid w:val="008A7AFB"/>
    <w:rsid w:val="008B0547"/>
    <w:rsid w:val="008B11A3"/>
    <w:rsid w:val="008B1FE5"/>
    <w:rsid w:val="008B2AD7"/>
    <w:rsid w:val="008B3A74"/>
    <w:rsid w:val="008B3D72"/>
    <w:rsid w:val="008B3FBB"/>
    <w:rsid w:val="008B434A"/>
    <w:rsid w:val="008B4A72"/>
    <w:rsid w:val="008B5DA7"/>
    <w:rsid w:val="008B7B55"/>
    <w:rsid w:val="008C25D0"/>
    <w:rsid w:val="008C3A5B"/>
    <w:rsid w:val="008C3D50"/>
    <w:rsid w:val="008C4823"/>
    <w:rsid w:val="008C5704"/>
    <w:rsid w:val="008C5B71"/>
    <w:rsid w:val="008C6D01"/>
    <w:rsid w:val="008D0E23"/>
    <w:rsid w:val="008D1518"/>
    <w:rsid w:val="008D2382"/>
    <w:rsid w:val="008D2F21"/>
    <w:rsid w:val="008D3521"/>
    <w:rsid w:val="008D5667"/>
    <w:rsid w:val="008D6F5D"/>
    <w:rsid w:val="008E003A"/>
    <w:rsid w:val="008E07E7"/>
    <w:rsid w:val="008E15E3"/>
    <w:rsid w:val="008E2045"/>
    <w:rsid w:val="008E4C62"/>
    <w:rsid w:val="008E4EC9"/>
    <w:rsid w:val="008E6C91"/>
    <w:rsid w:val="008E727E"/>
    <w:rsid w:val="008E784E"/>
    <w:rsid w:val="008F0B17"/>
    <w:rsid w:val="008F2902"/>
    <w:rsid w:val="008F38D8"/>
    <w:rsid w:val="008F3912"/>
    <w:rsid w:val="008F3F75"/>
    <w:rsid w:val="008F4047"/>
    <w:rsid w:val="008F4111"/>
    <w:rsid w:val="008F4122"/>
    <w:rsid w:val="008F4593"/>
    <w:rsid w:val="008F660B"/>
    <w:rsid w:val="008F695F"/>
    <w:rsid w:val="008F7674"/>
    <w:rsid w:val="009005CE"/>
    <w:rsid w:val="009007A8"/>
    <w:rsid w:val="00901376"/>
    <w:rsid w:val="0090188B"/>
    <w:rsid w:val="009021A4"/>
    <w:rsid w:val="00903309"/>
    <w:rsid w:val="00904305"/>
    <w:rsid w:val="00904362"/>
    <w:rsid w:val="0090441C"/>
    <w:rsid w:val="00904986"/>
    <w:rsid w:val="00904EC5"/>
    <w:rsid w:val="0091406E"/>
    <w:rsid w:val="00914487"/>
    <w:rsid w:val="00914B48"/>
    <w:rsid w:val="0091511B"/>
    <w:rsid w:val="009165D3"/>
    <w:rsid w:val="009172D7"/>
    <w:rsid w:val="0091757B"/>
    <w:rsid w:val="00917B21"/>
    <w:rsid w:val="00917B6F"/>
    <w:rsid w:val="00917E84"/>
    <w:rsid w:val="0092020F"/>
    <w:rsid w:val="009236AA"/>
    <w:rsid w:val="009239AA"/>
    <w:rsid w:val="009245B5"/>
    <w:rsid w:val="009245D0"/>
    <w:rsid w:val="00924AB4"/>
    <w:rsid w:val="009259D0"/>
    <w:rsid w:val="00925E97"/>
    <w:rsid w:val="00925EF2"/>
    <w:rsid w:val="00925F3C"/>
    <w:rsid w:val="00925F9C"/>
    <w:rsid w:val="00926204"/>
    <w:rsid w:val="00931668"/>
    <w:rsid w:val="009341DC"/>
    <w:rsid w:val="0093427D"/>
    <w:rsid w:val="00934683"/>
    <w:rsid w:val="00935C40"/>
    <w:rsid w:val="00935F4D"/>
    <w:rsid w:val="009377EA"/>
    <w:rsid w:val="0093795C"/>
    <w:rsid w:val="00937DCB"/>
    <w:rsid w:val="00937F7E"/>
    <w:rsid w:val="009419BB"/>
    <w:rsid w:val="00942CC9"/>
    <w:rsid w:val="009440DE"/>
    <w:rsid w:val="009444E6"/>
    <w:rsid w:val="00944A8E"/>
    <w:rsid w:val="009455E6"/>
    <w:rsid w:val="0094589B"/>
    <w:rsid w:val="00946779"/>
    <w:rsid w:val="0094687C"/>
    <w:rsid w:val="00947A9A"/>
    <w:rsid w:val="00950775"/>
    <w:rsid w:val="009509C0"/>
    <w:rsid w:val="00952B9C"/>
    <w:rsid w:val="00953B70"/>
    <w:rsid w:val="0095414E"/>
    <w:rsid w:val="00955E2A"/>
    <w:rsid w:val="00956330"/>
    <w:rsid w:val="00956348"/>
    <w:rsid w:val="00956BA7"/>
    <w:rsid w:val="00956FD8"/>
    <w:rsid w:val="009575F7"/>
    <w:rsid w:val="00957E4B"/>
    <w:rsid w:val="0096021A"/>
    <w:rsid w:val="00960F73"/>
    <w:rsid w:val="00961346"/>
    <w:rsid w:val="00961F4A"/>
    <w:rsid w:val="009642CA"/>
    <w:rsid w:val="00964692"/>
    <w:rsid w:val="00964846"/>
    <w:rsid w:val="009652B6"/>
    <w:rsid w:val="0096655D"/>
    <w:rsid w:val="009670B5"/>
    <w:rsid w:val="00967EC2"/>
    <w:rsid w:val="00970E8A"/>
    <w:rsid w:val="00971139"/>
    <w:rsid w:val="00971F5D"/>
    <w:rsid w:val="00972B10"/>
    <w:rsid w:val="0097401F"/>
    <w:rsid w:val="00975E28"/>
    <w:rsid w:val="00976F32"/>
    <w:rsid w:val="00977307"/>
    <w:rsid w:val="00981799"/>
    <w:rsid w:val="00981FA0"/>
    <w:rsid w:val="0098263A"/>
    <w:rsid w:val="00983541"/>
    <w:rsid w:val="00984366"/>
    <w:rsid w:val="00984E80"/>
    <w:rsid w:val="00984F3F"/>
    <w:rsid w:val="009868CD"/>
    <w:rsid w:val="0098690F"/>
    <w:rsid w:val="00987994"/>
    <w:rsid w:val="00987EE5"/>
    <w:rsid w:val="00990C76"/>
    <w:rsid w:val="00991CD8"/>
    <w:rsid w:val="00991EBE"/>
    <w:rsid w:val="009928B3"/>
    <w:rsid w:val="00992B6B"/>
    <w:rsid w:val="00993C2E"/>
    <w:rsid w:val="009968DA"/>
    <w:rsid w:val="00997C8A"/>
    <w:rsid w:val="009A0E89"/>
    <w:rsid w:val="009A1339"/>
    <w:rsid w:val="009A1A95"/>
    <w:rsid w:val="009A2CCC"/>
    <w:rsid w:val="009A3006"/>
    <w:rsid w:val="009A3994"/>
    <w:rsid w:val="009A59D5"/>
    <w:rsid w:val="009A7665"/>
    <w:rsid w:val="009B095A"/>
    <w:rsid w:val="009B0D4C"/>
    <w:rsid w:val="009B0E74"/>
    <w:rsid w:val="009B1B10"/>
    <w:rsid w:val="009B2FB9"/>
    <w:rsid w:val="009B5D6F"/>
    <w:rsid w:val="009B62AF"/>
    <w:rsid w:val="009B66AC"/>
    <w:rsid w:val="009B6745"/>
    <w:rsid w:val="009B68AF"/>
    <w:rsid w:val="009B74EA"/>
    <w:rsid w:val="009B7AB9"/>
    <w:rsid w:val="009C33CA"/>
    <w:rsid w:val="009C4B6D"/>
    <w:rsid w:val="009D0928"/>
    <w:rsid w:val="009D1B99"/>
    <w:rsid w:val="009D226B"/>
    <w:rsid w:val="009D2884"/>
    <w:rsid w:val="009D5007"/>
    <w:rsid w:val="009D5393"/>
    <w:rsid w:val="009D5445"/>
    <w:rsid w:val="009D565F"/>
    <w:rsid w:val="009D6026"/>
    <w:rsid w:val="009D65B9"/>
    <w:rsid w:val="009D70EE"/>
    <w:rsid w:val="009D733B"/>
    <w:rsid w:val="009E04DC"/>
    <w:rsid w:val="009E0FB3"/>
    <w:rsid w:val="009E1805"/>
    <w:rsid w:val="009E3B5A"/>
    <w:rsid w:val="009E3E85"/>
    <w:rsid w:val="009E5105"/>
    <w:rsid w:val="009E59A1"/>
    <w:rsid w:val="009E66EE"/>
    <w:rsid w:val="009F015D"/>
    <w:rsid w:val="009F1845"/>
    <w:rsid w:val="009F20C6"/>
    <w:rsid w:val="009F2E94"/>
    <w:rsid w:val="009F35F7"/>
    <w:rsid w:val="009F37BF"/>
    <w:rsid w:val="009F425F"/>
    <w:rsid w:val="009F4326"/>
    <w:rsid w:val="009F7078"/>
    <w:rsid w:val="009F77F6"/>
    <w:rsid w:val="009F7BB2"/>
    <w:rsid w:val="009F7FA6"/>
    <w:rsid w:val="00A0082F"/>
    <w:rsid w:val="00A00AE7"/>
    <w:rsid w:val="00A0244C"/>
    <w:rsid w:val="00A033FF"/>
    <w:rsid w:val="00A0409E"/>
    <w:rsid w:val="00A046C7"/>
    <w:rsid w:val="00A04EDA"/>
    <w:rsid w:val="00A06137"/>
    <w:rsid w:val="00A063FE"/>
    <w:rsid w:val="00A06EDB"/>
    <w:rsid w:val="00A07ACC"/>
    <w:rsid w:val="00A10B46"/>
    <w:rsid w:val="00A11259"/>
    <w:rsid w:val="00A1329C"/>
    <w:rsid w:val="00A134B4"/>
    <w:rsid w:val="00A14503"/>
    <w:rsid w:val="00A14E25"/>
    <w:rsid w:val="00A14E81"/>
    <w:rsid w:val="00A16896"/>
    <w:rsid w:val="00A16A60"/>
    <w:rsid w:val="00A17A3D"/>
    <w:rsid w:val="00A203C2"/>
    <w:rsid w:val="00A2062A"/>
    <w:rsid w:val="00A2066E"/>
    <w:rsid w:val="00A21E19"/>
    <w:rsid w:val="00A21FAE"/>
    <w:rsid w:val="00A236A1"/>
    <w:rsid w:val="00A239A8"/>
    <w:rsid w:val="00A25B79"/>
    <w:rsid w:val="00A30683"/>
    <w:rsid w:val="00A3115F"/>
    <w:rsid w:val="00A32209"/>
    <w:rsid w:val="00A32BA0"/>
    <w:rsid w:val="00A33030"/>
    <w:rsid w:val="00A3530B"/>
    <w:rsid w:val="00A35A7A"/>
    <w:rsid w:val="00A378A2"/>
    <w:rsid w:val="00A407B6"/>
    <w:rsid w:val="00A40CDE"/>
    <w:rsid w:val="00A418FF"/>
    <w:rsid w:val="00A43FBD"/>
    <w:rsid w:val="00A43FD4"/>
    <w:rsid w:val="00A44703"/>
    <w:rsid w:val="00A473D7"/>
    <w:rsid w:val="00A47ABF"/>
    <w:rsid w:val="00A52DA1"/>
    <w:rsid w:val="00A54367"/>
    <w:rsid w:val="00A54CCB"/>
    <w:rsid w:val="00A57301"/>
    <w:rsid w:val="00A5757E"/>
    <w:rsid w:val="00A60270"/>
    <w:rsid w:val="00A60F52"/>
    <w:rsid w:val="00A61DFE"/>
    <w:rsid w:val="00A61F74"/>
    <w:rsid w:val="00A62AA8"/>
    <w:rsid w:val="00A630D8"/>
    <w:rsid w:val="00A63B4C"/>
    <w:rsid w:val="00A6526F"/>
    <w:rsid w:val="00A657EA"/>
    <w:rsid w:val="00A65CDB"/>
    <w:rsid w:val="00A6604B"/>
    <w:rsid w:val="00A664AD"/>
    <w:rsid w:val="00A664E7"/>
    <w:rsid w:val="00A66E7F"/>
    <w:rsid w:val="00A67917"/>
    <w:rsid w:val="00A679B0"/>
    <w:rsid w:val="00A70904"/>
    <w:rsid w:val="00A709BB"/>
    <w:rsid w:val="00A70F4E"/>
    <w:rsid w:val="00A740EA"/>
    <w:rsid w:val="00A75C52"/>
    <w:rsid w:val="00A767B2"/>
    <w:rsid w:val="00A7717C"/>
    <w:rsid w:val="00A77CCE"/>
    <w:rsid w:val="00A80B0C"/>
    <w:rsid w:val="00A81B11"/>
    <w:rsid w:val="00A82B9E"/>
    <w:rsid w:val="00A840B0"/>
    <w:rsid w:val="00A84186"/>
    <w:rsid w:val="00A846F1"/>
    <w:rsid w:val="00A857B4"/>
    <w:rsid w:val="00A85B14"/>
    <w:rsid w:val="00A875C0"/>
    <w:rsid w:val="00A87793"/>
    <w:rsid w:val="00A87C15"/>
    <w:rsid w:val="00A9000E"/>
    <w:rsid w:val="00A925D7"/>
    <w:rsid w:val="00A92706"/>
    <w:rsid w:val="00A92CF1"/>
    <w:rsid w:val="00A943F8"/>
    <w:rsid w:val="00A961D4"/>
    <w:rsid w:val="00A9704A"/>
    <w:rsid w:val="00A97AD0"/>
    <w:rsid w:val="00AA0874"/>
    <w:rsid w:val="00AA0C5B"/>
    <w:rsid w:val="00AA1110"/>
    <w:rsid w:val="00AA1377"/>
    <w:rsid w:val="00AA1D1B"/>
    <w:rsid w:val="00AA2ADD"/>
    <w:rsid w:val="00AA34B8"/>
    <w:rsid w:val="00AA49AF"/>
    <w:rsid w:val="00AA4F2F"/>
    <w:rsid w:val="00AA57CE"/>
    <w:rsid w:val="00AA5ADC"/>
    <w:rsid w:val="00AA5E45"/>
    <w:rsid w:val="00AA7211"/>
    <w:rsid w:val="00AA7540"/>
    <w:rsid w:val="00AB0B9C"/>
    <w:rsid w:val="00AB10D4"/>
    <w:rsid w:val="00AB3E6B"/>
    <w:rsid w:val="00AB4D0B"/>
    <w:rsid w:val="00AB51C8"/>
    <w:rsid w:val="00AB52A7"/>
    <w:rsid w:val="00AB5586"/>
    <w:rsid w:val="00AB64F9"/>
    <w:rsid w:val="00AB7B25"/>
    <w:rsid w:val="00AC0BAE"/>
    <w:rsid w:val="00AC0E78"/>
    <w:rsid w:val="00AC126F"/>
    <w:rsid w:val="00AC13F7"/>
    <w:rsid w:val="00AC16D2"/>
    <w:rsid w:val="00AC3256"/>
    <w:rsid w:val="00AC43D2"/>
    <w:rsid w:val="00AC4A94"/>
    <w:rsid w:val="00AC4B34"/>
    <w:rsid w:val="00AC6DE2"/>
    <w:rsid w:val="00AC737D"/>
    <w:rsid w:val="00AD05A6"/>
    <w:rsid w:val="00AD283D"/>
    <w:rsid w:val="00AD3920"/>
    <w:rsid w:val="00AD40B4"/>
    <w:rsid w:val="00AD5922"/>
    <w:rsid w:val="00AD5F80"/>
    <w:rsid w:val="00AD6555"/>
    <w:rsid w:val="00AD6F4A"/>
    <w:rsid w:val="00AD71D2"/>
    <w:rsid w:val="00AD7AB4"/>
    <w:rsid w:val="00AE05EA"/>
    <w:rsid w:val="00AE0EDF"/>
    <w:rsid w:val="00AE1128"/>
    <w:rsid w:val="00AE14F4"/>
    <w:rsid w:val="00AE1AB0"/>
    <w:rsid w:val="00AE2609"/>
    <w:rsid w:val="00AE29A8"/>
    <w:rsid w:val="00AE3960"/>
    <w:rsid w:val="00AE4074"/>
    <w:rsid w:val="00AE439A"/>
    <w:rsid w:val="00AE591D"/>
    <w:rsid w:val="00AE617A"/>
    <w:rsid w:val="00AE6CD9"/>
    <w:rsid w:val="00AE713F"/>
    <w:rsid w:val="00AF01CB"/>
    <w:rsid w:val="00AF09C7"/>
    <w:rsid w:val="00AF1474"/>
    <w:rsid w:val="00AF1A40"/>
    <w:rsid w:val="00AF2CC6"/>
    <w:rsid w:val="00AF37F7"/>
    <w:rsid w:val="00AF4BF4"/>
    <w:rsid w:val="00AF551F"/>
    <w:rsid w:val="00AF6401"/>
    <w:rsid w:val="00B0025D"/>
    <w:rsid w:val="00B006D8"/>
    <w:rsid w:val="00B02238"/>
    <w:rsid w:val="00B03D35"/>
    <w:rsid w:val="00B05065"/>
    <w:rsid w:val="00B05194"/>
    <w:rsid w:val="00B05F42"/>
    <w:rsid w:val="00B0688D"/>
    <w:rsid w:val="00B06AA0"/>
    <w:rsid w:val="00B06B45"/>
    <w:rsid w:val="00B06D33"/>
    <w:rsid w:val="00B074B3"/>
    <w:rsid w:val="00B10AD8"/>
    <w:rsid w:val="00B11A82"/>
    <w:rsid w:val="00B13820"/>
    <w:rsid w:val="00B138C6"/>
    <w:rsid w:val="00B149B2"/>
    <w:rsid w:val="00B154B5"/>
    <w:rsid w:val="00B1664E"/>
    <w:rsid w:val="00B17303"/>
    <w:rsid w:val="00B1744E"/>
    <w:rsid w:val="00B17466"/>
    <w:rsid w:val="00B20833"/>
    <w:rsid w:val="00B21343"/>
    <w:rsid w:val="00B219AA"/>
    <w:rsid w:val="00B21A5B"/>
    <w:rsid w:val="00B221C7"/>
    <w:rsid w:val="00B25143"/>
    <w:rsid w:val="00B2585D"/>
    <w:rsid w:val="00B25962"/>
    <w:rsid w:val="00B266FA"/>
    <w:rsid w:val="00B269DF"/>
    <w:rsid w:val="00B26C40"/>
    <w:rsid w:val="00B26D82"/>
    <w:rsid w:val="00B27359"/>
    <w:rsid w:val="00B30BA2"/>
    <w:rsid w:val="00B31DDF"/>
    <w:rsid w:val="00B33FC2"/>
    <w:rsid w:val="00B3423E"/>
    <w:rsid w:val="00B347F1"/>
    <w:rsid w:val="00B34A99"/>
    <w:rsid w:val="00B3502B"/>
    <w:rsid w:val="00B35610"/>
    <w:rsid w:val="00B35755"/>
    <w:rsid w:val="00B35774"/>
    <w:rsid w:val="00B3599F"/>
    <w:rsid w:val="00B35C3E"/>
    <w:rsid w:val="00B36473"/>
    <w:rsid w:val="00B408FD"/>
    <w:rsid w:val="00B40BEA"/>
    <w:rsid w:val="00B40EC3"/>
    <w:rsid w:val="00B414C9"/>
    <w:rsid w:val="00B41D9D"/>
    <w:rsid w:val="00B44029"/>
    <w:rsid w:val="00B44FFA"/>
    <w:rsid w:val="00B45428"/>
    <w:rsid w:val="00B475CB"/>
    <w:rsid w:val="00B47943"/>
    <w:rsid w:val="00B50446"/>
    <w:rsid w:val="00B50A6E"/>
    <w:rsid w:val="00B512D2"/>
    <w:rsid w:val="00B527BF"/>
    <w:rsid w:val="00B52DC6"/>
    <w:rsid w:val="00B530FD"/>
    <w:rsid w:val="00B53920"/>
    <w:rsid w:val="00B53C03"/>
    <w:rsid w:val="00B53C9C"/>
    <w:rsid w:val="00B54B68"/>
    <w:rsid w:val="00B54C45"/>
    <w:rsid w:val="00B54FEB"/>
    <w:rsid w:val="00B558FE"/>
    <w:rsid w:val="00B56396"/>
    <w:rsid w:val="00B5639B"/>
    <w:rsid w:val="00B60A84"/>
    <w:rsid w:val="00B60C3E"/>
    <w:rsid w:val="00B615CB"/>
    <w:rsid w:val="00B61B22"/>
    <w:rsid w:val="00B62022"/>
    <w:rsid w:val="00B62634"/>
    <w:rsid w:val="00B6280B"/>
    <w:rsid w:val="00B63E30"/>
    <w:rsid w:val="00B645FA"/>
    <w:rsid w:val="00B64775"/>
    <w:rsid w:val="00B657AB"/>
    <w:rsid w:val="00B65AF9"/>
    <w:rsid w:val="00B663CD"/>
    <w:rsid w:val="00B677AD"/>
    <w:rsid w:val="00B67B4F"/>
    <w:rsid w:val="00B702CD"/>
    <w:rsid w:val="00B703A1"/>
    <w:rsid w:val="00B708C3"/>
    <w:rsid w:val="00B74D6E"/>
    <w:rsid w:val="00B763BE"/>
    <w:rsid w:val="00B777E9"/>
    <w:rsid w:val="00B77BB8"/>
    <w:rsid w:val="00B800EC"/>
    <w:rsid w:val="00B80354"/>
    <w:rsid w:val="00B81718"/>
    <w:rsid w:val="00B85A97"/>
    <w:rsid w:val="00B86278"/>
    <w:rsid w:val="00B86AF6"/>
    <w:rsid w:val="00B86E2A"/>
    <w:rsid w:val="00B877AA"/>
    <w:rsid w:val="00B87967"/>
    <w:rsid w:val="00B909E7"/>
    <w:rsid w:val="00B9389E"/>
    <w:rsid w:val="00B938DE"/>
    <w:rsid w:val="00B94EB5"/>
    <w:rsid w:val="00B956D9"/>
    <w:rsid w:val="00B96EA4"/>
    <w:rsid w:val="00B97282"/>
    <w:rsid w:val="00B97A3E"/>
    <w:rsid w:val="00BA21DC"/>
    <w:rsid w:val="00BA2F02"/>
    <w:rsid w:val="00BA2FFD"/>
    <w:rsid w:val="00BA3492"/>
    <w:rsid w:val="00BA428A"/>
    <w:rsid w:val="00BA5023"/>
    <w:rsid w:val="00BA5365"/>
    <w:rsid w:val="00BA5889"/>
    <w:rsid w:val="00BA58B6"/>
    <w:rsid w:val="00BA62AD"/>
    <w:rsid w:val="00BA6DBD"/>
    <w:rsid w:val="00BB0267"/>
    <w:rsid w:val="00BB078B"/>
    <w:rsid w:val="00BB0E0C"/>
    <w:rsid w:val="00BB2D6B"/>
    <w:rsid w:val="00BB37AF"/>
    <w:rsid w:val="00BB4349"/>
    <w:rsid w:val="00BB4769"/>
    <w:rsid w:val="00BB4C08"/>
    <w:rsid w:val="00BB543C"/>
    <w:rsid w:val="00BB61BE"/>
    <w:rsid w:val="00BB6AC3"/>
    <w:rsid w:val="00BB779D"/>
    <w:rsid w:val="00BC050A"/>
    <w:rsid w:val="00BC1866"/>
    <w:rsid w:val="00BC1DBD"/>
    <w:rsid w:val="00BC1FB6"/>
    <w:rsid w:val="00BC2414"/>
    <w:rsid w:val="00BC322A"/>
    <w:rsid w:val="00BC5092"/>
    <w:rsid w:val="00BC526B"/>
    <w:rsid w:val="00BC5737"/>
    <w:rsid w:val="00BC65A7"/>
    <w:rsid w:val="00BD16D2"/>
    <w:rsid w:val="00BD1747"/>
    <w:rsid w:val="00BD3C68"/>
    <w:rsid w:val="00BD421D"/>
    <w:rsid w:val="00BD4493"/>
    <w:rsid w:val="00BD5052"/>
    <w:rsid w:val="00BD6B87"/>
    <w:rsid w:val="00BD6FD8"/>
    <w:rsid w:val="00BD73FC"/>
    <w:rsid w:val="00BD79B1"/>
    <w:rsid w:val="00BD7FF4"/>
    <w:rsid w:val="00BE04D9"/>
    <w:rsid w:val="00BE08EF"/>
    <w:rsid w:val="00BE0BCC"/>
    <w:rsid w:val="00BE21D7"/>
    <w:rsid w:val="00BE4614"/>
    <w:rsid w:val="00BE4E6F"/>
    <w:rsid w:val="00BE5100"/>
    <w:rsid w:val="00BE529D"/>
    <w:rsid w:val="00BE53DD"/>
    <w:rsid w:val="00BE573E"/>
    <w:rsid w:val="00BE6584"/>
    <w:rsid w:val="00BE6637"/>
    <w:rsid w:val="00BE749B"/>
    <w:rsid w:val="00BE7D8D"/>
    <w:rsid w:val="00BF0A16"/>
    <w:rsid w:val="00BF0CD3"/>
    <w:rsid w:val="00BF10E8"/>
    <w:rsid w:val="00BF2033"/>
    <w:rsid w:val="00BF3158"/>
    <w:rsid w:val="00BF3169"/>
    <w:rsid w:val="00BF4F1E"/>
    <w:rsid w:val="00BF51B7"/>
    <w:rsid w:val="00BF56BE"/>
    <w:rsid w:val="00BF6109"/>
    <w:rsid w:val="00BF67F5"/>
    <w:rsid w:val="00BF706F"/>
    <w:rsid w:val="00C00953"/>
    <w:rsid w:val="00C00F38"/>
    <w:rsid w:val="00C0314D"/>
    <w:rsid w:val="00C03312"/>
    <w:rsid w:val="00C03532"/>
    <w:rsid w:val="00C039A5"/>
    <w:rsid w:val="00C03A04"/>
    <w:rsid w:val="00C03C67"/>
    <w:rsid w:val="00C046F7"/>
    <w:rsid w:val="00C064FE"/>
    <w:rsid w:val="00C066AB"/>
    <w:rsid w:val="00C06EA1"/>
    <w:rsid w:val="00C10C0B"/>
    <w:rsid w:val="00C10DD5"/>
    <w:rsid w:val="00C11F76"/>
    <w:rsid w:val="00C12989"/>
    <w:rsid w:val="00C14D9F"/>
    <w:rsid w:val="00C15533"/>
    <w:rsid w:val="00C15A27"/>
    <w:rsid w:val="00C15FEF"/>
    <w:rsid w:val="00C165A1"/>
    <w:rsid w:val="00C1776A"/>
    <w:rsid w:val="00C20301"/>
    <w:rsid w:val="00C20BBA"/>
    <w:rsid w:val="00C20FFB"/>
    <w:rsid w:val="00C22519"/>
    <w:rsid w:val="00C22F12"/>
    <w:rsid w:val="00C2305C"/>
    <w:rsid w:val="00C233D0"/>
    <w:rsid w:val="00C2380D"/>
    <w:rsid w:val="00C2403B"/>
    <w:rsid w:val="00C24162"/>
    <w:rsid w:val="00C24E78"/>
    <w:rsid w:val="00C2509D"/>
    <w:rsid w:val="00C25373"/>
    <w:rsid w:val="00C2539D"/>
    <w:rsid w:val="00C2796E"/>
    <w:rsid w:val="00C27A2E"/>
    <w:rsid w:val="00C302BD"/>
    <w:rsid w:val="00C34ABD"/>
    <w:rsid w:val="00C353CF"/>
    <w:rsid w:val="00C35F43"/>
    <w:rsid w:val="00C363A9"/>
    <w:rsid w:val="00C3658D"/>
    <w:rsid w:val="00C36C55"/>
    <w:rsid w:val="00C37088"/>
    <w:rsid w:val="00C3715E"/>
    <w:rsid w:val="00C3770A"/>
    <w:rsid w:val="00C408C2"/>
    <w:rsid w:val="00C408D5"/>
    <w:rsid w:val="00C40ADC"/>
    <w:rsid w:val="00C40B77"/>
    <w:rsid w:val="00C41D3C"/>
    <w:rsid w:val="00C42398"/>
    <w:rsid w:val="00C43801"/>
    <w:rsid w:val="00C43CD1"/>
    <w:rsid w:val="00C44A07"/>
    <w:rsid w:val="00C44BDC"/>
    <w:rsid w:val="00C45BFB"/>
    <w:rsid w:val="00C45DCE"/>
    <w:rsid w:val="00C46085"/>
    <w:rsid w:val="00C469DE"/>
    <w:rsid w:val="00C46D15"/>
    <w:rsid w:val="00C50C7D"/>
    <w:rsid w:val="00C50FF9"/>
    <w:rsid w:val="00C54B14"/>
    <w:rsid w:val="00C6352A"/>
    <w:rsid w:val="00C64566"/>
    <w:rsid w:val="00C64E1A"/>
    <w:rsid w:val="00C65B2D"/>
    <w:rsid w:val="00C65C5D"/>
    <w:rsid w:val="00C65DA0"/>
    <w:rsid w:val="00C6656A"/>
    <w:rsid w:val="00C66C03"/>
    <w:rsid w:val="00C711E5"/>
    <w:rsid w:val="00C730CB"/>
    <w:rsid w:val="00C731FC"/>
    <w:rsid w:val="00C73782"/>
    <w:rsid w:val="00C74107"/>
    <w:rsid w:val="00C77084"/>
    <w:rsid w:val="00C8019C"/>
    <w:rsid w:val="00C80D90"/>
    <w:rsid w:val="00C81B05"/>
    <w:rsid w:val="00C83AEE"/>
    <w:rsid w:val="00C84CAA"/>
    <w:rsid w:val="00C85531"/>
    <w:rsid w:val="00C85563"/>
    <w:rsid w:val="00C85AC7"/>
    <w:rsid w:val="00C85B0B"/>
    <w:rsid w:val="00C87F13"/>
    <w:rsid w:val="00C9003E"/>
    <w:rsid w:val="00C9045E"/>
    <w:rsid w:val="00C90466"/>
    <w:rsid w:val="00C906CD"/>
    <w:rsid w:val="00C90806"/>
    <w:rsid w:val="00C90F10"/>
    <w:rsid w:val="00C9133D"/>
    <w:rsid w:val="00C9183A"/>
    <w:rsid w:val="00C92840"/>
    <w:rsid w:val="00C934E0"/>
    <w:rsid w:val="00C94A2F"/>
    <w:rsid w:val="00C958A5"/>
    <w:rsid w:val="00C961CA"/>
    <w:rsid w:val="00C96454"/>
    <w:rsid w:val="00CA0624"/>
    <w:rsid w:val="00CA08DA"/>
    <w:rsid w:val="00CA0FB8"/>
    <w:rsid w:val="00CA15F3"/>
    <w:rsid w:val="00CA2680"/>
    <w:rsid w:val="00CA4D23"/>
    <w:rsid w:val="00CA522F"/>
    <w:rsid w:val="00CA6716"/>
    <w:rsid w:val="00CA7FB2"/>
    <w:rsid w:val="00CB036A"/>
    <w:rsid w:val="00CB0D34"/>
    <w:rsid w:val="00CB2524"/>
    <w:rsid w:val="00CB3818"/>
    <w:rsid w:val="00CB5559"/>
    <w:rsid w:val="00CB79F7"/>
    <w:rsid w:val="00CC0C22"/>
    <w:rsid w:val="00CC18C0"/>
    <w:rsid w:val="00CC1939"/>
    <w:rsid w:val="00CC23EB"/>
    <w:rsid w:val="00CC42D4"/>
    <w:rsid w:val="00CC4364"/>
    <w:rsid w:val="00CC5530"/>
    <w:rsid w:val="00CC64E3"/>
    <w:rsid w:val="00CC7712"/>
    <w:rsid w:val="00CC774A"/>
    <w:rsid w:val="00CD179A"/>
    <w:rsid w:val="00CD2030"/>
    <w:rsid w:val="00CD2536"/>
    <w:rsid w:val="00CD3C43"/>
    <w:rsid w:val="00CD407F"/>
    <w:rsid w:val="00CD5740"/>
    <w:rsid w:val="00CD7420"/>
    <w:rsid w:val="00CE0BA7"/>
    <w:rsid w:val="00CE2FAA"/>
    <w:rsid w:val="00CE354C"/>
    <w:rsid w:val="00CE36EF"/>
    <w:rsid w:val="00CE3FC3"/>
    <w:rsid w:val="00CE552B"/>
    <w:rsid w:val="00CE6ACB"/>
    <w:rsid w:val="00CE6D09"/>
    <w:rsid w:val="00CE7375"/>
    <w:rsid w:val="00CF0E4D"/>
    <w:rsid w:val="00CF0FB5"/>
    <w:rsid w:val="00CF19C6"/>
    <w:rsid w:val="00CF230D"/>
    <w:rsid w:val="00CF26A6"/>
    <w:rsid w:val="00CF2A98"/>
    <w:rsid w:val="00CF5489"/>
    <w:rsid w:val="00CF68B5"/>
    <w:rsid w:val="00CF7615"/>
    <w:rsid w:val="00CF7823"/>
    <w:rsid w:val="00D003F8"/>
    <w:rsid w:val="00D0052C"/>
    <w:rsid w:val="00D01121"/>
    <w:rsid w:val="00D01540"/>
    <w:rsid w:val="00D01591"/>
    <w:rsid w:val="00D01AFE"/>
    <w:rsid w:val="00D01ECB"/>
    <w:rsid w:val="00D02757"/>
    <w:rsid w:val="00D02FB7"/>
    <w:rsid w:val="00D037B6"/>
    <w:rsid w:val="00D04613"/>
    <w:rsid w:val="00D05C77"/>
    <w:rsid w:val="00D07739"/>
    <w:rsid w:val="00D10769"/>
    <w:rsid w:val="00D11642"/>
    <w:rsid w:val="00D116C7"/>
    <w:rsid w:val="00D13459"/>
    <w:rsid w:val="00D13AC5"/>
    <w:rsid w:val="00D14E5F"/>
    <w:rsid w:val="00D14FB2"/>
    <w:rsid w:val="00D16754"/>
    <w:rsid w:val="00D17548"/>
    <w:rsid w:val="00D17604"/>
    <w:rsid w:val="00D17CC6"/>
    <w:rsid w:val="00D2041E"/>
    <w:rsid w:val="00D20454"/>
    <w:rsid w:val="00D20D10"/>
    <w:rsid w:val="00D23801"/>
    <w:rsid w:val="00D25AEC"/>
    <w:rsid w:val="00D25B2F"/>
    <w:rsid w:val="00D27E9B"/>
    <w:rsid w:val="00D3037E"/>
    <w:rsid w:val="00D305AC"/>
    <w:rsid w:val="00D308C1"/>
    <w:rsid w:val="00D32074"/>
    <w:rsid w:val="00D32376"/>
    <w:rsid w:val="00D326DD"/>
    <w:rsid w:val="00D32889"/>
    <w:rsid w:val="00D33DBD"/>
    <w:rsid w:val="00D341C9"/>
    <w:rsid w:val="00D3447D"/>
    <w:rsid w:val="00D3488B"/>
    <w:rsid w:val="00D35F32"/>
    <w:rsid w:val="00D361DE"/>
    <w:rsid w:val="00D3629B"/>
    <w:rsid w:val="00D36680"/>
    <w:rsid w:val="00D37212"/>
    <w:rsid w:val="00D37427"/>
    <w:rsid w:val="00D3793E"/>
    <w:rsid w:val="00D37E78"/>
    <w:rsid w:val="00D37FB2"/>
    <w:rsid w:val="00D404C7"/>
    <w:rsid w:val="00D4065D"/>
    <w:rsid w:val="00D407A5"/>
    <w:rsid w:val="00D41A6A"/>
    <w:rsid w:val="00D4233A"/>
    <w:rsid w:val="00D4334E"/>
    <w:rsid w:val="00D4398D"/>
    <w:rsid w:val="00D44B3D"/>
    <w:rsid w:val="00D46787"/>
    <w:rsid w:val="00D46C4C"/>
    <w:rsid w:val="00D506CF"/>
    <w:rsid w:val="00D51F18"/>
    <w:rsid w:val="00D52DA3"/>
    <w:rsid w:val="00D52E5A"/>
    <w:rsid w:val="00D53537"/>
    <w:rsid w:val="00D53638"/>
    <w:rsid w:val="00D54E9E"/>
    <w:rsid w:val="00D551C8"/>
    <w:rsid w:val="00D55972"/>
    <w:rsid w:val="00D564BB"/>
    <w:rsid w:val="00D565FA"/>
    <w:rsid w:val="00D5674B"/>
    <w:rsid w:val="00D56758"/>
    <w:rsid w:val="00D568ED"/>
    <w:rsid w:val="00D56BF9"/>
    <w:rsid w:val="00D56E3F"/>
    <w:rsid w:val="00D571B4"/>
    <w:rsid w:val="00D6014E"/>
    <w:rsid w:val="00D6190A"/>
    <w:rsid w:val="00D630E7"/>
    <w:rsid w:val="00D6311D"/>
    <w:rsid w:val="00D640BA"/>
    <w:rsid w:val="00D64C56"/>
    <w:rsid w:val="00D66F17"/>
    <w:rsid w:val="00D700E5"/>
    <w:rsid w:val="00D70900"/>
    <w:rsid w:val="00D71B77"/>
    <w:rsid w:val="00D74A87"/>
    <w:rsid w:val="00D75255"/>
    <w:rsid w:val="00D75CE3"/>
    <w:rsid w:val="00D76186"/>
    <w:rsid w:val="00D771E9"/>
    <w:rsid w:val="00D817F1"/>
    <w:rsid w:val="00D818C9"/>
    <w:rsid w:val="00D833B5"/>
    <w:rsid w:val="00D85AFB"/>
    <w:rsid w:val="00D86C20"/>
    <w:rsid w:val="00D86DD4"/>
    <w:rsid w:val="00D909BB"/>
    <w:rsid w:val="00D90EE6"/>
    <w:rsid w:val="00D92529"/>
    <w:rsid w:val="00DA1613"/>
    <w:rsid w:val="00DA32BB"/>
    <w:rsid w:val="00DA330A"/>
    <w:rsid w:val="00DA5AAB"/>
    <w:rsid w:val="00DA671A"/>
    <w:rsid w:val="00DA67F4"/>
    <w:rsid w:val="00DA6858"/>
    <w:rsid w:val="00DA7CBB"/>
    <w:rsid w:val="00DB08FA"/>
    <w:rsid w:val="00DB1CD7"/>
    <w:rsid w:val="00DB2086"/>
    <w:rsid w:val="00DB2651"/>
    <w:rsid w:val="00DB30B1"/>
    <w:rsid w:val="00DB31FF"/>
    <w:rsid w:val="00DB365A"/>
    <w:rsid w:val="00DB37A7"/>
    <w:rsid w:val="00DB3B63"/>
    <w:rsid w:val="00DB3ECD"/>
    <w:rsid w:val="00DB4717"/>
    <w:rsid w:val="00DB79D5"/>
    <w:rsid w:val="00DC0F8C"/>
    <w:rsid w:val="00DC12C8"/>
    <w:rsid w:val="00DC6AB5"/>
    <w:rsid w:val="00DC6F31"/>
    <w:rsid w:val="00DC7004"/>
    <w:rsid w:val="00DC7FFD"/>
    <w:rsid w:val="00DD0277"/>
    <w:rsid w:val="00DD1B11"/>
    <w:rsid w:val="00DD1B33"/>
    <w:rsid w:val="00DD231C"/>
    <w:rsid w:val="00DD686D"/>
    <w:rsid w:val="00DD6D82"/>
    <w:rsid w:val="00DD71A8"/>
    <w:rsid w:val="00DE045E"/>
    <w:rsid w:val="00DE1240"/>
    <w:rsid w:val="00DE1AA5"/>
    <w:rsid w:val="00DE231A"/>
    <w:rsid w:val="00DE23D6"/>
    <w:rsid w:val="00DE2825"/>
    <w:rsid w:val="00DE29B9"/>
    <w:rsid w:val="00DE2CB6"/>
    <w:rsid w:val="00DE2DDE"/>
    <w:rsid w:val="00DE395F"/>
    <w:rsid w:val="00DE5414"/>
    <w:rsid w:val="00DE5BAE"/>
    <w:rsid w:val="00DE6B47"/>
    <w:rsid w:val="00DE7566"/>
    <w:rsid w:val="00DE7E46"/>
    <w:rsid w:val="00DF066D"/>
    <w:rsid w:val="00DF0C37"/>
    <w:rsid w:val="00DF24FD"/>
    <w:rsid w:val="00DF2506"/>
    <w:rsid w:val="00DF2F26"/>
    <w:rsid w:val="00DF301A"/>
    <w:rsid w:val="00DF3469"/>
    <w:rsid w:val="00DF3BE2"/>
    <w:rsid w:val="00DF4E2C"/>
    <w:rsid w:val="00DF4E34"/>
    <w:rsid w:val="00DF5A5A"/>
    <w:rsid w:val="00DF5ACC"/>
    <w:rsid w:val="00DF6A93"/>
    <w:rsid w:val="00DF75EC"/>
    <w:rsid w:val="00E0133D"/>
    <w:rsid w:val="00E01654"/>
    <w:rsid w:val="00E0199E"/>
    <w:rsid w:val="00E019ED"/>
    <w:rsid w:val="00E01B31"/>
    <w:rsid w:val="00E02392"/>
    <w:rsid w:val="00E0312F"/>
    <w:rsid w:val="00E04C48"/>
    <w:rsid w:val="00E05C97"/>
    <w:rsid w:val="00E05DA6"/>
    <w:rsid w:val="00E06065"/>
    <w:rsid w:val="00E07901"/>
    <w:rsid w:val="00E079C6"/>
    <w:rsid w:val="00E11756"/>
    <w:rsid w:val="00E11C3D"/>
    <w:rsid w:val="00E1273C"/>
    <w:rsid w:val="00E1434A"/>
    <w:rsid w:val="00E146CF"/>
    <w:rsid w:val="00E14BED"/>
    <w:rsid w:val="00E163A5"/>
    <w:rsid w:val="00E17711"/>
    <w:rsid w:val="00E17F53"/>
    <w:rsid w:val="00E20A70"/>
    <w:rsid w:val="00E21745"/>
    <w:rsid w:val="00E23C05"/>
    <w:rsid w:val="00E2425F"/>
    <w:rsid w:val="00E242F0"/>
    <w:rsid w:val="00E245B0"/>
    <w:rsid w:val="00E2461C"/>
    <w:rsid w:val="00E247E2"/>
    <w:rsid w:val="00E27D32"/>
    <w:rsid w:val="00E27F00"/>
    <w:rsid w:val="00E30431"/>
    <w:rsid w:val="00E304EB"/>
    <w:rsid w:val="00E329D0"/>
    <w:rsid w:val="00E330AD"/>
    <w:rsid w:val="00E33746"/>
    <w:rsid w:val="00E342B3"/>
    <w:rsid w:val="00E34408"/>
    <w:rsid w:val="00E3451F"/>
    <w:rsid w:val="00E3456A"/>
    <w:rsid w:val="00E34B80"/>
    <w:rsid w:val="00E36ADF"/>
    <w:rsid w:val="00E36B53"/>
    <w:rsid w:val="00E374D1"/>
    <w:rsid w:val="00E37585"/>
    <w:rsid w:val="00E40353"/>
    <w:rsid w:val="00E41B64"/>
    <w:rsid w:val="00E42C35"/>
    <w:rsid w:val="00E43E70"/>
    <w:rsid w:val="00E469D5"/>
    <w:rsid w:val="00E46CD5"/>
    <w:rsid w:val="00E500D9"/>
    <w:rsid w:val="00E50145"/>
    <w:rsid w:val="00E51AB5"/>
    <w:rsid w:val="00E51DFD"/>
    <w:rsid w:val="00E52345"/>
    <w:rsid w:val="00E52660"/>
    <w:rsid w:val="00E52763"/>
    <w:rsid w:val="00E53EF0"/>
    <w:rsid w:val="00E541C7"/>
    <w:rsid w:val="00E544F2"/>
    <w:rsid w:val="00E563AE"/>
    <w:rsid w:val="00E57B52"/>
    <w:rsid w:val="00E60CC3"/>
    <w:rsid w:val="00E61028"/>
    <w:rsid w:val="00E638B2"/>
    <w:rsid w:val="00E6514E"/>
    <w:rsid w:val="00E65B70"/>
    <w:rsid w:val="00E662CD"/>
    <w:rsid w:val="00E67427"/>
    <w:rsid w:val="00E676F1"/>
    <w:rsid w:val="00E715BA"/>
    <w:rsid w:val="00E72398"/>
    <w:rsid w:val="00E73271"/>
    <w:rsid w:val="00E735DA"/>
    <w:rsid w:val="00E74214"/>
    <w:rsid w:val="00E74762"/>
    <w:rsid w:val="00E74D52"/>
    <w:rsid w:val="00E75855"/>
    <w:rsid w:val="00E75BC6"/>
    <w:rsid w:val="00E7609C"/>
    <w:rsid w:val="00E8037A"/>
    <w:rsid w:val="00E82556"/>
    <w:rsid w:val="00E85CBE"/>
    <w:rsid w:val="00E86566"/>
    <w:rsid w:val="00E875F5"/>
    <w:rsid w:val="00E9094D"/>
    <w:rsid w:val="00E92527"/>
    <w:rsid w:val="00E92A93"/>
    <w:rsid w:val="00E93620"/>
    <w:rsid w:val="00E959A0"/>
    <w:rsid w:val="00E95BF0"/>
    <w:rsid w:val="00E95D22"/>
    <w:rsid w:val="00E97045"/>
    <w:rsid w:val="00E97DA3"/>
    <w:rsid w:val="00EA134B"/>
    <w:rsid w:val="00EA270C"/>
    <w:rsid w:val="00EA3185"/>
    <w:rsid w:val="00EA36EA"/>
    <w:rsid w:val="00EA466B"/>
    <w:rsid w:val="00EA5B33"/>
    <w:rsid w:val="00EA5C69"/>
    <w:rsid w:val="00EA5CB5"/>
    <w:rsid w:val="00EA5CF4"/>
    <w:rsid w:val="00EA72FC"/>
    <w:rsid w:val="00EA7A6C"/>
    <w:rsid w:val="00EB09B9"/>
    <w:rsid w:val="00EB3C52"/>
    <w:rsid w:val="00EB6B43"/>
    <w:rsid w:val="00EB76F7"/>
    <w:rsid w:val="00EB7CB1"/>
    <w:rsid w:val="00EC0569"/>
    <w:rsid w:val="00EC0C7B"/>
    <w:rsid w:val="00EC1C35"/>
    <w:rsid w:val="00EC1F63"/>
    <w:rsid w:val="00EC59E5"/>
    <w:rsid w:val="00EC5E45"/>
    <w:rsid w:val="00EC608C"/>
    <w:rsid w:val="00EC61C2"/>
    <w:rsid w:val="00ED0557"/>
    <w:rsid w:val="00ED0CF0"/>
    <w:rsid w:val="00ED2AFF"/>
    <w:rsid w:val="00ED34D4"/>
    <w:rsid w:val="00ED3D84"/>
    <w:rsid w:val="00ED40FF"/>
    <w:rsid w:val="00ED42FF"/>
    <w:rsid w:val="00ED5E6C"/>
    <w:rsid w:val="00ED766C"/>
    <w:rsid w:val="00ED76FB"/>
    <w:rsid w:val="00EE05C2"/>
    <w:rsid w:val="00EE0D01"/>
    <w:rsid w:val="00EE28F6"/>
    <w:rsid w:val="00EE30EE"/>
    <w:rsid w:val="00EE3C6D"/>
    <w:rsid w:val="00EE48D0"/>
    <w:rsid w:val="00EE4C6E"/>
    <w:rsid w:val="00EE5135"/>
    <w:rsid w:val="00EE526A"/>
    <w:rsid w:val="00EE558C"/>
    <w:rsid w:val="00EE61BE"/>
    <w:rsid w:val="00EE6DE6"/>
    <w:rsid w:val="00EF057C"/>
    <w:rsid w:val="00EF1436"/>
    <w:rsid w:val="00EF1D14"/>
    <w:rsid w:val="00EF27D0"/>
    <w:rsid w:val="00EF3B3E"/>
    <w:rsid w:val="00EF4107"/>
    <w:rsid w:val="00EF4715"/>
    <w:rsid w:val="00EF4FEE"/>
    <w:rsid w:val="00EF6873"/>
    <w:rsid w:val="00EF6F24"/>
    <w:rsid w:val="00EF7143"/>
    <w:rsid w:val="00F0080B"/>
    <w:rsid w:val="00F00BE1"/>
    <w:rsid w:val="00F014BE"/>
    <w:rsid w:val="00F01B31"/>
    <w:rsid w:val="00F027B0"/>
    <w:rsid w:val="00F03AB9"/>
    <w:rsid w:val="00F03CF7"/>
    <w:rsid w:val="00F03F4E"/>
    <w:rsid w:val="00F0439A"/>
    <w:rsid w:val="00F06479"/>
    <w:rsid w:val="00F06B29"/>
    <w:rsid w:val="00F076C5"/>
    <w:rsid w:val="00F10B0A"/>
    <w:rsid w:val="00F120D9"/>
    <w:rsid w:val="00F124BE"/>
    <w:rsid w:val="00F125DE"/>
    <w:rsid w:val="00F12A9F"/>
    <w:rsid w:val="00F1433F"/>
    <w:rsid w:val="00F148FE"/>
    <w:rsid w:val="00F14C13"/>
    <w:rsid w:val="00F21EFA"/>
    <w:rsid w:val="00F2254A"/>
    <w:rsid w:val="00F22EDB"/>
    <w:rsid w:val="00F24232"/>
    <w:rsid w:val="00F25222"/>
    <w:rsid w:val="00F2526C"/>
    <w:rsid w:val="00F27170"/>
    <w:rsid w:val="00F27B2F"/>
    <w:rsid w:val="00F30016"/>
    <w:rsid w:val="00F30CE5"/>
    <w:rsid w:val="00F3144A"/>
    <w:rsid w:val="00F31C75"/>
    <w:rsid w:val="00F32543"/>
    <w:rsid w:val="00F33277"/>
    <w:rsid w:val="00F339D7"/>
    <w:rsid w:val="00F33CE0"/>
    <w:rsid w:val="00F340CD"/>
    <w:rsid w:val="00F341CC"/>
    <w:rsid w:val="00F34375"/>
    <w:rsid w:val="00F34E67"/>
    <w:rsid w:val="00F3582B"/>
    <w:rsid w:val="00F36B6C"/>
    <w:rsid w:val="00F36D10"/>
    <w:rsid w:val="00F40CAB"/>
    <w:rsid w:val="00F41DDA"/>
    <w:rsid w:val="00F41FB3"/>
    <w:rsid w:val="00F4352E"/>
    <w:rsid w:val="00F43960"/>
    <w:rsid w:val="00F43C3C"/>
    <w:rsid w:val="00F459C7"/>
    <w:rsid w:val="00F45D8C"/>
    <w:rsid w:val="00F47C5C"/>
    <w:rsid w:val="00F50173"/>
    <w:rsid w:val="00F53166"/>
    <w:rsid w:val="00F54856"/>
    <w:rsid w:val="00F55337"/>
    <w:rsid w:val="00F5565E"/>
    <w:rsid w:val="00F55D35"/>
    <w:rsid w:val="00F56AF3"/>
    <w:rsid w:val="00F56CB9"/>
    <w:rsid w:val="00F57650"/>
    <w:rsid w:val="00F579FC"/>
    <w:rsid w:val="00F602F9"/>
    <w:rsid w:val="00F6089D"/>
    <w:rsid w:val="00F60C74"/>
    <w:rsid w:val="00F61841"/>
    <w:rsid w:val="00F6257F"/>
    <w:rsid w:val="00F62773"/>
    <w:rsid w:val="00F62FE5"/>
    <w:rsid w:val="00F64DD3"/>
    <w:rsid w:val="00F64F51"/>
    <w:rsid w:val="00F66122"/>
    <w:rsid w:val="00F666FD"/>
    <w:rsid w:val="00F67099"/>
    <w:rsid w:val="00F67A35"/>
    <w:rsid w:val="00F70139"/>
    <w:rsid w:val="00F72620"/>
    <w:rsid w:val="00F759AD"/>
    <w:rsid w:val="00F765E8"/>
    <w:rsid w:val="00F7768D"/>
    <w:rsid w:val="00F8200C"/>
    <w:rsid w:val="00F85D77"/>
    <w:rsid w:val="00F86D88"/>
    <w:rsid w:val="00F87FA7"/>
    <w:rsid w:val="00F90898"/>
    <w:rsid w:val="00F914C8"/>
    <w:rsid w:val="00F914EA"/>
    <w:rsid w:val="00F92853"/>
    <w:rsid w:val="00F92EAE"/>
    <w:rsid w:val="00F93B43"/>
    <w:rsid w:val="00F9473C"/>
    <w:rsid w:val="00FA0942"/>
    <w:rsid w:val="00FA40A3"/>
    <w:rsid w:val="00FA45CD"/>
    <w:rsid w:val="00FA5B17"/>
    <w:rsid w:val="00FB301E"/>
    <w:rsid w:val="00FB33FA"/>
    <w:rsid w:val="00FB3BA6"/>
    <w:rsid w:val="00FB4D65"/>
    <w:rsid w:val="00FB519B"/>
    <w:rsid w:val="00FB5954"/>
    <w:rsid w:val="00FB6695"/>
    <w:rsid w:val="00FC0253"/>
    <w:rsid w:val="00FC0CDF"/>
    <w:rsid w:val="00FC0D7C"/>
    <w:rsid w:val="00FC163A"/>
    <w:rsid w:val="00FC183A"/>
    <w:rsid w:val="00FC19F5"/>
    <w:rsid w:val="00FC3D1C"/>
    <w:rsid w:val="00FC5F90"/>
    <w:rsid w:val="00FC64F3"/>
    <w:rsid w:val="00FD08A7"/>
    <w:rsid w:val="00FD1295"/>
    <w:rsid w:val="00FD2E55"/>
    <w:rsid w:val="00FD2FA9"/>
    <w:rsid w:val="00FD3572"/>
    <w:rsid w:val="00FD510B"/>
    <w:rsid w:val="00FD5360"/>
    <w:rsid w:val="00FD544F"/>
    <w:rsid w:val="00FD54CC"/>
    <w:rsid w:val="00FD6E0A"/>
    <w:rsid w:val="00FE06A2"/>
    <w:rsid w:val="00FE0CE6"/>
    <w:rsid w:val="00FE28C8"/>
    <w:rsid w:val="00FE2C3A"/>
    <w:rsid w:val="00FE452D"/>
    <w:rsid w:val="00FE4CFC"/>
    <w:rsid w:val="00FE79EF"/>
    <w:rsid w:val="00FF025A"/>
    <w:rsid w:val="00FF088B"/>
    <w:rsid w:val="00FF0AC4"/>
    <w:rsid w:val="00FF10AF"/>
    <w:rsid w:val="00FF1304"/>
    <w:rsid w:val="00FF208B"/>
    <w:rsid w:val="00FF23FB"/>
    <w:rsid w:val="00FF334E"/>
    <w:rsid w:val="00FF394B"/>
    <w:rsid w:val="00FF4604"/>
    <w:rsid w:val="00FF4C00"/>
    <w:rsid w:val="00FF5EB9"/>
    <w:rsid w:val="00FF6F14"/>
    <w:rsid w:val="00FF772A"/>
    <w:rsid w:val="00FF7C6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03918231-BD98-43FE-BBB4-16C17BA2A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A35"/>
    <w:pPr>
      <w:spacing w:after="120"/>
      <w:ind w:left="1134"/>
      <w:jc w:val="both"/>
    </w:pPr>
    <w:rPr>
      <w:sz w:val="24"/>
      <w:szCs w:val="24"/>
      <w:lang w:eastAsia="en-US"/>
    </w:rPr>
  </w:style>
  <w:style w:type="paragraph" w:styleId="Ttulo2">
    <w:name w:val="heading 2"/>
    <w:basedOn w:val="Normal"/>
    <w:next w:val="Normal"/>
    <w:link w:val="Ttulo2Char"/>
    <w:qFormat/>
    <w:rsid w:val="00AE1AB0"/>
    <w:pPr>
      <w:keepNext/>
      <w:spacing w:after="0"/>
      <w:ind w:left="708" w:firstLine="708"/>
      <w:jc w:val="center"/>
      <w:outlineLvl w:val="1"/>
    </w:pPr>
    <w:rPr>
      <w:rFonts w:eastAsia="Times New Roman"/>
      <w:szCs w:val="20"/>
      <w:lang w:eastAsia="pt-BR"/>
    </w:rPr>
  </w:style>
  <w:style w:type="paragraph" w:styleId="Ttulo3">
    <w:name w:val="heading 3"/>
    <w:basedOn w:val="Normal"/>
    <w:next w:val="Normal"/>
    <w:link w:val="Ttulo3Char"/>
    <w:uiPriority w:val="9"/>
    <w:semiHidden/>
    <w:unhideWhenUsed/>
    <w:qFormat/>
    <w:rsid w:val="005438A1"/>
    <w:pPr>
      <w:keepNext/>
      <w:spacing w:before="240" w:after="60"/>
      <w:outlineLvl w:val="2"/>
    </w:pPr>
    <w:rPr>
      <w:rFonts w:ascii="Cambria" w:eastAsia="Times New Roman" w:hAnsi="Cambria"/>
      <w:b/>
      <w:bCs/>
      <w:sz w:val="26"/>
      <w:szCs w:val="26"/>
    </w:rPr>
  </w:style>
  <w:style w:type="paragraph" w:styleId="Ttulo4">
    <w:name w:val="heading 4"/>
    <w:basedOn w:val="Normal"/>
    <w:next w:val="Normal"/>
    <w:link w:val="Ttulo4Char"/>
    <w:uiPriority w:val="9"/>
    <w:semiHidden/>
    <w:unhideWhenUsed/>
    <w:qFormat/>
    <w:rsid w:val="005438A1"/>
    <w:pPr>
      <w:keepNext/>
      <w:spacing w:before="240" w:after="60"/>
      <w:outlineLvl w:val="3"/>
    </w:pPr>
    <w:rPr>
      <w:rFonts w:ascii="Calibri" w:eastAsia="Times New Roman" w:hAnsi="Calibri"/>
      <w:b/>
      <w:bCs/>
      <w:sz w:val="28"/>
      <w:szCs w:val="28"/>
    </w:rPr>
  </w:style>
  <w:style w:type="paragraph" w:styleId="Ttulo5">
    <w:name w:val="heading 5"/>
    <w:basedOn w:val="Normal"/>
    <w:next w:val="Normal"/>
    <w:link w:val="Ttulo5Char"/>
    <w:uiPriority w:val="9"/>
    <w:unhideWhenUsed/>
    <w:qFormat/>
    <w:rsid w:val="005438A1"/>
    <w:pPr>
      <w:keepNext/>
      <w:keepLines/>
      <w:spacing w:before="200" w:after="0"/>
      <w:ind w:left="0"/>
      <w:jc w:val="left"/>
      <w:outlineLvl w:val="4"/>
    </w:pPr>
    <w:rPr>
      <w:rFonts w:ascii="Cambria" w:eastAsia="Times New Roman" w:hAnsi="Cambria"/>
      <w:color w:val="243F60"/>
      <w:szCs w:val="22"/>
    </w:rPr>
  </w:style>
  <w:style w:type="paragraph" w:styleId="Ttulo6">
    <w:name w:val="heading 6"/>
    <w:basedOn w:val="Normal"/>
    <w:next w:val="Normal"/>
    <w:link w:val="Ttulo6Char"/>
    <w:uiPriority w:val="9"/>
    <w:semiHidden/>
    <w:unhideWhenUsed/>
    <w:qFormat/>
    <w:rsid w:val="00E75855"/>
    <w:pPr>
      <w:spacing w:before="240" w:after="60"/>
      <w:outlineLvl w:val="5"/>
    </w:pPr>
    <w:rPr>
      <w:rFonts w:ascii="Calibri" w:eastAsia="Times New Roman" w:hAnsi="Calibri"/>
      <w:b/>
      <w:bCs/>
      <w:sz w:val="22"/>
      <w:szCs w:val="22"/>
    </w:rPr>
  </w:style>
  <w:style w:type="paragraph" w:styleId="Ttulo8">
    <w:name w:val="heading 8"/>
    <w:basedOn w:val="Normal"/>
    <w:next w:val="Normal"/>
    <w:link w:val="Ttulo8Char"/>
    <w:uiPriority w:val="9"/>
    <w:unhideWhenUsed/>
    <w:qFormat/>
    <w:rsid w:val="00515E7B"/>
    <w:pPr>
      <w:spacing w:before="240" w:after="60"/>
      <w:outlineLvl w:val="7"/>
    </w:pPr>
    <w:rPr>
      <w:rFonts w:ascii="Calibri" w:eastAsia="Times New Roman" w:hAnsi="Calibri"/>
      <w:i/>
      <w:iCs/>
    </w:rPr>
  </w:style>
  <w:style w:type="paragraph" w:styleId="Ttulo9">
    <w:name w:val="heading 9"/>
    <w:basedOn w:val="Normal"/>
    <w:next w:val="Normal"/>
    <w:link w:val="Ttulo9Char"/>
    <w:uiPriority w:val="9"/>
    <w:semiHidden/>
    <w:unhideWhenUsed/>
    <w:qFormat/>
    <w:rsid w:val="00515E7B"/>
    <w:pPr>
      <w:spacing w:before="240" w:after="60"/>
      <w:outlineLvl w:val="8"/>
    </w:pPr>
    <w:rPr>
      <w:rFonts w:ascii="Cambria" w:eastAsia="Times New Roman" w:hAnsi="Cambria"/>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8B0547"/>
    <w:pPr>
      <w:tabs>
        <w:tab w:val="center" w:pos="4252"/>
        <w:tab w:val="right" w:pos="8504"/>
      </w:tabs>
      <w:spacing w:after="0"/>
    </w:pPr>
  </w:style>
  <w:style w:type="character" w:customStyle="1" w:styleId="CabealhoChar">
    <w:name w:val="Cabeçalho Char"/>
    <w:basedOn w:val="Fontepargpadro"/>
    <w:link w:val="Cabealho"/>
    <w:uiPriority w:val="99"/>
    <w:rsid w:val="008B0547"/>
  </w:style>
  <w:style w:type="paragraph" w:styleId="Rodap">
    <w:name w:val="footer"/>
    <w:basedOn w:val="Normal"/>
    <w:link w:val="RodapChar"/>
    <w:uiPriority w:val="99"/>
    <w:unhideWhenUsed/>
    <w:rsid w:val="008B0547"/>
    <w:pPr>
      <w:tabs>
        <w:tab w:val="center" w:pos="4252"/>
        <w:tab w:val="right" w:pos="8504"/>
      </w:tabs>
      <w:spacing w:after="0"/>
    </w:pPr>
  </w:style>
  <w:style w:type="character" w:customStyle="1" w:styleId="RodapChar">
    <w:name w:val="Rodapé Char"/>
    <w:basedOn w:val="Fontepargpadro"/>
    <w:link w:val="Rodap"/>
    <w:uiPriority w:val="99"/>
    <w:rsid w:val="008B0547"/>
  </w:style>
  <w:style w:type="table" w:styleId="Tabelacomgrade">
    <w:name w:val="Table Grid"/>
    <w:basedOn w:val="Tabelanormal"/>
    <w:uiPriority w:val="59"/>
    <w:rsid w:val="00E23C0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UPCorpo1">
    <w:name w:val="RUP Corpo 1"/>
    <w:rsid w:val="00E23C05"/>
    <w:pPr>
      <w:spacing w:before="120"/>
      <w:ind w:firstLine="425"/>
      <w:jc w:val="both"/>
    </w:pPr>
    <w:rPr>
      <w:rFonts w:ascii="Arial" w:eastAsia="Times New Roman" w:hAnsi="Arial"/>
    </w:rPr>
  </w:style>
  <w:style w:type="character" w:customStyle="1" w:styleId="Ttulo2Char">
    <w:name w:val="Título 2 Char"/>
    <w:basedOn w:val="Fontepargpadro"/>
    <w:link w:val="Ttulo2"/>
    <w:uiPriority w:val="9"/>
    <w:rsid w:val="00AE1AB0"/>
    <w:rPr>
      <w:rFonts w:eastAsia="Times New Roman"/>
      <w:sz w:val="24"/>
    </w:rPr>
  </w:style>
  <w:style w:type="paragraph" w:styleId="Recuodecorpodetexto">
    <w:name w:val="Body Text Indent"/>
    <w:basedOn w:val="Normal"/>
    <w:link w:val="RecuodecorpodetextoChar"/>
    <w:semiHidden/>
    <w:rsid w:val="00AE1AB0"/>
    <w:pPr>
      <w:spacing w:after="0"/>
      <w:ind w:left="0" w:firstLine="1134"/>
      <w:jc w:val="left"/>
    </w:pPr>
    <w:rPr>
      <w:rFonts w:eastAsia="Times New Roman"/>
      <w:szCs w:val="20"/>
      <w:lang w:eastAsia="pt-BR"/>
    </w:rPr>
  </w:style>
  <w:style w:type="character" w:customStyle="1" w:styleId="RecuodecorpodetextoChar">
    <w:name w:val="Recuo de corpo de texto Char"/>
    <w:basedOn w:val="Fontepargpadro"/>
    <w:link w:val="Recuodecorpodetexto"/>
    <w:semiHidden/>
    <w:rsid w:val="00AE1AB0"/>
    <w:rPr>
      <w:rFonts w:eastAsia="Times New Roman"/>
      <w:sz w:val="24"/>
    </w:rPr>
  </w:style>
  <w:style w:type="paragraph" w:styleId="MapadoDocumento">
    <w:name w:val="Document Map"/>
    <w:basedOn w:val="Normal"/>
    <w:link w:val="MapadoDocumentoChar"/>
    <w:uiPriority w:val="99"/>
    <w:semiHidden/>
    <w:unhideWhenUsed/>
    <w:rsid w:val="00000605"/>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00605"/>
    <w:rPr>
      <w:rFonts w:ascii="Tahoma" w:hAnsi="Tahoma" w:cs="Tahoma"/>
      <w:sz w:val="16"/>
      <w:szCs w:val="16"/>
      <w:lang w:eastAsia="en-US"/>
    </w:rPr>
  </w:style>
  <w:style w:type="character" w:customStyle="1" w:styleId="Ttulo6Char">
    <w:name w:val="Título 6 Char"/>
    <w:basedOn w:val="Fontepargpadro"/>
    <w:link w:val="Ttulo6"/>
    <w:uiPriority w:val="9"/>
    <w:semiHidden/>
    <w:rsid w:val="00E75855"/>
    <w:rPr>
      <w:rFonts w:ascii="Calibri" w:eastAsia="Times New Roman" w:hAnsi="Calibri" w:cs="Times New Roman"/>
      <w:b/>
      <w:bCs/>
      <w:sz w:val="22"/>
      <w:szCs w:val="22"/>
      <w:lang w:eastAsia="en-US"/>
    </w:rPr>
  </w:style>
  <w:style w:type="paragraph" w:styleId="Corpodetexto">
    <w:name w:val="Body Text"/>
    <w:basedOn w:val="Normal"/>
    <w:link w:val="CorpodetextoChar"/>
    <w:unhideWhenUsed/>
    <w:rsid w:val="00E75855"/>
  </w:style>
  <w:style w:type="character" w:customStyle="1" w:styleId="CorpodetextoChar">
    <w:name w:val="Corpo de texto Char"/>
    <w:basedOn w:val="Fontepargpadro"/>
    <w:link w:val="Corpodetexto"/>
    <w:rsid w:val="00E75855"/>
    <w:rPr>
      <w:sz w:val="24"/>
      <w:szCs w:val="24"/>
      <w:lang w:eastAsia="en-US"/>
    </w:rPr>
  </w:style>
  <w:style w:type="paragraph" w:styleId="Corpodetexto2">
    <w:name w:val="Body Text 2"/>
    <w:basedOn w:val="Normal"/>
    <w:link w:val="Corpodetexto2Char"/>
    <w:uiPriority w:val="99"/>
    <w:semiHidden/>
    <w:unhideWhenUsed/>
    <w:rsid w:val="00E75855"/>
    <w:pPr>
      <w:spacing w:line="480" w:lineRule="auto"/>
    </w:pPr>
  </w:style>
  <w:style w:type="character" w:customStyle="1" w:styleId="Corpodetexto2Char">
    <w:name w:val="Corpo de texto 2 Char"/>
    <w:basedOn w:val="Fontepargpadro"/>
    <w:link w:val="Corpodetexto2"/>
    <w:uiPriority w:val="99"/>
    <w:semiHidden/>
    <w:rsid w:val="00E75855"/>
    <w:rPr>
      <w:sz w:val="24"/>
      <w:szCs w:val="24"/>
      <w:lang w:eastAsia="en-US"/>
    </w:rPr>
  </w:style>
  <w:style w:type="character" w:styleId="Hyperlink">
    <w:name w:val="Hyperlink"/>
    <w:basedOn w:val="Fontepargpadro"/>
    <w:uiPriority w:val="99"/>
    <w:unhideWhenUsed/>
    <w:rsid w:val="00E75855"/>
    <w:rPr>
      <w:strike w:val="0"/>
      <w:dstrike w:val="0"/>
      <w:color w:val="0000FF"/>
      <w:u w:val="none"/>
      <w:effect w:val="none"/>
    </w:rPr>
  </w:style>
  <w:style w:type="paragraph" w:styleId="NormalWeb">
    <w:name w:val="Normal (Web)"/>
    <w:basedOn w:val="Normal"/>
    <w:uiPriority w:val="99"/>
    <w:unhideWhenUsed/>
    <w:rsid w:val="00E75855"/>
    <w:pPr>
      <w:spacing w:after="0" w:line="360" w:lineRule="auto"/>
      <w:ind w:left="0" w:firstLine="1200"/>
      <w:jc w:val="left"/>
    </w:pPr>
    <w:rPr>
      <w:rFonts w:eastAsia="Times New Roman"/>
      <w:lang w:eastAsia="pt-BR"/>
    </w:rPr>
  </w:style>
  <w:style w:type="character" w:styleId="Forte">
    <w:name w:val="Strong"/>
    <w:basedOn w:val="Fontepargpadro"/>
    <w:uiPriority w:val="22"/>
    <w:qFormat/>
    <w:rsid w:val="00E75855"/>
    <w:rPr>
      <w:b/>
      <w:bCs/>
    </w:rPr>
  </w:style>
  <w:style w:type="character" w:customStyle="1" w:styleId="Ttulo8Char">
    <w:name w:val="Título 8 Char"/>
    <w:basedOn w:val="Fontepargpadro"/>
    <w:link w:val="Ttulo8"/>
    <w:uiPriority w:val="9"/>
    <w:rsid w:val="00515E7B"/>
    <w:rPr>
      <w:rFonts w:ascii="Calibri" w:eastAsia="Times New Roman" w:hAnsi="Calibri" w:cs="Times New Roman"/>
      <w:i/>
      <w:iCs/>
      <w:sz w:val="24"/>
      <w:szCs w:val="24"/>
      <w:lang w:eastAsia="en-US"/>
    </w:rPr>
  </w:style>
  <w:style w:type="character" w:customStyle="1" w:styleId="Ttulo9Char">
    <w:name w:val="Título 9 Char"/>
    <w:basedOn w:val="Fontepargpadro"/>
    <w:link w:val="Ttulo9"/>
    <w:uiPriority w:val="9"/>
    <w:semiHidden/>
    <w:rsid w:val="00515E7B"/>
    <w:rPr>
      <w:rFonts w:ascii="Cambria" w:eastAsia="Times New Roman" w:hAnsi="Cambria" w:cs="Times New Roman"/>
      <w:sz w:val="22"/>
      <w:szCs w:val="22"/>
      <w:lang w:eastAsia="en-US"/>
    </w:rPr>
  </w:style>
  <w:style w:type="paragraph" w:customStyle="1" w:styleId="indice">
    <w:name w:val="indice"/>
    <w:rsid w:val="00515E7B"/>
    <w:pPr>
      <w:autoSpaceDE w:val="0"/>
      <w:autoSpaceDN w:val="0"/>
      <w:adjustRightInd w:val="0"/>
      <w:spacing w:line="260" w:lineRule="atLeast"/>
      <w:jc w:val="both"/>
    </w:pPr>
    <w:rPr>
      <w:rFonts w:eastAsia="Times New Roman"/>
      <w:color w:val="000000"/>
      <w:sz w:val="22"/>
      <w:szCs w:val="22"/>
    </w:rPr>
  </w:style>
  <w:style w:type="paragraph" w:customStyle="1" w:styleId="tit1">
    <w:name w:val="tit1"/>
    <w:rsid w:val="00515E7B"/>
    <w:pPr>
      <w:autoSpaceDE w:val="0"/>
      <w:autoSpaceDN w:val="0"/>
      <w:adjustRightInd w:val="0"/>
      <w:spacing w:before="113" w:line="240" w:lineRule="atLeast"/>
    </w:pPr>
    <w:rPr>
      <w:rFonts w:eastAsia="Times New Roman"/>
      <w:b/>
      <w:bCs/>
      <w:i/>
      <w:iCs/>
      <w:sz w:val="22"/>
      <w:szCs w:val="22"/>
    </w:rPr>
  </w:style>
  <w:style w:type="paragraph" w:customStyle="1" w:styleId="enter-3pt">
    <w:name w:val="enter-3pt"/>
    <w:basedOn w:val="Normal"/>
    <w:rsid w:val="00515E7B"/>
    <w:pPr>
      <w:autoSpaceDE w:val="0"/>
      <w:autoSpaceDN w:val="0"/>
      <w:adjustRightInd w:val="0"/>
      <w:spacing w:after="0" w:line="60" w:lineRule="atLeast"/>
      <w:ind w:left="0"/>
    </w:pPr>
    <w:rPr>
      <w:rFonts w:eastAsia="Times New Roman"/>
      <w:sz w:val="8"/>
      <w:szCs w:val="8"/>
      <w:lang w:eastAsia="pt-BR"/>
    </w:rPr>
  </w:style>
  <w:style w:type="paragraph" w:customStyle="1" w:styleId="tita">
    <w:name w:val="tita"/>
    <w:rsid w:val="00515E7B"/>
    <w:pPr>
      <w:autoSpaceDE w:val="0"/>
      <w:autoSpaceDN w:val="0"/>
      <w:adjustRightInd w:val="0"/>
      <w:spacing w:before="170" w:after="57" w:line="240" w:lineRule="atLeast"/>
      <w:jc w:val="center"/>
    </w:pPr>
    <w:rPr>
      <w:rFonts w:eastAsia="Times New Roman"/>
      <w:b/>
      <w:bCs/>
      <w:i/>
      <w:iCs/>
      <w:sz w:val="24"/>
      <w:szCs w:val="24"/>
    </w:rPr>
  </w:style>
  <w:style w:type="paragraph" w:styleId="Textodebalo">
    <w:name w:val="Balloon Text"/>
    <w:basedOn w:val="Normal"/>
    <w:link w:val="TextodebaloChar"/>
    <w:uiPriority w:val="99"/>
    <w:semiHidden/>
    <w:unhideWhenUsed/>
    <w:rsid w:val="006F4DE0"/>
    <w:pPr>
      <w:spacing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6F4DE0"/>
    <w:rPr>
      <w:rFonts w:ascii="Tahoma" w:hAnsi="Tahoma" w:cs="Tahoma"/>
      <w:sz w:val="16"/>
      <w:szCs w:val="16"/>
      <w:lang w:eastAsia="en-US"/>
    </w:rPr>
  </w:style>
  <w:style w:type="paragraph" w:customStyle="1" w:styleId="TCU-RelVoto-demais">
    <w:name w:val="TCU - Rel/Voto - demais §§"/>
    <w:basedOn w:val="Normal"/>
    <w:uiPriority w:val="99"/>
    <w:qFormat/>
    <w:rsid w:val="0015258E"/>
    <w:pPr>
      <w:tabs>
        <w:tab w:val="left" w:pos="1134"/>
      </w:tabs>
      <w:spacing w:after="160"/>
      <w:ind w:left="0"/>
    </w:pPr>
    <w:rPr>
      <w:rFonts w:eastAsia="Times New Roman"/>
      <w:szCs w:val="22"/>
    </w:rPr>
  </w:style>
  <w:style w:type="paragraph" w:customStyle="1" w:styleId="votonumerado">
    <w:name w:val="voto numerado"/>
    <w:basedOn w:val="Normal"/>
    <w:rsid w:val="00BE6637"/>
    <w:pPr>
      <w:numPr>
        <w:numId w:val="15"/>
      </w:numPr>
      <w:tabs>
        <w:tab w:val="clear" w:pos="360"/>
        <w:tab w:val="left" w:pos="1134"/>
      </w:tabs>
      <w:spacing w:after="0"/>
      <w:ind w:left="0"/>
    </w:pPr>
    <w:rPr>
      <w:rFonts w:eastAsia="Times New Roman"/>
      <w:szCs w:val="20"/>
      <w:lang w:eastAsia="pt-BR"/>
    </w:rPr>
  </w:style>
  <w:style w:type="paragraph" w:customStyle="1" w:styleId="Pargrafo">
    <w:name w:val="#Parágrafo"/>
    <w:basedOn w:val="Normal"/>
    <w:rsid w:val="001D74CE"/>
    <w:pPr>
      <w:widowControl w:val="0"/>
      <w:suppressAutoHyphens/>
      <w:spacing w:after="0"/>
      <w:ind w:left="0"/>
      <w:jc w:val="left"/>
    </w:pPr>
    <w:rPr>
      <w:rFonts w:eastAsia="Times New Roman"/>
      <w:szCs w:val="20"/>
      <w:lang w:eastAsia="pt-BR"/>
    </w:rPr>
  </w:style>
  <w:style w:type="paragraph" w:customStyle="1" w:styleId="Citao">
    <w:name w:val="#Citação"/>
    <w:rsid w:val="007174DA"/>
    <w:pPr>
      <w:spacing w:after="120"/>
      <w:ind w:left="1134" w:right="284" w:firstLine="567"/>
      <w:jc w:val="both"/>
    </w:pPr>
    <w:rPr>
      <w:rFonts w:eastAsia="Times New Roman" w:cs="Calibri"/>
      <w:sz w:val="22"/>
      <w:szCs w:val="22"/>
      <w:lang w:eastAsia="en-US"/>
    </w:rPr>
  </w:style>
  <w:style w:type="paragraph" w:customStyle="1" w:styleId="Normal-numerado-REL01">
    <w:name w:val="#Normal-numerado-REL_01"/>
    <w:qFormat/>
    <w:rsid w:val="007174DA"/>
    <w:pPr>
      <w:numPr>
        <w:numId w:val="16"/>
      </w:numPr>
      <w:tabs>
        <w:tab w:val="left" w:pos="1134"/>
      </w:tabs>
      <w:suppressAutoHyphens/>
      <w:spacing w:before="120" w:after="120"/>
      <w:jc w:val="both"/>
    </w:pPr>
    <w:rPr>
      <w:rFonts w:eastAsia="Times New Roman"/>
      <w:sz w:val="24"/>
      <w:szCs w:val="24"/>
      <w:lang w:eastAsia="ar-SA"/>
    </w:rPr>
  </w:style>
  <w:style w:type="paragraph" w:customStyle="1" w:styleId="Default">
    <w:name w:val="Default"/>
    <w:rsid w:val="008501A4"/>
    <w:pPr>
      <w:autoSpaceDE w:val="0"/>
      <w:autoSpaceDN w:val="0"/>
      <w:adjustRightInd w:val="0"/>
    </w:pPr>
    <w:rPr>
      <w:color w:val="000000"/>
      <w:sz w:val="24"/>
      <w:szCs w:val="24"/>
    </w:rPr>
  </w:style>
  <w:style w:type="paragraph" w:customStyle="1" w:styleId="B">
    <w:name w:val="B"/>
    <w:basedOn w:val="Normal"/>
    <w:rsid w:val="00B347F1"/>
    <w:pPr>
      <w:spacing w:after="0"/>
      <w:ind w:left="0" w:firstLine="1418"/>
    </w:pPr>
    <w:rPr>
      <w:rFonts w:eastAsia="Times New Roman"/>
      <w:szCs w:val="20"/>
      <w:lang w:eastAsia="pt-BR"/>
    </w:rPr>
  </w:style>
  <w:style w:type="paragraph" w:styleId="TextosemFormatao">
    <w:name w:val="Plain Text"/>
    <w:basedOn w:val="Normal"/>
    <w:link w:val="TextosemFormataoChar"/>
    <w:uiPriority w:val="99"/>
    <w:semiHidden/>
    <w:rsid w:val="0086124E"/>
    <w:pPr>
      <w:spacing w:after="0"/>
      <w:ind w:left="0"/>
      <w:jc w:val="left"/>
    </w:pPr>
    <w:rPr>
      <w:rFonts w:ascii="Courier New" w:eastAsia="Times New Roman" w:hAnsi="Courier New"/>
      <w:sz w:val="20"/>
      <w:szCs w:val="20"/>
      <w:lang w:eastAsia="pt-BR"/>
    </w:rPr>
  </w:style>
  <w:style w:type="character" w:customStyle="1" w:styleId="TextosemFormataoChar">
    <w:name w:val="Texto sem Formatação Char"/>
    <w:basedOn w:val="Fontepargpadro"/>
    <w:link w:val="TextosemFormatao"/>
    <w:uiPriority w:val="99"/>
    <w:semiHidden/>
    <w:rsid w:val="0086124E"/>
    <w:rPr>
      <w:rFonts w:ascii="Courier New" w:eastAsia="Times New Roman" w:hAnsi="Courier New"/>
    </w:rPr>
  </w:style>
  <w:style w:type="paragraph" w:customStyle="1" w:styleId="TCU-RelVoto-1">
    <w:name w:val="TCU - Rel/Voto - 1º §"/>
    <w:basedOn w:val="Normal"/>
    <w:qFormat/>
    <w:rsid w:val="00491438"/>
    <w:pPr>
      <w:spacing w:after="160"/>
      <w:ind w:left="0" w:firstLine="1134"/>
    </w:pPr>
    <w:rPr>
      <w:rFonts w:eastAsia="Times New Roman"/>
      <w:szCs w:val="22"/>
    </w:rPr>
  </w:style>
  <w:style w:type="paragraph" w:customStyle="1" w:styleId="TCU-Transcrio">
    <w:name w:val="TCU - Transcrição"/>
    <w:basedOn w:val="Normal"/>
    <w:qFormat/>
    <w:rsid w:val="00491438"/>
    <w:pPr>
      <w:ind w:left="284" w:firstLine="567"/>
    </w:pPr>
    <w:rPr>
      <w:rFonts w:eastAsia="Times New Roman"/>
      <w:i/>
      <w:szCs w:val="22"/>
    </w:rPr>
  </w:style>
  <w:style w:type="paragraph" w:customStyle="1" w:styleId="Indentado">
    <w:name w:val="Indentado"/>
    <w:basedOn w:val="Normal"/>
    <w:qFormat/>
    <w:rsid w:val="001A60A2"/>
    <w:pPr>
      <w:tabs>
        <w:tab w:val="left" w:pos="1418"/>
        <w:tab w:val="left" w:pos="1985"/>
        <w:tab w:val="left" w:pos="2552"/>
        <w:tab w:val="left" w:pos="3402"/>
        <w:tab w:val="left" w:pos="4253"/>
        <w:tab w:val="left" w:pos="4820"/>
        <w:tab w:val="right" w:pos="9923"/>
      </w:tabs>
      <w:spacing w:after="0"/>
      <w:ind w:left="567" w:firstLine="851"/>
    </w:pPr>
    <w:rPr>
      <w:rFonts w:eastAsia="Times New Roman"/>
      <w:szCs w:val="22"/>
    </w:rPr>
  </w:style>
  <w:style w:type="paragraph" w:customStyle="1" w:styleId="TCU-Epgrafe">
    <w:name w:val="TCU - Epígrafe"/>
    <w:basedOn w:val="Normal"/>
    <w:uiPriority w:val="99"/>
    <w:qFormat/>
    <w:rsid w:val="00AA49AF"/>
    <w:pPr>
      <w:spacing w:after="0"/>
      <w:ind w:left="2835"/>
    </w:pPr>
    <w:rPr>
      <w:rFonts w:eastAsia="Times New Roman"/>
      <w:szCs w:val="20"/>
      <w:lang w:eastAsia="pt-BR"/>
    </w:rPr>
  </w:style>
  <w:style w:type="paragraph" w:customStyle="1" w:styleId="CorpodeTextoResumo">
    <w:name w:val="Corpo de Texto Resumo"/>
    <w:basedOn w:val="Corpodetexto"/>
    <w:rsid w:val="00A239A8"/>
    <w:pPr>
      <w:numPr>
        <w:numId w:val="18"/>
      </w:numPr>
      <w:spacing w:before="60" w:after="60"/>
      <w:ind w:left="644" w:hanging="360"/>
    </w:pPr>
    <w:rPr>
      <w:rFonts w:ascii="Times New (W1)" w:eastAsia="Times New Roman" w:hAnsi="Times New (W1)"/>
      <w:szCs w:val="20"/>
      <w:lang w:eastAsia="pt-BR"/>
    </w:rPr>
  </w:style>
  <w:style w:type="paragraph" w:customStyle="1" w:styleId="TCU-Ac-item9-">
    <w:name w:val="TCU - Ac - item 9 - §§"/>
    <w:basedOn w:val="TCU-RelVoto-1"/>
    <w:uiPriority w:val="99"/>
    <w:qFormat/>
    <w:rsid w:val="00A239A8"/>
    <w:pPr>
      <w:spacing w:after="0"/>
    </w:pPr>
  </w:style>
  <w:style w:type="character" w:customStyle="1" w:styleId="Ttulo3Char">
    <w:name w:val="Título 3 Char"/>
    <w:basedOn w:val="Fontepargpadro"/>
    <w:link w:val="Ttulo3"/>
    <w:uiPriority w:val="9"/>
    <w:semiHidden/>
    <w:rsid w:val="005438A1"/>
    <w:rPr>
      <w:rFonts w:ascii="Cambria" w:eastAsia="Times New Roman" w:hAnsi="Cambria" w:cs="Times New Roman"/>
      <w:b/>
      <w:bCs/>
      <w:sz w:val="26"/>
      <w:szCs w:val="26"/>
      <w:lang w:eastAsia="en-US"/>
    </w:rPr>
  </w:style>
  <w:style w:type="character" w:customStyle="1" w:styleId="Ttulo4Char">
    <w:name w:val="Título 4 Char"/>
    <w:basedOn w:val="Fontepargpadro"/>
    <w:link w:val="Ttulo4"/>
    <w:uiPriority w:val="9"/>
    <w:semiHidden/>
    <w:rsid w:val="005438A1"/>
    <w:rPr>
      <w:rFonts w:ascii="Calibri" w:eastAsia="Times New Roman" w:hAnsi="Calibri" w:cs="Times New Roman"/>
      <w:b/>
      <w:bCs/>
      <w:sz w:val="28"/>
      <w:szCs w:val="28"/>
      <w:lang w:eastAsia="en-US"/>
    </w:rPr>
  </w:style>
  <w:style w:type="character" w:customStyle="1" w:styleId="Ttulo5Char">
    <w:name w:val="Título 5 Char"/>
    <w:basedOn w:val="Fontepargpadro"/>
    <w:link w:val="Ttulo5"/>
    <w:uiPriority w:val="9"/>
    <w:rsid w:val="005438A1"/>
    <w:rPr>
      <w:rFonts w:ascii="Cambria" w:eastAsia="Times New Roman" w:hAnsi="Cambria" w:cs="Times New Roman"/>
      <w:color w:val="243F60"/>
      <w:sz w:val="24"/>
      <w:szCs w:val="22"/>
      <w:lang w:eastAsia="en-US"/>
    </w:rPr>
  </w:style>
  <w:style w:type="paragraph" w:styleId="Legenda">
    <w:name w:val="caption"/>
    <w:basedOn w:val="Normal"/>
    <w:next w:val="Normal"/>
    <w:uiPriority w:val="35"/>
    <w:qFormat/>
    <w:rsid w:val="005438A1"/>
    <w:pPr>
      <w:spacing w:before="120"/>
      <w:ind w:left="0"/>
      <w:jc w:val="center"/>
    </w:pPr>
    <w:rPr>
      <w:rFonts w:eastAsia="Times New Roman"/>
      <w:szCs w:val="20"/>
      <w:lang w:eastAsia="pt-BR"/>
    </w:rPr>
  </w:style>
  <w:style w:type="paragraph" w:customStyle="1" w:styleId="tensletras">
    <w:name w:val="Ítens letras"/>
    <w:basedOn w:val="Normal"/>
    <w:rsid w:val="005438A1"/>
    <w:pPr>
      <w:numPr>
        <w:numId w:val="19"/>
      </w:numPr>
      <w:spacing w:before="60" w:after="60"/>
    </w:pPr>
    <w:rPr>
      <w:rFonts w:eastAsia="Times New Roman"/>
      <w:szCs w:val="20"/>
      <w:lang w:eastAsia="pt-BR"/>
    </w:rPr>
  </w:style>
  <w:style w:type="paragraph" w:customStyle="1" w:styleId="Propostaletras">
    <w:name w:val="Proposta letras"/>
    <w:basedOn w:val="tensletras"/>
    <w:rsid w:val="005438A1"/>
  </w:style>
  <w:style w:type="paragraph" w:customStyle="1" w:styleId="NormalCG">
    <w:name w:val="Normal CG"/>
    <w:basedOn w:val="Corpodetexto"/>
    <w:rsid w:val="00202EAD"/>
    <w:pPr>
      <w:spacing w:before="120"/>
      <w:ind w:left="0" w:firstLine="1418"/>
    </w:pPr>
    <w:rPr>
      <w:rFonts w:eastAsia="Times New Roman"/>
      <w:szCs w:val="20"/>
      <w:lang w:eastAsia="pt-BR"/>
    </w:rPr>
  </w:style>
  <w:style w:type="paragraph" w:customStyle="1" w:styleId="Normal0">
    <w:name w:val="#Normal"/>
    <w:rsid w:val="00BD1747"/>
    <w:pPr>
      <w:spacing w:before="120" w:after="120"/>
      <w:ind w:firstLine="1134"/>
      <w:jc w:val="both"/>
    </w:pPr>
    <w:rPr>
      <w:rFonts w:eastAsia="Times New Roman"/>
      <w:sz w:val="24"/>
      <w:szCs w:val="24"/>
      <w:lang w:eastAsia="en-US"/>
    </w:rPr>
  </w:style>
  <w:style w:type="paragraph" w:customStyle="1" w:styleId="Normal-numerado-VOT01">
    <w:name w:val="#Normal-numerado-VOT_01"/>
    <w:basedOn w:val="Normal-numerado-REL01"/>
    <w:uiPriority w:val="99"/>
    <w:rsid w:val="00BD1747"/>
    <w:pPr>
      <w:numPr>
        <w:numId w:val="21"/>
      </w:numPr>
    </w:pPr>
  </w:style>
  <w:style w:type="paragraph" w:customStyle="1" w:styleId="Acordao-VISTOS-em-diante">
    <w:name w:val="#Acordao-VISTOS-em-diante"/>
    <w:uiPriority w:val="99"/>
    <w:rsid w:val="00BD1747"/>
    <w:pPr>
      <w:ind w:firstLine="1134"/>
      <w:jc w:val="both"/>
    </w:pPr>
    <w:rPr>
      <w:rFonts w:eastAsia="Times New Roman"/>
      <w:sz w:val="24"/>
      <w:szCs w:val="24"/>
      <w:lang w:eastAsia="en-US"/>
    </w:rPr>
  </w:style>
  <w:style w:type="paragraph" w:customStyle="1" w:styleId="TCU-Recuo1Linha">
    <w:name w:val="TCU - Recuo 1ª Linha"/>
    <w:basedOn w:val="Normal"/>
    <w:rsid w:val="00412CEF"/>
    <w:pPr>
      <w:spacing w:after="160"/>
      <w:ind w:left="0" w:firstLine="1134"/>
    </w:pPr>
    <w:rPr>
      <w:rFonts w:eastAsia="Times New Roman"/>
      <w:szCs w:val="20"/>
      <w:lang w:eastAsia="pt-BR"/>
    </w:rPr>
  </w:style>
  <w:style w:type="paragraph" w:customStyle="1" w:styleId="TCU-SemRecuo">
    <w:name w:val="TCU - Sem Recuo"/>
    <w:basedOn w:val="Normal"/>
    <w:rsid w:val="004E5000"/>
    <w:pPr>
      <w:tabs>
        <w:tab w:val="left" w:pos="1134"/>
      </w:tabs>
      <w:spacing w:after="160"/>
      <w:ind w:left="0"/>
    </w:pPr>
    <w:rPr>
      <w:rFonts w:eastAsia="Times New Roman"/>
      <w:szCs w:val="20"/>
      <w:lang w:eastAsia="pt-BR"/>
    </w:rPr>
  </w:style>
  <w:style w:type="paragraph" w:styleId="PargrafodaLista">
    <w:name w:val="List Paragraph"/>
    <w:basedOn w:val="Normal"/>
    <w:link w:val="PargrafodaListaChar"/>
    <w:uiPriority w:val="34"/>
    <w:qFormat/>
    <w:rsid w:val="0015699C"/>
    <w:pPr>
      <w:spacing w:after="0"/>
      <w:ind w:left="720"/>
      <w:contextualSpacing/>
      <w:jc w:val="left"/>
    </w:pPr>
    <w:rPr>
      <w:rFonts w:eastAsia="Times New Roman"/>
      <w:szCs w:val="22"/>
    </w:rPr>
  </w:style>
  <w:style w:type="character" w:customStyle="1" w:styleId="PargrafodaListaChar">
    <w:name w:val="Parágrafo da Lista Char"/>
    <w:basedOn w:val="Fontepargpadro"/>
    <w:link w:val="PargrafodaLista"/>
    <w:uiPriority w:val="34"/>
    <w:locked/>
    <w:rsid w:val="0015699C"/>
    <w:rPr>
      <w:rFonts w:eastAsia="Times New Roman" w:cs="Times New Roman"/>
      <w:sz w:val="24"/>
      <w:szCs w:val="22"/>
      <w:lang w:eastAsia="en-US"/>
    </w:rPr>
  </w:style>
  <w:style w:type="paragraph" w:styleId="Reviso">
    <w:name w:val="Revision"/>
    <w:hidden/>
    <w:uiPriority w:val="99"/>
    <w:semiHidden/>
    <w:rsid w:val="007C38F7"/>
    <w:rPr>
      <w:sz w:val="24"/>
      <w:szCs w:val="24"/>
      <w:lang w:eastAsia="en-US"/>
    </w:rPr>
  </w:style>
  <w:style w:type="paragraph" w:customStyle="1" w:styleId="Titdocumento">
    <w:name w:val="#Tit_documento"/>
    <w:basedOn w:val="Normal"/>
    <w:rsid w:val="00C15533"/>
    <w:pPr>
      <w:spacing w:before="240" w:after="240"/>
      <w:ind w:left="0"/>
      <w:jc w:val="center"/>
    </w:pPr>
    <w:rPr>
      <w:rFonts w:eastAsia="Times New Roman"/>
      <w:b/>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6427">
      <w:bodyDiv w:val="1"/>
      <w:marLeft w:val="0"/>
      <w:marRight w:val="0"/>
      <w:marTop w:val="0"/>
      <w:marBottom w:val="0"/>
      <w:divBdr>
        <w:top w:val="none" w:sz="0" w:space="0" w:color="auto"/>
        <w:left w:val="none" w:sz="0" w:space="0" w:color="auto"/>
        <w:bottom w:val="none" w:sz="0" w:space="0" w:color="auto"/>
        <w:right w:val="none" w:sz="0" w:space="0" w:color="auto"/>
      </w:divBdr>
    </w:div>
    <w:div w:id="682585240">
      <w:bodyDiv w:val="1"/>
      <w:marLeft w:val="0"/>
      <w:marRight w:val="0"/>
      <w:marTop w:val="0"/>
      <w:marBottom w:val="0"/>
      <w:divBdr>
        <w:top w:val="none" w:sz="0" w:space="0" w:color="auto"/>
        <w:left w:val="none" w:sz="0" w:space="0" w:color="auto"/>
        <w:bottom w:val="none" w:sz="0" w:space="0" w:color="auto"/>
        <w:right w:val="none" w:sz="0" w:space="0" w:color="auto"/>
      </w:divBdr>
      <w:divsChild>
        <w:div w:id="486939037">
          <w:marLeft w:val="0"/>
          <w:marRight w:val="0"/>
          <w:marTop w:val="0"/>
          <w:marBottom w:val="0"/>
          <w:divBdr>
            <w:top w:val="none" w:sz="0" w:space="0" w:color="auto"/>
            <w:left w:val="none" w:sz="0" w:space="0" w:color="auto"/>
            <w:bottom w:val="none" w:sz="0" w:space="0" w:color="auto"/>
            <w:right w:val="none" w:sz="0" w:space="0" w:color="auto"/>
          </w:divBdr>
        </w:div>
      </w:divsChild>
    </w:div>
    <w:div w:id="833257197">
      <w:bodyDiv w:val="1"/>
      <w:marLeft w:val="0"/>
      <w:marRight w:val="0"/>
      <w:marTop w:val="0"/>
      <w:marBottom w:val="0"/>
      <w:divBdr>
        <w:top w:val="none" w:sz="0" w:space="0" w:color="auto"/>
        <w:left w:val="none" w:sz="0" w:space="0" w:color="auto"/>
        <w:bottom w:val="none" w:sz="0" w:space="0" w:color="auto"/>
        <w:right w:val="none" w:sz="0" w:space="0" w:color="auto"/>
      </w:divBdr>
      <w:divsChild>
        <w:div w:id="1431193770">
          <w:marLeft w:val="0"/>
          <w:marRight w:val="0"/>
          <w:marTop w:val="0"/>
          <w:marBottom w:val="0"/>
          <w:divBdr>
            <w:top w:val="none" w:sz="0" w:space="0" w:color="auto"/>
            <w:left w:val="none" w:sz="0" w:space="0" w:color="auto"/>
            <w:bottom w:val="none" w:sz="0" w:space="0" w:color="auto"/>
            <w:right w:val="none" w:sz="0" w:space="0" w:color="auto"/>
          </w:divBdr>
          <w:divsChild>
            <w:div w:id="1905138729">
              <w:marLeft w:val="0"/>
              <w:marRight w:val="0"/>
              <w:marTop w:val="0"/>
              <w:marBottom w:val="0"/>
              <w:divBdr>
                <w:top w:val="none" w:sz="0" w:space="0" w:color="auto"/>
                <w:left w:val="none" w:sz="0" w:space="0" w:color="auto"/>
                <w:bottom w:val="none" w:sz="0" w:space="0" w:color="auto"/>
                <w:right w:val="none" w:sz="0" w:space="0" w:color="auto"/>
              </w:divBdr>
              <w:divsChild>
                <w:div w:id="1734695712">
                  <w:marLeft w:val="0"/>
                  <w:marRight w:val="0"/>
                  <w:marTop w:val="0"/>
                  <w:marBottom w:val="0"/>
                  <w:divBdr>
                    <w:top w:val="none" w:sz="0" w:space="0" w:color="auto"/>
                    <w:left w:val="none" w:sz="0" w:space="0" w:color="auto"/>
                    <w:bottom w:val="none" w:sz="0" w:space="0" w:color="auto"/>
                    <w:right w:val="none" w:sz="0" w:space="0" w:color="auto"/>
                  </w:divBdr>
                  <w:divsChild>
                    <w:div w:id="1148941249">
                      <w:marLeft w:val="0"/>
                      <w:marRight w:val="0"/>
                      <w:marTop w:val="0"/>
                      <w:marBottom w:val="0"/>
                      <w:divBdr>
                        <w:top w:val="none" w:sz="0" w:space="0" w:color="auto"/>
                        <w:left w:val="none" w:sz="0" w:space="0" w:color="auto"/>
                        <w:bottom w:val="none" w:sz="0" w:space="0" w:color="auto"/>
                        <w:right w:val="none" w:sz="0" w:space="0" w:color="auto"/>
                      </w:divBdr>
                      <w:divsChild>
                        <w:div w:id="1891263997">
                          <w:marLeft w:val="0"/>
                          <w:marRight w:val="0"/>
                          <w:marTop w:val="0"/>
                          <w:marBottom w:val="0"/>
                          <w:divBdr>
                            <w:top w:val="none" w:sz="0" w:space="0" w:color="auto"/>
                            <w:left w:val="none" w:sz="0" w:space="0" w:color="auto"/>
                            <w:bottom w:val="none" w:sz="0" w:space="0" w:color="auto"/>
                            <w:right w:val="none" w:sz="0" w:space="0" w:color="auto"/>
                          </w:divBdr>
                          <w:divsChild>
                            <w:div w:id="1968970620">
                              <w:marLeft w:val="0"/>
                              <w:marRight w:val="0"/>
                              <w:marTop w:val="0"/>
                              <w:marBottom w:val="0"/>
                              <w:divBdr>
                                <w:top w:val="none" w:sz="0" w:space="0" w:color="auto"/>
                                <w:left w:val="none" w:sz="0" w:space="0" w:color="auto"/>
                                <w:bottom w:val="none" w:sz="0" w:space="0" w:color="auto"/>
                                <w:right w:val="none" w:sz="0" w:space="0" w:color="auto"/>
                              </w:divBdr>
                              <w:divsChild>
                                <w:div w:id="2051956996">
                                  <w:marLeft w:val="0"/>
                                  <w:marRight w:val="0"/>
                                  <w:marTop w:val="0"/>
                                  <w:marBottom w:val="0"/>
                                  <w:divBdr>
                                    <w:top w:val="none" w:sz="0" w:space="0" w:color="auto"/>
                                    <w:left w:val="none" w:sz="0" w:space="0" w:color="auto"/>
                                    <w:bottom w:val="none" w:sz="0" w:space="0" w:color="auto"/>
                                    <w:right w:val="none" w:sz="0" w:space="0" w:color="auto"/>
                                  </w:divBdr>
                                  <w:divsChild>
                                    <w:div w:id="1463961318">
                                      <w:marLeft w:val="0"/>
                                      <w:marRight w:val="0"/>
                                      <w:marTop w:val="0"/>
                                      <w:marBottom w:val="0"/>
                                      <w:divBdr>
                                        <w:top w:val="none" w:sz="0" w:space="0" w:color="auto"/>
                                        <w:left w:val="none" w:sz="0" w:space="0" w:color="auto"/>
                                        <w:bottom w:val="none" w:sz="0" w:space="0" w:color="auto"/>
                                        <w:right w:val="none" w:sz="0" w:space="0" w:color="auto"/>
                                      </w:divBdr>
                                      <w:divsChild>
                                        <w:div w:id="1079063464">
                                          <w:marLeft w:val="0"/>
                                          <w:marRight w:val="0"/>
                                          <w:marTop w:val="0"/>
                                          <w:marBottom w:val="0"/>
                                          <w:divBdr>
                                            <w:top w:val="none" w:sz="0" w:space="0" w:color="auto"/>
                                            <w:left w:val="none" w:sz="0" w:space="0" w:color="auto"/>
                                            <w:bottom w:val="none" w:sz="0" w:space="0" w:color="auto"/>
                                            <w:right w:val="none" w:sz="0" w:space="0" w:color="auto"/>
                                          </w:divBdr>
                                          <w:divsChild>
                                            <w:div w:id="525143189">
                                              <w:marLeft w:val="0"/>
                                              <w:marRight w:val="0"/>
                                              <w:marTop w:val="0"/>
                                              <w:marBottom w:val="0"/>
                                              <w:divBdr>
                                                <w:top w:val="none" w:sz="0" w:space="0" w:color="auto"/>
                                                <w:left w:val="none" w:sz="0" w:space="0" w:color="auto"/>
                                                <w:bottom w:val="none" w:sz="0" w:space="0" w:color="auto"/>
                                                <w:right w:val="none" w:sz="0" w:space="0" w:color="auto"/>
                                              </w:divBdr>
                                              <w:divsChild>
                                                <w:div w:id="624310647">
                                                  <w:marLeft w:val="0"/>
                                                  <w:marRight w:val="0"/>
                                                  <w:marTop w:val="0"/>
                                                  <w:marBottom w:val="0"/>
                                                  <w:divBdr>
                                                    <w:top w:val="none" w:sz="0" w:space="0" w:color="auto"/>
                                                    <w:left w:val="none" w:sz="0" w:space="0" w:color="auto"/>
                                                    <w:bottom w:val="none" w:sz="0" w:space="0" w:color="auto"/>
                                                    <w:right w:val="none" w:sz="0" w:space="0" w:color="auto"/>
                                                  </w:divBdr>
                                                  <w:divsChild>
                                                    <w:div w:id="962270827">
                                                      <w:marLeft w:val="0"/>
                                                      <w:marRight w:val="0"/>
                                                      <w:marTop w:val="0"/>
                                                      <w:marBottom w:val="0"/>
                                                      <w:divBdr>
                                                        <w:top w:val="none" w:sz="0" w:space="0" w:color="auto"/>
                                                        <w:left w:val="none" w:sz="0" w:space="0" w:color="auto"/>
                                                        <w:bottom w:val="none" w:sz="0" w:space="0" w:color="auto"/>
                                                        <w:right w:val="none" w:sz="0" w:space="0" w:color="auto"/>
                                                      </w:divBdr>
                                                      <w:divsChild>
                                                        <w:div w:id="2020696356">
                                                          <w:marLeft w:val="-128"/>
                                                          <w:marRight w:val="-128"/>
                                                          <w:marTop w:val="0"/>
                                                          <w:marBottom w:val="240"/>
                                                          <w:divBdr>
                                                            <w:top w:val="none" w:sz="0" w:space="0" w:color="auto"/>
                                                            <w:left w:val="none" w:sz="0" w:space="0" w:color="auto"/>
                                                            <w:bottom w:val="none" w:sz="0" w:space="0" w:color="auto"/>
                                                            <w:right w:val="none" w:sz="0" w:space="0" w:color="auto"/>
                                                          </w:divBdr>
                                                          <w:divsChild>
                                                            <w:div w:id="1535969327">
                                                              <w:marLeft w:val="0"/>
                                                              <w:marRight w:val="0"/>
                                                              <w:marTop w:val="0"/>
                                                              <w:marBottom w:val="0"/>
                                                              <w:divBdr>
                                                                <w:top w:val="none" w:sz="0" w:space="0" w:color="auto"/>
                                                                <w:left w:val="none" w:sz="0" w:space="0" w:color="auto"/>
                                                                <w:bottom w:val="none" w:sz="0" w:space="0" w:color="auto"/>
                                                                <w:right w:val="none" w:sz="0" w:space="0" w:color="auto"/>
                                                              </w:divBdr>
                                                              <w:divsChild>
                                                                <w:div w:id="465506985">
                                                                  <w:marLeft w:val="0"/>
                                                                  <w:marRight w:val="0"/>
                                                                  <w:marTop w:val="0"/>
                                                                  <w:marBottom w:val="0"/>
                                                                  <w:divBdr>
                                                                    <w:top w:val="none" w:sz="0" w:space="0" w:color="auto"/>
                                                                    <w:left w:val="none" w:sz="0" w:space="0" w:color="auto"/>
                                                                    <w:bottom w:val="none" w:sz="0" w:space="0" w:color="auto"/>
                                                                    <w:right w:val="none" w:sz="0" w:space="0" w:color="auto"/>
                                                                  </w:divBdr>
                                                                  <w:divsChild>
                                                                    <w:div w:id="604195399">
                                                                      <w:marLeft w:val="0"/>
                                                                      <w:marRight w:val="0"/>
                                                                      <w:marTop w:val="0"/>
                                                                      <w:marBottom w:val="0"/>
                                                                      <w:divBdr>
                                                                        <w:top w:val="none" w:sz="0" w:space="0" w:color="auto"/>
                                                                        <w:left w:val="none" w:sz="0" w:space="0" w:color="auto"/>
                                                                        <w:bottom w:val="none" w:sz="0" w:space="0" w:color="auto"/>
                                                                        <w:right w:val="none" w:sz="0" w:space="0" w:color="auto"/>
                                                                      </w:divBdr>
                                                                      <w:divsChild>
                                                                        <w:div w:id="527138352">
                                                                          <w:marLeft w:val="0"/>
                                                                          <w:marRight w:val="0"/>
                                                                          <w:marTop w:val="240"/>
                                                                          <w:marBottom w:val="160"/>
                                                                          <w:divBdr>
                                                                            <w:top w:val="none" w:sz="0" w:space="0" w:color="auto"/>
                                                                            <w:left w:val="none" w:sz="0" w:space="0" w:color="auto"/>
                                                                            <w:bottom w:val="none" w:sz="0" w:space="0" w:color="auto"/>
                                                                            <w:right w:val="none" w:sz="0" w:space="0" w:color="auto"/>
                                                                          </w:divBdr>
                                                                          <w:divsChild>
                                                                            <w:div w:id="1584140874">
                                                                              <w:marLeft w:val="-120"/>
                                                                              <w:marRight w:val="-120"/>
                                                                              <w:marTop w:val="0"/>
                                                                              <w:marBottom w:val="0"/>
                                                                              <w:divBdr>
                                                                                <w:top w:val="none" w:sz="0" w:space="0" w:color="auto"/>
                                                                                <w:left w:val="none" w:sz="0" w:space="0" w:color="auto"/>
                                                                                <w:bottom w:val="none" w:sz="0" w:space="0" w:color="auto"/>
                                                                                <w:right w:val="none" w:sz="0" w:space="0" w:color="auto"/>
                                                                              </w:divBdr>
                                                                              <w:divsChild>
                                                                                <w:div w:id="838422446">
                                                                                  <w:marLeft w:val="0"/>
                                                                                  <w:marRight w:val="0"/>
                                                                                  <w:marTop w:val="0"/>
                                                                                  <w:marBottom w:val="0"/>
                                                                                  <w:divBdr>
                                                                                    <w:top w:val="none" w:sz="0" w:space="0" w:color="auto"/>
                                                                                    <w:left w:val="none" w:sz="0" w:space="0" w:color="auto"/>
                                                                                    <w:bottom w:val="none" w:sz="0" w:space="0" w:color="auto"/>
                                                                                    <w:right w:val="none" w:sz="0" w:space="0" w:color="auto"/>
                                                                                  </w:divBdr>
                                                                                  <w:divsChild>
                                                                                    <w:div w:id="1525947148">
                                                                                      <w:marLeft w:val="0"/>
                                                                                      <w:marRight w:val="0"/>
                                                                                      <w:marTop w:val="0"/>
                                                                                      <w:marBottom w:val="0"/>
                                                                                      <w:divBdr>
                                                                                        <w:top w:val="none" w:sz="0" w:space="0" w:color="auto"/>
                                                                                        <w:left w:val="none" w:sz="0" w:space="0" w:color="auto"/>
                                                                                        <w:bottom w:val="none" w:sz="0" w:space="0" w:color="auto"/>
                                                                                        <w:right w:val="none" w:sz="0" w:space="0" w:color="auto"/>
                                                                                      </w:divBdr>
                                                                                      <w:divsChild>
                                                                                        <w:div w:id="626394718">
                                                                                          <w:marLeft w:val="0"/>
                                                                                          <w:marRight w:val="0"/>
                                                                                          <w:marTop w:val="0"/>
                                                                                          <w:marBottom w:val="0"/>
                                                                                          <w:divBdr>
                                                                                            <w:top w:val="single" w:sz="2" w:space="6" w:color="15596A"/>
                                                                                            <w:left w:val="none" w:sz="0" w:space="0" w:color="auto"/>
                                                                                            <w:bottom w:val="none" w:sz="0" w:space="0" w:color="auto"/>
                                                                                            <w:right w:val="none" w:sz="0" w:space="0" w:color="auto"/>
                                                                                          </w:divBdr>
                                                                                          <w:divsChild>
                                                                                            <w:div w:id="1297686991">
                                                                                              <w:marLeft w:val="0"/>
                                                                                              <w:marRight w:val="0"/>
                                                                                              <w:marTop w:val="0"/>
                                                                                              <w:marBottom w:val="0"/>
                                                                                              <w:divBdr>
                                                                                                <w:top w:val="none" w:sz="0" w:space="0" w:color="auto"/>
                                                                                                <w:left w:val="none" w:sz="0" w:space="0" w:color="auto"/>
                                                                                                <w:bottom w:val="none" w:sz="0" w:space="0" w:color="auto"/>
                                                                                                <w:right w:val="none" w:sz="0" w:space="0" w:color="auto"/>
                                                                                              </w:divBdr>
                                                                                              <w:divsChild>
                                                                                                <w:div w:id="18667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611811">
      <w:bodyDiv w:val="1"/>
      <w:marLeft w:val="0"/>
      <w:marRight w:val="0"/>
      <w:marTop w:val="0"/>
      <w:marBottom w:val="0"/>
      <w:divBdr>
        <w:top w:val="none" w:sz="0" w:space="0" w:color="auto"/>
        <w:left w:val="none" w:sz="0" w:space="0" w:color="auto"/>
        <w:bottom w:val="none" w:sz="0" w:space="0" w:color="auto"/>
        <w:right w:val="none" w:sz="0" w:space="0" w:color="auto"/>
      </w:divBdr>
    </w:div>
    <w:div w:id="1860199642">
      <w:bodyDiv w:val="1"/>
      <w:marLeft w:val="0"/>
      <w:marRight w:val="0"/>
      <w:marTop w:val="0"/>
      <w:marBottom w:val="0"/>
      <w:divBdr>
        <w:top w:val="none" w:sz="0" w:space="0" w:color="auto"/>
        <w:left w:val="none" w:sz="0" w:space="0" w:color="auto"/>
        <w:bottom w:val="none" w:sz="0" w:space="0" w:color="auto"/>
        <w:right w:val="none" w:sz="0" w:space="0" w:color="auto"/>
      </w:divBdr>
    </w:div>
    <w:div w:id="187087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juris@tcu.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141989-DA3E-413D-9125-21624477E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2230</Words>
  <Characters>12046</Characters>
  <Application>Microsoft Office Word</Application>
  <DocSecurity>4</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TCU</Company>
  <LinksUpToDate>false</LinksUpToDate>
  <CharactersWithSpaces>14248</CharactersWithSpaces>
  <SharedDoc>false</SharedDoc>
  <HLinks>
    <vt:vector size="6" baseType="variant">
      <vt:variant>
        <vt:i4>7602203</vt:i4>
      </vt:variant>
      <vt:variant>
        <vt:i4>0</vt:i4>
      </vt:variant>
      <vt:variant>
        <vt:i4>0</vt:i4>
      </vt:variant>
      <vt:variant>
        <vt:i4>5</vt:i4>
      </vt:variant>
      <vt:variant>
        <vt:lpwstr>mailto:infojuris@tcu.gov.br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Porto</dc:creator>
  <cp:keywords/>
  <cp:lastModifiedBy>LUIZ FELYPE TABOSA PORTO</cp:lastModifiedBy>
  <cp:revision>2</cp:revision>
  <cp:lastPrinted>2012-03-05T22:16:00Z</cp:lastPrinted>
  <dcterms:created xsi:type="dcterms:W3CDTF">2015-05-07T12:44:00Z</dcterms:created>
  <dcterms:modified xsi:type="dcterms:W3CDTF">2015-05-07T12:44:00Z</dcterms:modified>
</cp:coreProperties>
</file>