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C77084" w:rsidRDefault="009444E6" w:rsidP="00B408FD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F41FB3"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>:</w:t>
      </w:r>
      <w:r w:rsidR="00531DD5"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863B4B"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>14</w:t>
      </w:r>
      <w:r w:rsidR="00531DD5"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166D7E"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>e</w:t>
      </w:r>
      <w:r w:rsidR="00DD231C"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863B4B"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>15</w:t>
      </w:r>
      <w:r w:rsidR="00F41FB3"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de fevereiro </w:t>
      </w:r>
      <w:r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C77084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C77084" w:rsidRDefault="002D35F5" w:rsidP="00B408FD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C77084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C77084" w:rsidRDefault="00FF7C62" w:rsidP="00B408FD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C77084" w:rsidRDefault="002D35F5" w:rsidP="00E11756">
      <w:pPr>
        <w:pBdr>
          <w:top w:val="threeDEmboss" w:sz="24" w:space="2" w:color="auto"/>
        </w:pBdr>
        <w:tabs>
          <w:tab w:val="left" w:pos="284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C77084">
        <w:rPr>
          <w:b/>
          <w:bCs/>
          <w:smallCaps/>
          <w:sz w:val="22"/>
          <w:szCs w:val="22"/>
        </w:rPr>
        <w:t>S</w:t>
      </w:r>
      <w:r w:rsidR="00FF7C62" w:rsidRPr="00C77084">
        <w:rPr>
          <w:b/>
          <w:bCs/>
          <w:smallCaps/>
          <w:sz w:val="22"/>
          <w:szCs w:val="22"/>
        </w:rPr>
        <w:t>UMÁRIO</w:t>
      </w:r>
    </w:p>
    <w:p w:rsidR="009444E6" w:rsidRDefault="009444E6" w:rsidP="00E11756">
      <w:pPr>
        <w:pStyle w:val="tita"/>
        <w:tabs>
          <w:tab w:val="left" w:pos="2590"/>
        </w:tabs>
        <w:spacing w:before="60" w:after="0" w:line="240" w:lineRule="auto"/>
        <w:jc w:val="both"/>
        <w:rPr>
          <w:i w:val="0"/>
          <w:iCs w:val="0"/>
          <w:sz w:val="22"/>
          <w:szCs w:val="22"/>
        </w:rPr>
      </w:pPr>
      <w:r w:rsidRPr="00C77084">
        <w:rPr>
          <w:i w:val="0"/>
          <w:iCs w:val="0"/>
          <w:sz w:val="22"/>
          <w:szCs w:val="22"/>
        </w:rPr>
        <w:t>Plenário</w:t>
      </w:r>
      <w:r w:rsidR="00E163A5" w:rsidRPr="00C77084">
        <w:rPr>
          <w:i w:val="0"/>
          <w:iCs w:val="0"/>
          <w:sz w:val="22"/>
          <w:szCs w:val="22"/>
        </w:rPr>
        <w:t xml:space="preserve"> </w:t>
      </w:r>
    </w:p>
    <w:p w:rsidR="00E11756" w:rsidRPr="00E11756" w:rsidRDefault="00E11756" w:rsidP="00E11756">
      <w:pPr>
        <w:pStyle w:val="Default"/>
        <w:spacing w:before="60"/>
        <w:jc w:val="both"/>
        <w:rPr>
          <w:sz w:val="22"/>
          <w:szCs w:val="22"/>
        </w:rPr>
      </w:pPr>
      <w:r w:rsidRPr="00E11756">
        <w:rPr>
          <w:sz w:val="22"/>
          <w:szCs w:val="22"/>
        </w:rPr>
        <w:t>A conclusão pela inexequibilidade de proposta apresentada por licitante em pregão eletrônico para contratação de serviços demanda análise ampla de todos os itens que a compõem e não apenas de um  desses itens, como o de despesas administrativas.</w:t>
      </w:r>
    </w:p>
    <w:p w:rsidR="00DE6B47" w:rsidRPr="00E11756" w:rsidRDefault="00E11756" w:rsidP="00DE6B47">
      <w:pPr>
        <w:pStyle w:val="Default"/>
        <w:spacing w:before="60"/>
        <w:jc w:val="both"/>
        <w:rPr>
          <w:sz w:val="22"/>
          <w:szCs w:val="22"/>
        </w:rPr>
      </w:pPr>
      <w:r w:rsidRPr="00E11756">
        <w:rPr>
          <w:sz w:val="22"/>
          <w:szCs w:val="22"/>
        </w:rPr>
        <w:t xml:space="preserve">A </w:t>
      </w:r>
      <w:r w:rsidRPr="00E11756">
        <w:rPr>
          <w:iCs/>
          <w:sz w:val="22"/>
          <w:szCs w:val="22"/>
        </w:rPr>
        <w:t>celebração de termo aditivo em contrato de reforma de prédio público, com acréscimo de edificação de unidade independente e de reparos em áreas não previstas no edital da licitação, viola os comandos contidos nos artigos 3º, caput; 3º, § 1º, inciso I, c/c 23, § 1º; 65, § 1º; todos da Lei 8666/1993.</w:t>
      </w:r>
    </w:p>
    <w:p w:rsidR="00E11756" w:rsidRPr="00BF6109" w:rsidRDefault="00E11756" w:rsidP="00DE6B47">
      <w:pPr>
        <w:pStyle w:val="Default"/>
        <w:spacing w:before="60"/>
        <w:jc w:val="both"/>
        <w:rPr>
          <w:iCs/>
          <w:sz w:val="22"/>
          <w:szCs w:val="22"/>
        </w:rPr>
      </w:pPr>
      <w:r w:rsidRPr="00E11756">
        <w:rPr>
          <w:sz w:val="22"/>
          <w:szCs w:val="22"/>
        </w:rPr>
        <w:t xml:space="preserve">A condição de optante pelo Simples Nacional não impede empresa de participar de licitação cujo objeto envolva a cessão de mão de obra, mas </w:t>
      </w:r>
      <w:r w:rsidRPr="00E11756">
        <w:rPr>
          <w:iCs/>
          <w:sz w:val="22"/>
          <w:szCs w:val="22"/>
        </w:rPr>
        <w:t xml:space="preserve">a licitante que venha a ser contratada não poderá beneficiar-se daquela </w:t>
      </w:r>
      <w:r w:rsidRPr="00BF6109">
        <w:rPr>
          <w:iCs/>
          <w:sz w:val="22"/>
          <w:szCs w:val="22"/>
        </w:rPr>
        <w:t>condição.</w:t>
      </w:r>
    </w:p>
    <w:p w:rsidR="00E11756" w:rsidRPr="00BF6109" w:rsidRDefault="00BF6109" w:rsidP="00DE6B47">
      <w:pPr>
        <w:pStyle w:val="Default"/>
        <w:spacing w:before="60"/>
        <w:jc w:val="both"/>
        <w:rPr>
          <w:sz w:val="22"/>
          <w:szCs w:val="22"/>
        </w:rPr>
      </w:pPr>
      <w:r w:rsidRPr="00BF6109">
        <w:rPr>
          <w:sz w:val="22"/>
          <w:szCs w:val="22"/>
        </w:rPr>
        <w:t>Para realização de obras custeadas com recursos de organismo financeiro internacional poderão ser efetuadas exigências de qualificação econômico-financeira e de qualificação técnica mais rigorosas que as contidas na Lei nº 8.666/1993, desde que não conflitem com o princípio do julgamento objetivo e de que sejam compatíveis com a dimensão e complexidade do objeto a ser executado</w:t>
      </w:r>
      <w:r w:rsidR="00E11756" w:rsidRPr="00BF6109">
        <w:rPr>
          <w:sz w:val="22"/>
          <w:szCs w:val="22"/>
        </w:rPr>
        <w:t>.</w:t>
      </w:r>
    </w:p>
    <w:p w:rsidR="00E11756" w:rsidRPr="00BF6109" w:rsidRDefault="00E11756" w:rsidP="00DE6B47">
      <w:pPr>
        <w:pStyle w:val="Default"/>
        <w:spacing w:before="60"/>
        <w:jc w:val="both"/>
        <w:rPr>
          <w:sz w:val="22"/>
          <w:szCs w:val="22"/>
        </w:rPr>
      </w:pPr>
    </w:p>
    <w:p w:rsidR="00E163A5" w:rsidRPr="00C77084" w:rsidRDefault="00E163A5" w:rsidP="00B408FD">
      <w:pPr>
        <w:pBdr>
          <w:top w:val="threeDEmboss" w:sz="24" w:space="0" w:color="auto"/>
        </w:pBdr>
        <w:tabs>
          <w:tab w:val="left" w:pos="284"/>
          <w:tab w:val="left" w:pos="2590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861A73" w:rsidRPr="00C77084" w:rsidRDefault="003C6DEB" w:rsidP="00DE6B47">
      <w:pPr>
        <w:pStyle w:val="Default"/>
        <w:jc w:val="center"/>
        <w:rPr>
          <w:b/>
          <w:bCs/>
          <w:smallCaps/>
          <w:sz w:val="22"/>
          <w:szCs w:val="22"/>
        </w:rPr>
      </w:pPr>
      <w:r w:rsidRPr="00C77084">
        <w:rPr>
          <w:b/>
          <w:bCs/>
          <w:smallCaps/>
          <w:sz w:val="22"/>
          <w:szCs w:val="22"/>
        </w:rPr>
        <w:t>PLENÁRIO</w:t>
      </w:r>
    </w:p>
    <w:p w:rsidR="00DE6B47" w:rsidRDefault="00DE6B47" w:rsidP="00DE6B47">
      <w:pPr>
        <w:pStyle w:val="Default"/>
        <w:jc w:val="both"/>
        <w:rPr>
          <w:b/>
          <w:bCs/>
          <w:smallCaps/>
          <w:sz w:val="22"/>
          <w:szCs w:val="22"/>
        </w:rPr>
      </w:pPr>
    </w:p>
    <w:p w:rsidR="00990C76" w:rsidRPr="003971DC" w:rsidRDefault="00990C76" w:rsidP="00990C7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3971D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conclusão pela </w:t>
      </w:r>
      <w:r w:rsidRPr="003971DC">
        <w:rPr>
          <w:b/>
          <w:sz w:val="22"/>
          <w:szCs w:val="22"/>
        </w:rPr>
        <w:t>inexequibilidade</w:t>
      </w:r>
      <w:r>
        <w:rPr>
          <w:b/>
          <w:sz w:val="22"/>
          <w:szCs w:val="22"/>
        </w:rPr>
        <w:t xml:space="preserve"> de proposta apresentada por licitante em pregão eletrônico para contratação de serviços demanda </w:t>
      </w:r>
      <w:r w:rsidRPr="003971DC">
        <w:rPr>
          <w:b/>
          <w:sz w:val="22"/>
          <w:szCs w:val="22"/>
        </w:rPr>
        <w:t xml:space="preserve">análise ampla de todos os itens </w:t>
      </w:r>
      <w:r>
        <w:rPr>
          <w:b/>
          <w:sz w:val="22"/>
          <w:szCs w:val="22"/>
        </w:rPr>
        <w:t>que a compõem e não apenas de um  desses itens, como o de despesas administrativas</w:t>
      </w:r>
    </w:p>
    <w:p w:rsidR="00990C76" w:rsidRPr="00C77084" w:rsidRDefault="00990C76" w:rsidP="00AA2ADD">
      <w:pPr>
        <w:pStyle w:val="Default"/>
        <w:jc w:val="both"/>
        <w:rPr>
          <w:sz w:val="22"/>
          <w:szCs w:val="22"/>
        </w:rPr>
      </w:pPr>
      <w:r w:rsidRPr="00C77084">
        <w:rPr>
          <w:sz w:val="22"/>
          <w:szCs w:val="22"/>
        </w:rPr>
        <w:t xml:space="preserve">Representação deu conta de possíveis irregularidades ocorridas no Pregão Eletrônico nº 186/2011 conduzido pelo Superior Tribunal de Justiça – STJ, </w:t>
      </w:r>
      <w:r>
        <w:rPr>
          <w:sz w:val="22"/>
          <w:szCs w:val="22"/>
        </w:rPr>
        <w:t xml:space="preserve">cujo </w:t>
      </w:r>
      <w:r w:rsidRPr="00C77084">
        <w:rPr>
          <w:sz w:val="22"/>
          <w:szCs w:val="22"/>
        </w:rPr>
        <w:t xml:space="preserve">objeto </w:t>
      </w:r>
      <w:r>
        <w:rPr>
          <w:sz w:val="22"/>
          <w:szCs w:val="22"/>
        </w:rPr>
        <w:t xml:space="preserve">é </w:t>
      </w:r>
      <w:r w:rsidRPr="00C77084">
        <w:rPr>
          <w:sz w:val="22"/>
          <w:szCs w:val="22"/>
        </w:rPr>
        <w:t xml:space="preserve">a prestação de serviços de prevenção e combate a princípios de incêndios e acidentes, </w:t>
      </w:r>
      <w:r>
        <w:rPr>
          <w:sz w:val="22"/>
          <w:szCs w:val="22"/>
        </w:rPr>
        <w:t>com</w:t>
      </w:r>
      <w:r w:rsidRPr="00C77084">
        <w:rPr>
          <w:sz w:val="22"/>
          <w:szCs w:val="22"/>
        </w:rPr>
        <w:t xml:space="preserve"> fornecimento de material de brigada, salvamentos e primeiros socorros, abandono de edificação e desenvolvimento de política prevencionista de segurança contra incêndio. Nesse certame, sagrou-se vencedora a empresa Brasul Administração e Serviços Profissionais Ltda., que apresentou o lance de R$ 2.439.392,16. Asseverou a autora da representação, em seu questionamento mais relevante, que os custos resultantes da incidência dos tributos</w:t>
      </w:r>
      <w:r>
        <w:rPr>
          <w:sz w:val="22"/>
          <w:szCs w:val="22"/>
        </w:rPr>
        <w:t xml:space="preserve"> seriam da ordem de 16,33% </w:t>
      </w:r>
      <w:r w:rsidR="00AA2ADD">
        <w:rPr>
          <w:sz w:val="22"/>
          <w:szCs w:val="22"/>
        </w:rPr>
        <w:t>do valor dos</w:t>
      </w:r>
      <w:r>
        <w:rPr>
          <w:sz w:val="22"/>
          <w:szCs w:val="22"/>
        </w:rPr>
        <w:t xml:space="preserve"> serviços</w:t>
      </w:r>
      <w:r w:rsidR="00AA2ADD">
        <w:rPr>
          <w:sz w:val="22"/>
          <w:szCs w:val="22"/>
        </w:rPr>
        <w:t xml:space="preserve"> prestados</w:t>
      </w:r>
      <w:r>
        <w:rPr>
          <w:sz w:val="22"/>
          <w:szCs w:val="22"/>
        </w:rPr>
        <w:t xml:space="preserve">, </w:t>
      </w:r>
      <w:r w:rsidR="00AA2ADD">
        <w:rPr>
          <w:sz w:val="22"/>
          <w:szCs w:val="22"/>
        </w:rPr>
        <w:t xml:space="preserve">os </w:t>
      </w:r>
      <w:r>
        <w:rPr>
          <w:sz w:val="22"/>
          <w:szCs w:val="22"/>
        </w:rPr>
        <w:t>qu</w:t>
      </w:r>
      <w:r w:rsidR="00AA2ADD">
        <w:rPr>
          <w:sz w:val="22"/>
          <w:szCs w:val="22"/>
        </w:rPr>
        <w:t>ais</w:t>
      </w:r>
      <w:r>
        <w:rPr>
          <w:sz w:val="22"/>
          <w:szCs w:val="22"/>
        </w:rPr>
        <w:t xml:space="preserve"> deveriam </w:t>
      </w:r>
      <w:r w:rsidRPr="00C77084">
        <w:rPr>
          <w:sz w:val="22"/>
          <w:szCs w:val="22"/>
        </w:rPr>
        <w:t>ter sido cotados pela vencedora do certame no item "</w:t>
      </w:r>
      <w:r w:rsidRPr="00C77084">
        <w:rPr>
          <w:i/>
          <w:sz w:val="22"/>
          <w:szCs w:val="22"/>
        </w:rPr>
        <w:t>despesas administrativas</w:t>
      </w:r>
      <w:r w:rsidRPr="00C77084">
        <w:rPr>
          <w:sz w:val="22"/>
          <w:szCs w:val="22"/>
        </w:rPr>
        <w:t xml:space="preserve">".  </w:t>
      </w:r>
      <w:r>
        <w:rPr>
          <w:sz w:val="22"/>
          <w:szCs w:val="22"/>
        </w:rPr>
        <w:t xml:space="preserve">O </w:t>
      </w:r>
      <w:r w:rsidRPr="00C77084">
        <w:rPr>
          <w:sz w:val="22"/>
          <w:szCs w:val="22"/>
        </w:rPr>
        <w:t>montante cotado pela empresa</w:t>
      </w:r>
      <w:r w:rsidR="00AA2ADD">
        <w:rPr>
          <w:sz w:val="22"/>
          <w:szCs w:val="22"/>
        </w:rPr>
        <w:t xml:space="preserve"> para essa rubrica</w:t>
      </w:r>
      <w:r>
        <w:rPr>
          <w:sz w:val="22"/>
          <w:szCs w:val="22"/>
        </w:rPr>
        <w:t xml:space="preserve">, </w:t>
      </w:r>
      <w:r w:rsidR="00AA2ADD">
        <w:rPr>
          <w:sz w:val="22"/>
          <w:szCs w:val="22"/>
        </w:rPr>
        <w:t xml:space="preserve">porém, foi da ordem </w:t>
      </w:r>
      <w:r>
        <w:rPr>
          <w:sz w:val="22"/>
          <w:szCs w:val="22"/>
        </w:rPr>
        <w:t>5,12%</w:t>
      </w:r>
      <w:r w:rsidR="00AA2ADD">
        <w:rPr>
          <w:sz w:val="22"/>
          <w:szCs w:val="22"/>
        </w:rPr>
        <w:t xml:space="preserve">, o que </w:t>
      </w:r>
      <w:r w:rsidRPr="00C77084">
        <w:rPr>
          <w:sz w:val="22"/>
          <w:szCs w:val="22"/>
        </w:rPr>
        <w:t>sequer seria suficiente para fazer frente às despesas enfrentadas pela contratada</w:t>
      </w:r>
      <w:r w:rsidR="00AA2ADD">
        <w:rPr>
          <w:sz w:val="22"/>
          <w:szCs w:val="22"/>
        </w:rPr>
        <w:t xml:space="preserve"> </w:t>
      </w:r>
      <w:r w:rsidRPr="00C77084">
        <w:rPr>
          <w:sz w:val="22"/>
          <w:szCs w:val="22"/>
        </w:rPr>
        <w:t>com o pagamento de tributos. Por esse motivo, a proposta por ela apresentada deveria ser considerada inexequível. A unidade técnica, embora tenha deixado de sugerir a adoção da medida cautelar pleiteada pela empresa, propôs a promoção de oitiva da pregoeira da licitação a respeito de possível inconsistência da proposta da licitante vencedora do certame</w:t>
      </w:r>
      <w:r>
        <w:rPr>
          <w:sz w:val="22"/>
          <w:szCs w:val="22"/>
        </w:rPr>
        <w:t>.</w:t>
      </w:r>
      <w:r w:rsidRPr="00C77084">
        <w:rPr>
          <w:sz w:val="22"/>
          <w:szCs w:val="22"/>
        </w:rPr>
        <w:t xml:space="preserve"> O relator do feito, ao discordar dessa sugestão, ressaltou que a pertinência de inclusão do </w:t>
      </w:r>
      <w:r w:rsidR="00AA2ADD">
        <w:t xml:space="preserve"> </w:t>
      </w:r>
      <w:r w:rsidR="00AA2ADD">
        <w:rPr>
          <w:sz w:val="22"/>
          <w:szCs w:val="22"/>
        </w:rPr>
        <w:t>IRPJ (4,80%) e CSLL (2,88%)</w:t>
      </w:r>
      <w:r w:rsidRPr="00C77084">
        <w:rPr>
          <w:sz w:val="22"/>
          <w:szCs w:val="22"/>
        </w:rPr>
        <w:t xml:space="preserve"> na proposta já foi objeto de discussão no âmbito do TCU, “</w:t>
      </w:r>
      <w:r w:rsidRPr="00C77084">
        <w:rPr>
          <w:i/>
          <w:sz w:val="22"/>
          <w:szCs w:val="22"/>
        </w:rPr>
        <w:t>sendo assente o entendimento de que tais tributos não devem constar dos formulários encaminhados, seja na composição do BDI ou em item específico da planilha (Acórdãos 325/2007-Plenário, 440/2008-Plenário, 2715/2008-Plenário, 1453/2009-Plenário, dentre outros)</w:t>
      </w:r>
      <w:r w:rsidRPr="00C77084">
        <w:rPr>
          <w:sz w:val="22"/>
          <w:szCs w:val="22"/>
        </w:rPr>
        <w:t xml:space="preserve">”. E que o edital do Pregão Eletrônico nº 186/2011-STJ, em seu subitem 9.4.c.7 foi lavrado em consonância com essa orientação. Quanto à apontada inexequibilidade da proposta vencedora, ressaltou ser necessária a demonstração cabal da incapacidade de execução dos serviços contratados. </w:t>
      </w:r>
      <w:r>
        <w:rPr>
          <w:sz w:val="22"/>
          <w:szCs w:val="22"/>
        </w:rPr>
        <w:t xml:space="preserve"> E mais: </w:t>
      </w:r>
      <w:r w:rsidRPr="00C77084">
        <w:rPr>
          <w:sz w:val="22"/>
          <w:szCs w:val="22"/>
        </w:rPr>
        <w:t>“</w:t>
      </w:r>
      <w:r w:rsidRPr="00C77084">
        <w:rPr>
          <w:i/>
          <w:sz w:val="22"/>
          <w:szCs w:val="22"/>
        </w:rPr>
        <w:t>A mera alegação de que os percentuais a serem eventualmente pagos a título de IRPJ e CSLL seriam supostamente superiores às despesas indiretas não implicam em incapacidade para pagamento dos citados tributos</w:t>
      </w:r>
      <w:r w:rsidRPr="00C77084">
        <w:rPr>
          <w:sz w:val="22"/>
          <w:szCs w:val="22"/>
        </w:rPr>
        <w:t>”. Acrescentou não ser correto concluir pela impossibilidade de execução de dada proposta em razão da avaliação apenas dos percentuais de custos indiretos. Impõe-se a “</w:t>
      </w:r>
      <w:r w:rsidRPr="00C77084">
        <w:rPr>
          <w:i/>
          <w:sz w:val="22"/>
          <w:szCs w:val="22"/>
        </w:rPr>
        <w:t>análise ampla de todos os itens da proposta para que seja possível firmar a incapacidade de uma empresa em honrar sua oferta, o que já foi feito pelo órgão licitante, sem qualquer indício de inexequibilidade</w:t>
      </w:r>
      <w:r w:rsidRPr="00C77084">
        <w:rPr>
          <w:sz w:val="22"/>
          <w:szCs w:val="22"/>
        </w:rPr>
        <w:t>”. O Tribunal, então, ao endossar proposta formulada pelo relator, decidiu “</w:t>
      </w:r>
      <w:r w:rsidRPr="00C77084">
        <w:rPr>
          <w:i/>
          <w:sz w:val="22"/>
          <w:szCs w:val="22"/>
        </w:rPr>
        <w:t>9.1. conhecer da presente representação para, no mérito, considerá-la improcedente, negando, em consequência, a medida cautelar requerida</w:t>
      </w:r>
      <w:r w:rsidRPr="00C77084">
        <w:rPr>
          <w:sz w:val="22"/>
          <w:szCs w:val="22"/>
        </w:rPr>
        <w:t xml:space="preserve">”. </w:t>
      </w:r>
      <w:r w:rsidRPr="00F148FE">
        <w:rPr>
          <w:b/>
          <w:i/>
          <w:sz w:val="22"/>
          <w:szCs w:val="22"/>
        </w:rPr>
        <w:t>Acórdão n.º 330/2012-Plenário, TC-000.768/2012-0, rel. Min. Valmir Campelo,</w:t>
      </w:r>
      <w:r w:rsidR="00654BC1">
        <w:rPr>
          <w:b/>
          <w:i/>
          <w:sz w:val="22"/>
          <w:szCs w:val="22"/>
        </w:rPr>
        <w:t xml:space="preserve"> </w:t>
      </w:r>
      <w:r w:rsidRPr="00F148FE">
        <w:rPr>
          <w:b/>
          <w:i/>
          <w:sz w:val="22"/>
          <w:szCs w:val="22"/>
        </w:rPr>
        <w:t>15.2.2012.</w:t>
      </w:r>
    </w:p>
    <w:p w:rsidR="00990C76" w:rsidRDefault="00990C76" w:rsidP="00DE6B47">
      <w:pPr>
        <w:pStyle w:val="Default"/>
        <w:jc w:val="both"/>
        <w:rPr>
          <w:b/>
          <w:bCs/>
          <w:smallCaps/>
          <w:sz w:val="22"/>
          <w:szCs w:val="22"/>
        </w:rPr>
      </w:pPr>
    </w:p>
    <w:p w:rsidR="00990C76" w:rsidRDefault="00990C76" w:rsidP="00990C76">
      <w:pPr>
        <w:pStyle w:val="Default"/>
        <w:jc w:val="both"/>
        <w:rPr>
          <w:b/>
          <w:iCs/>
          <w:sz w:val="22"/>
          <w:szCs w:val="22"/>
        </w:rPr>
      </w:pPr>
      <w:r w:rsidRPr="00250EBD">
        <w:rPr>
          <w:b/>
          <w:sz w:val="22"/>
          <w:szCs w:val="22"/>
        </w:rPr>
        <w:t xml:space="preserve">A </w:t>
      </w:r>
      <w:r w:rsidRPr="00250EBD">
        <w:rPr>
          <w:b/>
          <w:iCs/>
          <w:sz w:val="22"/>
          <w:szCs w:val="22"/>
        </w:rPr>
        <w:t>celebração de termo aditivo</w:t>
      </w:r>
      <w:r>
        <w:rPr>
          <w:b/>
          <w:iCs/>
          <w:sz w:val="22"/>
          <w:szCs w:val="22"/>
        </w:rPr>
        <w:t xml:space="preserve"> em</w:t>
      </w:r>
      <w:r w:rsidRPr="00250EBD">
        <w:rPr>
          <w:b/>
          <w:iCs/>
          <w:sz w:val="22"/>
          <w:szCs w:val="22"/>
        </w:rPr>
        <w:t xml:space="preserve"> contrato de reforma</w:t>
      </w:r>
      <w:r>
        <w:rPr>
          <w:b/>
          <w:iCs/>
          <w:sz w:val="22"/>
          <w:szCs w:val="22"/>
        </w:rPr>
        <w:t xml:space="preserve"> de prédio público</w:t>
      </w:r>
      <w:r w:rsidRPr="00250EBD">
        <w:rPr>
          <w:b/>
          <w:iCs/>
          <w:sz w:val="22"/>
          <w:szCs w:val="22"/>
        </w:rPr>
        <w:t xml:space="preserve">, com acréscimo de edificação de </w:t>
      </w:r>
      <w:r>
        <w:rPr>
          <w:b/>
          <w:iCs/>
          <w:sz w:val="22"/>
          <w:szCs w:val="22"/>
        </w:rPr>
        <w:t>unidade</w:t>
      </w:r>
      <w:r w:rsidRPr="00250EBD">
        <w:rPr>
          <w:b/>
          <w:iCs/>
          <w:sz w:val="22"/>
          <w:szCs w:val="22"/>
        </w:rPr>
        <w:t xml:space="preserve"> independente e de reparos em áreas não previstas no edital da licitação</w:t>
      </w:r>
      <w:r>
        <w:rPr>
          <w:b/>
          <w:iCs/>
          <w:sz w:val="22"/>
          <w:szCs w:val="22"/>
        </w:rPr>
        <w:t xml:space="preserve">, </w:t>
      </w:r>
      <w:r w:rsidRPr="00250EBD">
        <w:rPr>
          <w:b/>
          <w:iCs/>
          <w:sz w:val="22"/>
          <w:szCs w:val="22"/>
        </w:rPr>
        <w:t>viola os comandos contidos nos artigos 3º, caput; 3º, § 1º, inciso I, c/c 23, § 1º; 65, § 1º; todos da Lei 8666/1993</w:t>
      </w:r>
    </w:p>
    <w:p w:rsidR="00990C76" w:rsidRPr="00B74D6E" w:rsidRDefault="00990C76" w:rsidP="00990C76">
      <w:pPr>
        <w:pStyle w:val="Default"/>
        <w:jc w:val="both"/>
        <w:rPr>
          <w:i/>
          <w:sz w:val="22"/>
          <w:szCs w:val="22"/>
        </w:rPr>
      </w:pPr>
      <w:r w:rsidRPr="00C77084">
        <w:rPr>
          <w:sz w:val="22"/>
          <w:szCs w:val="22"/>
        </w:rPr>
        <w:t xml:space="preserve">Pedidos de </w:t>
      </w:r>
      <w:r w:rsidRPr="00C77084">
        <w:rPr>
          <w:iCs/>
          <w:sz w:val="22"/>
          <w:szCs w:val="22"/>
        </w:rPr>
        <w:t xml:space="preserve">reexame interpostos por ex-Diretor-Geral e por ex-Gerente da Divisão de Engenharia e Infra-estrutura do </w:t>
      </w:r>
      <w:r w:rsidRPr="00C77084">
        <w:rPr>
          <w:sz w:val="22"/>
          <w:szCs w:val="22"/>
        </w:rPr>
        <w:t>Instituto Nacional do Câncer requereram a reforma do</w:t>
      </w:r>
      <w:r w:rsidRPr="00285052">
        <w:rPr>
          <w:sz w:val="22"/>
          <w:szCs w:val="22"/>
        </w:rPr>
        <w:t xml:space="preserve"> A</w:t>
      </w:r>
      <w:r w:rsidRPr="00285052">
        <w:rPr>
          <w:iCs/>
          <w:sz w:val="22"/>
          <w:szCs w:val="22"/>
        </w:rPr>
        <w:t>córdão 2923/2010-Plenário. O Tribunal, por meio dessa deliberação, aplic</w:t>
      </w:r>
      <w:r w:rsidR="00AA2ADD">
        <w:rPr>
          <w:iCs/>
          <w:sz w:val="22"/>
          <w:szCs w:val="22"/>
        </w:rPr>
        <w:t>ou</w:t>
      </w:r>
      <w:r w:rsidRPr="00285052">
        <w:rPr>
          <w:iCs/>
          <w:sz w:val="22"/>
          <w:szCs w:val="22"/>
        </w:rPr>
        <w:t xml:space="preserve"> a cada um deles multa prevista no art. 58, inciso II, da Lei nº 8.443/1992, no valor de R$ 10.000,00, em razão de irregularidades cometidas na execução do Contrato Inca 6/2004, que tinha por objeto reforma de prédio da entidade. Entre as ocorrências que ensejaram a apenação dos agentes destacam-se: a) exclusão, no primeiro termo aditivo ao Contrato Inca 6/2004, dos serviços relativos à reforma do prédio da Coage e inclusão de serviços para a reforma de áreas não previstas no edital e nos projetos básico e executivo;</w:t>
      </w:r>
      <w:r>
        <w:rPr>
          <w:iCs/>
          <w:sz w:val="22"/>
          <w:szCs w:val="22"/>
        </w:rPr>
        <w:t xml:space="preserve"> </w:t>
      </w:r>
      <w:r w:rsidRPr="00285052">
        <w:rPr>
          <w:iCs/>
          <w:sz w:val="22"/>
          <w:szCs w:val="22"/>
        </w:rPr>
        <w:t xml:space="preserve">b) celebração de termo aditivo, com acréscimo da edificação de prédio de quatro andares, da construção de pavimentos e de cobertura no prédio do Hospital do Câncer II, e da ampliação e reforma de novas áreas. A decisão recorrida ressaltou a inclusão de serviços novos com preços não submetidos à disputa entre as licitantes e a renegociação de preços de serviços. Consoante registrado no Voto </w:t>
      </w:r>
      <w:r>
        <w:rPr>
          <w:iCs/>
          <w:sz w:val="22"/>
          <w:szCs w:val="22"/>
        </w:rPr>
        <w:t xml:space="preserve">dessa </w:t>
      </w:r>
      <w:r w:rsidRPr="00285052">
        <w:rPr>
          <w:iCs/>
          <w:sz w:val="22"/>
          <w:szCs w:val="22"/>
        </w:rPr>
        <w:t>deliberação, entre as normas legais infringidas no caso vertente estão os artigos 3º, caput; 3º, § 1º, inciso I, c/c 23, § 1º; 65, § 1º; tod</w:t>
      </w:r>
      <w:r>
        <w:rPr>
          <w:iCs/>
          <w:sz w:val="22"/>
          <w:szCs w:val="22"/>
        </w:rPr>
        <w:t>o</w:t>
      </w:r>
      <w:r w:rsidRPr="00285052">
        <w:rPr>
          <w:iCs/>
          <w:sz w:val="22"/>
          <w:szCs w:val="22"/>
        </w:rPr>
        <w:t>s da Lei 8666/1993. Argumentaram os recorrentes, quanto ao aspecto material, que:</w:t>
      </w:r>
      <w:r w:rsidRPr="00C77084">
        <w:rPr>
          <w:iCs/>
          <w:sz w:val="22"/>
          <w:szCs w:val="22"/>
        </w:rPr>
        <w:t xml:space="preserve"> a)</w:t>
      </w:r>
      <w:r w:rsidRPr="00C77084">
        <w:rPr>
          <w:sz w:val="22"/>
          <w:szCs w:val="22"/>
        </w:rPr>
        <w:t xml:space="preserve"> </w:t>
      </w:r>
      <w:r w:rsidRPr="00C77084">
        <w:rPr>
          <w:iCs/>
          <w:sz w:val="22"/>
          <w:szCs w:val="22"/>
        </w:rPr>
        <w:t xml:space="preserve">a Lei 8666/1993 respaldaria </w:t>
      </w:r>
      <w:r w:rsidR="00BF6109">
        <w:rPr>
          <w:iCs/>
          <w:sz w:val="22"/>
          <w:szCs w:val="22"/>
        </w:rPr>
        <w:t xml:space="preserve">a </w:t>
      </w:r>
      <w:r w:rsidRPr="00C77084">
        <w:rPr>
          <w:iCs/>
          <w:sz w:val="22"/>
          <w:szCs w:val="22"/>
        </w:rPr>
        <w:t xml:space="preserve">decisão de reforma e ampliação do </w:t>
      </w:r>
      <w:r w:rsidRPr="00C77084">
        <w:rPr>
          <w:iCs/>
          <w:color w:val="auto"/>
          <w:sz w:val="22"/>
          <w:szCs w:val="22"/>
        </w:rPr>
        <w:t xml:space="preserve">conjunto de edifícios </w:t>
      </w:r>
      <w:r w:rsidR="00BF6109">
        <w:rPr>
          <w:iCs/>
          <w:color w:val="auto"/>
          <w:sz w:val="22"/>
          <w:szCs w:val="22"/>
        </w:rPr>
        <w:t>d</w:t>
      </w:r>
      <w:r w:rsidRPr="00C77084">
        <w:rPr>
          <w:iCs/>
          <w:color w:val="auto"/>
          <w:sz w:val="22"/>
          <w:szCs w:val="22"/>
        </w:rPr>
        <w:t>o Inca;</w:t>
      </w:r>
      <w:r w:rsidRPr="00C77084">
        <w:rPr>
          <w:iCs/>
          <w:sz w:val="22"/>
          <w:szCs w:val="22"/>
        </w:rPr>
        <w:t xml:space="preserve"> b) o aproveitamento dos recursos se deu com o intuito de atender </w:t>
      </w:r>
      <w:r w:rsidR="00BF6109">
        <w:rPr>
          <w:iCs/>
          <w:sz w:val="22"/>
          <w:szCs w:val="22"/>
        </w:rPr>
        <w:t xml:space="preserve">a </w:t>
      </w:r>
      <w:r w:rsidRPr="00C77084">
        <w:rPr>
          <w:iCs/>
          <w:sz w:val="22"/>
          <w:szCs w:val="22"/>
        </w:rPr>
        <w:t>necessidade da Administração; c) a estratégia adotada garantiu economia de escala. O relator, ao endossar manifestação da unidade técnica, considerou que não havia, nas obras e serviços contratados pelo INCA, “</w:t>
      </w:r>
      <w:r w:rsidRPr="00C77084">
        <w:rPr>
          <w:i/>
          <w:iCs/>
          <w:sz w:val="22"/>
          <w:szCs w:val="22"/>
        </w:rPr>
        <w:t>união física ou interdependência funcional</w:t>
      </w:r>
      <w:r w:rsidRPr="00C77084">
        <w:rPr>
          <w:iCs/>
          <w:sz w:val="22"/>
          <w:szCs w:val="22"/>
        </w:rPr>
        <w:t>”. Não se poderia aproveitar certo contrato para fazer frente a serviços em outro prédio situado a 10 Km de distância. Anotou ainda: “...</w:t>
      </w:r>
      <w:r w:rsidRPr="00C77084">
        <w:rPr>
          <w:sz w:val="22"/>
          <w:szCs w:val="22"/>
        </w:rPr>
        <w:t xml:space="preserve"> </w:t>
      </w:r>
      <w:r w:rsidRPr="00C77084">
        <w:rPr>
          <w:i/>
          <w:sz w:val="22"/>
          <w:szCs w:val="22"/>
        </w:rPr>
        <w:t>saltou-me à vista a alteração do Contrato Inca nº 6/2004 para acrescer a edificação de um prédio de quatro andares e da construção de pavimentos e de cobertura no prédio do Hospital do Câncer II</w:t>
      </w:r>
      <w:r w:rsidRPr="00C77084">
        <w:rPr>
          <w:sz w:val="22"/>
          <w:szCs w:val="22"/>
        </w:rPr>
        <w:t>”.  Tal conduta revelou-se “</w:t>
      </w:r>
      <w:r w:rsidRPr="00C77084">
        <w:rPr>
          <w:i/>
          <w:sz w:val="22"/>
          <w:szCs w:val="22"/>
        </w:rPr>
        <w:t>carente de razoabilidade</w:t>
      </w:r>
      <w:r w:rsidRPr="00C77084">
        <w:rPr>
          <w:sz w:val="22"/>
          <w:szCs w:val="22"/>
        </w:rPr>
        <w:t>” e desvirtuou o propósito da Lei de Licitações</w:t>
      </w:r>
      <w:r>
        <w:rPr>
          <w:sz w:val="22"/>
          <w:szCs w:val="22"/>
        </w:rPr>
        <w:t>.</w:t>
      </w:r>
      <w:r w:rsidRPr="00C77084">
        <w:rPr>
          <w:sz w:val="22"/>
          <w:szCs w:val="22"/>
        </w:rPr>
        <w:t xml:space="preserve"> Observou, também, que a “</w:t>
      </w:r>
      <w:r w:rsidRPr="00C77084">
        <w:rPr>
          <w:i/>
          <w:sz w:val="22"/>
          <w:szCs w:val="22"/>
        </w:rPr>
        <w:t>suposta economia de escala não foi demonstrada no processo</w:t>
      </w:r>
      <w:r w:rsidRPr="00C77084">
        <w:rPr>
          <w:sz w:val="22"/>
          <w:szCs w:val="22"/>
        </w:rPr>
        <w:t>”.  O Tribunal, então, ao acolher proposta do relator, decidiu: “</w:t>
      </w:r>
      <w:r w:rsidRPr="00C77084">
        <w:rPr>
          <w:i/>
          <w:sz w:val="22"/>
          <w:szCs w:val="22"/>
        </w:rPr>
        <w:t>9.1. conhecer dos presentes pedidos de reexame para, no mérito, negar-lhes provimento, mantendo-se os exatos termos do acórdão recorrido</w:t>
      </w:r>
      <w:r w:rsidRPr="00C77084">
        <w:rPr>
          <w:sz w:val="22"/>
          <w:szCs w:val="22"/>
        </w:rPr>
        <w:t>”.</w:t>
      </w:r>
      <w:r>
        <w:rPr>
          <w:sz w:val="22"/>
          <w:szCs w:val="22"/>
        </w:rPr>
        <w:t xml:space="preserve"> </w:t>
      </w:r>
      <w:r w:rsidRPr="00B74D6E">
        <w:rPr>
          <w:b/>
          <w:i/>
          <w:sz w:val="22"/>
          <w:szCs w:val="22"/>
        </w:rPr>
        <w:t>Acórdão n.º 327/2012-Plenário, TC-012.238/2005-2, rel. Min. Augusto Nardes,</w:t>
      </w:r>
      <w:r w:rsidR="00654BC1">
        <w:rPr>
          <w:b/>
          <w:i/>
          <w:sz w:val="22"/>
          <w:szCs w:val="22"/>
        </w:rPr>
        <w:t xml:space="preserve"> </w:t>
      </w:r>
      <w:r w:rsidRPr="00B74D6E">
        <w:rPr>
          <w:b/>
          <w:i/>
          <w:sz w:val="22"/>
          <w:szCs w:val="22"/>
        </w:rPr>
        <w:t>15.2.2012.</w:t>
      </w:r>
    </w:p>
    <w:p w:rsidR="00990C76" w:rsidRPr="00C77084" w:rsidRDefault="00990C76" w:rsidP="00DE6B47">
      <w:pPr>
        <w:pStyle w:val="Default"/>
        <w:jc w:val="both"/>
        <w:rPr>
          <w:b/>
          <w:bCs/>
          <w:smallCaps/>
          <w:sz w:val="22"/>
          <w:szCs w:val="22"/>
        </w:rPr>
      </w:pPr>
    </w:p>
    <w:p w:rsidR="00C64566" w:rsidRPr="00C77084" w:rsidRDefault="00C77084" w:rsidP="00DE6B47">
      <w:pPr>
        <w:pStyle w:val="Default"/>
        <w:jc w:val="both"/>
        <w:rPr>
          <w:b/>
          <w:bCs/>
          <w:smallCaps/>
          <w:sz w:val="22"/>
          <w:szCs w:val="22"/>
        </w:rPr>
      </w:pPr>
      <w:r w:rsidRPr="00C77084">
        <w:rPr>
          <w:b/>
          <w:sz w:val="22"/>
          <w:szCs w:val="22"/>
        </w:rPr>
        <w:t xml:space="preserve">A </w:t>
      </w:r>
      <w:r w:rsidR="00C64566" w:rsidRPr="00C77084">
        <w:rPr>
          <w:b/>
          <w:sz w:val="22"/>
          <w:szCs w:val="22"/>
        </w:rPr>
        <w:t>condição de optante pelo Simples Nacional não impede empresa de participar de licitação cujo objeto envolva a cessão de mão de obra</w:t>
      </w:r>
      <w:r w:rsidRPr="00C77084">
        <w:rPr>
          <w:b/>
          <w:sz w:val="22"/>
          <w:szCs w:val="22"/>
        </w:rPr>
        <w:t>, ma</w:t>
      </w:r>
      <w:r w:rsidR="00C64566" w:rsidRPr="00C77084">
        <w:rPr>
          <w:b/>
          <w:sz w:val="22"/>
          <w:szCs w:val="22"/>
        </w:rPr>
        <w:t xml:space="preserve">s </w:t>
      </w:r>
      <w:r w:rsidR="00C64566" w:rsidRPr="00C77084">
        <w:rPr>
          <w:b/>
          <w:iCs/>
          <w:sz w:val="22"/>
          <w:szCs w:val="22"/>
        </w:rPr>
        <w:t>a licitante que venha a ser contratada não poderá beneficiar-se d</w:t>
      </w:r>
      <w:r w:rsidR="0054271B">
        <w:rPr>
          <w:b/>
          <w:iCs/>
          <w:sz w:val="22"/>
          <w:szCs w:val="22"/>
        </w:rPr>
        <w:t>aquel</w:t>
      </w:r>
      <w:r w:rsidR="00C64566" w:rsidRPr="00C77084">
        <w:rPr>
          <w:b/>
          <w:iCs/>
          <w:sz w:val="22"/>
          <w:szCs w:val="22"/>
        </w:rPr>
        <w:t>a condição</w:t>
      </w:r>
    </w:p>
    <w:p w:rsidR="00861A73" w:rsidRPr="00C77084" w:rsidRDefault="00863B4B" w:rsidP="00967EC2">
      <w:pPr>
        <w:pStyle w:val="Default"/>
        <w:jc w:val="both"/>
        <w:rPr>
          <w:b/>
          <w:i/>
          <w:sz w:val="22"/>
          <w:szCs w:val="22"/>
        </w:rPr>
      </w:pPr>
      <w:r w:rsidRPr="00C77084">
        <w:rPr>
          <w:sz w:val="22"/>
          <w:szCs w:val="22"/>
        </w:rPr>
        <w:t xml:space="preserve">Representação apontou possíveis irregularidades na condução do Pregão Eletrônico nº 24/2011, promovido pela Companhia Energética de Alagoas (CEAL), visando </w:t>
      </w:r>
      <w:r w:rsidR="00BF6109">
        <w:rPr>
          <w:sz w:val="22"/>
          <w:szCs w:val="22"/>
        </w:rPr>
        <w:t>à</w:t>
      </w:r>
      <w:r w:rsidRPr="00C77084">
        <w:rPr>
          <w:sz w:val="22"/>
          <w:szCs w:val="22"/>
        </w:rPr>
        <w:t xml:space="preserve"> contratação de serviços especializados em recepção. A autora da representação destacou que a empresa Ve</w:t>
      </w:r>
      <w:r w:rsidR="000648BD" w:rsidRPr="00C77084">
        <w:rPr>
          <w:sz w:val="22"/>
          <w:szCs w:val="22"/>
        </w:rPr>
        <w:t>g</w:t>
      </w:r>
      <w:r w:rsidRPr="00C77084">
        <w:rPr>
          <w:sz w:val="22"/>
          <w:szCs w:val="22"/>
        </w:rPr>
        <w:t xml:space="preserve">a </w:t>
      </w:r>
      <w:r w:rsidR="000648BD" w:rsidRPr="00C77084">
        <w:rPr>
          <w:sz w:val="22"/>
          <w:szCs w:val="22"/>
        </w:rPr>
        <w:t xml:space="preserve">Comércio e Serviços Ltda. – ME, </w:t>
      </w:r>
      <w:r w:rsidRPr="00C77084">
        <w:rPr>
          <w:sz w:val="22"/>
          <w:szCs w:val="22"/>
        </w:rPr>
        <w:t xml:space="preserve">por recolher impostos e contribuições na forma do Simples Nacional, </w:t>
      </w:r>
      <w:r w:rsidR="000648BD" w:rsidRPr="00C77084">
        <w:rPr>
          <w:sz w:val="22"/>
          <w:szCs w:val="22"/>
        </w:rPr>
        <w:t>só poderia “</w:t>
      </w:r>
      <w:r w:rsidRPr="00C77084">
        <w:rPr>
          <w:i/>
          <w:iCs/>
          <w:sz w:val="22"/>
          <w:szCs w:val="22"/>
        </w:rPr>
        <w:t>participar de licitação cujo objeto seja pertinente ao descrito na Lei</w:t>
      </w:r>
      <w:r w:rsidR="000648BD" w:rsidRPr="00C77084">
        <w:rPr>
          <w:i/>
          <w:iCs/>
          <w:sz w:val="22"/>
          <w:szCs w:val="22"/>
        </w:rPr>
        <w:t xml:space="preserve"> </w:t>
      </w:r>
      <w:r w:rsidRPr="00C77084">
        <w:rPr>
          <w:i/>
          <w:iCs/>
          <w:sz w:val="22"/>
          <w:szCs w:val="22"/>
        </w:rPr>
        <w:t>Complementar n. 123/2006, sob pena de desvirtuar diversos princípios do direito, dentre eles, o da</w:t>
      </w:r>
      <w:r w:rsidR="000648BD" w:rsidRPr="00C77084">
        <w:rPr>
          <w:i/>
          <w:iCs/>
          <w:sz w:val="22"/>
          <w:szCs w:val="22"/>
        </w:rPr>
        <w:t xml:space="preserve"> </w:t>
      </w:r>
      <w:r w:rsidRPr="00C77084">
        <w:rPr>
          <w:i/>
          <w:iCs/>
          <w:sz w:val="22"/>
          <w:szCs w:val="22"/>
        </w:rPr>
        <w:t>legalidade e o da igualdade</w:t>
      </w:r>
      <w:r w:rsidR="000648BD" w:rsidRPr="00C77084">
        <w:rPr>
          <w:iCs/>
          <w:sz w:val="22"/>
          <w:szCs w:val="22"/>
        </w:rPr>
        <w:t>”</w:t>
      </w:r>
      <w:r w:rsidRPr="00C77084">
        <w:rPr>
          <w:i/>
          <w:iCs/>
          <w:sz w:val="22"/>
          <w:szCs w:val="22"/>
        </w:rPr>
        <w:t>.</w:t>
      </w:r>
      <w:r w:rsidR="000648BD" w:rsidRPr="00C77084">
        <w:rPr>
          <w:iCs/>
          <w:sz w:val="22"/>
          <w:szCs w:val="22"/>
        </w:rPr>
        <w:t xml:space="preserve"> </w:t>
      </w:r>
      <w:r w:rsidR="00076C9C" w:rsidRPr="00C77084">
        <w:rPr>
          <w:iCs/>
          <w:sz w:val="22"/>
          <w:szCs w:val="22"/>
        </w:rPr>
        <w:t>O</w:t>
      </w:r>
      <w:r w:rsidR="000648BD" w:rsidRPr="00C77084">
        <w:rPr>
          <w:iCs/>
          <w:sz w:val="22"/>
          <w:szCs w:val="22"/>
        </w:rPr>
        <w:t xml:space="preserve"> relator </w:t>
      </w:r>
      <w:r w:rsidR="00C64566" w:rsidRPr="00C77084">
        <w:rPr>
          <w:iCs/>
          <w:sz w:val="22"/>
          <w:szCs w:val="22"/>
        </w:rPr>
        <w:t xml:space="preserve">considerou </w:t>
      </w:r>
      <w:r w:rsidR="000648BD" w:rsidRPr="00C77084">
        <w:rPr>
          <w:iCs/>
          <w:sz w:val="22"/>
          <w:szCs w:val="22"/>
        </w:rPr>
        <w:t xml:space="preserve">serem duas as questões </w:t>
      </w:r>
      <w:r w:rsidR="00076C9C" w:rsidRPr="00C77084">
        <w:rPr>
          <w:iCs/>
          <w:sz w:val="22"/>
          <w:szCs w:val="22"/>
        </w:rPr>
        <w:t>abordadas no processo</w:t>
      </w:r>
      <w:r w:rsidR="0091757B" w:rsidRPr="00C77084">
        <w:rPr>
          <w:iCs/>
          <w:sz w:val="22"/>
          <w:szCs w:val="22"/>
        </w:rPr>
        <w:t xml:space="preserve">: a) apresentação pela citada empresa de proposta de preços utilizando-se dos benefícios decorrentes da sua opção pelo Simples Nacional; b) ausência de previsão no </w:t>
      </w:r>
      <w:r w:rsidR="0091757B" w:rsidRPr="00C77084">
        <w:rPr>
          <w:sz w:val="22"/>
          <w:szCs w:val="22"/>
        </w:rPr>
        <w:t xml:space="preserve">edital do certame de que a empresa proponente não poderia estar beneficiada pelo sistema de tributação </w:t>
      </w:r>
      <w:r w:rsidR="00A87793" w:rsidRPr="00C77084">
        <w:rPr>
          <w:sz w:val="22"/>
          <w:szCs w:val="22"/>
        </w:rPr>
        <w:t xml:space="preserve">do </w:t>
      </w:r>
      <w:r w:rsidR="0091757B" w:rsidRPr="00C77084">
        <w:rPr>
          <w:sz w:val="22"/>
          <w:szCs w:val="22"/>
        </w:rPr>
        <w:t xml:space="preserve">Simples Nacional, </w:t>
      </w:r>
      <w:r w:rsidR="007A19EF" w:rsidRPr="00C77084">
        <w:rPr>
          <w:sz w:val="22"/>
          <w:szCs w:val="22"/>
        </w:rPr>
        <w:t>tendo em vista</w:t>
      </w:r>
      <w:r w:rsidR="0091757B" w:rsidRPr="00C77084">
        <w:rPr>
          <w:sz w:val="22"/>
          <w:szCs w:val="22"/>
        </w:rPr>
        <w:t xml:space="preserve"> </w:t>
      </w:r>
      <w:r w:rsidR="007F4997">
        <w:rPr>
          <w:sz w:val="22"/>
          <w:szCs w:val="22"/>
        </w:rPr>
        <w:t xml:space="preserve">o </w:t>
      </w:r>
      <w:r w:rsidR="0091757B" w:rsidRPr="00C77084">
        <w:rPr>
          <w:sz w:val="22"/>
          <w:szCs w:val="22"/>
        </w:rPr>
        <w:t>disposto no art. 17, inciso XII, da Lei</w:t>
      </w:r>
      <w:r w:rsidR="00A87793" w:rsidRPr="00C77084">
        <w:rPr>
          <w:sz w:val="22"/>
          <w:szCs w:val="22"/>
        </w:rPr>
        <w:t xml:space="preserve"> </w:t>
      </w:r>
      <w:r w:rsidR="0091757B" w:rsidRPr="00C77084">
        <w:rPr>
          <w:sz w:val="22"/>
          <w:szCs w:val="22"/>
        </w:rPr>
        <w:t>Complementar</w:t>
      </w:r>
      <w:r w:rsidR="00A87793" w:rsidRPr="00C77084">
        <w:rPr>
          <w:sz w:val="22"/>
          <w:szCs w:val="22"/>
        </w:rPr>
        <w:t xml:space="preserve"> </w:t>
      </w:r>
      <w:r w:rsidR="0091757B" w:rsidRPr="00C77084">
        <w:rPr>
          <w:sz w:val="22"/>
          <w:szCs w:val="22"/>
        </w:rPr>
        <w:t>nº 123/2006.</w:t>
      </w:r>
      <w:r w:rsidR="00A87793" w:rsidRPr="00C77084">
        <w:rPr>
          <w:sz w:val="22"/>
          <w:szCs w:val="22"/>
        </w:rPr>
        <w:t xml:space="preserve"> Observou, quanto à primeira dessas questões</w:t>
      </w:r>
      <w:r w:rsidR="007A19EF" w:rsidRPr="00C77084">
        <w:rPr>
          <w:sz w:val="22"/>
          <w:szCs w:val="22"/>
        </w:rPr>
        <w:t>,</w:t>
      </w:r>
      <w:r w:rsidR="00A87793" w:rsidRPr="00C77084">
        <w:rPr>
          <w:sz w:val="22"/>
          <w:szCs w:val="22"/>
        </w:rPr>
        <w:t xml:space="preserve"> </w:t>
      </w:r>
      <w:r w:rsidR="007A19EF" w:rsidRPr="00C77084">
        <w:rPr>
          <w:sz w:val="22"/>
          <w:szCs w:val="22"/>
        </w:rPr>
        <w:t>q</w:t>
      </w:r>
      <w:r w:rsidR="00A87793" w:rsidRPr="00C77084">
        <w:rPr>
          <w:sz w:val="22"/>
          <w:szCs w:val="22"/>
        </w:rPr>
        <w:t>ue a empresa Ve</w:t>
      </w:r>
      <w:r w:rsidR="007A19EF" w:rsidRPr="00C77084">
        <w:rPr>
          <w:sz w:val="22"/>
          <w:szCs w:val="22"/>
        </w:rPr>
        <w:t>g</w:t>
      </w:r>
      <w:r w:rsidR="00A87793" w:rsidRPr="00C77084">
        <w:rPr>
          <w:sz w:val="22"/>
          <w:szCs w:val="22"/>
        </w:rPr>
        <w:t xml:space="preserve">a </w:t>
      </w:r>
      <w:r w:rsidR="007A19EF" w:rsidRPr="00C77084">
        <w:rPr>
          <w:sz w:val="22"/>
          <w:szCs w:val="22"/>
        </w:rPr>
        <w:t xml:space="preserve">Ltda. – ME </w:t>
      </w:r>
      <w:r w:rsidR="00A87793" w:rsidRPr="00C77084">
        <w:rPr>
          <w:sz w:val="22"/>
          <w:szCs w:val="22"/>
        </w:rPr>
        <w:t>enviou planilhas retificadas, já cotadas “</w:t>
      </w:r>
      <w:r w:rsidR="00A87793" w:rsidRPr="00C77084">
        <w:rPr>
          <w:i/>
          <w:sz w:val="22"/>
          <w:szCs w:val="22"/>
        </w:rPr>
        <w:t>com base na tributação pelo Lucro Presumido e com o mesmo valor unitário proposto inicialmente no contrato assinado, mantendo-se, assim, como a proposta mais vantajosa para a CEAL</w:t>
      </w:r>
      <w:r w:rsidR="00A87793" w:rsidRPr="00C77084">
        <w:rPr>
          <w:sz w:val="22"/>
          <w:szCs w:val="22"/>
        </w:rPr>
        <w:t>”. A despeito disso, considerou necessári</w:t>
      </w:r>
      <w:r w:rsidR="00BF6109">
        <w:rPr>
          <w:sz w:val="22"/>
          <w:szCs w:val="22"/>
        </w:rPr>
        <w:t>o</w:t>
      </w:r>
      <w:r w:rsidR="00A87793" w:rsidRPr="00C77084">
        <w:rPr>
          <w:sz w:val="22"/>
          <w:szCs w:val="22"/>
        </w:rPr>
        <w:t xml:space="preserve"> expedi</w:t>
      </w:r>
      <w:r w:rsidR="00285052">
        <w:rPr>
          <w:sz w:val="22"/>
          <w:szCs w:val="22"/>
        </w:rPr>
        <w:t>r</w:t>
      </w:r>
      <w:r w:rsidR="00A87793" w:rsidRPr="00C77084">
        <w:rPr>
          <w:sz w:val="22"/>
          <w:szCs w:val="22"/>
        </w:rPr>
        <w:t xml:space="preserve"> determinação à CEAL impondo a formalização desses ajustes e </w:t>
      </w:r>
      <w:r w:rsidR="007A19EF" w:rsidRPr="00C77084">
        <w:rPr>
          <w:sz w:val="22"/>
          <w:szCs w:val="22"/>
        </w:rPr>
        <w:t>su</w:t>
      </w:r>
      <w:r w:rsidR="00A87793" w:rsidRPr="00C77084">
        <w:rPr>
          <w:sz w:val="22"/>
          <w:szCs w:val="22"/>
        </w:rPr>
        <w:t>a exclusão d</w:t>
      </w:r>
      <w:r w:rsidR="007A19EF" w:rsidRPr="00C77084">
        <w:rPr>
          <w:sz w:val="22"/>
          <w:szCs w:val="22"/>
        </w:rPr>
        <w:t xml:space="preserve">o </w:t>
      </w:r>
      <w:r w:rsidR="00A87793" w:rsidRPr="00C77084">
        <w:rPr>
          <w:sz w:val="22"/>
          <w:szCs w:val="22"/>
        </w:rPr>
        <w:t>referido sistema de tributação. Em relação</w:t>
      </w:r>
      <w:r w:rsidR="00E27D32" w:rsidRPr="00C77084">
        <w:rPr>
          <w:sz w:val="22"/>
          <w:szCs w:val="22"/>
        </w:rPr>
        <w:t xml:space="preserve"> à segunda questão enunciada, ressaltou que a jurisprudência deste Tribunal aponta no sentido de que “</w:t>
      </w:r>
      <w:r w:rsidR="00E27D32" w:rsidRPr="00C77084">
        <w:rPr>
          <w:i/>
          <w:sz w:val="22"/>
          <w:szCs w:val="22"/>
        </w:rPr>
        <w:t>a condição de optante pelo Simples Nacional não impede a empresa de participar de licitação cujo objeto envolva a cessão de mão de obra (Acórdão nº 2.798/2010 – Plenário)</w:t>
      </w:r>
      <w:r w:rsidR="00E27D32" w:rsidRPr="00C77084">
        <w:rPr>
          <w:sz w:val="22"/>
          <w:szCs w:val="22"/>
        </w:rPr>
        <w:t xml:space="preserve">”.  </w:t>
      </w:r>
      <w:r w:rsidR="007A19EF" w:rsidRPr="00C77084">
        <w:rPr>
          <w:sz w:val="22"/>
          <w:szCs w:val="22"/>
        </w:rPr>
        <w:t xml:space="preserve">Mas </w:t>
      </w:r>
      <w:r w:rsidR="00E27D32" w:rsidRPr="00C77084">
        <w:rPr>
          <w:iCs/>
          <w:sz w:val="22"/>
          <w:szCs w:val="22"/>
        </w:rPr>
        <w:t>a licitante que venha a ser contratada,</w:t>
      </w:r>
      <w:r w:rsidR="00E27D32" w:rsidRPr="00C77084">
        <w:rPr>
          <w:i/>
          <w:iCs/>
          <w:sz w:val="22"/>
          <w:szCs w:val="22"/>
        </w:rPr>
        <w:t xml:space="preserve"> </w:t>
      </w:r>
      <w:r w:rsidR="007A19EF" w:rsidRPr="00C77084">
        <w:rPr>
          <w:iCs/>
          <w:sz w:val="22"/>
          <w:szCs w:val="22"/>
        </w:rPr>
        <w:t>“</w:t>
      </w:r>
      <w:r w:rsidR="00E27D32" w:rsidRPr="00C77084">
        <w:rPr>
          <w:i/>
          <w:iCs/>
          <w:sz w:val="22"/>
          <w:szCs w:val="22"/>
        </w:rPr>
        <w:t>não poderá beneficiar-se da condição de optante e</w:t>
      </w:r>
      <w:r w:rsidR="00D90EE6" w:rsidRPr="00C77084">
        <w:rPr>
          <w:i/>
          <w:iCs/>
          <w:sz w:val="22"/>
          <w:szCs w:val="22"/>
        </w:rPr>
        <w:t xml:space="preserve"> </w:t>
      </w:r>
      <w:r w:rsidR="00E27D32" w:rsidRPr="00C77084">
        <w:rPr>
          <w:i/>
          <w:iCs/>
          <w:sz w:val="22"/>
          <w:szCs w:val="22"/>
        </w:rPr>
        <w:t xml:space="preserve">estará sujeita à exclusão do Simples Nacional </w:t>
      </w:r>
      <w:r w:rsidR="00E27D32" w:rsidRPr="00C77084">
        <w:rPr>
          <w:sz w:val="22"/>
          <w:szCs w:val="22"/>
        </w:rPr>
        <w:t>(...)”.</w:t>
      </w:r>
      <w:r w:rsidR="00A87793" w:rsidRPr="00C77084">
        <w:rPr>
          <w:sz w:val="22"/>
          <w:szCs w:val="22"/>
        </w:rPr>
        <w:t xml:space="preserve"> </w:t>
      </w:r>
      <w:r w:rsidR="00D90EE6" w:rsidRPr="00C77084">
        <w:rPr>
          <w:sz w:val="22"/>
          <w:szCs w:val="22"/>
        </w:rPr>
        <w:t xml:space="preserve">O </w:t>
      </w:r>
      <w:r w:rsidR="00684171" w:rsidRPr="00C77084">
        <w:rPr>
          <w:sz w:val="22"/>
          <w:szCs w:val="22"/>
        </w:rPr>
        <w:t xml:space="preserve">Tribunal, ao endossar proposta do relator, decidiu: </w:t>
      </w:r>
      <w:r w:rsidR="003F3782" w:rsidRPr="00C77084">
        <w:rPr>
          <w:sz w:val="22"/>
          <w:szCs w:val="22"/>
        </w:rPr>
        <w:t xml:space="preserve">I) informar à </w:t>
      </w:r>
      <w:r w:rsidR="00684171" w:rsidRPr="00C77084">
        <w:rPr>
          <w:sz w:val="22"/>
          <w:szCs w:val="22"/>
        </w:rPr>
        <w:t>CEAL</w:t>
      </w:r>
      <w:r w:rsidR="003F3782" w:rsidRPr="00C77084">
        <w:rPr>
          <w:sz w:val="22"/>
          <w:szCs w:val="22"/>
        </w:rPr>
        <w:t xml:space="preserve"> sobre a </w:t>
      </w:r>
      <w:r w:rsidR="00D90EE6" w:rsidRPr="00C77084">
        <w:rPr>
          <w:sz w:val="22"/>
          <w:szCs w:val="22"/>
        </w:rPr>
        <w:t xml:space="preserve">necessidade de </w:t>
      </w:r>
      <w:r w:rsidR="003F3782" w:rsidRPr="00C77084">
        <w:rPr>
          <w:sz w:val="22"/>
          <w:szCs w:val="22"/>
        </w:rPr>
        <w:t>“</w:t>
      </w:r>
      <w:r w:rsidR="00D90EE6" w:rsidRPr="00C77084">
        <w:rPr>
          <w:i/>
          <w:sz w:val="22"/>
          <w:szCs w:val="22"/>
        </w:rPr>
        <w:t>incluir nos editais de suas licitações disposição no sentido de que, em ocorrendo as hipóteses de que</w:t>
      </w:r>
      <w:r w:rsidR="00684171" w:rsidRPr="00C77084">
        <w:rPr>
          <w:i/>
          <w:sz w:val="22"/>
          <w:szCs w:val="22"/>
        </w:rPr>
        <w:t xml:space="preserve"> </w:t>
      </w:r>
      <w:r w:rsidR="00D90EE6" w:rsidRPr="00C77084">
        <w:rPr>
          <w:i/>
          <w:sz w:val="22"/>
          <w:szCs w:val="22"/>
        </w:rPr>
        <w:t>tratam os arts. 17, inciso XII, e 30, inciso II, da Lei Complementar nº 123, de 14 de dezembro de 2006,</w:t>
      </w:r>
      <w:r w:rsidR="00684171" w:rsidRPr="00C77084">
        <w:rPr>
          <w:i/>
          <w:sz w:val="22"/>
          <w:szCs w:val="22"/>
        </w:rPr>
        <w:t xml:space="preserve"> </w:t>
      </w:r>
      <w:r w:rsidR="00D90EE6" w:rsidRPr="00C77084">
        <w:rPr>
          <w:i/>
          <w:sz w:val="22"/>
          <w:szCs w:val="22"/>
        </w:rPr>
        <w:t>seja vedada à licitante, optante pelo Simples Nacional, a utilização dos benefícios tributários do regime</w:t>
      </w:r>
      <w:r w:rsidR="00684171" w:rsidRPr="00C77084">
        <w:rPr>
          <w:i/>
          <w:sz w:val="22"/>
          <w:szCs w:val="22"/>
        </w:rPr>
        <w:t xml:space="preserve"> </w:t>
      </w:r>
      <w:r w:rsidR="00D90EE6" w:rsidRPr="00C77084">
        <w:rPr>
          <w:i/>
          <w:sz w:val="22"/>
          <w:szCs w:val="22"/>
        </w:rPr>
        <w:t xml:space="preserve">tributário diferenciado na proposta de preços e na execução contratual (com relação ao </w:t>
      </w:r>
      <w:r w:rsidR="007A19EF" w:rsidRPr="00C77084">
        <w:rPr>
          <w:i/>
          <w:sz w:val="22"/>
          <w:szCs w:val="22"/>
        </w:rPr>
        <w:t>r</w:t>
      </w:r>
      <w:r w:rsidR="00D90EE6" w:rsidRPr="00C77084">
        <w:rPr>
          <w:i/>
          <w:sz w:val="22"/>
          <w:szCs w:val="22"/>
        </w:rPr>
        <w:t>ecolhimento</w:t>
      </w:r>
      <w:r w:rsidR="00684171" w:rsidRPr="00C77084">
        <w:rPr>
          <w:i/>
          <w:sz w:val="22"/>
          <w:szCs w:val="22"/>
        </w:rPr>
        <w:t xml:space="preserve"> </w:t>
      </w:r>
      <w:r w:rsidR="00D90EE6" w:rsidRPr="00C77084">
        <w:rPr>
          <w:i/>
          <w:sz w:val="22"/>
          <w:szCs w:val="22"/>
        </w:rPr>
        <w:t>de tributos), ressaltando que, em caso de contratação, estará sujeita à exclusão obrigatória desse</w:t>
      </w:r>
      <w:r w:rsidR="00684171" w:rsidRPr="00C77084">
        <w:rPr>
          <w:i/>
          <w:sz w:val="22"/>
          <w:szCs w:val="22"/>
        </w:rPr>
        <w:t xml:space="preserve"> r</w:t>
      </w:r>
      <w:r w:rsidR="00D90EE6" w:rsidRPr="00C77084">
        <w:rPr>
          <w:i/>
          <w:sz w:val="22"/>
          <w:szCs w:val="22"/>
        </w:rPr>
        <w:t>egime</w:t>
      </w:r>
      <w:r w:rsidR="00684171" w:rsidRPr="00C77084">
        <w:rPr>
          <w:i/>
          <w:sz w:val="22"/>
          <w:szCs w:val="22"/>
        </w:rPr>
        <w:t xml:space="preserve"> </w:t>
      </w:r>
      <w:r w:rsidR="00D90EE6" w:rsidRPr="00C77084">
        <w:rPr>
          <w:i/>
          <w:sz w:val="22"/>
          <w:szCs w:val="22"/>
        </w:rPr>
        <w:t>tributário diferenciado a contar do mês seguinte ao da assinatura do contrato, nos termos do art. 31,</w:t>
      </w:r>
      <w:r w:rsidR="00684171" w:rsidRPr="00C77084">
        <w:rPr>
          <w:i/>
          <w:sz w:val="22"/>
          <w:szCs w:val="22"/>
        </w:rPr>
        <w:t xml:space="preserve"> </w:t>
      </w:r>
      <w:r w:rsidR="00D90EE6" w:rsidRPr="00C77084">
        <w:rPr>
          <w:i/>
          <w:sz w:val="22"/>
          <w:szCs w:val="22"/>
        </w:rPr>
        <w:t>inciso II, da referida lei complementar, conforme já decidido neste Tribunal no Acórdão nº 797/2011 –</w:t>
      </w:r>
      <w:r w:rsidR="00684171" w:rsidRPr="00C77084">
        <w:rPr>
          <w:i/>
          <w:sz w:val="22"/>
          <w:szCs w:val="22"/>
        </w:rPr>
        <w:t xml:space="preserve"> </w:t>
      </w:r>
      <w:r w:rsidR="00D90EE6" w:rsidRPr="00C77084">
        <w:rPr>
          <w:i/>
          <w:sz w:val="22"/>
          <w:szCs w:val="22"/>
        </w:rPr>
        <w:t>Plenário</w:t>
      </w:r>
      <w:r w:rsidR="003F3782" w:rsidRPr="00C77084">
        <w:rPr>
          <w:sz w:val="22"/>
          <w:szCs w:val="22"/>
        </w:rPr>
        <w:t>”</w:t>
      </w:r>
      <w:r w:rsidR="00D90EE6" w:rsidRPr="00C77084">
        <w:rPr>
          <w:sz w:val="22"/>
          <w:szCs w:val="22"/>
        </w:rPr>
        <w:t>;</w:t>
      </w:r>
      <w:r w:rsidR="00684171" w:rsidRPr="00C77084">
        <w:rPr>
          <w:sz w:val="22"/>
          <w:szCs w:val="22"/>
        </w:rPr>
        <w:t xml:space="preserve"> </w:t>
      </w:r>
      <w:r w:rsidR="003F3782" w:rsidRPr="00C77084">
        <w:rPr>
          <w:sz w:val="22"/>
          <w:szCs w:val="22"/>
        </w:rPr>
        <w:t xml:space="preserve">II) </w:t>
      </w:r>
      <w:r w:rsidR="00D90EE6" w:rsidRPr="00C77084">
        <w:rPr>
          <w:sz w:val="22"/>
          <w:szCs w:val="22"/>
        </w:rPr>
        <w:t>determinar à CEAL</w:t>
      </w:r>
      <w:r w:rsidR="003F3782" w:rsidRPr="00C77084">
        <w:rPr>
          <w:sz w:val="22"/>
          <w:szCs w:val="22"/>
        </w:rPr>
        <w:t xml:space="preserve"> que </w:t>
      </w:r>
      <w:r w:rsidR="00D90EE6" w:rsidRPr="00C77084">
        <w:rPr>
          <w:sz w:val="22"/>
          <w:szCs w:val="22"/>
        </w:rPr>
        <w:t>regulariz</w:t>
      </w:r>
      <w:r w:rsidR="003F3782" w:rsidRPr="00C77084">
        <w:rPr>
          <w:sz w:val="22"/>
          <w:szCs w:val="22"/>
        </w:rPr>
        <w:t>e</w:t>
      </w:r>
      <w:r w:rsidR="00D90EE6" w:rsidRPr="00C77084">
        <w:rPr>
          <w:sz w:val="22"/>
          <w:szCs w:val="22"/>
        </w:rPr>
        <w:t xml:space="preserve"> o contrato firmado</w:t>
      </w:r>
      <w:r w:rsidR="003F3782" w:rsidRPr="00C77084">
        <w:rPr>
          <w:sz w:val="22"/>
          <w:szCs w:val="22"/>
        </w:rPr>
        <w:t xml:space="preserve"> </w:t>
      </w:r>
      <w:r w:rsidR="00D90EE6" w:rsidRPr="00C77084">
        <w:rPr>
          <w:sz w:val="22"/>
          <w:szCs w:val="22"/>
        </w:rPr>
        <w:t>com a empresa vencedora do Pregão Eletrônico nº 24/2011</w:t>
      </w:r>
      <w:r w:rsidR="003F3782" w:rsidRPr="00C77084">
        <w:rPr>
          <w:sz w:val="22"/>
          <w:szCs w:val="22"/>
        </w:rPr>
        <w:t xml:space="preserve">, de modo a ajustá-lo à orientação acima transcrita. </w:t>
      </w:r>
      <w:r w:rsidR="00861A73" w:rsidRPr="00F148FE">
        <w:rPr>
          <w:b/>
          <w:i/>
          <w:sz w:val="22"/>
          <w:szCs w:val="22"/>
        </w:rPr>
        <w:t>Acórdão n.º</w:t>
      </w:r>
      <w:r w:rsidR="003F3782" w:rsidRPr="00F148FE">
        <w:rPr>
          <w:b/>
          <w:i/>
          <w:sz w:val="22"/>
          <w:szCs w:val="22"/>
        </w:rPr>
        <w:t xml:space="preserve"> </w:t>
      </w:r>
      <w:r w:rsidR="00967EC2" w:rsidRPr="00F148FE">
        <w:rPr>
          <w:b/>
          <w:i/>
          <w:sz w:val="22"/>
          <w:szCs w:val="22"/>
        </w:rPr>
        <w:t>341/2012</w:t>
      </w:r>
      <w:r w:rsidR="00861A73" w:rsidRPr="00F148FE">
        <w:rPr>
          <w:b/>
          <w:i/>
          <w:sz w:val="22"/>
          <w:szCs w:val="22"/>
        </w:rPr>
        <w:t>-Plenário, TC</w:t>
      </w:r>
      <w:r w:rsidR="00B956D9" w:rsidRPr="00F148FE">
        <w:rPr>
          <w:b/>
          <w:i/>
          <w:sz w:val="22"/>
          <w:szCs w:val="22"/>
        </w:rPr>
        <w:t>-</w:t>
      </w:r>
      <w:r w:rsidR="003F3782" w:rsidRPr="00F148FE">
        <w:rPr>
          <w:b/>
          <w:i/>
          <w:sz w:val="22"/>
          <w:szCs w:val="22"/>
        </w:rPr>
        <w:t>033.936/2011-0</w:t>
      </w:r>
      <w:r w:rsidR="00861A73" w:rsidRPr="00F148FE">
        <w:rPr>
          <w:b/>
          <w:i/>
          <w:sz w:val="22"/>
          <w:szCs w:val="22"/>
        </w:rPr>
        <w:t xml:space="preserve">, rel. Min. </w:t>
      </w:r>
      <w:r w:rsidR="003F3782" w:rsidRPr="00F148FE">
        <w:rPr>
          <w:b/>
          <w:i/>
          <w:sz w:val="22"/>
          <w:szCs w:val="22"/>
        </w:rPr>
        <w:t>Raimundo Carreiro</w:t>
      </w:r>
      <w:r w:rsidR="00861A73" w:rsidRPr="00F148FE">
        <w:rPr>
          <w:b/>
          <w:i/>
          <w:sz w:val="22"/>
          <w:szCs w:val="22"/>
        </w:rPr>
        <w:t>,</w:t>
      </w:r>
      <w:r w:rsidR="00654BC1">
        <w:rPr>
          <w:b/>
          <w:i/>
          <w:sz w:val="22"/>
          <w:szCs w:val="22"/>
        </w:rPr>
        <w:t xml:space="preserve"> </w:t>
      </w:r>
      <w:r w:rsidR="003F3782" w:rsidRPr="00F148FE">
        <w:rPr>
          <w:b/>
          <w:i/>
          <w:sz w:val="22"/>
          <w:szCs w:val="22"/>
        </w:rPr>
        <w:t>15</w:t>
      </w:r>
      <w:r w:rsidR="00861A73" w:rsidRPr="00F148FE">
        <w:rPr>
          <w:b/>
          <w:i/>
          <w:sz w:val="22"/>
          <w:szCs w:val="22"/>
        </w:rPr>
        <w:t>.2.2012.</w:t>
      </w:r>
    </w:p>
    <w:p w:rsidR="001121B7" w:rsidRDefault="001121B7" w:rsidP="001121B7">
      <w:pPr>
        <w:pStyle w:val="Default"/>
        <w:rPr>
          <w:sz w:val="22"/>
          <w:szCs w:val="22"/>
        </w:rPr>
      </w:pPr>
    </w:p>
    <w:p w:rsidR="00B138C6" w:rsidRPr="00B138C6" w:rsidRDefault="00B138C6" w:rsidP="00B138C6">
      <w:pPr>
        <w:pStyle w:val="Default"/>
        <w:jc w:val="both"/>
        <w:rPr>
          <w:b/>
          <w:sz w:val="22"/>
          <w:szCs w:val="22"/>
        </w:rPr>
      </w:pPr>
      <w:r w:rsidRPr="00B138C6">
        <w:rPr>
          <w:b/>
          <w:sz w:val="22"/>
          <w:szCs w:val="22"/>
        </w:rPr>
        <w:t xml:space="preserve">Para realização de obras custeadas com recursos de organismo financeiro </w:t>
      </w:r>
      <w:r w:rsidR="007F4997">
        <w:rPr>
          <w:b/>
          <w:sz w:val="22"/>
          <w:szCs w:val="22"/>
        </w:rPr>
        <w:t xml:space="preserve">internacional </w:t>
      </w:r>
      <w:r w:rsidRPr="00B138C6">
        <w:rPr>
          <w:b/>
          <w:sz w:val="22"/>
          <w:szCs w:val="22"/>
        </w:rPr>
        <w:t xml:space="preserve">poderão ser </w:t>
      </w:r>
      <w:r w:rsidR="007F4997">
        <w:rPr>
          <w:b/>
          <w:sz w:val="22"/>
          <w:szCs w:val="22"/>
        </w:rPr>
        <w:t>efetuadas exigências de qualificação econômico-finan</w:t>
      </w:r>
      <w:r w:rsidR="00990C76">
        <w:rPr>
          <w:b/>
          <w:sz w:val="22"/>
          <w:szCs w:val="22"/>
        </w:rPr>
        <w:t>c</w:t>
      </w:r>
      <w:r w:rsidR="007F4997">
        <w:rPr>
          <w:b/>
          <w:sz w:val="22"/>
          <w:szCs w:val="22"/>
        </w:rPr>
        <w:t xml:space="preserve">eira e </w:t>
      </w:r>
      <w:r w:rsidR="00C958A5">
        <w:rPr>
          <w:b/>
          <w:sz w:val="22"/>
          <w:szCs w:val="22"/>
        </w:rPr>
        <w:t xml:space="preserve">de qualificação </w:t>
      </w:r>
      <w:r w:rsidR="007F4997">
        <w:rPr>
          <w:b/>
          <w:sz w:val="22"/>
          <w:szCs w:val="22"/>
        </w:rPr>
        <w:t xml:space="preserve">técnica </w:t>
      </w:r>
      <w:r w:rsidR="00285052">
        <w:rPr>
          <w:b/>
          <w:sz w:val="22"/>
          <w:szCs w:val="22"/>
        </w:rPr>
        <w:t xml:space="preserve">mais rigorosas </w:t>
      </w:r>
      <w:r w:rsidRPr="00B138C6">
        <w:rPr>
          <w:b/>
          <w:sz w:val="22"/>
          <w:szCs w:val="22"/>
        </w:rPr>
        <w:t xml:space="preserve">que </w:t>
      </w:r>
      <w:r w:rsidR="00285052">
        <w:rPr>
          <w:b/>
          <w:sz w:val="22"/>
          <w:szCs w:val="22"/>
        </w:rPr>
        <w:t xml:space="preserve">as contidas na Lei nº 8.666/1993, desde que </w:t>
      </w:r>
      <w:r w:rsidRPr="00B138C6">
        <w:rPr>
          <w:b/>
          <w:sz w:val="22"/>
          <w:szCs w:val="22"/>
        </w:rPr>
        <w:t xml:space="preserve">não conflitem com o princípio do julgamento objetivo e </w:t>
      </w:r>
      <w:r>
        <w:rPr>
          <w:b/>
          <w:sz w:val="22"/>
          <w:szCs w:val="22"/>
        </w:rPr>
        <w:t xml:space="preserve">de que sejam compatíveis </w:t>
      </w:r>
      <w:r w:rsidR="007F4997">
        <w:rPr>
          <w:b/>
          <w:sz w:val="22"/>
          <w:szCs w:val="22"/>
        </w:rPr>
        <w:t xml:space="preserve">com a dimensão e complexidade do objeto a ser executado </w:t>
      </w:r>
    </w:p>
    <w:p w:rsidR="00990C76" w:rsidRPr="00DF5A5A" w:rsidRDefault="00F3582B" w:rsidP="00990C76">
      <w:pPr>
        <w:pStyle w:val="Default"/>
        <w:jc w:val="both"/>
        <w:rPr>
          <w:b/>
          <w:i/>
          <w:sz w:val="22"/>
          <w:szCs w:val="22"/>
        </w:rPr>
      </w:pPr>
      <w:r w:rsidRPr="00C77084">
        <w:rPr>
          <w:sz w:val="22"/>
          <w:szCs w:val="22"/>
        </w:rPr>
        <w:t>R</w:t>
      </w:r>
      <w:r w:rsidR="001121B7" w:rsidRPr="00C77084">
        <w:rPr>
          <w:sz w:val="22"/>
          <w:szCs w:val="22"/>
        </w:rPr>
        <w:t xml:space="preserve">epresentação </w:t>
      </w:r>
      <w:r w:rsidR="00BF6109">
        <w:rPr>
          <w:sz w:val="22"/>
          <w:szCs w:val="22"/>
        </w:rPr>
        <w:t xml:space="preserve">efetuada por </w:t>
      </w:r>
      <w:r w:rsidR="001121B7" w:rsidRPr="00C77084">
        <w:rPr>
          <w:sz w:val="22"/>
          <w:szCs w:val="22"/>
        </w:rPr>
        <w:t xml:space="preserve">empresa apontou possíveis irregularidades no edital de Aviso de Pré-Qualificação para Licitação Pública Internacional (APQ-LPI) nº 006/2011-CI, </w:t>
      </w:r>
      <w:r w:rsidRPr="00C77084">
        <w:rPr>
          <w:sz w:val="22"/>
          <w:szCs w:val="22"/>
        </w:rPr>
        <w:t>que tem por objeto a</w:t>
      </w:r>
      <w:r w:rsidR="001121B7" w:rsidRPr="00C77084">
        <w:rPr>
          <w:sz w:val="22"/>
          <w:szCs w:val="22"/>
        </w:rPr>
        <w:t xml:space="preserve">s obras de implantação do Trecho Norte do Rodoanel Mario Covas, no Estado de São Paulo. </w:t>
      </w:r>
      <w:r w:rsidRPr="00C77084">
        <w:rPr>
          <w:sz w:val="22"/>
          <w:szCs w:val="22"/>
        </w:rPr>
        <w:t>Esse t</w:t>
      </w:r>
      <w:r w:rsidR="001121B7" w:rsidRPr="00C77084">
        <w:rPr>
          <w:sz w:val="22"/>
          <w:szCs w:val="22"/>
        </w:rPr>
        <w:t>recho possui extensão de 43,86 km</w:t>
      </w:r>
      <w:r w:rsidRPr="00C77084">
        <w:rPr>
          <w:sz w:val="22"/>
          <w:szCs w:val="22"/>
        </w:rPr>
        <w:t xml:space="preserve"> e será </w:t>
      </w:r>
      <w:r w:rsidR="001121B7" w:rsidRPr="00C77084">
        <w:rPr>
          <w:sz w:val="22"/>
          <w:szCs w:val="22"/>
        </w:rPr>
        <w:t xml:space="preserve">dividido em seis lotes. O valor estimado </w:t>
      </w:r>
      <w:r w:rsidRPr="00C77084">
        <w:rPr>
          <w:sz w:val="22"/>
          <w:szCs w:val="22"/>
        </w:rPr>
        <w:t xml:space="preserve">da obra é de </w:t>
      </w:r>
      <w:r w:rsidR="001121B7" w:rsidRPr="00C77084">
        <w:rPr>
          <w:sz w:val="22"/>
          <w:szCs w:val="22"/>
        </w:rPr>
        <w:t xml:space="preserve">R$ 4,85 bilhões, </w:t>
      </w:r>
      <w:r w:rsidRPr="00C77084">
        <w:rPr>
          <w:sz w:val="22"/>
          <w:szCs w:val="22"/>
        </w:rPr>
        <w:t xml:space="preserve">que será custeada com recursos do </w:t>
      </w:r>
      <w:r w:rsidR="001121B7" w:rsidRPr="00C77084">
        <w:rPr>
          <w:sz w:val="22"/>
          <w:szCs w:val="22"/>
        </w:rPr>
        <w:t>Banco Interamericano de Desenvolvimento (BID) e dos orçamentos estadual e federal</w:t>
      </w:r>
      <w:r w:rsidRPr="00C77084">
        <w:rPr>
          <w:sz w:val="22"/>
          <w:szCs w:val="22"/>
        </w:rPr>
        <w:t xml:space="preserve">. </w:t>
      </w:r>
      <w:r w:rsidR="00F6257F" w:rsidRPr="00C77084">
        <w:rPr>
          <w:sz w:val="22"/>
          <w:szCs w:val="22"/>
        </w:rPr>
        <w:t>Entre as ocorrências apontadas, a representa</w:t>
      </w:r>
      <w:r w:rsidR="00BF6109">
        <w:rPr>
          <w:sz w:val="22"/>
          <w:szCs w:val="22"/>
        </w:rPr>
        <w:t>nte</w:t>
      </w:r>
      <w:r w:rsidR="00F6257F" w:rsidRPr="00C77084">
        <w:rPr>
          <w:sz w:val="22"/>
          <w:szCs w:val="22"/>
        </w:rPr>
        <w:t xml:space="preserve"> </w:t>
      </w:r>
      <w:r w:rsidR="00250EBD">
        <w:rPr>
          <w:sz w:val="22"/>
          <w:szCs w:val="22"/>
        </w:rPr>
        <w:t xml:space="preserve">acusou o </w:t>
      </w:r>
      <w:r w:rsidR="00F6257F" w:rsidRPr="00C77084">
        <w:rPr>
          <w:sz w:val="22"/>
          <w:szCs w:val="22"/>
        </w:rPr>
        <w:t>estabeleci</w:t>
      </w:r>
      <w:r w:rsidR="00250EBD">
        <w:rPr>
          <w:sz w:val="22"/>
          <w:szCs w:val="22"/>
        </w:rPr>
        <w:t>mento de</w:t>
      </w:r>
      <w:r w:rsidR="00F6257F" w:rsidRPr="00C77084">
        <w:rPr>
          <w:sz w:val="22"/>
          <w:szCs w:val="22"/>
        </w:rPr>
        <w:t xml:space="preserve"> critérios de </w:t>
      </w:r>
      <w:r w:rsidR="00F6257F" w:rsidRPr="00C77084">
        <w:rPr>
          <w:bCs/>
          <w:sz w:val="22"/>
          <w:szCs w:val="22"/>
        </w:rPr>
        <w:t xml:space="preserve">qualificação econômico-financeira e </w:t>
      </w:r>
      <w:r w:rsidR="00250EBD">
        <w:rPr>
          <w:bCs/>
          <w:sz w:val="22"/>
          <w:szCs w:val="22"/>
        </w:rPr>
        <w:t xml:space="preserve">de </w:t>
      </w:r>
      <w:r w:rsidR="00F6257F" w:rsidRPr="00C77084">
        <w:rPr>
          <w:bCs/>
          <w:sz w:val="22"/>
          <w:szCs w:val="22"/>
        </w:rPr>
        <w:t xml:space="preserve">requisitos de qualificação técnica </w:t>
      </w:r>
      <w:r w:rsidR="00457182" w:rsidRPr="00C77084">
        <w:rPr>
          <w:sz w:val="22"/>
          <w:szCs w:val="22"/>
        </w:rPr>
        <w:t>restri</w:t>
      </w:r>
      <w:r w:rsidR="00F6257F" w:rsidRPr="00C77084">
        <w:rPr>
          <w:sz w:val="22"/>
          <w:szCs w:val="22"/>
        </w:rPr>
        <w:t xml:space="preserve">tivas à competitividade do certame. </w:t>
      </w:r>
      <w:r w:rsidR="002475EC" w:rsidRPr="00C77084">
        <w:rPr>
          <w:sz w:val="22"/>
          <w:szCs w:val="22"/>
        </w:rPr>
        <w:t xml:space="preserve">Quanto à </w:t>
      </w:r>
      <w:r w:rsidR="005529EE" w:rsidRPr="00C77084">
        <w:rPr>
          <w:b/>
          <w:sz w:val="22"/>
          <w:szCs w:val="22"/>
          <w:u w:val="single"/>
        </w:rPr>
        <w:t xml:space="preserve">I) </w:t>
      </w:r>
      <w:r w:rsidR="002475EC" w:rsidRPr="00C77084">
        <w:rPr>
          <w:b/>
          <w:bCs/>
          <w:sz w:val="22"/>
          <w:szCs w:val="22"/>
          <w:u w:val="single"/>
        </w:rPr>
        <w:t>qualificação econômico-financeira</w:t>
      </w:r>
      <w:r w:rsidR="002475EC" w:rsidRPr="00C77084">
        <w:rPr>
          <w:bCs/>
          <w:sz w:val="22"/>
          <w:szCs w:val="22"/>
        </w:rPr>
        <w:t xml:space="preserve">, </w:t>
      </w:r>
      <w:r w:rsidR="00250EBD">
        <w:rPr>
          <w:bCs/>
          <w:sz w:val="22"/>
          <w:szCs w:val="22"/>
        </w:rPr>
        <w:t>for</w:t>
      </w:r>
      <w:r w:rsidR="00931668" w:rsidRPr="00C77084">
        <w:rPr>
          <w:bCs/>
          <w:sz w:val="22"/>
          <w:szCs w:val="22"/>
        </w:rPr>
        <w:t>a</w:t>
      </w:r>
      <w:r w:rsidR="00250EBD">
        <w:rPr>
          <w:bCs/>
          <w:sz w:val="22"/>
          <w:szCs w:val="22"/>
        </w:rPr>
        <w:t>m efetuadas a</w:t>
      </w:r>
      <w:r w:rsidR="00931668" w:rsidRPr="00C77084">
        <w:rPr>
          <w:bCs/>
          <w:sz w:val="22"/>
          <w:szCs w:val="22"/>
        </w:rPr>
        <w:t>s seguintes exigências</w:t>
      </w:r>
      <w:r w:rsidR="002475EC" w:rsidRPr="00C77084">
        <w:rPr>
          <w:bCs/>
          <w:sz w:val="22"/>
          <w:szCs w:val="22"/>
        </w:rPr>
        <w:t xml:space="preserve">: a) </w:t>
      </w:r>
      <w:r w:rsidR="009E1805" w:rsidRPr="00C77084">
        <w:rPr>
          <w:sz w:val="22"/>
          <w:szCs w:val="22"/>
        </w:rPr>
        <w:t>capital de giro anual médio mínimo equivalente a 50% do faturamento anual médio previsto para cada lote</w:t>
      </w:r>
      <w:r w:rsidR="002475EC" w:rsidRPr="00C77084">
        <w:rPr>
          <w:sz w:val="22"/>
          <w:szCs w:val="22"/>
        </w:rPr>
        <w:t xml:space="preserve">; b) </w:t>
      </w:r>
      <w:r w:rsidR="00931668" w:rsidRPr="00C77084">
        <w:rPr>
          <w:sz w:val="22"/>
          <w:szCs w:val="22"/>
        </w:rPr>
        <w:t xml:space="preserve">faturamento médio anual mínimo equivalente </w:t>
      </w:r>
      <w:r w:rsidR="002475EC" w:rsidRPr="00C77084">
        <w:rPr>
          <w:sz w:val="22"/>
          <w:szCs w:val="22"/>
        </w:rPr>
        <w:t>“</w:t>
      </w:r>
      <w:r w:rsidR="00F148FE" w:rsidRPr="00F148FE">
        <w:rPr>
          <w:i/>
          <w:sz w:val="22"/>
          <w:szCs w:val="22"/>
        </w:rPr>
        <w:t>1</w:t>
      </w:r>
      <w:r w:rsidR="002475EC" w:rsidRPr="00F148FE">
        <w:rPr>
          <w:i/>
          <w:sz w:val="22"/>
          <w:szCs w:val="22"/>
        </w:rPr>
        <w:t>,5 vezes o valor de faturamento anual médio estimado do lote</w:t>
      </w:r>
      <w:r w:rsidR="002475EC" w:rsidRPr="00C77084">
        <w:rPr>
          <w:sz w:val="22"/>
          <w:szCs w:val="22"/>
        </w:rPr>
        <w:t>”, sendo que, no caso de Consórcio, o líder deverá demonstrar um mínimo de 80% desse valor e os demais consorciados um mínimo de 60%</w:t>
      </w:r>
      <w:r w:rsidR="00E17F53" w:rsidRPr="00C77084">
        <w:rPr>
          <w:sz w:val="22"/>
          <w:szCs w:val="22"/>
        </w:rPr>
        <w:t xml:space="preserve">; c) atendimento aos critérios de capacidade financeira por um período de cinco anos. </w:t>
      </w:r>
      <w:r w:rsidR="000039C6" w:rsidRPr="00C77084">
        <w:rPr>
          <w:sz w:val="22"/>
          <w:szCs w:val="22"/>
        </w:rPr>
        <w:t>A unidade técnica considerou que não teriam sido adequadamente comprovados e justificados pela Dersa a adoção desses índices</w:t>
      </w:r>
      <w:r w:rsidR="00E17F53" w:rsidRPr="00C77084">
        <w:rPr>
          <w:sz w:val="22"/>
          <w:szCs w:val="22"/>
        </w:rPr>
        <w:t>. O Relator,</w:t>
      </w:r>
      <w:r w:rsidR="00F148FE">
        <w:rPr>
          <w:sz w:val="22"/>
          <w:szCs w:val="22"/>
        </w:rPr>
        <w:t xml:space="preserve"> </w:t>
      </w:r>
      <w:r w:rsidR="00E17F53" w:rsidRPr="00C77084">
        <w:rPr>
          <w:sz w:val="22"/>
          <w:szCs w:val="22"/>
        </w:rPr>
        <w:t xml:space="preserve">em essência, ao dissentir do posicionamento da unidade técnica, ponderou que: a) </w:t>
      </w:r>
      <w:r w:rsidR="00784327" w:rsidRPr="00C77084">
        <w:rPr>
          <w:sz w:val="22"/>
          <w:szCs w:val="22"/>
        </w:rPr>
        <w:t>o</w:t>
      </w:r>
      <w:r w:rsidR="00E17F53" w:rsidRPr="00C77084">
        <w:rPr>
          <w:sz w:val="22"/>
          <w:szCs w:val="22"/>
        </w:rPr>
        <w:t xml:space="preserve"> </w:t>
      </w:r>
      <w:r w:rsidR="00784327" w:rsidRPr="00C77084">
        <w:rPr>
          <w:sz w:val="22"/>
          <w:szCs w:val="22"/>
        </w:rPr>
        <w:t xml:space="preserve">§ 5º do art. 42 da </w:t>
      </w:r>
      <w:r w:rsidR="00E17F53" w:rsidRPr="00C77084">
        <w:rPr>
          <w:sz w:val="22"/>
          <w:szCs w:val="22"/>
        </w:rPr>
        <w:t>Lei nº 8.666/1993</w:t>
      </w:r>
      <w:r w:rsidR="00B138C6">
        <w:rPr>
          <w:sz w:val="22"/>
          <w:szCs w:val="22"/>
        </w:rPr>
        <w:t xml:space="preserve"> estabelece que</w:t>
      </w:r>
      <w:r w:rsidR="00E17F53" w:rsidRPr="00C77084">
        <w:rPr>
          <w:sz w:val="22"/>
          <w:szCs w:val="22"/>
        </w:rPr>
        <w:t xml:space="preserve">, </w:t>
      </w:r>
      <w:r w:rsidR="00784327" w:rsidRPr="00C77084">
        <w:rPr>
          <w:sz w:val="22"/>
          <w:szCs w:val="22"/>
        </w:rPr>
        <w:t>para realização de obras com recursos oriundos de agência oficial de cooperação estrangeira ou organismo financeiro</w:t>
      </w:r>
      <w:r w:rsidR="00B138C6">
        <w:rPr>
          <w:sz w:val="22"/>
          <w:szCs w:val="22"/>
        </w:rPr>
        <w:t>,</w:t>
      </w:r>
      <w:r w:rsidR="00784327" w:rsidRPr="00C77084">
        <w:rPr>
          <w:sz w:val="22"/>
          <w:szCs w:val="22"/>
        </w:rPr>
        <w:t xml:space="preserve"> poderão ser adotados normas e procedimentos dessas entidades, desde que</w:t>
      </w:r>
      <w:r w:rsidR="00E17F53" w:rsidRPr="00C77084">
        <w:rPr>
          <w:sz w:val="22"/>
          <w:szCs w:val="22"/>
        </w:rPr>
        <w:t xml:space="preserve"> não conflitem com o princípio do julgamento objetivo</w:t>
      </w:r>
      <w:r w:rsidR="00784327" w:rsidRPr="00C77084">
        <w:rPr>
          <w:sz w:val="22"/>
          <w:szCs w:val="22"/>
        </w:rPr>
        <w:t>;</w:t>
      </w:r>
      <w:r w:rsidR="00E17F53" w:rsidRPr="00C77084">
        <w:rPr>
          <w:sz w:val="22"/>
          <w:szCs w:val="22"/>
        </w:rPr>
        <w:t xml:space="preserve"> a) o BID participou da confecção do Edital em tela; </w:t>
      </w:r>
      <w:r w:rsidR="00EF4107" w:rsidRPr="00C77084">
        <w:rPr>
          <w:sz w:val="22"/>
          <w:szCs w:val="22"/>
        </w:rPr>
        <w:t xml:space="preserve">c) a complexidade, relevância e magnitude do empreendimento </w:t>
      </w:r>
      <w:r w:rsidR="008310A5" w:rsidRPr="00C77084">
        <w:rPr>
          <w:sz w:val="22"/>
          <w:szCs w:val="22"/>
        </w:rPr>
        <w:t>demandam garantias que asseguram o regular desenvolvimento da obra; d) o BID exige, usualmente, a demonstração de higidez financeira por período de cinco anos</w:t>
      </w:r>
      <w:r w:rsidR="00EF4107" w:rsidRPr="00C77084">
        <w:rPr>
          <w:sz w:val="22"/>
          <w:szCs w:val="22"/>
        </w:rPr>
        <w:t>;</w:t>
      </w:r>
      <w:r w:rsidR="008310A5" w:rsidRPr="00C77084">
        <w:rPr>
          <w:sz w:val="22"/>
          <w:szCs w:val="22"/>
        </w:rPr>
        <w:t xml:space="preserve"> e</w:t>
      </w:r>
      <w:r w:rsidR="00784327" w:rsidRPr="00C77084">
        <w:rPr>
          <w:sz w:val="22"/>
          <w:szCs w:val="22"/>
        </w:rPr>
        <w:t xml:space="preserve">) </w:t>
      </w:r>
      <w:r w:rsidR="00EF4107" w:rsidRPr="00C77084">
        <w:rPr>
          <w:sz w:val="22"/>
          <w:szCs w:val="22"/>
        </w:rPr>
        <w:t>as referidas exigências são razoáveis</w:t>
      </w:r>
      <w:r w:rsidR="008310A5" w:rsidRPr="00C77084">
        <w:rPr>
          <w:sz w:val="22"/>
          <w:szCs w:val="22"/>
        </w:rPr>
        <w:t>. Em relação</w:t>
      </w:r>
      <w:r w:rsidR="005529EE" w:rsidRPr="00C77084">
        <w:rPr>
          <w:sz w:val="22"/>
          <w:szCs w:val="22"/>
        </w:rPr>
        <w:t xml:space="preserve"> </w:t>
      </w:r>
      <w:r w:rsidR="008310A5" w:rsidRPr="00C77084">
        <w:rPr>
          <w:sz w:val="22"/>
          <w:szCs w:val="22"/>
        </w:rPr>
        <w:t>à</w:t>
      </w:r>
      <w:r w:rsidR="005529EE" w:rsidRPr="00C77084">
        <w:rPr>
          <w:sz w:val="22"/>
          <w:szCs w:val="22"/>
        </w:rPr>
        <w:t xml:space="preserve"> </w:t>
      </w:r>
      <w:r w:rsidR="005529EE" w:rsidRPr="00C77084">
        <w:rPr>
          <w:b/>
          <w:sz w:val="22"/>
          <w:szCs w:val="22"/>
          <w:u w:val="single"/>
        </w:rPr>
        <w:t xml:space="preserve">II) </w:t>
      </w:r>
      <w:r w:rsidR="008310A5" w:rsidRPr="00C77084">
        <w:rPr>
          <w:b/>
          <w:bCs/>
          <w:sz w:val="22"/>
          <w:szCs w:val="22"/>
          <w:u w:val="single"/>
        </w:rPr>
        <w:t>qualificação técnica</w:t>
      </w:r>
      <w:r w:rsidR="008310A5" w:rsidRPr="00C77084">
        <w:rPr>
          <w:sz w:val="22"/>
          <w:szCs w:val="22"/>
        </w:rPr>
        <w:t>, fo</w:t>
      </w:r>
      <w:r w:rsidR="00990C76">
        <w:rPr>
          <w:sz w:val="22"/>
          <w:szCs w:val="22"/>
        </w:rPr>
        <w:t>i</w:t>
      </w:r>
      <w:r w:rsidR="0023623D" w:rsidRPr="00C77084">
        <w:rPr>
          <w:sz w:val="22"/>
          <w:szCs w:val="22"/>
        </w:rPr>
        <w:t xml:space="preserve"> </w:t>
      </w:r>
      <w:r w:rsidR="008310A5" w:rsidRPr="00C77084">
        <w:rPr>
          <w:sz w:val="22"/>
          <w:szCs w:val="22"/>
        </w:rPr>
        <w:t xml:space="preserve"> questionad</w:t>
      </w:r>
      <w:r w:rsidR="00990C76">
        <w:rPr>
          <w:sz w:val="22"/>
          <w:szCs w:val="22"/>
        </w:rPr>
        <w:t>a</w:t>
      </w:r>
      <w:r w:rsidR="0023623D" w:rsidRPr="00C77084">
        <w:rPr>
          <w:sz w:val="22"/>
          <w:szCs w:val="22"/>
        </w:rPr>
        <w:t xml:space="preserve"> </w:t>
      </w:r>
      <w:r w:rsidR="008310A5" w:rsidRPr="00C77084">
        <w:rPr>
          <w:sz w:val="22"/>
          <w:szCs w:val="22"/>
        </w:rPr>
        <w:t xml:space="preserve">a adoção do critério </w:t>
      </w:r>
      <w:r w:rsidR="008310A5" w:rsidRPr="00C77084">
        <w:rPr>
          <w:b/>
          <w:sz w:val="22"/>
          <w:szCs w:val="22"/>
          <w:u w:val="single"/>
        </w:rPr>
        <w:t>4.2 (a) do Edital</w:t>
      </w:r>
      <w:r w:rsidR="008310A5" w:rsidRPr="00C77084">
        <w:rPr>
          <w:sz w:val="22"/>
          <w:szCs w:val="22"/>
        </w:rPr>
        <w:t xml:space="preserve">, </w:t>
      </w:r>
      <w:r w:rsidR="0023623D" w:rsidRPr="00C77084">
        <w:rPr>
          <w:sz w:val="22"/>
          <w:szCs w:val="22"/>
        </w:rPr>
        <w:t>que</w:t>
      </w:r>
      <w:r w:rsidR="008310A5" w:rsidRPr="00C77084">
        <w:rPr>
          <w:sz w:val="22"/>
          <w:szCs w:val="22"/>
        </w:rPr>
        <w:t xml:space="preserve"> exig</w:t>
      </w:r>
      <w:r w:rsidR="0023623D" w:rsidRPr="00C77084">
        <w:rPr>
          <w:sz w:val="22"/>
          <w:szCs w:val="22"/>
        </w:rPr>
        <w:t xml:space="preserve">iu </w:t>
      </w:r>
      <w:r w:rsidR="008310A5" w:rsidRPr="00C77084">
        <w:rPr>
          <w:sz w:val="22"/>
          <w:szCs w:val="22"/>
        </w:rPr>
        <w:t xml:space="preserve">de todos os sócios do consórcio licitante </w:t>
      </w:r>
      <w:r w:rsidR="00511973" w:rsidRPr="00C77084">
        <w:rPr>
          <w:sz w:val="22"/>
          <w:szCs w:val="22"/>
        </w:rPr>
        <w:t>a</w:t>
      </w:r>
      <w:r w:rsidR="008310A5" w:rsidRPr="00C77084">
        <w:rPr>
          <w:sz w:val="22"/>
          <w:szCs w:val="22"/>
        </w:rPr>
        <w:t xml:space="preserve"> necessidade de comprovar </w:t>
      </w:r>
      <w:r w:rsidR="0023623D" w:rsidRPr="00C77084">
        <w:rPr>
          <w:sz w:val="22"/>
          <w:szCs w:val="22"/>
        </w:rPr>
        <w:t>experiência de</w:t>
      </w:r>
      <w:r w:rsidR="008310A5" w:rsidRPr="00C77084">
        <w:rPr>
          <w:i/>
          <w:sz w:val="22"/>
          <w:szCs w:val="22"/>
        </w:rPr>
        <w:t xml:space="preserve"> participação como Empreiteiro, Subempreiteiro ou Administrador de contratos, em pelo menos 2 contratos, nos últimos 20 (vinte) anos, com valor atualizado de sua participação em cada contrato não inferior ao valor equivalente em reais conforme discriminado no Edital e de acordo com o valor de cada Lote</w:t>
      </w:r>
      <w:r w:rsidR="00511973" w:rsidRPr="00C77084">
        <w:rPr>
          <w:sz w:val="22"/>
          <w:szCs w:val="22"/>
        </w:rPr>
        <w:t>”</w:t>
      </w:r>
      <w:r w:rsidR="008310A5" w:rsidRPr="00C77084">
        <w:rPr>
          <w:sz w:val="22"/>
          <w:szCs w:val="22"/>
        </w:rPr>
        <w:t xml:space="preserve">. </w:t>
      </w:r>
      <w:r w:rsidR="00511973" w:rsidRPr="00C77084">
        <w:rPr>
          <w:sz w:val="22"/>
          <w:szCs w:val="22"/>
        </w:rPr>
        <w:t xml:space="preserve"> </w:t>
      </w:r>
      <w:r w:rsidR="0023623D" w:rsidRPr="00C77084">
        <w:rPr>
          <w:sz w:val="22"/>
          <w:szCs w:val="22"/>
        </w:rPr>
        <w:t xml:space="preserve">A Dersa alegou que tais exigências foram aprovadas pelo agente financiador e que estão de acordo com a política de contratação de obras do BID. A unidade técnica considerou tal exigência restritiva à competitividade do certame. </w:t>
      </w:r>
      <w:r w:rsidR="006E3977" w:rsidRPr="00C77084">
        <w:rPr>
          <w:sz w:val="22"/>
          <w:szCs w:val="22"/>
        </w:rPr>
        <w:t xml:space="preserve">Já o </w:t>
      </w:r>
      <w:r w:rsidR="0023623D" w:rsidRPr="00C77084">
        <w:rPr>
          <w:sz w:val="22"/>
          <w:szCs w:val="22"/>
        </w:rPr>
        <w:t>subi</w:t>
      </w:r>
      <w:r w:rsidR="007337F4">
        <w:rPr>
          <w:sz w:val="22"/>
          <w:szCs w:val="22"/>
        </w:rPr>
        <w:t>t</w:t>
      </w:r>
      <w:r w:rsidR="0023623D" w:rsidRPr="00C77084">
        <w:rPr>
          <w:sz w:val="22"/>
          <w:szCs w:val="22"/>
        </w:rPr>
        <w:t xml:space="preserve">em </w:t>
      </w:r>
      <w:r w:rsidR="0023623D" w:rsidRPr="00C77084">
        <w:rPr>
          <w:b/>
          <w:sz w:val="22"/>
          <w:szCs w:val="22"/>
          <w:u w:val="single"/>
        </w:rPr>
        <w:t>4.2 (b) do Edital</w:t>
      </w:r>
      <w:r w:rsidR="006E3977" w:rsidRPr="00C77084">
        <w:rPr>
          <w:sz w:val="22"/>
          <w:szCs w:val="22"/>
        </w:rPr>
        <w:t xml:space="preserve"> </w:t>
      </w:r>
      <w:r w:rsidR="00511973" w:rsidRPr="00C77084">
        <w:rPr>
          <w:sz w:val="22"/>
          <w:szCs w:val="22"/>
        </w:rPr>
        <w:t>exigiu dos participantes a comprovação de capacidade técnica para diversos serviços da obra</w:t>
      </w:r>
      <w:r w:rsidR="006E3977" w:rsidRPr="00C77084">
        <w:rPr>
          <w:sz w:val="22"/>
          <w:szCs w:val="22"/>
        </w:rPr>
        <w:t xml:space="preserve">, além de ter vedado </w:t>
      </w:r>
      <w:r w:rsidR="006E3977" w:rsidRPr="00C77084">
        <w:rPr>
          <w:color w:val="auto"/>
          <w:sz w:val="22"/>
          <w:szCs w:val="22"/>
        </w:rPr>
        <w:t>a soma de quantitativos de atestados de mais de um contrato em relação a atividades essenciais</w:t>
      </w:r>
      <w:r w:rsidR="00511973" w:rsidRPr="00C77084">
        <w:rPr>
          <w:sz w:val="22"/>
          <w:szCs w:val="22"/>
        </w:rPr>
        <w:t xml:space="preserve">. </w:t>
      </w:r>
      <w:r w:rsidR="0023623D" w:rsidRPr="00C77084">
        <w:rPr>
          <w:sz w:val="22"/>
          <w:szCs w:val="22"/>
        </w:rPr>
        <w:t xml:space="preserve">A Dersa asseverou que as exigências são necessárias para garantir a satisfatória execução do objeto acordado. A unidade técnica considerou </w:t>
      </w:r>
      <w:r w:rsidR="006E3977" w:rsidRPr="00C77084">
        <w:rPr>
          <w:sz w:val="22"/>
          <w:szCs w:val="22"/>
        </w:rPr>
        <w:t xml:space="preserve">restritivas tais exigências. </w:t>
      </w:r>
      <w:r w:rsidR="005529EE" w:rsidRPr="00C77084">
        <w:rPr>
          <w:sz w:val="22"/>
          <w:szCs w:val="22"/>
        </w:rPr>
        <w:t>O relator, por sua vez, ponderou: “</w:t>
      </w:r>
      <w:r w:rsidR="006E3977" w:rsidRPr="00C77084">
        <w:rPr>
          <w:i/>
          <w:color w:val="auto"/>
          <w:sz w:val="22"/>
          <w:szCs w:val="22"/>
        </w:rPr>
        <w:t>há que se considerar a dimensão das obras do Trecho Norte do Rodoanel de São Paulo e o contexto no qual estão inseridas</w:t>
      </w:r>
      <w:r w:rsidR="005529EE" w:rsidRPr="00C77084">
        <w:rPr>
          <w:color w:val="auto"/>
          <w:sz w:val="22"/>
          <w:szCs w:val="22"/>
        </w:rPr>
        <w:t>”</w:t>
      </w:r>
      <w:r w:rsidR="006E3977" w:rsidRPr="00C77084">
        <w:rPr>
          <w:color w:val="auto"/>
          <w:sz w:val="22"/>
          <w:szCs w:val="22"/>
        </w:rPr>
        <w:t xml:space="preserve">. </w:t>
      </w:r>
      <w:r w:rsidR="005529EE" w:rsidRPr="00C77084">
        <w:rPr>
          <w:color w:val="auto"/>
          <w:sz w:val="22"/>
          <w:szCs w:val="22"/>
        </w:rPr>
        <w:t xml:space="preserve">As obras serão realizadas em </w:t>
      </w:r>
      <w:r w:rsidR="006E3977" w:rsidRPr="00C77084">
        <w:rPr>
          <w:color w:val="auto"/>
          <w:sz w:val="22"/>
          <w:szCs w:val="22"/>
        </w:rPr>
        <w:t>região extremamente populosa, com diversos túneis e obras de arte de vulto</w:t>
      </w:r>
      <w:r w:rsidR="005529EE" w:rsidRPr="00C77084">
        <w:rPr>
          <w:color w:val="auto"/>
          <w:sz w:val="22"/>
          <w:szCs w:val="22"/>
        </w:rPr>
        <w:t xml:space="preserve"> “</w:t>
      </w:r>
      <w:r w:rsidR="005529EE" w:rsidRPr="00C77084">
        <w:rPr>
          <w:i/>
          <w:color w:val="auto"/>
          <w:sz w:val="22"/>
          <w:szCs w:val="22"/>
        </w:rPr>
        <w:t>e estarão a requerer capacidade gerencial elevada, mão de obra qualificada e capacidade operacional específica</w:t>
      </w:r>
      <w:r w:rsidR="005529EE" w:rsidRPr="00C77084">
        <w:rPr>
          <w:color w:val="auto"/>
          <w:sz w:val="22"/>
          <w:szCs w:val="22"/>
        </w:rPr>
        <w:t>”. Por isso,  optou “</w:t>
      </w:r>
      <w:r w:rsidR="006E3977" w:rsidRPr="00C77084">
        <w:rPr>
          <w:i/>
          <w:color w:val="auto"/>
          <w:sz w:val="22"/>
          <w:szCs w:val="22"/>
        </w:rPr>
        <w:t>a Dersa, com a anuência do BID, em selecionar licitantes com garantias técnicas que, certamente, proporcionarão a contratação de empresas de elevada capacidade técnico-profissional, técnico-operacional e, também, econômico-financeira</w:t>
      </w:r>
      <w:r w:rsidR="005529EE" w:rsidRPr="00C77084">
        <w:rPr>
          <w:color w:val="auto"/>
          <w:sz w:val="22"/>
          <w:szCs w:val="22"/>
        </w:rPr>
        <w:t>”</w:t>
      </w:r>
      <w:r w:rsidR="006E3977" w:rsidRPr="00C77084">
        <w:rPr>
          <w:color w:val="auto"/>
          <w:sz w:val="22"/>
          <w:szCs w:val="22"/>
        </w:rPr>
        <w:t>. Conclu</w:t>
      </w:r>
      <w:r w:rsidR="007A19EF" w:rsidRPr="00C77084">
        <w:rPr>
          <w:color w:val="auto"/>
          <w:sz w:val="22"/>
          <w:szCs w:val="22"/>
        </w:rPr>
        <w:t>i</w:t>
      </w:r>
      <w:r w:rsidR="00F148FE">
        <w:rPr>
          <w:color w:val="auto"/>
          <w:sz w:val="22"/>
          <w:szCs w:val="22"/>
        </w:rPr>
        <w:t>u: os</w:t>
      </w:r>
      <w:r w:rsidR="006E3977" w:rsidRPr="00C77084">
        <w:rPr>
          <w:color w:val="auto"/>
          <w:sz w:val="22"/>
          <w:szCs w:val="22"/>
        </w:rPr>
        <w:t xml:space="preserve"> critérios </w:t>
      </w:r>
      <w:r w:rsidR="007A19EF" w:rsidRPr="00C77084">
        <w:rPr>
          <w:color w:val="auto"/>
          <w:sz w:val="22"/>
          <w:szCs w:val="22"/>
        </w:rPr>
        <w:t>contidos nos citados subitens</w:t>
      </w:r>
      <w:r w:rsidR="006E3977" w:rsidRPr="00C77084">
        <w:rPr>
          <w:color w:val="auto"/>
          <w:sz w:val="22"/>
          <w:szCs w:val="22"/>
        </w:rPr>
        <w:t xml:space="preserve"> 4.2 (a) e 4.2 (b)  </w:t>
      </w:r>
      <w:r w:rsidR="007A19EF" w:rsidRPr="00C77084">
        <w:rPr>
          <w:color w:val="auto"/>
          <w:sz w:val="22"/>
          <w:szCs w:val="22"/>
        </w:rPr>
        <w:t>“</w:t>
      </w:r>
      <w:r w:rsidR="006E3977" w:rsidRPr="00C77084">
        <w:rPr>
          <w:i/>
          <w:color w:val="auto"/>
          <w:sz w:val="22"/>
          <w:szCs w:val="22"/>
        </w:rPr>
        <w:t>não se afiguram, data vênia, irregularidades que possam macular o evento licitatório</w:t>
      </w:r>
      <w:r w:rsidR="007A19EF" w:rsidRPr="00C77084">
        <w:rPr>
          <w:color w:val="auto"/>
          <w:sz w:val="22"/>
          <w:szCs w:val="22"/>
        </w:rPr>
        <w:t>”</w:t>
      </w:r>
      <w:r w:rsidR="006E3977" w:rsidRPr="00C77084">
        <w:rPr>
          <w:color w:val="auto"/>
          <w:sz w:val="22"/>
          <w:szCs w:val="22"/>
        </w:rPr>
        <w:t xml:space="preserve">. </w:t>
      </w:r>
      <w:r w:rsidR="00454CB9" w:rsidRPr="00C77084">
        <w:rPr>
          <w:color w:val="auto"/>
          <w:sz w:val="22"/>
          <w:szCs w:val="22"/>
        </w:rPr>
        <w:t xml:space="preserve"> O Tribunal, então, decidiu: I) </w:t>
      </w:r>
      <w:r w:rsidR="008310A5" w:rsidRPr="00C77084">
        <w:rPr>
          <w:sz w:val="22"/>
          <w:szCs w:val="22"/>
        </w:rPr>
        <w:t xml:space="preserve">tornar sem efeito a </w:t>
      </w:r>
      <w:r w:rsidR="00454CB9" w:rsidRPr="00C77084">
        <w:rPr>
          <w:sz w:val="22"/>
          <w:szCs w:val="22"/>
        </w:rPr>
        <w:t>me</w:t>
      </w:r>
      <w:r w:rsidR="008310A5" w:rsidRPr="00C77084">
        <w:rPr>
          <w:sz w:val="22"/>
          <w:szCs w:val="22"/>
        </w:rPr>
        <w:t xml:space="preserve">dida </w:t>
      </w:r>
      <w:r w:rsidR="00454CB9" w:rsidRPr="00C77084">
        <w:rPr>
          <w:sz w:val="22"/>
          <w:szCs w:val="22"/>
        </w:rPr>
        <w:t>c</w:t>
      </w:r>
      <w:r w:rsidR="008310A5" w:rsidRPr="00C77084">
        <w:rPr>
          <w:sz w:val="22"/>
          <w:szCs w:val="22"/>
        </w:rPr>
        <w:t xml:space="preserve">autelar </w:t>
      </w:r>
      <w:r w:rsidR="00454CB9" w:rsidRPr="00C77084">
        <w:rPr>
          <w:sz w:val="22"/>
          <w:szCs w:val="22"/>
        </w:rPr>
        <w:t xml:space="preserve">que havia suspendido o seguimento do certame; II) determinar à Dersa </w:t>
      </w:r>
      <w:r w:rsidR="00DF5A5A">
        <w:rPr>
          <w:sz w:val="22"/>
          <w:szCs w:val="22"/>
        </w:rPr>
        <w:t xml:space="preserve">que </w:t>
      </w:r>
      <w:r w:rsidR="00454CB9" w:rsidRPr="00C77084">
        <w:rPr>
          <w:sz w:val="22"/>
          <w:szCs w:val="22"/>
        </w:rPr>
        <w:t>ado</w:t>
      </w:r>
      <w:r w:rsidR="00DF5A5A">
        <w:rPr>
          <w:sz w:val="22"/>
          <w:szCs w:val="22"/>
        </w:rPr>
        <w:t>te</w:t>
      </w:r>
      <w:r w:rsidR="00454CB9" w:rsidRPr="00C77084">
        <w:rPr>
          <w:sz w:val="22"/>
          <w:szCs w:val="22"/>
        </w:rPr>
        <w:t xml:space="preserve"> de medidas saneadora</w:t>
      </w:r>
      <w:r w:rsidR="00DF5A5A">
        <w:rPr>
          <w:sz w:val="22"/>
          <w:szCs w:val="22"/>
        </w:rPr>
        <w:t>s</w:t>
      </w:r>
      <w:r w:rsidR="00454CB9" w:rsidRPr="00C77084">
        <w:rPr>
          <w:sz w:val="22"/>
          <w:szCs w:val="22"/>
        </w:rPr>
        <w:t xml:space="preserve"> a serem </w:t>
      </w:r>
      <w:r w:rsidR="00DF5A5A">
        <w:rPr>
          <w:sz w:val="22"/>
          <w:szCs w:val="22"/>
        </w:rPr>
        <w:t xml:space="preserve">implementadas </w:t>
      </w:r>
      <w:r w:rsidR="00454CB9" w:rsidRPr="00C77084">
        <w:rPr>
          <w:sz w:val="22"/>
          <w:szCs w:val="22"/>
        </w:rPr>
        <w:t xml:space="preserve">na próxima fase do certame </w:t>
      </w:r>
      <w:r w:rsidR="00DF5A5A">
        <w:rPr>
          <w:sz w:val="22"/>
          <w:szCs w:val="22"/>
        </w:rPr>
        <w:t xml:space="preserve">e </w:t>
      </w:r>
      <w:r w:rsidR="00454CB9" w:rsidRPr="00C77084">
        <w:rPr>
          <w:sz w:val="22"/>
          <w:szCs w:val="22"/>
        </w:rPr>
        <w:t xml:space="preserve">que </w:t>
      </w:r>
      <w:r w:rsidR="008310A5" w:rsidRPr="00C77084">
        <w:rPr>
          <w:sz w:val="22"/>
          <w:szCs w:val="22"/>
        </w:rPr>
        <w:t xml:space="preserve">disponibilize, </w:t>
      </w:r>
      <w:r w:rsidR="00DF5A5A">
        <w:rPr>
          <w:sz w:val="22"/>
          <w:szCs w:val="22"/>
        </w:rPr>
        <w:t xml:space="preserve">em respeito ao disposto no </w:t>
      </w:r>
      <w:r w:rsidR="008310A5" w:rsidRPr="00C77084">
        <w:rPr>
          <w:sz w:val="22"/>
          <w:szCs w:val="22"/>
        </w:rPr>
        <w:t xml:space="preserve">o art. 37, </w:t>
      </w:r>
      <w:r w:rsidR="008310A5" w:rsidRPr="00C77084">
        <w:rPr>
          <w:b/>
          <w:bCs/>
          <w:sz w:val="22"/>
          <w:szCs w:val="22"/>
        </w:rPr>
        <w:t xml:space="preserve">caput, </w:t>
      </w:r>
      <w:r w:rsidR="008310A5" w:rsidRPr="00C77084">
        <w:rPr>
          <w:sz w:val="22"/>
          <w:szCs w:val="22"/>
        </w:rPr>
        <w:t>da Constituição Federal, o Projeto Básico integral</w:t>
      </w:r>
      <w:r w:rsidR="00DF5A5A">
        <w:rPr>
          <w:sz w:val="22"/>
          <w:szCs w:val="22"/>
        </w:rPr>
        <w:t xml:space="preserve"> do empreendimento</w:t>
      </w:r>
      <w:r w:rsidR="008310A5" w:rsidRPr="00C77084">
        <w:rPr>
          <w:sz w:val="22"/>
          <w:szCs w:val="22"/>
        </w:rPr>
        <w:t>, incluindo o orçamento-base;</w:t>
      </w:r>
      <w:r w:rsidR="00454CB9" w:rsidRPr="00C77084">
        <w:rPr>
          <w:sz w:val="22"/>
          <w:szCs w:val="22"/>
        </w:rPr>
        <w:t xml:space="preserve"> IV) </w:t>
      </w:r>
      <w:r w:rsidR="008310A5" w:rsidRPr="00C77084">
        <w:rPr>
          <w:sz w:val="22"/>
          <w:szCs w:val="22"/>
        </w:rPr>
        <w:t>monitor</w:t>
      </w:r>
      <w:r w:rsidR="00454CB9" w:rsidRPr="00C77084">
        <w:rPr>
          <w:sz w:val="22"/>
          <w:szCs w:val="22"/>
        </w:rPr>
        <w:t>ar a</w:t>
      </w:r>
      <w:r w:rsidR="00DF5A5A">
        <w:rPr>
          <w:sz w:val="22"/>
          <w:szCs w:val="22"/>
        </w:rPr>
        <w:t>s</w:t>
      </w:r>
      <w:r w:rsidR="00454CB9" w:rsidRPr="00C77084">
        <w:rPr>
          <w:sz w:val="22"/>
          <w:szCs w:val="22"/>
        </w:rPr>
        <w:t xml:space="preserve"> determinaç</w:t>
      </w:r>
      <w:r w:rsidR="00DF5A5A">
        <w:rPr>
          <w:sz w:val="22"/>
          <w:szCs w:val="22"/>
        </w:rPr>
        <w:t>ões dirigidas à Dersa</w:t>
      </w:r>
      <w:r w:rsidR="00454CB9" w:rsidRPr="00C77084">
        <w:rPr>
          <w:sz w:val="22"/>
          <w:szCs w:val="22"/>
        </w:rPr>
        <w:t xml:space="preserve">. </w:t>
      </w:r>
      <w:r w:rsidR="00990C76" w:rsidRPr="00DF5A5A">
        <w:rPr>
          <w:b/>
          <w:i/>
          <w:sz w:val="22"/>
          <w:szCs w:val="22"/>
        </w:rPr>
        <w:t>Acórdão n.º 324/2012-Plenário, TC-037.183</w:t>
      </w:r>
      <w:r w:rsidR="00473840">
        <w:rPr>
          <w:b/>
          <w:i/>
          <w:sz w:val="22"/>
          <w:szCs w:val="22"/>
        </w:rPr>
        <w:t>/2011</w:t>
      </w:r>
      <w:r w:rsidR="00990C76" w:rsidRPr="00DF5A5A">
        <w:rPr>
          <w:b/>
          <w:i/>
          <w:sz w:val="22"/>
          <w:szCs w:val="22"/>
        </w:rPr>
        <w:t>-0, rel. Min. Raimundo Carreiro,</w:t>
      </w:r>
      <w:r w:rsidR="00654BC1">
        <w:rPr>
          <w:b/>
          <w:i/>
          <w:sz w:val="22"/>
          <w:szCs w:val="22"/>
        </w:rPr>
        <w:t xml:space="preserve"> </w:t>
      </w:r>
      <w:r w:rsidR="00990C76" w:rsidRPr="00DF5A5A">
        <w:rPr>
          <w:b/>
          <w:i/>
          <w:sz w:val="22"/>
          <w:szCs w:val="22"/>
        </w:rPr>
        <w:t>15.2.2012.</w:t>
      </w:r>
    </w:p>
    <w:p w:rsidR="00C64E1A" w:rsidRPr="00C77084" w:rsidRDefault="00861A73" w:rsidP="00861A73">
      <w:pPr>
        <w:pStyle w:val="Default"/>
        <w:tabs>
          <w:tab w:val="left" w:pos="8240"/>
        </w:tabs>
        <w:rPr>
          <w:b/>
          <w:i/>
          <w:sz w:val="22"/>
          <w:szCs w:val="22"/>
        </w:rPr>
      </w:pPr>
      <w:r w:rsidRPr="00C77084">
        <w:rPr>
          <w:b/>
          <w:i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C77084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C77084" w:rsidRDefault="00C10DD5" w:rsidP="00B408FD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C77084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C77084" w:rsidRDefault="007334B1" w:rsidP="00B408FD">
            <w:pPr>
              <w:pStyle w:val="enter-3pt"/>
              <w:tabs>
                <w:tab w:val="left" w:pos="2590"/>
              </w:tabs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C77084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C77084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7334B1" w:rsidRPr="00C77084" w:rsidRDefault="007334B1" w:rsidP="00E11756">
      <w:pPr>
        <w:pStyle w:val="PargrafodaLista"/>
        <w:widowControl w:val="0"/>
        <w:autoSpaceDE w:val="0"/>
        <w:autoSpaceDN w:val="0"/>
        <w:adjustRightInd w:val="0"/>
        <w:spacing w:before="120"/>
        <w:ind w:left="0"/>
        <w:jc w:val="both"/>
        <w:rPr>
          <w:b/>
          <w:color w:val="FF0000"/>
          <w:sz w:val="22"/>
        </w:rPr>
      </w:pPr>
    </w:p>
    <w:sectPr w:rsidR="007334B1" w:rsidRPr="00C77084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84" w:rsidRDefault="002B3F84" w:rsidP="008B0547">
      <w:pPr>
        <w:spacing w:after="0"/>
      </w:pPr>
      <w:r>
        <w:separator/>
      </w:r>
    </w:p>
  </w:endnote>
  <w:endnote w:type="continuationSeparator" w:id="0">
    <w:p w:rsidR="002B3F84" w:rsidRDefault="002B3F84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Pr="00C906CD" w:rsidRDefault="00666B75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5875A3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F43A9B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84" w:rsidRDefault="002B3F84" w:rsidP="008B0547">
      <w:pPr>
        <w:spacing w:after="0"/>
      </w:pPr>
      <w:r>
        <w:separator/>
      </w:r>
    </w:p>
  </w:footnote>
  <w:footnote w:type="continuationSeparator" w:id="0">
    <w:p w:rsidR="002B3F84" w:rsidRDefault="002B3F84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5A3" w:rsidRDefault="00E447E8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5A3">
      <w:rPr>
        <w:rFonts w:ascii="Arial" w:hAnsi="Arial" w:cs="Arial"/>
        <w:b/>
      </w:rPr>
      <w:t>TRIBUNAL DE CONTAS DA UNIÃO</w:t>
    </w:r>
  </w:p>
  <w:p w:rsidR="005875A3" w:rsidRPr="00515E7B" w:rsidRDefault="00E447E8" w:rsidP="00080148">
    <w:pPr>
      <w:spacing w:after="0"/>
      <w:rPr>
        <w:rFonts w:ascii="Arial" w:hAnsi="Arial" w:cs="Arial"/>
        <w:b/>
      </w:rPr>
    </w:pPr>
    <w:r w:rsidRPr="00666B75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F7FE2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5875A3" w:rsidRPr="00515E7B">
      <w:rPr>
        <w:rFonts w:ascii="Arial" w:hAnsi="Arial" w:cs="Arial"/>
        <w:noProof/>
        <w:lang w:eastAsia="pt-BR"/>
      </w:rPr>
      <w:t>Info</w:t>
    </w:r>
    <w:r w:rsidR="005875A3">
      <w:rPr>
        <w:rFonts w:ascii="Arial" w:hAnsi="Arial" w:cs="Arial"/>
        <w:noProof/>
        <w:lang w:eastAsia="pt-BR"/>
      </w:rPr>
      <w:t xml:space="preserve">rmativo </w:t>
    </w:r>
    <w:r w:rsidR="004B34CC">
      <w:rPr>
        <w:rFonts w:ascii="Arial" w:hAnsi="Arial" w:cs="Arial"/>
        <w:noProof/>
        <w:lang w:eastAsia="pt-BR"/>
      </w:rPr>
      <w:t xml:space="preserve">de Jurisprudência </w:t>
    </w:r>
    <w:r w:rsidR="005875A3">
      <w:rPr>
        <w:rFonts w:ascii="Arial" w:hAnsi="Arial" w:cs="Arial"/>
        <w:noProof/>
        <w:lang w:eastAsia="pt-BR"/>
      </w:rPr>
      <w:t>sobre L</w:t>
    </w:r>
    <w:r w:rsidR="005875A3" w:rsidRPr="00515E7B">
      <w:rPr>
        <w:rFonts w:ascii="Arial" w:hAnsi="Arial" w:cs="Arial"/>
        <w:noProof/>
        <w:lang w:eastAsia="pt-BR"/>
      </w:rPr>
      <w:t xml:space="preserve">icitações e </w:t>
    </w:r>
    <w:r w:rsidR="005875A3">
      <w:rPr>
        <w:rFonts w:ascii="Arial" w:hAnsi="Arial" w:cs="Arial"/>
        <w:noProof/>
        <w:lang w:eastAsia="pt-BR"/>
      </w:rPr>
      <w:t>C</w:t>
    </w:r>
    <w:r w:rsidR="005875A3" w:rsidRPr="00515E7B">
      <w:rPr>
        <w:rFonts w:ascii="Arial" w:hAnsi="Arial" w:cs="Arial"/>
        <w:noProof/>
        <w:lang w:eastAsia="pt-BR"/>
      </w:rPr>
      <w:t>ontratos</w:t>
    </w:r>
    <w:r w:rsidR="005875A3">
      <w:rPr>
        <w:rFonts w:ascii="Arial" w:hAnsi="Arial" w:cs="Arial"/>
        <w:noProof/>
        <w:lang w:eastAsia="pt-BR"/>
      </w:rPr>
      <w:t xml:space="preserve"> nº </w:t>
    </w:r>
    <w:r w:rsidR="00166D7E">
      <w:rPr>
        <w:rFonts w:ascii="Arial" w:hAnsi="Arial" w:cs="Arial"/>
        <w:noProof/>
        <w:lang w:eastAsia="pt-BR"/>
      </w:rPr>
      <w:t>9</w:t>
    </w:r>
    <w:r w:rsidR="00105B82">
      <w:rPr>
        <w:rFonts w:ascii="Arial" w:hAnsi="Arial" w:cs="Arial"/>
        <w:noProof/>
        <w:lang w:eastAsia="pt-BR"/>
      </w:rPr>
      <w:t>4</w:t>
    </w:r>
  </w:p>
  <w:p w:rsidR="005875A3" w:rsidRDefault="005875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6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1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6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17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25324A1"/>
    <w:multiLevelType w:val="hybridMultilevel"/>
    <w:tmpl w:val="8C785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18"/>
  </w:num>
  <w:num w:numId="7">
    <w:abstractNumId w:val="26"/>
  </w:num>
  <w:num w:numId="8">
    <w:abstractNumId w:val="23"/>
  </w:num>
  <w:num w:numId="9">
    <w:abstractNumId w:val="20"/>
  </w:num>
  <w:num w:numId="10">
    <w:abstractNumId w:val="6"/>
  </w:num>
  <w:num w:numId="11">
    <w:abstractNumId w:val="29"/>
  </w:num>
  <w:num w:numId="12">
    <w:abstractNumId w:val="4"/>
  </w:num>
  <w:num w:numId="13">
    <w:abstractNumId w:val="17"/>
  </w:num>
  <w:num w:numId="14">
    <w:abstractNumId w:val="25"/>
  </w:num>
  <w:num w:numId="15">
    <w:abstractNumId w:val="15"/>
  </w:num>
  <w:num w:numId="16">
    <w:abstractNumId w:val="2"/>
  </w:num>
  <w:num w:numId="17">
    <w:abstractNumId w:val="13"/>
  </w:num>
  <w:num w:numId="18">
    <w:abstractNumId w:val="28"/>
    <w:lvlOverride w:ilvl="0">
      <w:startOverride w:val="1"/>
    </w:lvlOverride>
  </w:num>
  <w:num w:numId="19">
    <w:abstractNumId w:val="21"/>
  </w:num>
  <w:num w:numId="20">
    <w:abstractNumId w:val="12"/>
  </w:num>
  <w:num w:numId="21">
    <w:abstractNumId w:val="7"/>
  </w:num>
  <w:num w:numId="22">
    <w:abstractNumId w:val="10"/>
  </w:num>
  <w:num w:numId="23">
    <w:abstractNumId w:val="1"/>
  </w:num>
  <w:num w:numId="24">
    <w:abstractNumId w:val="3"/>
  </w:num>
  <w:num w:numId="25">
    <w:abstractNumId w:val="5"/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4"/>
  </w:num>
  <w:num w:numId="2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1878"/>
    <w:rsid w:val="000039C6"/>
    <w:rsid w:val="00003CEA"/>
    <w:rsid w:val="00004614"/>
    <w:rsid w:val="00004D04"/>
    <w:rsid w:val="00005435"/>
    <w:rsid w:val="00005E1E"/>
    <w:rsid w:val="000118BC"/>
    <w:rsid w:val="000118CC"/>
    <w:rsid w:val="00011BA0"/>
    <w:rsid w:val="00011D5A"/>
    <w:rsid w:val="00012468"/>
    <w:rsid w:val="00013851"/>
    <w:rsid w:val="00015B6B"/>
    <w:rsid w:val="000161F7"/>
    <w:rsid w:val="0001636D"/>
    <w:rsid w:val="00020C27"/>
    <w:rsid w:val="00020C75"/>
    <w:rsid w:val="00020FC8"/>
    <w:rsid w:val="0002237E"/>
    <w:rsid w:val="0002327E"/>
    <w:rsid w:val="00023D72"/>
    <w:rsid w:val="000253D1"/>
    <w:rsid w:val="00025450"/>
    <w:rsid w:val="00025753"/>
    <w:rsid w:val="000271FA"/>
    <w:rsid w:val="000300A2"/>
    <w:rsid w:val="00031590"/>
    <w:rsid w:val="00032198"/>
    <w:rsid w:val="0003252F"/>
    <w:rsid w:val="00033551"/>
    <w:rsid w:val="00037DCE"/>
    <w:rsid w:val="00037E26"/>
    <w:rsid w:val="00041450"/>
    <w:rsid w:val="000438FC"/>
    <w:rsid w:val="00045CF0"/>
    <w:rsid w:val="000460E4"/>
    <w:rsid w:val="0004660A"/>
    <w:rsid w:val="00046CF7"/>
    <w:rsid w:val="0005133B"/>
    <w:rsid w:val="0005205F"/>
    <w:rsid w:val="00052B15"/>
    <w:rsid w:val="0005356E"/>
    <w:rsid w:val="000540FC"/>
    <w:rsid w:val="0005412B"/>
    <w:rsid w:val="00054432"/>
    <w:rsid w:val="00054FBE"/>
    <w:rsid w:val="000562CD"/>
    <w:rsid w:val="00056A5A"/>
    <w:rsid w:val="00056D51"/>
    <w:rsid w:val="0006028E"/>
    <w:rsid w:val="000606E0"/>
    <w:rsid w:val="00060CE3"/>
    <w:rsid w:val="00061C2E"/>
    <w:rsid w:val="000622E0"/>
    <w:rsid w:val="000647B1"/>
    <w:rsid w:val="000648BD"/>
    <w:rsid w:val="00065A8B"/>
    <w:rsid w:val="00065E95"/>
    <w:rsid w:val="000675D5"/>
    <w:rsid w:val="00067E95"/>
    <w:rsid w:val="00070785"/>
    <w:rsid w:val="00071BBD"/>
    <w:rsid w:val="0007259B"/>
    <w:rsid w:val="00074384"/>
    <w:rsid w:val="00074AC5"/>
    <w:rsid w:val="00074F93"/>
    <w:rsid w:val="00076C9C"/>
    <w:rsid w:val="00077A56"/>
    <w:rsid w:val="00077BA4"/>
    <w:rsid w:val="00080148"/>
    <w:rsid w:val="000807D4"/>
    <w:rsid w:val="00081DFB"/>
    <w:rsid w:val="000835D8"/>
    <w:rsid w:val="0008394A"/>
    <w:rsid w:val="00084282"/>
    <w:rsid w:val="00084727"/>
    <w:rsid w:val="00086A39"/>
    <w:rsid w:val="00086BAA"/>
    <w:rsid w:val="00087006"/>
    <w:rsid w:val="0009133A"/>
    <w:rsid w:val="000916AF"/>
    <w:rsid w:val="000929ED"/>
    <w:rsid w:val="00092C2E"/>
    <w:rsid w:val="00094C5B"/>
    <w:rsid w:val="00094EEC"/>
    <w:rsid w:val="00095069"/>
    <w:rsid w:val="00095D98"/>
    <w:rsid w:val="0009649A"/>
    <w:rsid w:val="0009748C"/>
    <w:rsid w:val="00097863"/>
    <w:rsid w:val="00097ABD"/>
    <w:rsid w:val="00097BF6"/>
    <w:rsid w:val="000A04D2"/>
    <w:rsid w:val="000A0EF8"/>
    <w:rsid w:val="000A152A"/>
    <w:rsid w:val="000A1EBD"/>
    <w:rsid w:val="000A2C56"/>
    <w:rsid w:val="000A47EA"/>
    <w:rsid w:val="000A57DA"/>
    <w:rsid w:val="000A599E"/>
    <w:rsid w:val="000A6269"/>
    <w:rsid w:val="000A62BD"/>
    <w:rsid w:val="000B0ECB"/>
    <w:rsid w:val="000B0FEA"/>
    <w:rsid w:val="000B2AFA"/>
    <w:rsid w:val="000B5DB2"/>
    <w:rsid w:val="000B639F"/>
    <w:rsid w:val="000B6BC1"/>
    <w:rsid w:val="000C02AD"/>
    <w:rsid w:val="000C22C0"/>
    <w:rsid w:val="000C2558"/>
    <w:rsid w:val="000C2E3A"/>
    <w:rsid w:val="000C3DAB"/>
    <w:rsid w:val="000C4611"/>
    <w:rsid w:val="000C4648"/>
    <w:rsid w:val="000C4A10"/>
    <w:rsid w:val="000C5799"/>
    <w:rsid w:val="000C7D11"/>
    <w:rsid w:val="000D1878"/>
    <w:rsid w:val="000D1B91"/>
    <w:rsid w:val="000D1DC7"/>
    <w:rsid w:val="000D1EF5"/>
    <w:rsid w:val="000D1FD7"/>
    <w:rsid w:val="000D6388"/>
    <w:rsid w:val="000D6418"/>
    <w:rsid w:val="000D6906"/>
    <w:rsid w:val="000D7DB6"/>
    <w:rsid w:val="000D7DED"/>
    <w:rsid w:val="000E020F"/>
    <w:rsid w:val="000E12F7"/>
    <w:rsid w:val="000E1D37"/>
    <w:rsid w:val="000E2D47"/>
    <w:rsid w:val="000E3B31"/>
    <w:rsid w:val="000E3C6D"/>
    <w:rsid w:val="000E504D"/>
    <w:rsid w:val="000E55C6"/>
    <w:rsid w:val="000E7FD4"/>
    <w:rsid w:val="000F136B"/>
    <w:rsid w:val="000F2133"/>
    <w:rsid w:val="000F2D05"/>
    <w:rsid w:val="000F2F92"/>
    <w:rsid w:val="000F4373"/>
    <w:rsid w:val="000F45F0"/>
    <w:rsid w:val="000F6986"/>
    <w:rsid w:val="000F6D85"/>
    <w:rsid w:val="000F7B66"/>
    <w:rsid w:val="000F7CEE"/>
    <w:rsid w:val="000F7D84"/>
    <w:rsid w:val="000F7F62"/>
    <w:rsid w:val="001005A8"/>
    <w:rsid w:val="00102D37"/>
    <w:rsid w:val="001041ED"/>
    <w:rsid w:val="00104A62"/>
    <w:rsid w:val="00105454"/>
    <w:rsid w:val="001056D9"/>
    <w:rsid w:val="001057E4"/>
    <w:rsid w:val="00105B82"/>
    <w:rsid w:val="00106775"/>
    <w:rsid w:val="001104BA"/>
    <w:rsid w:val="001121B7"/>
    <w:rsid w:val="001125A2"/>
    <w:rsid w:val="00112676"/>
    <w:rsid w:val="00112A5F"/>
    <w:rsid w:val="0011373A"/>
    <w:rsid w:val="00113A1F"/>
    <w:rsid w:val="00114511"/>
    <w:rsid w:val="00115911"/>
    <w:rsid w:val="001163BC"/>
    <w:rsid w:val="00116BAB"/>
    <w:rsid w:val="001203BE"/>
    <w:rsid w:val="00122F63"/>
    <w:rsid w:val="001236D4"/>
    <w:rsid w:val="00125F9A"/>
    <w:rsid w:val="00126026"/>
    <w:rsid w:val="00130A0C"/>
    <w:rsid w:val="001316FC"/>
    <w:rsid w:val="00133EA9"/>
    <w:rsid w:val="00133FBC"/>
    <w:rsid w:val="00137B22"/>
    <w:rsid w:val="00137FE3"/>
    <w:rsid w:val="00140FED"/>
    <w:rsid w:val="00141D7A"/>
    <w:rsid w:val="001420D1"/>
    <w:rsid w:val="00142446"/>
    <w:rsid w:val="00142621"/>
    <w:rsid w:val="00142C16"/>
    <w:rsid w:val="001444A2"/>
    <w:rsid w:val="00144987"/>
    <w:rsid w:val="00151F92"/>
    <w:rsid w:val="0015258E"/>
    <w:rsid w:val="00152ECC"/>
    <w:rsid w:val="001532E4"/>
    <w:rsid w:val="0015496C"/>
    <w:rsid w:val="0015699C"/>
    <w:rsid w:val="00156A48"/>
    <w:rsid w:val="00156C90"/>
    <w:rsid w:val="00156DDB"/>
    <w:rsid w:val="00157614"/>
    <w:rsid w:val="00157AFE"/>
    <w:rsid w:val="00157C0F"/>
    <w:rsid w:val="001612C0"/>
    <w:rsid w:val="00163664"/>
    <w:rsid w:val="001658B2"/>
    <w:rsid w:val="001665B9"/>
    <w:rsid w:val="00166D7E"/>
    <w:rsid w:val="00171E89"/>
    <w:rsid w:val="001737F7"/>
    <w:rsid w:val="001744E7"/>
    <w:rsid w:val="00176375"/>
    <w:rsid w:val="001766A9"/>
    <w:rsid w:val="00177405"/>
    <w:rsid w:val="001809FD"/>
    <w:rsid w:val="00181339"/>
    <w:rsid w:val="00181848"/>
    <w:rsid w:val="00183A7D"/>
    <w:rsid w:val="001847D6"/>
    <w:rsid w:val="00184DD0"/>
    <w:rsid w:val="00192052"/>
    <w:rsid w:val="00194053"/>
    <w:rsid w:val="00195759"/>
    <w:rsid w:val="00195F77"/>
    <w:rsid w:val="001A0B42"/>
    <w:rsid w:val="001A0CC1"/>
    <w:rsid w:val="001A204B"/>
    <w:rsid w:val="001A2A67"/>
    <w:rsid w:val="001A3198"/>
    <w:rsid w:val="001A330B"/>
    <w:rsid w:val="001A4C6F"/>
    <w:rsid w:val="001A58D8"/>
    <w:rsid w:val="001A60A2"/>
    <w:rsid w:val="001A75FE"/>
    <w:rsid w:val="001A79D3"/>
    <w:rsid w:val="001B1669"/>
    <w:rsid w:val="001B19FF"/>
    <w:rsid w:val="001B2580"/>
    <w:rsid w:val="001B3530"/>
    <w:rsid w:val="001B3729"/>
    <w:rsid w:val="001B3BEF"/>
    <w:rsid w:val="001B3E8E"/>
    <w:rsid w:val="001B4316"/>
    <w:rsid w:val="001B4F90"/>
    <w:rsid w:val="001B5333"/>
    <w:rsid w:val="001B5426"/>
    <w:rsid w:val="001B6823"/>
    <w:rsid w:val="001B7F4F"/>
    <w:rsid w:val="001C0575"/>
    <w:rsid w:val="001C1568"/>
    <w:rsid w:val="001C1903"/>
    <w:rsid w:val="001C23B5"/>
    <w:rsid w:val="001C2950"/>
    <w:rsid w:val="001C437E"/>
    <w:rsid w:val="001C45FA"/>
    <w:rsid w:val="001C5C51"/>
    <w:rsid w:val="001C71E3"/>
    <w:rsid w:val="001C72D6"/>
    <w:rsid w:val="001D03C7"/>
    <w:rsid w:val="001D0FAF"/>
    <w:rsid w:val="001D1478"/>
    <w:rsid w:val="001D1E52"/>
    <w:rsid w:val="001D35B4"/>
    <w:rsid w:val="001D3C57"/>
    <w:rsid w:val="001D56C3"/>
    <w:rsid w:val="001D74CE"/>
    <w:rsid w:val="001E0BF1"/>
    <w:rsid w:val="001E112F"/>
    <w:rsid w:val="001E1E28"/>
    <w:rsid w:val="001E2620"/>
    <w:rsid w:val="001E4147"/>
    <w:rsid w:val="001E5B5B"/>
    <w:rsid w:val="001E7019"/>
    <w:rsid w:val="001E71F9"/>
    <w:rsid w:val="001E747D"/>
    <w:rsid w:val="001E76DA"/>
    <w:rsid w:val="001E7C3D"/>
    <w:rsid w:val="001F00DF"/>
    <w:rsid w:val="001F0DEE"/>
    <w:rsid w:val="001F1E8F"/>
    <w:rsid w:val="001F4B90"/>
    <w:rsid w:val="001F553C"/>
    <w:rsid w:val="001F64D1"/>
    <w:rsid w:val="002000F8"/>
    <w:rsid w:val="00200260"/>
    <w:rsid w:val="002002CE"/>
    <w:rsid w:val="0020066F"/>
    <w:rsid w:val="0020107A"/>
    <w:rsid w:val="0020135D"/>
    <w:rsid w:val="00201A21"/>
    <w:rsid w:val="00201FED"/>
    <w:rsid w:val="00202EAD"/>
    <w:rsid w:val="00203A6F"/>
    <w:rsid w:val="00205DB1"/>
    <w:rsid w:val="00211816"/>
    <w:rsid w:val="002139A2"/>
    <w:rsid w:val="00217566"/>
    <w:rsid w:val="00217B1B"/>
    <w:rsid w:val="00223BB9"/>
    <w:rsid w:val="00225D42"/>
    <w:rsid w:val="00226AEF"/>
    <w:rsid w:val="00226D9D"/>
    <w:rsid w:val="00227776"/>
    <w:rsid w:val="00231C86"/>
    <w:rsid w:val="00232158"/>
    <w:rsid w:val="002328F9"/>
    <w:rsid w:val="0023395B"/>
    <w:rsid w:val="00233CE3"/>
    <w:rsid w:val="002343BF"/>
    <w:rsid w:val="00234556"/>
    <w:rsid w:val="0023535F"/>
    <w:rsid w:val="002353E9"/>
    <w:rsid w:val="00235D4C"/>
    <w:rsid w:val="0023623D"/>
    <w:rsid w:val="002366B7"/>
    <w:rsid w:val="00236F05"/>
    <w:rsid w:val="002415A6"/>
    <w:rsid w:val="00242061"/>
    <w:rsid w:val="002435FC"/>
    <w:rsid w:val="002442D9"/>
    <w:rsid w:val="00244BA7"/>
    <w:rsid w:val="00245432"/>
    <w:rsid w:val="0024593F"/>
    <w:rsid w:val="00247107"/>
    <w:rsid w:val="002475EC"/>
    <w:rsid w:val="002476B6"/>
    <w:rsid w:val="00247E76"/>
    <w:rsid w:val="00247E8F"/>
    <w:rsid w:val="00250EBD"/>
    <w:rsid w:val="002510D5"/>
    <w:rsid w:val="00253242"/>
    <w:rsid w:val="00254590"/>
    <w:rsid w:val="002549FC"/>
    <w:rsid w:val="00255C16"/>
    <w:rsid w:val="00257D8A"/>
    <w:rsid w:val="00261488"/>
    <w:rsid w:val="0026222C"/>
    <w:rsid w:val="00262359"/>
    <w:rsid w:val="0026362E"/>
    <w:rsid w:val="002639CA"/>
    <w:rsid w:val="002649A7"/>
    <w:rsid w:val="00264FC3"/>
    <w:rsid w:val="002663B7"/>
    <w:rsid w:val="002666C5"/>
    <w:rsid w:val="00266C8A"/>
    <w:rsid w:val="00267900"/>
    <w:rsid w:val="00270EAC"/>
    <w:rsid w:val="00271CD7"/>
    <w:rsid w:val="00271CF2"/>
    <w:rsid w:val="00271D81"/>
    <w:rsid w:val="0027213F"/>
    <w:rsid w:val="0027267D"/>
    <w:rsid w:val="00273058"/>
    <w:rsid w:val="00273E72"/>
    <w:rsid w:val="00274068"/>
    <w:rsid w:val="0027498E"/>
    <w:rsid w:val="00276215"/>
    <w:rsid w:val="0027686D"/>
    <w:rsid w:val="00276B43"/>
    <w:rsid w:val="00276DC0"/>
    <w:rsid w:val="00277F47"/>
    <w:rsid w:val="00280F3D"/>
    <w:rsid w:val="002810D9"/>
    <w:rsid w:val="00281830"/>
    <w:rsid w:val="00281D9E"/>
    <w:rsid w:val="0028259E"/>
    <w:rsid w:val="002830F6"/>
    <w:rsid w:val="002836D4"/>
    <w:rsid w:val="00285052"/>
    <w:rsid w:val="00285FDD"/>
    <w:rsid w:val="00287326"/>
    <w:rsid w:val="0029043B"/>
    <w:rsid w:val="00290A06"/>
    <w:rsid w:val="00291766"/>
    <w:rsid w:val="0029211E"/>
    <w:rsid w:val="00293198"/>
    <w:rsid w:val="0029450E"/>
    <w:rsid w:val="0029746F"/>
    <w:rsid w:val="00297A00"/>
    <w:rsid w:val="002A03ED"/>
    <w:rsid w:val="002A040F"/>
    <w:rsid w:val="002A190F"/>
    <w:rsid w:val="002A2129"/>
    <w:rsid w:val="002A3796"/>
    <w:rsid w:val="002A3B3F"/>
    <w:rsid w:val="002A42CE"/>
    <w:rsid w:val="002A5A02"/>
    <w:rsid w:val="002A651C"/>
    <w:rsid w:val="002A6CE6"/>
    <w:rsid w:val="002B059A"/>
    <w:rsid w:val="002B1AD6"/>
    <w:rsid w:val="002B2414"/>
    <w:rsid w:val="002B3128"/>
    <w:rsid w:val="002B32DD"/>
    <w:rsid w:val="002B3968"/>
    <w:rsid w:val="002B3F84"/>
    <w:rsid w:val="002B4001"/>
    <w:rsid w:val="002B409B"/>
    <w:rsid w:val="002B4392"/>
    <w:rsid w:val="002B4764"/>
    <w:rsid w:val="002B56C3"/>
    <w:rsid w:val="002B5AD5"/>
    <w:rsid w:val="002B5C5A"/>
    <w:rsid w:val="002B6422"/>
    <w:rsid w:val="002B71BA"/>
    <w:rsid w:val="002B7B4D"/>
    <w:rsid w:val="002C208E"/>
    <w:rsid w:val="002C2F67"/>
    <w:rsid w:val="002C4633"/>
    <w:rsid w:val="002C506F"/>
    <w:rsid w:val="002C662D"/>
    <w:rsid w:val="002C7B61"/>
    <w:rsid w:val="002C7B6D"/>
    <w:rsid w:val="002D0B7C"/>
    <w:rsid w:val="002D0D1A"/>
    <w:rsid w:val="002D0ECD"/>
    <w:rsid w:val="002D155C"/>
    <w:rsid w:val="002D1637"/>
    <w:rsid w:val="002D1688"/>
    <w:rsid w:val="002D1B69"/>
    <w:rsid w:val="002D1BA5"/>
    <w:rsid w:val="002D3043"/>
    <w:rsid w:val="002D35F5"/>
    <w:rsid w:val="002D47FE"/>
    <w:rsid w:val="002D532D"/>
    <w:rsid w:val="002D739A"/>
    <w:rsid w:val="002D73BD"/>
    <w:rsid w:val="002D76AB"/>
    <w:rsid w:val="002D786D"/>
    <w:rsid w:val="002E0C55"/>
    <w:rsid w:val="002E0CBF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6712"/>
    <w:rsid w:val="002E6FDB"/>
    <w:rsid w:val="002F104B"/>
    <w:rsid w:val="002F1C09"/>
    <w:rsid w:val="002F1E70"/>
    <w:rsid w:val="002F2AEE"/>
    <w:rsid w:val="002F3866"/>
    <w:rsid w:val="002F4696"/>
    <w:rsid w:val="002F5E6B"/>
    <w:rsid w:val="002F5F3B"/>
    <w:rsid w:val="002F693C"/>
    <w:rsid w:val="002F7C6D"/>
    <w:rsid w:val="003019D7"/>
    <w:rsid w:val="003020F4"/>
    <w:rsid w:val="003023A1"/>
    <w:rsid w:val="003025C7"/>
    <w:rsid w:val="0030360F"/>
    <w:rsid w:val="00303790"/>
    <w:rsid w:val="00303984"/>
    <w:rsid w:val="00304161"/>
    <w:rsid w:val="00304A73"/>
    <w:rsid w:val="00304DFD"/>
    <w:rsid w:val="003057F7"/>
    <w:rsid w:val="00306864"/>
    <w:rsid w:val="003069F9"/>
    <w:rsid w:val="00310208"/>
    <w:rsid w:val="0031058F"/>
    <w:rsid w:val="0031089E"/>
    <w:rsid w:val="00310D69"/>
    <w:rsid w:val="00311B02"/>
    <w:rsid w:val="003147B7"/>
    <w:rsid w:val="00314844"/>
    <w:rsid w:val="003149A9"/>
    <w:rsid w:val="0031528D"/>
    <w:rsid w:val="00316FB0"/>
    <w:rsid w:val="00317E59"/>
    <w:rsid w:val="00320465"/>
    <w:rsid w:val="00322AE7"/>
    <w:rsid w:val="00325246"/>
    <w:rsid w:val="00325D35"/>
    <w:rsid w:val="00326448"/>
    <w:rsid w:val="0032650F"/>
    <w:rsid w:val="0032662E"/>
    <w:rsid w:val="00326B3B"/>
    <w:rsid w:val="003275E4"/>
    <w:rsid w:val="00330069"/>
    <w:rsid w:val="00330144"/>
    <w:rsid w:val="0033244F"/>
    <w:rsid w:val="00332EF9"/>
    <w:rsid w:val="00333F1D"/>
    <w:rsid w:val="00335707"/>
    <w:rsid w:val="00337E16"/>
    <w:rsid w:val="0034069B"/>
    <w:rsid w:val="00340E66"/>
    <w:rsid w:val="00340F10"/>
    <w:rsid w:val="00341D56"/>
    <w:rsid w:val="00342A44"/>
    <w:rsid w:val="003436D7"/>
    <w:rsid w:val="00343FC9"/>
    <w:rsid w:val="00344520"/>
    <w:rsid w:val="0034486B"/>
    <w:rsid w:val="00344D92"/>
    <w:rsid w:val="003455A2"/>
    <w:rsid w:val="00345760"/>
    <w:rsid w:val="00345BD4"/>
    <w:rsid w:val="0034675B"/>
    <w:rsid w:val="0034741D"/>
    <w:rsid w:val="0034796E"/>
    <w:rsid w:val="003506E7"/>
    <w:rsid w:val="00350BE7"/>
    <w:rsid w:val="00350E87"/>
    <w:rsid w:val="00353B7C"/>
    <w:rsid w:val="0035438E"/>
    <w:rsid w:val="00355828"/>
    <w:rsid w:val="00356418"/>
    <w:rsid w:val="00356E38"/>
    <w:rsid w:val="00357C3C"/>
    <w:rsid w:val="00357CBE"/>
    <w:rsid w:val="0036100D"/>
    <w:rsid w:val="00361487"/>
    <w:rsid w:val="00361661"/>
    <w:rsid w:val="00363344"/>
    <w:rsid w:val="00365F91"/>
    <w:rsid w:val="00370BC7"/>
    <w:rsid w:val="00371289"/>
    <w:rsid w:val="003719DE"/>
    <w:rsid w:val="00371A33"/>
    <w:rsid w:val="00372E83"/>
    <w:rsid w:val="00375080"/>
    <w:rsid w:val="00375F02"/>
    <w:rsid w:val="00377407"/>
    <w:rsid w:val="00380026"/>
    <w:rsid w:val="00381780"/>
    <w:rsid w:val="0038242D"/>
    <w:rsid w:val="003824E4"/>
    <w:rsid w:val="00383CFE"/>
    <w:rsid w:val="00384BEF"/>
    <w:rsid w:val="003853FF"/>
    <w:rsid w:val="00385609"/>
    <w:rsid w:val="003856A4"/>
    <w:rsid w:val="00385DAB"/>
    <w:rsid w:val="0038696B"/>
    <w:rsid w:val="00387CA6"/>
    <w:rsid w:val="00387CBD"/>
    <w:rsid w:val="003900C7"/>
    <w:rsid w:val="0039039F"/>
    <w:rsid w:val="00390ED6"/>
    <w:rsid w:val="00391B5C"/>
    <w:rsid w:val="00392509"/>
    <w:rsid w:val="003925E5"/>
    <w:rsid w:val="00392CD3"/>
    <w:rsid w:val="00393786"/>
    <w:rsid w:val="00393FCC"/>
    <w:rsid w:val="003943E5"/>
    <w:rsid w:val="0039629A"/>
    <w:rsid w:val="003971DC"/>
    <w:rsid w:val="00397D8E"/>
    <w:rsid w:val="003A105C"/>
    <w:rsid w:val="003A2222"/>
    <w:rsid w:val="003A3262"/>
    <w:rsid w:val="003A5479"/>
    <w:rsid w:val="003A5C1B"/>
    <w:rsid w:val="003A7C7F"/>
    <w:rsid w:val="003B023B"/>
    <w:rsid w:val="003B0304"/>
    <w:rsid w:val="003B043F"/>
    <w:rsid w:val="003B155C"/>
    <w:rsid w:val="003B1E19"/>
    <w:rsid w:val="003B2442"/>
    <w:rsid w:val="003B2486"/>
    <w:rsid w:val="003B2E10"/>
    <w:rsid w:val="003B33CE"/>
    <w:rsid w:val="003B343D"/>
    <w:rsid w:val="003B391B"/>
    <w:rsid w:val="003B4936"/>
    <w:rsid w:val="003B56D7"/>
    <w:rsid w:val="003C1911"/>
    <w:rsid w:val="003C1B4F"/>
    <w:rsid w:val="003C1CD8"/>
    <w:rsid w:val="003C21BD"/>
    <w:rsid w:val="003C2288"/>
    <w:rsid w:val="003C331C"/>
    <w:rsid w:val="003C3336"/>
    <w:rsid w:val="003C39E6"/>
    <w:rsid w:val="003C526E"/>
    <w:rsid w:val="003C5A68"/>
    <w:rsid w:val="003C6DEB"/>
    <w:rsid w:val="003C7585"/>
    <w:rsid w:val="003C7A5C"/>
    <w:rsid w:val="003D0C03"/>
    <w:rsid w:val="003D660C"/>
    <w:rsid w:val="003D73BD"/>
    <w:rsid w:val="003D7CCE"/>
    <w:rsid w:val="003E0864"/>
    <w:rsid w:val="003E0D8C"/>
    <w:rsid w:val="003E154A"/>
    <w:rsid w:val="003E15A3"/>
    <w:rsid w:val="003E1B68"/>
    <w:rsid w:val="003E2601"/>
    <w:rsid w:val="003E65D7"/>
    <w:rsid w:val="003E7483"/>
    <w:rsid w:val="003F0515"/>
    <w:rsid w:val="003F163F"/>
    <w:rsid w:val="003F1ACE"/>
    <w:rsid w:val="003F1CE1"/>
    <w:rsid w:val="003F2D7E"/>
    <w:rsid w:val="003F3782"/>
    <w:rsid w:val="003F413A"/>
    <w:rsid w:val="003F5154"/>
    <w:rsid w:val="003F5249"/>
    <w:rsid w:val="003F54FB"/>
    <w:rsid w:val="003F6572"/>
    <w:rsid w:val="003F68AD"/>
    <w:rsid w:val="003F6D1F"/>
    <w:rsid w:val="00400F7F"/>
    <w:rsid w:val="004017DA"/>
    <w:rsid w:val="004036AF"/>
    <w:rsid w:val="00403E3F"/>
    <w:rsid w:val="0040424B"/>
    <w:rsid w:val="00405316"/>
    <w:rsid w:val="0041018F"/>
    <w:rsid w:val="0041153E"/>
    <w:rsid w:val="004123CF"/>
    <w:rsid w:val="00412488"/>
    <w:rsid w:val="00412B7F"/>
    <w:rsid w:val="00412CEF"/>
    <w:rsid w:val="004141A8"/>
    <w:rsid w:val="004169D8"/>
    <w:rsid w:val="00420098"/>
    <w:rsid w:val="004201AF"/>
    <w:rsid w:val="00424E58"/>
    <w:rsid w:val="00425FF9"/>
    <w:rsid w:val="00426328"/>
    <w:rsid w:val="00427B3B"/>
    <w:rsid w:val="00427EBF"/>
    <w:rsid w:val="0043072D"/>
    <w:rsid w:val="00430A9E"/>
    <w:rsid w:val="00431085"/>
    <w:rsid w:val="00431AA2"/>
    <w:rsid w:val="00432278"/>
    <w:rsid w:val="00432341"/>
    <w:rsid w:val="00435269"/>
    <w:rsid w:val="004362AB"/>
    <w:rsid w:val="00441101"/>
    <w:rsid w:val="004415FB"/>
    <w:rsid w:val="00441CE3"/>
    <w:rsid w:val="004421F5"/>
    <w:rsid w:val="004425E2"/>
    <w:rsid w:val="0044284D"/>
    <w:rsid w:val="00443050"/>
    <w:rsid w:val="0044434A"/>
    <w:rsid w:val="0044437F"/>
    <w:rsid w:val="00445E76"/>
    <w:rsid w:val="00446606"/>
    <w:rsid w:val="004471BC"/>
    <w:rsid w:val="00447217"/>
    <w:rsid w:val="00451471"/>
    <w:rsid w:val="00452C60"/>
    <w:rsid w:val="00453555"/>
    <w:rsid w:val="00453FC2"/>
    <w:rsid w:val="00454CB9"/>
    <w:rsid w:val="0045665B"/>
    <w:rsid w:val="00457182"/>
    <w:rsid w:val="004573D3"/>
    <w:rsid w:val="00457F93"/>
    <w:rsid w:val="00460A1A"/>
    <w:rsid w:val="004617A9"/>
    <w:rsid w:val="00461B70"/>
    <w:rsid w:val="0046258E"/>
    <w:rsid w:val="00462D93"/>
    <w:rsid w:val="0046384E"/>
    <w:rsid w:val="00464CF4"/>
    <w:rsid w:val="00466E73"/>
    <w:rsid w:val="0046706B"/>
    <w:rsid w:val="00467815"/>
    <w:rsid w:val="00467BED"/>
    <w:rsid w:val="00471284"/>
    <w:rsid w:val="00472C57"/>
    <w:rsid w:val="00472FB0"/>
    <w:rsid w:val="00473696"/>
    <w:rsid w:val="00473721"/>
    <w:rsid w:val="00473840"/>
    <w:rsid w:val="00473A4B"/>
    <w:rsid w:val="00473C16"/>
    <w:rsid w:val="0047480E"/>
    <w:rsid w:val="0047491E"/>
    <w:rsid w:val="00474A6A"/>
    <w:rsid w:val="0047658E"/>
    <w:rsid w:val="004836D8"/>
    <w:rsid w:val="004837C6"/>
    <w:rsid w:val="00483998"/>
    <w:rsid w:val="00483FC1"/>
    <w:rsid w:val="0048408F"/>
    <w:rsid w:val="00484250"/>
    <w:rsid w:val="00484E4C"/>
    <w:rsid w:val="004861CA"/>
    <w:rsid w:val="004878ED"/>
    <w:rsid w:val="00490C52"/>
    <w:rsid w:val="00491438"/>
    <w:rsid w:val="00491B1C"/>
    <w:rsid w:val="00492E3F"/>
    <w:rsid w:val="00493F5C"/>
    <w:rsid w:val="00494EB3"/>
    <w:rsid w:val="00495DB3"/>
    <w:rsid w:val="004A171B"/>
    <w:rsid w:val="004A2385"/>
    <w:rsid w:val="004A2D91"/>
    <w:rsid w:val="004A34CF"/>
    <w:rsid w:val="004A3B95"/>
    <w:rsid w:val="004A7912"/>
    <w:rsid w:val="004B0194"/>
    <w:rsid w:val="004B073F"/>
    <w:rsid w:val="004B1113"/>
    <w:rsid w:val="004B176A"/>
    <w:rsid w:val="004B1DC3"/>
    <w:rsid w:val="004B326B"/>
    <w:rsid w:val="004B34CC"/>
    <w:rsid w:val="004B36AE"/>
    <w:rsid w:val="004B4672"/>
    <w:rsid w:val="004B4FB1"/>
    <w:rsid w:val="004B58F5"/>
    <w:rsid w:val="004B67A4"/>
    <w:rsid w:val="004C289A"/>
    <w:rsid w:val="004C61A3"/>
    <w:rsid w:val="004C6E03"/>
    <w:rsid w:val="004C780C"/>
    <w:rsid w:val="004D03BA"/>
    <w:rsid w:val="004D3100"/>
    <w:rsid w:val="004D3441"/>
    <w:rsid w:val="004D45C8"/>
    <w:rsid w:val="004D6A38"/>
    <w:rsid w:val="004D6C65"/>
    <w:rsid w:val="004D708E"/>
    <w:rsid w:val="004D760C"/>
    <w:rsid w:val="004D7C91"/>
    <w:rsid w:val="004E26E4"/>
    <w:rsid w:val="004E357A"/>
    <w:rsid w:val="004E3861"/>
    <w:rsid w:val="004E5000"/>
    <w:rsid w:val="004E586B"/>
    <w:rsid w:val="004E65EB"/>
    <w:rsid w:val="004E7114"/>
    <w:rsid w:val="004E7E70"/>
    <w:rsid w:val="004F0244"/>
    <w:rsid w:val="004F0A27"/>
    <w:rsid w:val="004F3D4A"/>
    <w:rsid w:val="004F401E"/>
    <w:rsid w:val="004F7174"/>
    <w:rsid w:val="004F77A8"/>
    <w:rsid w:val="004F7E98"/>
    <w:rsid w:val="00500DD0"/>
    <w:rsid w:val="005010BA"/>
    <w:rsid w:val="005012AA"/>
    <w:rsid w:val="005012CF"/>
    <w:rsid w:val="0050355D"/>
    <w:rsid w:val="0050489B"/>
    <w:rsid w:val="005055B5"/>
    <w:rsid w:val="00505EC6"/>
    <w:rsid w:val="00506619"/>
    <w:rsid w:val="00507E53"/>
    <w:rsid w:val="00510257"/>
    <w:rsid w:val="00510A23"/>
    <w:rsid w:val="00510D1D"/>
    <w:rsid w:val="00511033"/>
    <w:rsid w:val="00511973"/>
    <w:rsid w:val="00511BBF"/>
    <w:rsid w:val="00512DD0"/>
    <w:rsid w:val="00515E7B"/>
    <w:rsid w:val="00517868"/>
    <w:rsid w:val="00520894"/>
    <w:rsid w:val="00520BC0"/>
    <w:rsid w:val="005215AB"/>
    <w:rsid w:val="005217F8"/>
    <w:rsid w:val="0052267A"/>
    <w:rsid w:val="005226D4"/>
    <w:rsid w:val="005239DD"/>
    <w:rsid w:val="00523CA1"/>
    <w:rsid w:val="00524A9C"/>
    <w:rsid w:val="005266F4"/>
    <w:rsid w:val="0052675C"/>
    <w:rsid w:val="00526D46"/>
    <w:rsid w:val="005303B5"/>
    <w:rsid w:val="00531143"/>
    <w:rsid w:val="0053186B"/>
    <w:rsid w:val="00531DD5"/>
    <w:rsid w:val="00532A23"/>
    <w:rsid w:val="00533BDA"/>
    <w:rsid w:val="005340EA"/>
    <w:rsid w:val="00534A44"/>
    <w:rsid w:val="00536332"/>
    <w:rsid w:val="0054271B"/>
    <w:rsid w:val="00542821"/>
    <w:rsid w:val="005432C8"/>
    <w:rsid w:val="00543514"/>
    <w:rsid w:val="005438A1"/>
    <w:rsid w:val="00543B81"/>
    <w:rsid w:val="00543C00"/>
    <w:rsid w:val="00543EB8"/>
    <w:rsid w:val="00543F41"/>
    <w:rsid w:val="00544550"/>
    <w:rsid w:val="00544FCF"/>
    <w:rsid w:val="005450DC"/>
    <w:rsid w:val="00545A47"/>
    <w:rsid w:val="00545FC7"/>
    <w:rsid w:val="0054634E"/>
    <w:rsid w:val="00546B67"/>
    <w:rsid w:val="005474C7"/>
    <w:rsid w:val="00550F71"/>
    <w:rsid w:val="005512D3"/>
    <w:rsid w:val="00551C0E"/>
    <w:rsid w:val="005529EE"/>
    <w:rsid w:val="005544FA"/>
    <w:rsid w:val="00554A33"/>
    <w:rsid w:val="0055588A"/>
    <w:rsid w:val="0055716D"/>
    <w:rsid w:val="005571A6"/>
    <w:rsid w:val="00557953"/>
    <w:rsid w:val="00560CA9"/>
    <w:rsid w:val="00560E55"/>
    <w:rsid w:val="00562E8F"/>
    <w:rsid w:val="0056301A"/>
    <w:rsid w:val="005635AD"/>
    <w:rsid w:val="005636B0"/>
    <w:rsid w:val="005640E1"/>
    <w:rsid w:val="00564EA1"/>
    <w:rsid w:val="0056534C"/>
    <w:rsid w:val="00566E81"/>
    <w:rsid w:val="00567CEE"/>
    <w:rsid w:val="005713F4"/>
    <w:rsid w:val="00571B61"/>
    <w:rsid w:val="00571E64"/>
    <w:rsid w:val="00573D3B"/>
    <w:rsid w:val="00575CC3"/>
    <w:rsid w:val="00575D10"/>
    <w:rsid w:val="00576018"/>
    <w:rsid w:val="0057638F"/>
    <w:rsid w:val="005808CA"/>
    <w:rsid w:val="00580F26"/>
    <w:rsid w:val="00581A7C"/>
    <w:rsid w:val="0058427E"/>
    <w:rsid w:val="005864FA"/>
    <w:rsid w:val="005875A3"/>
    <w:rsid w:val="005902C9"/>
    <w:rsid w:val="00590750"/>
    <w:rsid w:val="00590907"/>
    <w:rsid w:val="0059346F"/>
    <w:rsid w:val="00594A7B"/>
    <w:rsid w:val="00595178"/>
    <w:rsid w:val="00596C07"/>
    <w:rsid w:val="00597AA7"/>
    <w:rsid w:val="005A15CA"/>
    <w:rsid w:val="005A1EAB"/>
    <w:rsid w:val="005A2D82"/>
    <w:rsid w:val="005A3789"/>
    <w:rsid w:val="005A3835"/>
    <w:rsid w:val="005A3AEC"/>
    <w:rsid w:val="005A6120"/>
    <w:rsid w:val="005A61F7"/>
    <w:rsid w:val="005A6858"/>
    <w:rsid w:val="005A72F2"/>
    <w:rsid w:val="005B2194"/>
    <w:rsid w:val="005B2BC3"/>
    <w:rsid w:val="005B2D1E"/>
    <w:rsid w:val="005B4CFA"/>
    <w:rsid w:val="005B5B3D"/>
    <w:rsid w:val="005B6D64"/>
    <w:rsid w:val="005B7112"/>
    <w:rsid w:val="005B7166"/>
    <w:rsid w:val="005B74D2"/>
    <w:rsid w:val="005C18EE"/>
    <w:rsid w:val="005C1A79"/>
    <w:rsid w:val="005C4397"/>
    <w:rsid w:val="005C48CC"/>
    <w:rsid w:val="005C7644"/>
    <w:rsid w:val="005C791C"/>
    <w:rsid w:val="005C7BF4"/>
    <w:rsid w:val="005D1B66"/>
    <w:rsid w:val="005D1FDF"/>
    <w:rsid w:val="005D2B0F"/>
    <w:rsid w:val="005D323E"/>
    <w:rsid w:val="005D3352"/>
    <w:rsid w:val="005D3917"/>
    <w:rsid w:val="005D3D1E"/>
    <w:rsid w:val="005E06AE"/>
    <w:rsid w:val="005E111B"/>
    <w:rsid w:val="005E12DD"/>
    <w:rsid w:val="005E269C"/>
    <w:rsid w:val="005E3586"/>
    <w:rsid w:val="005E386D"/>
    <w:rsid w:val="005E3EC0"/>
    <w:rsid w:val="005E4DEE"/>
    <w:rsid w:val="005E5FF1"/>
    <w:rsid w:val="005E72FB"/>
    <w:rsid w:val="005E7A63"/>
    <w:rsid w:val="005F01CE"/>
    <w:rsid w:val="005F135B"/>
    <w:rsid w:val="005F4E54"/>
    <w:rsid w:val="005F70B6"/>
    <w:rsid w:val="005F7A87"/>
    <w:rsid w:val="006011A3"/>
    <w:rsid w:val="006017DF"/>
    <w:rsid w:val="00601F0A"/>
    <w:rsid w:val="00602B38"/>
    <w:rsid w:val="00603630"/>
    <w:rsid w:val="0060382E"/>
    <w:rsid w:val="00604DBE"/>
    <w:rsid w:val="006063E1"/>
    <w:rsid w:val="006065E4"/>
    <w:rsid w:val="006066D1"/>
    <w:rsid w:val="00606F56"/>
    <w:rsid w:val="00607D48"/>
    <w:rsid w:val="00610039"/>
    <w:rsid w:val="00610381"/>
    <w:rsid w:val="00610917"/>
    <w:rsid w:val="00611699"/>
    <w:rsid w:val="00611B68"/>
    <w:rsid w:val="00611C07"/>
    <w:rsid w:val="00611E07"/>
    <w:rsid w:val="00612045"/>
    <w:rsid w:val="00612F12"/>
    <w:rsid w:val="00613AC9"/>
    <w:rsid w:val="00615808"/>
    <w:rsid w:val="00620E86"/>
    <w:rsid w:val="006219DD"/>
    <w:rsid w:val="00621D63"/>
    <w:rsid w:val="006223AE"/>
    <w:rsid w:val="00623DAF"/>
    <w:rsid w:val="006242BF"/>
    <w:rsid w:val="0062524C"/>
    <w:rsid w:val="00631FE7"/>
    <w:rsid w:val="00632ACC"/>
    <w:rsid w:val="006345C1"/>
    <w:rsid w:val="00634EDB"/>
    <w:rsid w:val="00634F76"/>
    <w:rsid w:val="00637FDD"/>
    <w:rsid w:val="00641E57"/>
    <w:rsid w:val="0064260D"/>
    <w:rsid w:val="00643438"/>
    <w:rsid w:val="00643CED"/>
    <w:rsid w:val="00644DE2"/>
    <w:rsid w:val="006478E6"/>
    <w:rsid w:val="006503A5"/>
    <w:rsid w:val="00650463"/>
    <w:rsid w:val="00651660"/>
    <w:rsid w:val="00651C0A"/>
    <w:rsid w:val="00652171"/>
    <w:rsid w:val="00652FFB"/>
    <w:rsid w:val="00653133"/>
    <w:rsid w:val="006532C3"/>
    <w:rsid w:val="00654BC1"/>
    <w:rsid w:val="00654C9C"/>
    <w:rsid w:val="0065528E"/>
    <w:rsid w:val="00655485"/>
    <w:rsid w:val="0065606D"/>
    <w:rsid w:val="006571CC"/>
    <w:rsid w:val="006617ED"/>
    <w:rsid w:val="00661BD2"/>
    <w:rsid w:val="00663B35"/>
    <w:rsid w:val="006654B7"/>
    <w:rsid w:val="00666285"/>
    <w:rsid w:val="00666B75"/>
    <w:rsid w:val="0066731A"/>
    <w:rsid w:val="0067097B"/>
    <w:rsid w:val="00670BE7"/>
    <w:rsid w:val="00670FEA"/>
    <w:rsid w:val="00671DC9"/>
    <w:rsid w:val="0067252D"/>
    <w:rsid w:val="006734AA"/>
    <w:rsid w:val="006734B3"/>
    <w:rsid w:val="0067353C"/>
    <w:rsid w:val="00676163"/>
    <w:rsid w:val="006764C4"/>
    <w:rsid w:val="006777E4"/>
    <w:rsid w:val="00677C22"/>
    <w:rsid w:val="006808CC"/>
    <w:rsid w:val="006813BF"/>
    <w:rsid w:val="00682F4C"/>
    <w:rsid w:val="00684171"/>
    <w:rsid w:val="00684966"/>
    <w:rsid w:val="00685899"/>
    <w:rsid w:val="00691611"/>
    <w:rsid w:val="00692D30"/>
    <w:rsid w:val="00695597"/>
    <w:rsid w:val="00696A89"/>
    <w:rsid w:val="00696DAE"/>
    <w:rsid w:val="00696F75"/>
    <w:rsid w:val="00696FEC"/>
    <w:rsid w:val="00697477"/>
    <w:rsid w:val="006A037E"/>
    <w:rsid w:val="006A131E"/>
    <w:rsid w:val="006A2019"/>
    <w:rsid w:val="006A21CC"/>
    <w:rsid w:val="006A30E6"/>
    <w:rsid w:val="006A3D41"/>
    <w:rsid w:val="006A7796"/>
    <w:rsid w:val="006B0495"/>
    <w:rsid w:val="006B0DCB"/>
    <w:rsid w:val="006B2408"/>
    <w:rsid w:val="006B24DB"/>
    <w:rsid w:val="006B3AF9"/>
    <w:rsid w:val="006B3C91"/>
    <w:rsid w:val="006B3D9E"/>
    <w:rsid w:val="006B414C"/>
    <w:rsid w:val="006B4B0F"/>
    <w:rsid w:val="006C0F9A"/>
    <w:rsid w:val="006C32CF"/>
    <w:rsid w:val="006C335E"/>
    <w:rsid w:val="006C3A1F"/>
    <w:rsid w:val="006C54BB"/>
    <w:rsid w:val="006C5C6C"/>
    <w:rsid w:val="006C63EB"/>
    <w:rsid w:val="006C6F73"/>
    <w:rsid w:val="006C7DE0"/>
    <w:rsid w:val="006D024B"/>
    <w:rsid w:val="006D16CA"/>
    <w:rsid w:val="006D3693"/>
    <w:rsid w:val="006D3DC7"/>
    <w:rsid w:val="006D4245"/>
    <w:rsid w:val="006D45AC"/>
    <w:rsid w:val="006D5843"/>
    <w:rsid w:val="006E0A93"/>
    <w:rsid w:val="006E3977"/>
    <w:rsid w:val="006E4064"/>
    <w:rsid w:val="006E58EA"/>
    <w:rsid w:val="006E5BF8"/>
    <w:rsid w:val="006F0036"/>
    <w:rsid w:val="006F2F67"/>
    <w:rsid w:val="006F3CA4"/>
    <w:rsid w:val="006F4DE0"/>
    <w:rsid w:val="006F4FB2"/>
    <w:rsid w:val="006F5E2D"/>
    <w:rsid w:val="006F6483"/>
    <w:rsid w:val="006F6EEB"/>
    <w:rsid w:val="006F7332"/>
    <w:rsid w:val="007025BA"/>
    <w:rsid w:val="0070385B"/>
    <w:rsid w:val="0070407E"/>
    <w:rsid w:val="0070494F"/>
    <w:rsid w:val="00704969"/>
    <w:rsid w:val="00705758"/>
    <w:rsid w:val="00705E45"/>
    <w:rsid w:val="0070707A"/>
    <w:rsid w:val="0070717A"/>
    <w:rsid w:val="00707244"/>
    <w:rsid w:val="00711167"/>
    <w:rsid w:val="00712CCC"/>
    <w:rsid w:val="007136E9"/>
    <w:rsid w:val="00713DE5"/>
    <w:rsid w:val="007155D9"/>
    <w:rsid w:val="007157A0"/>
    <w:rsid w:val="007174DA"/>
    <w:rsid w:val="00720910"/>
    <w:rsid w:val="00720F29"/>
    <w:rsid w:val="00721038"/>
    <w:rsid w:val="007224C2"/>
    <w:rsid w:val="0072306A"/>
    <w:rsid w:val="00723294"/>
    <w:rsid w:val="00726FEB"/>
    <w:rsid w:val="00731117"/>
    <w:rsid w:val="00731409"/>
    <w:rsid w:val="007334B1"/>
    <w:rsid w:val="007337F4"/>
    <w:rsid w:val="007339F3"/>
    <w:rsid w:val="00733EB2"/>
    <w:rsid w:val="00737FEC"/>
    <w:rsid w:val="00740292"/>
    <w:rsid w:val="007424E5"/>
    <w:rsid w:val="00742B07"/>
    <w:rsid w:val="0074394A"/>
    <w:rsid w:val="00744619"/>
    <w:rsid w:val="0075064C"/>
    <w:rsid w:val="00752E39"/>
    <w:rsid w:val="00755956"/>
    <w:rsid w:val="00756161"/>
    <w:rsid w:val="00756AA0"/>
    <w:rsid w:val="00757B85"/>
    <w:rsid w:val="00757CE6"/>
    <w:rsid w:val="007622F8"/>
    <w:rsid w:val="00762AA2"/>
    <w:rsid w:val="00762CD7"/>
    <w:rsid w:val="00763097"/>
    <w:rsid w:val="00764CB0"/>
    <w:rsid w:val="007666D8"/>
    <w:rsid w:val="00766D03"/>
    <w:rsid w:val="007671B6"/>
    <w:rsid w:val="007671DA"/>
    <w:rsid w:val="00767C28"/>
    <w:rsid w:val="00770C72"/>
    <w:rsid w:val="007719A8"/>
    <w:rsid w:val="0077228C"/>
    <w:rsid w:val="00772356"/>
    <w:rsid w:val="00772FA8"/>
    <w:rsid w:val="00773CAE"/>
    <w:rsid w:val="00774593"/>
    <w:rsid w:val="007746F3"/>
    <w:rsid w:val="00774C88"/>
    <w:rsid w:val="00774D02"/>
    <w:rsid w:val="00776EDA"/>
    <w:rsid w:val="00777599"/>
    <w:rsid w:val="00782AE7"/>
    <w:rsid w:val="00782B59"/>
    <w:rsid w:val="00782CF1"/>
    <w:rsid w:val="00783A87"/>
    <w:rsid w:val="00784327"/>
    <w:rsid w:val="00784E47"/>
    <w:rsid w:val="00785646"/>
    <w:rsid w:val="00785CF8"/>
    <w:rsid w:val="0078685A"/>
    <w:rsid w:val="007870BA"/>
    <w:rsid w:val="00793277"/>
    <w:rsid w:val="00793463"/>
    <w:rsid w:val="0079435F"/>
    <w:rsid w:val="00796068"/>
    <w:rsid w:val="007965B0"/>
    <w:rsid w:val="00796CC0"/>
    <w:rsid w:val="00796CF1"/>
    <w:rsid w:val="007979EA"/>
    <w:rsid w:val="00797A74"/>
    <w:rsid w:val="007A19BC"/>
    <w:rsid w:val="007A19EF"/>
    <w:rsid w:val="007A1A35"/>
    <w:rsid w:val="007A1C2A"/>
    <w:rsid w:val="007A2166"/>
    <w:rsid w:val="007A2B7F"/>
    <w:rsid w:val="007A3059"/>
    <w:rsid w:val="007A581B"/>
    <w:rsid w:val="007A5922"/>
    <w:rsid w:val="007A5969"/>
    <w:rsid w:val="007A63D4"/>
    <w:rsid w:val="007A73F9"/>
    <w:rsid w:val="007A7C23"/>
    <w:rsid w:val="007B17F0"/>
    <w:rsid w:val="007B1ABA"/>
    <w:rsid w:val="007B2070"/>
    <w:rsid w:val="007B259B"/>
    <w:rsid w:val="007B2DDE"/>
    <w:rsid w:val="007B3F28"/>
    <w:rsid w:val="007B434A"/>
    <w:rsid w:val="007B471E"/>
    <w:rsid w:val="007B5018"/>
    <w:rsid w:val="007B53E7"/>
    <w:rsid w:val="007B65B3"/>
    <w:rsid w:val="007B6A14"/>
    <w:rsid w:val="007B7287"/>
    <w:rsid w:val="007B7A70"/>
    <w:rsid w:val="007C08AB"/>
    <w:rsid w:val="007C2D69"/>
    <w:rsid w:val="007C31C1"/>
    <w:rsid w:val="007C38F7"/>
    <w:rsid w:val="007C4E99"/>
    <w:rsid w:val="007C5151"/>
    <w:rsid w:val="007C546B"/>
    <w:rsid w:val="007C5B8D"/>
    <w:rsid w:val="007C670D"/>
    <w:rsid w:val="007C7359"/>
    <w:rsid w:val="007D0CD1"/>
    <w:rsid w:val="007D0ED0"/>
    <w:rsid w:val="007D1F01"/>
    <w:rsid w:val="007D250D"/>
    <w:rsid w:val="007D3500"/>
    <w:rsid w:val="007D3868"/>
    <w:rsid w:val="007D3E0E"/>
    <w:rsid w:val="007D4104"/>
    <w:rsid w:val="007D48CF"/>
    <w:rsid w:val="007D4A4A"/>
    <w:rsid w:val="007E0721"/>
    <w:rsid w:val="007E0B69"/>
    <w:rsid w:val="007E0C58"/>
    <w:rsid w:val="007E0E05"/>
    <w:rsid w:val="007E1DD3"/>
    <w:rsid w:val="007E209F"/>
    <w:rsid w:val="007E23C8"/>
    <w:rsid w:val="007E25F0"/>
    <w:rsid w:val="007E2878"/>
    <w:rsid w:val="007E4655"/>
    <w:rsid w:val="007E50E4"/>
    <w:rsid w:val="007E55E0"/>
    <w:rsid w:val="007E5C50"/>
    <w:rsid w:val="007E5DED"/>
    <w:rsid w:val="007F0546"/>
    <w:rsid w:val="007F09D3"/>
    <w:rsid w:val="007F1DEB"/>
    <w:rsid w:val="007F22A5"/>
    <w:rsid w:val="007F421D"/>
    <w:rsid w:val="007F4997"/>
    <w:rsid w:val="007F5688"/>
    <w:rsid w:val="007F588F"/>
    <w:rsid w:val="007F66A5"/>
    <w:rsid w:val="007F7F95"/>
    <w:rsid w:val="0080038A"/>
    <w:rsid w:val="0080065F"/>
    <w:rsid w:val="00802DA0"/>
    <w:rsid w:val="00804B2B"/>
    <w:rsid w:val="008051DE"/>
    <w:rsid w:val="00805659"/>
    <w:rsid w:val="00805B36"/>
    <w:rsid w:val="0080733E"/>
    <w:rsid w:val="00807A2A"/>
    <w:rsid w:val="00810CC2"/>
    <w:rsid w:val="00812C2A"/>
    <w:rsid w:val="0081324B"/>
    <w:rsid w:val="0081440E"/>
    <w:rsid w:val="00816193"/>
    <w:rsid w:val="008165E4"/>
    <w:rsid w:val="008172C9"/>
    <w:rsid w:val="00821278"/>
    <w:rsid w:val="008213DB"/>
    <w:rsid w:val="008234BD"/>
    <w:rsid w:val="0082489C"/>
    <w:rsid w:val="00824A8C"/>
    <w:rsid w:val="00825155"/>
    <w:rsid w:val="00825D55"/>
    <w:rsid w:val="00825EB9"/>
    <w:rsid w:val="00826561"/>
    <w:rsid w:val="008279D7"/>
    <w:rsid w:val="008301B7"/>
    <w:rsid w:val="008303E2"/>
    <w:rsid w:val="008310A5"/>
    <w:rsid w:val="00831B7E"/>
    <w:rsid w:val="00833A8F"/>
    <w:rsid w:val="008341F8"/>
    <w:rsid w:val="00834584"/>
    <w:rsid w:val="008359F3"/>
    <w:rsid w:val="00835DB6"/>
    <w:rsid w:val="00836AC2"/>
    <w:rsid w:val="00837D13"/>
    <w:rsid w:val="008406D5"/>
    <w:rsid w:val="00841B60"/>
    <w:rsid w:val="00843BED"/>
    <w:rsid w:val="008447C8"/>
    <w:rsid w:val="00844C5B"/>
    <w:rsid w:val="008453E7"/>
    <w:rsid w:val="00846992"/>
    <w:rsid w:val="008469E4"/>
    <w:rsid w:val="00847B37"/>
    <w:rsid w:val="008501A4"/>
    <w:rsid w:val="008505A1"/>
    <w:rsid w:val="008505EB"/>
    <w:rsid w:val="00850817"/>
    <w:rsid w:val="008508DF"/>
    <w:rsid w:val="00851B47"/>
    <w:rsid w:val="00851D16"/>
    <w:rsid w:val="00851E54"/>
    <w:rsid w:val="0085433A"/>
    <w:rsid w:val="00854A85"/>
    <w:rsid w:val="00854B32"/>
    <w:rsid w:val="00855F2B"/>
    <w:rsid w:val="00856252"/>
    <w:rsid w:val="00857634"/>
    <w:rsid w:val="00857FFB"/>
    <w:rsid w:val="0086124E"/>
    <w:rsid w:val="00861A73"/>
    <w:rsid w:val="00861B74"/>
    <w:rsid w:val="00863B4B"/>
    <w:rsid w:val="00864A10"/>
    <w:rsid w:val="008652C9"/>
    <w:rsid w:val="00866084"/>
    <w:rsid w:val="00866992"/>
    <w:rsid w:val="00866CA9"/>
    <w:rsid w:val="00867E32"/>
    <w:rsid w:val="008705AA"/>
    <w:rsid w:val="00872942"/>
    <w:rsid w:val="00873069"/>
    <w:rsid w:val="0087504D"/>
    <w:rsid w:val="00875991"/>
    <w:rsid w:val="00875BB5"/>
    <w:rsid w:val="008771B6"/>
    <w:rsid w:val="00877865"/>
    <w:rsid w:val="00877FDD"/>
    <w:rsid w:val="00880FED"/>
    <w:rsid w:val="0088186D"/>
    <w:rsid w:val="008841C8"/>
    <w:rsid w:val="00885367"/>
    <w:rsid w:val="008855A4"/>
    <w:rsid w:val="00885989"/>
    <w:rsid w:val="00887082"/>
    <w:rsid w:val="00887C8D"/>
    <w:rsid w:val="00887DC7"/>
    <w:rsid w:val="00891FCC"/>
    <w:rsid w:val="00892BB8"/>
    <w:rsid w:val="00893014"/>
    <w:rsid w:val="0089513A"/>
    <w:rsid w:val="00896755"/>
    <w:rsid w:val="00896F38"/>
    <w:rsid w:val="008A2417"/>
    <w:rsid w:val="008A5D49"/>
    <w:rsid w:val="008A6952"/>
    <w:rsid w:val="008A74D8"/>
    <w:rsid w:val="008A751E"/>
    <w:rsid w:val="008A756C"/>
    <w:rsid w:val="008B0547"/>
    <w:rsid w:val="008B11A3"/>
    <w:rsid w:val="008B1FE5"/>
    <w:rsid w:val="008B2AD7"/>
    <w:rsid w:val="008B3A74"/>
    <w:rsid w:val="008B3D72"/>
    <w:rsid w:val="008B434A"/>
    <w:rsid w:val="008B4A72"/>
    <w:rsid w:val="008B5DA7"/>
    <w:rsid w:val="008B7B55"/>
    <w:rsid w:val="008C25D0"/>
    <w:rsid w:val="008C3A5B"/>
    <w:rsid w:val="008C3D50"/>
    <w:rsid w:val="008C4823"/>
    <w:rsid w:val="008C5B71"/>
    <w:rsid w:val="008C6D01"/>
    <w:rsid w:val="008D0E23"/>
    <w:rsid w:val="008D1518"/>
    <w:rsid w:val="008D2382"/>
    <w:rsid w:val="008D2F21"/>
    <w:rsid w:val="008D3521"/>
    <w:rsid w:val="008D5667"/>
    <w:rsid w:val="008D6F5D"/>
    <w:rsid w:val="008E003A"/>
    <w:rsid w:val="008E07E7"/>
    <w:rsid w:val="008E15E3"/>
    <w:rsid w:val="008E2045"/>
    <w:rsid w:val="008E4C62"/>
    <w:rsid w:val="008E4EC9"/>
    <w:rsid w:val="008E6C91"/>
    <w:rsid w:val="008E727E"/>
    <w:rsid w:val="008E784E"/>
    <w:rsid w:val="008F0B17"/>
    <w:rsid w:val="008F2902"/>
    <w:rsid w:val="008F3912"/>
    <w:rsid w:val="008F3F75"/>
    <w:rsid w:val="008F4047"/>
    <w:rsid w:val="008F4111"/>
    <w:rsid w:val="008F4122"/>
    <w:rsid w:val="008F4593"/>
    <w:rsid w:val="008F660B"/>
    <w:rsid w:val="008F695F"/>
    <w:rsid w:val="008F7674"/>
    <w:rsid w:val="009005CE"/>
    <w:rsid w:val="009007A8"/>
    <w:rsid w:val="00901376"/>
    <w:rsid w:val="0090188B"/>
    <w:rsid w:val="009021A4"/>
    <w:rsid w:val="00903309"/>
    <w:rsid w:val="00904305"/>
    <w:rsid w:val="00904362"/>
    <w:rsid w:val="0090441C"/>
    <w:rsid w:val="00904986"/>
    <w:rsid w:val="00904EC5"/>
    <w:rsid w:val="0091406E"/>
    <w:rsid w:val="00914B48"/>
    <w:rsid w:val="0091511B"/>
    <w:rsid w:val="009172D7"/>
    <w:rsid w:val="0091757B"/>
    <w:rsid w:val="00917B21"/>
    <w:rsid w:val="00917B6F"/>
    <w:rsid w:val="00917E84"/>
    <w:rsid w:val="009236AA"/>
    <w:rsid w:val="009239AA"/>
    <w:rsid w:val="009245B5"/>
    <w:rsid w:val="009245D0"/>
    <w:rsid w:val="00924AB4"/>
    <w:rsid w:val="00925EF2"/>
    <w:rsid w:val="00925F3C"/>
    <w:rsid w:val="00925F9C"/>
    <w:rsid w:val="00926204"/>
    <w:rsid w:val="00931668"/>
    <w:rsid w:val="00934683"/>
    <w:rsid w:val="00935C40"/>
    <w:rsid w:val="00935F4D"/>
    <w:rsid w:val="009377EA"/>
    <w:rsid w:val="0093795C"/>
    <w:rsid w:val="00937DCB"/>
    <w:rsid w:val="00937F7E"/>
    <w:rsid w:val="009415CB"/>
    <w:rsid w:val="009419BB"/>
    <w:rsid w:val="009440DE"/>
    <w:rsid w:val="009444E6"/>
    <w:rsid w:val="00944A8E"/>
    <w:rsid w:val="009455E6"/>
    <w:rsid w:val="0094589B"/>
    <w:rsid w:val="00947A9A"/>
    <w:rsid w:val="00950775"/>
    <w:rsid w:val="009509C0"/>
    <w:rsid w:val="00952B9C"/>
    <w:rsid w:val="00953B70"/>
    <w:rsid w:val="0095414E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F4A"/>
    <w:rsid w:val="009642CA"/>
    <w:rsid w:val="00964692"/>
    <w:rsid w:val="00964846"/>
    <w:rsid w:val="009652B6"/>
    <w:rsid w:val="0096655D"/>
    <w:rsid w:val="009670B5"/>
    <w:rsid w:val="00967EC2"/>
    <w:rsid w:val="00970E8A"/>
    <w:rsid w:val="00971139"/>
    <w:rsid w:val="00971F5D"/>
    <w:rsid w:val="00972B10"/>
    <w:rsid w:val="0097401F"/>
    <w:rsid w:val="00975E28"/>
    <w:rsid w:val="00976F32"/>
    <w:rsid w:val="00977307"/>
    <w:rsid w:val="00981799"/>
    <w:rsid w:val="00981FA0"/>
    <w:rsid w:val="0098263A"/>
    <w:rsid w:val="00983541"/>
    <w:rsid w:val="00984366"/>
    <w:rsid w:val="00984E80"/>
    <w:rsid w:val="009868CD"/>
    <w:rsid w:val="0098690F"/>
    <w:rsid w:val="00987994"/>
    <w:rsid w:val="00987EE5"/>
    <w:rsid w:val="00990C76"/>
    <w:rsid w:val="00991CD8"/>
    <w:rsid w:val="00991EBE"/>
    <w:rsid w:val="009928B3"/>
    <w:rsid w:val="00992B6B"/>
    <w:rsid w:val="00993C2E"/>
    <w:rsid w:val="009968DA"/>
    <w:rsid w:val="00997C8A"/>
    <w:rsid w:val="009A0E89"/>
    <w:rsid w:val="009A1339"/>
    <w:rsid w:val="009A1A95"/>
    <w:rsid w:val="009A2CCC"/>
    <w:rsid w:val="009A3006"/>
    <w:rsid w:val="009A3994"/>
    <w:rsid w:val="009A7665"/>
    <w:rsid w:val="009B0D4C"/>
    <w:rsid w:val="009B0E74"/>
    <w:rsid w:val="009B1B10"/>
    <w:rsid w:val="009B2FB9"/>
    <w:rsid w:val="009B5D6F"/>
    <w:rsid w:val="009B62AF"/>
    <w:rsid w:val="009B66AC"/>
    <w:rsid w:val="009B6745"/>
    <w:rsid w:val="009B68AF"/>
    <w:rsid w:val="009B74EA"/>
    <w:rsid w:val="009B7AB9"/>
    <w:rsid w:val="009C33CA"/>
    <w:rsid w:val="009C4B6D"/>
    <w:rsid w:val="009D0928"/>
    <w:rsid w:val="009D1B99"/>
    <w:rsid w:val="009D226B"/>
    <w:rsid w:val="009D2884"/>
    <w:rsid w:val="009D5007"/>
    <w:rsid w:val="009D5393"/>
    <w:rsid w:val="009D5445"/>
    <w:rsid w:val="009D565F"/>
    <w:rsid w:val="009D6026"/>
    <w:rsid w:val="009D65B9"/>
    <w:rsid w:val="009D70EE"/>
    <w:rsid w:val="009D733B"/>
    <w:rsid w:val="009E04DC"/>
    <w:rsid w:val="009E0FB3"/>
    <w:rsid w:val="009E1805"/>
    <w:rsid w:val="009E3B5A"/>
    <w:rsid w:val="009E3E85"/>
    <w:rsid w:val="009E5105"/>
    <w:rsid w:val="009E59A1"/>
    <w:rsid w:val="009E66EE"/>
    <w:rsid w:val="009F015D"/>
    <w:rsid w:val="009F20C6"/>
    <w:rsid w:val="009F2E94"/>
    <w:rsid w:val="009F35F7"/>
    <w:rsid w:val="009F37BF"/>
    <w:rsid w:val="009F425F"/>
    <w:rsid w:val="009F4326"/>
    <w:rsid w:val="009F7078"/>
    <w:rsid w:val="009F77F6"/>
    <w:rsid w:val="009F7BB2"/>
    <w:rsid w:val="009F7FA6"/>
    <w:rsid w:val="00A0082F"/>
    <w:rsid w:val="00A00AE7"/>
    <w:rsid w:val="00A0244C"/>
    <w:rsid w:val="00A033FF"/>
    <w:rsid w:val="00A0409E"/>
    <w:rsid w:val="00A046C7"/>
    <w:rsid w:val="00A04EDA"/>
    <w:rsid w:val="00A06137"/>
    <w:rsid w:val="00A063FE"/>
    <w:rsid w:val="00A06EDB"/>
    <w:rsid w:val="00A07ACC"/>
    <w:rsid w:val="00A10B46"/>
    <w:rsid w:val="00A11259"/>
    <w:rsid w:val="00A1329C"/>
    <w:rsid w:val="00A134B4"/>
    <w:rsid w:val="00A14503"/>
    <w:rsid w:val="00A14E25"/>
    <w:rsid w:val="00A14E81"/>
    <w:rsid w:val="00A16896"/>
    <w:rsid w:val="00A16A60"/>
    <w:rsid w:val="00A17A3D"/>
    <w:rsid w:val="00A203C2"/>
    <w:rsid w:val="00A2062A"/>
    <w:rsid w:val="00A2066E"/>
    <w:rsid w:val="00A21E19"/>
    <w:rsid w:val="00A21FAE"/>
    <w:rsid w:val="00A236A1"/>
    <w:rsid w:val="00A239A8"/>
    <w:rsid w:val="00A25B79"/>
    <w:rsid w:val="00A30683"/>
    <w:rsid w:val="00A3115F"/>
    <w:rsid w:val="00A32209"/>
    <w:rsid w:val="00A32BA0"/>
    <w:rsid w:val="00A33030"/>
    <w:rsid w:val="00A35A7A"/>
    <w:rsid w:val="00A378A2"/>
    <w:rsid w:val="00A407B6"/>
    <w:rsid w:val="00A40CDE"/>
    <w:rsid w:val="00A418FF"/>
    <w:rsid w:val="00A43FBD"/>
    <w:rsid w:val="00A43FD4"/>
    <w:rsid w:val="00A44703"/>
    <w:rsid w:val="00A473D7"/>
    <w:rsid w:val="00A52DA1"/>
    <w:rsid w:val="00A54367"/>
    <w:rsid w:val="00A54CCB"/>
    <w:rsid w:val="00A57301"/>
    <w:rsid w:val="00A5757E"/>
    <w:rsid w:val="00A60270"/>
    <w:rsid w:val="00A60F52"/>
    <w:rsid w:val="00A61DFE"/>
    <w:rsid w:val="00A62AA8"/>
    <w:rsid w:val="00A630D8"/>
    <w:rsid w:val="00A63B4C"/>
    <w:rsid w:val="00A6526F"/>
    <w:rsid w:val="00A65CDB"/>
    <w:rsid w:val="00A6604B"/>
    <w:rsid w:val="00A664AD"/>
    <w:rsid w:val="00A664E7"/>
    <w:rsid w:val="00A66E7F"/>
    <w:rsid w:val="00A67917"/>
    <w:rsid w:val="00A679B0"/>
    <w:rsid w:val="00A70904"/>
    <w:rsid w:val="00A709BB"/>
    <w:rsid w:val="00A740EA"/>
    <w:rsid w:val="00A75C52"/>
    <w:rsid w:val="00A767B2"/>
    <w:rsid w:val="00A7717C"/>
    <w:rsid w:val="00A77CCE"/>
    <w:rsid w:val="00A80B0C"/>
    <w:rsid w:val="00A81B11"/>
    <w:rsid w:val="00A82B9E"/>
    <w:rsid w:val="00A84186"/>
    <w:rsid w:val="00A846F1"/>
    <w:rsid w:val="00A857B4"/>
    <w:rsid w:val="00A85B14"/>
    <w:rsid w:val="00A875C0"/>
    <w:rsid w:val="00A87793"/>
    <w:rsid w:val="00A87C15"/>
    <w:rsid w:val="00A9000E"/>
    <w:rsid w:val="00A925D7"/>
    <w:rsid w:val="00A92706"/>
    <w:rsid w:val="00A92CF1"/>
    <w:rsid w:val="00A943F8"/>
    <w:rsid w:val="00A961D4"/>
    <w:rsid w:val="00A9704A"/>
    <w:rsid w:val="00A97AD0"/>
    <w:rsid w:val="00AA0874"/>
    <w:rsid w:val="00AA0C5B"/>
    <w:rsid w:val="00AA1110"/>
    <w:rsid w:val="00AA1377"/>
    <w:rsid w:val="00AA1D1B"/>
    <w:rsid w:val="00AA2ADD"/>
    <w:rsid w:val="00AA34B8"/>
    <w:rsid w:val="00AA49AF"/>
    <w:rsid w:val="00AA4F2F"/>
    <w:rsid w:val="00AA57CE"/>
    <w:rsid w:val="00AA5ADC"/>
    <w:rsid w:val="00AA5E45"/>
    <w:rsid w:val="00AA7211"/>
    <w:rsid w:val="00AA7540"/>
    <w:rsid w:val="00AB0B9C"/>
    <w:rsid w:val="00AB10D4"/>
    <w:rsid w:val="00AB3E6B"/>
    <w:rsid w:val="00AB4D0B"/>
    <w:rsid w:val="00AB51C8"/>
    <w:rsid w:val="00AB52A7"/>
    <w:rsid w:val="00AB5586"/>
    <w:rsid w:val="00AB64F9"/>
    <w:rsid w:val="00AB7B25"/>
    <w:rsid w:val="00AC0BAE"/>
    <w:rsid w:val="00AC0E78"/>
    <w:rsid w:val="00AC126F"/>
    <w:rsid w:val="00AC13F7"/>
    <w:rsid w:val="00AC16D2"/>
    <w:rsid w:val="00AC3256"/>
    <w:rsid w:val="00AC43D2"/>
    <w:rsid w:val="00AC4A94"/>
    <w:rsid w:val="00AC4B34"/>
    <w:rsid w:val="00AC6DE2"/>
    <w:rsid w:val="00AC737D"/>
    <w:rsid w:val="00AD05A6"/>
    <w:rsid w:val="00AD283D"/>
    <w:rsid w:val="00AD3920"/>
    <w:rsid w:val="00AD40B4"/>
    <w:rsid w:val="00AD5922"/>
    <w:rsid w:val="00AD5F80"/>
    <w:rsid w:val="00AD6555"/>
    <w:rsid w:val="00AD6F4A"/>
    <w:rsid w:val="00AD71D2"/>
    <w:rsid w:val="00AE05EA"/>
    <w:rsid w:val="00AE0EDF"/>
    <w:rsid w:val="00AE1128"/>
    <w:rsid w:val="00AE14F4"/>
    <w:rsid w:val="00AE1AB0"/>
    <w:rsid w:val="00AE2609"/>
    <w:rsid w:val="00AE29A8"/>
    <w:rsid w:val="00AE3960"/>
    <w:rsid w:val="00AE4074"/>
    <w:rsid w:val="00AE439A"/>
    <w:rsid w:val="00AE591D"/>
    <w:rsid w:val="00AE617A"/>
    <w:rsid w:val="00AE6CD9"/>
    <w:rsid w:val="00AE713F"/>
    <w:rsid w:val="00AF01CB"/>
    <w:rsid w:val="00AF09C7"/>
    <w:rsid w:val="00AF1474"/>
    <w:rsid w:val="00AF1A40"/>
    <w:rsid w:val="00AF2CC6"/>
    <w:rsid w:val="00AF37F7"/>
    <w:rsid w:val="00AF4BF4"/>
    <w:rsid w:val="00AF551F"/>
    <w:rsid w:val="00AF6401"/>
    <w:rsid w:val="00B0025D"/>
    <w:rsid w:val="00B006D8"/>
    <w:rsid w:val="00B02238"/>
    <w:rsid w:val="00B03D35"/>
    <w:rsid w:val="00B05065"/>
    <w:rsid w:val="00B05194"/>
    <w:rsid w:val="00B05F42"/>
    <w:rsid w:val="00B0688D"/>
    <w:rsid w:val="00B06AA0"/>
    <w:rsid w:val="00B06B45"/>
    <w:rsid w:val="00B06D33"/>
    <w:rsid w:val="00B074B3"/>
    <w:rsid w:val="00B10AD8"/>
    <w:rsid w:val="00B13820"/>
    <w:rsid w:val="00B138C6"/>
    <w:rsid w:val="00B149B2"/>
    <w:rsid w:val="00B154B5"/>
    <w:rsid w:val="00B1664E"/>
    <w:rsid w:val="00B17303"/>
    <w:rsid w:val="00B1744E"/>
    <w:rsid w:val="00B17466"/>
    <w:rsid w:val="00B20833"/>
    <w:rsid w:val="00B21343"/>
    <w:rsid w:val="00B219AA"/>
    <w:rsid w:val="00B21A5B"/>
    <w:rsid w:val="00B221C7"/>
    <w:rsid w:val="00B25143"/>
    <w:rsid w:val="00B2585D"/>
    <w:rsid w:val="00B25962"/>
    <w:rsid w:val="00B266FA"/>
    <w:rsid w:val="00B269DF"/>
    <w:rsid w:val="00B26C40"/>
    <w:rsid w:val="00B26D82"/>
    <w:rsid w:val="00B27359"/>
    <w:rsid w:val="00B30BA2"/>
    <w:rsid w:val="00B31DDF"/>
    <w:rsid w:val="00B33FC2"/>
    <w:rsid w:val="00B3423E"/>
    <w:rsid w:val="00B347F1"/>
    <w:rsid w:val="00B34A99"/>
    <w:rsid w:val="00B3502B"/>
    <w:rsid w:val="00B35610"/>
    <w:rsid w:val="00B35755"/>
    <w:rsid w:val="00B35774"/>
    <w:rsid w:val="00B3599F"/>
    <w:rsid w:val="00B35C3E"/>
    <w:rsid w:val="00B36473"/>
    <w:rsid w:val="00B408FD"/>
    <w:rsid w:val="00B40BEA"/>
    <w:rsid w:val="00B40EC3"/>
    <w:rsid w:val="00B414C9"/>
    <w:rsid w:val="00B41D9D"/>
    <w:rsid w:val="00B44029"/>
    <w:rsid w:val="00B44FFA"/>
    <w:rsid w:val="00B45428"/>
    <w:rsid w:val="00B475CB"/>
    <w:rsid w:val="00B47943"/>
    <w:rsid w:val="00B50446"/>
    <w:rsid w:val="00B50A6E"/>
    <w:rsid w:val="00B512D2"/>
    <w:rsid w:val="00B527BF"/>
    <w:rsid w:val="00B52DC6"/>
    <w:rsid w:val="00B530FD"/>
    <w:rsid w:val="00B53920"/>
    <w:rsid w:val="00B53C03"/>
    <w:rsid w:val="00B53C9C"/>
    <w:rsid w:val="00B54B68"/>
    <w:rsid w:val="00B54C45"/>
    <w:rsid w:val="00B558FE"/>
    <w:rsid w:val="00B56396"/>
    <w:rsid w:val="00B5639B"/>
    <w:rsid w:val="00B60A84"/>
    <w:rsid w:val="00B60C3E"/>
    <w:rsid w:val="00B615CB"/>
    <w:rsid w:val="00B62022"/>
    <w:rsid w:val="00B6280B"/>
    <w:rsid w:val="00B63E30"/>
    <w:rsid w:val="00B645FA"/>
    <w:rsid w:val="00B64775"/>
    <w:rsid w:val="00B657AB"/>
    <w:rsid w:val="00B65AF9"/>
    <w:rsid w:val="00B663CD"/>
    <w:rsid w:val="00B67B4F"/>
    <w:rsid w:val="00B702CD"/>
    <w:rsid w:val="00B703A1"/>
    <w:rsid w:val="00B708C3"/>
    <w:rsid w:val="00B74D6E"/>
    <w:rsid w:val="00B763BE"/>
    <w:rsid w:val="00B777E9"/>
    <w:rsid w:val="00B77BB8"/>
    <w:rsid w:val="00B800EC"/>
    <w:rsid w:val="00B80354"/>
    <w:rsid w:val="00B81718"/>
    <w:rsid w:val="00B85A97"/>
    <w:rsid w:val="00B86278"/>
    <w:rsid w:val="00B86AF6"/>
    <w:rsid w:val="00B86E2A"/>
    <w:rsid w:val="00B877AA"/>
    <w:rsid w:val="00B87967"/>
    <w:rsid w:val="00B909E7"/>
    <w:rsid w:val="00B9389E"/>
    <w:rsid w:val="00B938DE"/>
    <w:rsid w:val="00B94EB5"/>
    <w:rsid w:val="00B956D9"/>
    <w:rsid w:val="00B96EA4"/>
    <w:rsid w:val="00B97282"/>
    <w:rsid w:val="00B97A3E"/>
    <w:rsid w:val="00BA21DC"/>
    <w:rsid w:val="00BA2F02"/>
    <w:rsid w:val="00BA2FFD"/>
    <w:rsid w:val="00BA3492"/>
    <w:rsid w:val="00BA428A"/>
    <w:rsid w:val="00BA5023"/>
    <w:rsid w:val="00BA5365"/>
    <w:rsid w:val="00BA5889"/>
    <w:rsid w:val="00BA58B6"/>
    <w:rsid w:val="00BA62AD"/>
    <w:rsid w:val="00BA6DBD"/>
    <w:rsid w:val="00BB0267"/>
    <w:rsid w:val="00BB078B"/>
    <w:rsid w:val="00BB0E0C"/>
    <w:rsid w:val="00BB2D6B"/>
    <w:rsid w:val="00BB37AF"/>
    <w:rsid w:val="00BB4349"/>
    <w:rsid w:val="00BB4769"/>
    <w:rsid w:val="00BB4C08"/>
    <w:rsid w:val="00BB543C"/>
    <w:rsid w:val="00BB61BE"/>
    <w:rsid w:val="00BB6AC3"/>
    <w:rsid w:val="00BB779D"/>
    <w:rsid w:val="00BC050A"/>
    <w:rsid w:val="00BC1866"/>
    <w:rsid w:val="00BC1DBD"/>
    <w:rsid w:val="00BC2414"/>
    <w:rsid w:val="00BC322A"/>
    <w:rsid w:val="00BC5092"/>
    <w:rsid w:val="00BC526B"/>
    <w:rsid w:val="00BC5737"/>
    <w:rsid w:val="00BC65A7"/>
    <w:rsid w:val="00BD16D2"/>
    <w:rsid w:val="00BD1747"/>
    <w:rsid w:val="00BD3C68"/>
    <w:rsid w:val="00BD421D"/>
    <w:rsid w:val="00BD4493"/>
    <w:rsid w:val="00BD5052"/>
    <w:rsid w:val="00BD6B87"/>
    <w:rsid w:val="00BD6FD8"/>
    <w:rsid w:val="00BD73FC"/>
    <w:rsid w:val="00BD79B1"/>
    <w:rsid w:val="00BD7FF4"/>
    <w:rsid w:val="00BE04D9"/>
    <w:rsid w:val="00BE08EF"/>
    <w:rsid w:val="00BE0BCC"/>
    <w:rsid w:val="00BE4614"/>
    <w:rsid w:val="00BE4E6F"/>
    <w:rsid w:val="00BE5100"/>
    <w:rsid w:val="00BE529D"/>
    <w:rsid w:val="00BE53DD"/>
    <w:rsid w:val="00BE573E"/>
    <w:rsid w:val="00BE6584"/>
    <w:rsid w:val="00BE6637"/>
    <w:rsid w:val="00BE749B"/>
    <w:rsid w:val="00BE7D8D"/>
    <w:rsid w:val="00BF0A16"/>
    <w:rsid w:val="00BF0CD3"/>
    <w:rsid w:val="00BF10E8"/>
    <w:rsid w:val="00BF2033"/>
    <w:rsid w:val="00BF3158"/>
    <w:rsid w:val="00BF3169"/>
    <w:rsid w:val="00BF51B7"/>
    <w:rsid w:val="00BF56BE"/>
    <w:rsid w:val="00BF6109"/>
    <w:rsid w:val="00BF67F5"/>
    <w:rsid w:val="00BF706F"/>
    <w:rsid w:val="00C00953"/>
    <w:rsid w:val="00C00F38"/>
    <w:rsid w:val="00C0314D"/>
    <w:rsid w:val="00C03312"/>
    <w:rsid w:val="00C03532"/>
    <w:rsid w:val="00C039A5"/>
    <w:rsid w:val="00C03A04"/>
    <w:rsid w:val="00C03C67"/>
    <w:rsid w:val="00C046F7"/>
    <w:rsid w:val="00C064FE"/>
    <w:rsid w:val="00C066AB"/>
    <w:rsid w:val="00C06EA1"/>
    <w:rsid w:val="00C10C0B"/>
    <w:rsid w:val="00C10DD5"/>
    <w:rsid w:val="00C11F76"/>
    <w:rsid w:val="00C12989"/>
    <w:rsid w:val="00C14D9F"/>
    <w:rsid w:val="00C15533"/>
    <w:rsid w:val="00C15A27"/>
    <w:rsid w:val="00C15FEF"/>
    <w:rsid w:val="00C165A1"/>
    <w:rsid w:val="00C1776A"/>
    <w:rsid w:val="00C20301"/>
    <w:rsid w:val="00C20BBA"/>
    <w:rsid w:val="00C20FFB"/>
    <w:rsid w:val="00C22519"/>
    <w:rsid w:val="00C22F12"/>
    <w:rsid w:val="00C2305C"/>
    <w:rsid w:val="00C233D0"/>
    <w:rsid w:val="00C2380D"/>
    <w:rsid w:val="00C2403B"/>
    <w:rsid w:val="00C24162"/>
    <w:rsid w:val="00C24E78"/>
    <w:rsid w:val="00C2509D"/>
    <w:rsid w:val="00C25373"/>
    <w:rsid w:val="00C2796E"/>
    <w:rsid w:val="00C27A2E"/>
    <w:rsid w:val="00C302BD"/>
    <w:rsid w:val="00C34ABD"/>
    <w:rsid w:val="00C353CF"/>
    <w:rsid w:val="00C35F43"/>
    <w:rsid w:val="00C363A9"/>
    <w:rsid w:val="00C3658D"/>
    <w:rsid w:val="00C36C55"/>
    <w:rsid w:val="00C37088"/>
    <w:rsid w:val="00C3715E"/>
    <w:rsid w:val="00C3770A"/>
    <w:rsid w:val="00C408C2"/>
    <w:rsid w:val="00C408D5"/>
    <w:rsid w:val="00C40ADC"/>
    <w:rsid w:val="00C40B77"/>
    <w:rsid w:val="00C41D3C"/>
    <w:rsid w:val="00C43801"/>
    <w:rsid w:val="00C43CD1"/>
    <w:rsid w:val="00C44A07"/>
    <w:rsid w:val="00C44BDC"/>
    <w:rsid w:val="00C45BFB"/>
    <w:rsid w:val="00C45DCE"/>
    <w:rsid w:val="00C46085"/>
    <w:rsid w:val="00C469DE"/>
    <w:rsid w:val="00C46D15"/>
    <w:rsid w:val="00C50C7D"/>
    <w:rsid w:val="00C50FF9"/>
    <w:rsid w:val="00C54B14"/>
    <w:rsid w:val="00C6352A"/>
    <w:rsid w:val="00C64566"/>
    <w:rsid w:val="00C64E1A"/>
    <w:rsid w:val="00C65B2D"/>
    <w:rsid w:val="00C65C5D"/>
    <w:rsid w:val="00C65DA0"/>
    <w:rsid w:val="00C6656A"/>
    <w:rsid w:val="00C66C03"/>
    <w:rsid w:val="00C711E5"/>
    <w:rsid w:val="00C730CB"/>
    <w:rsid w:val="00C731FC"/>
    <w:rsid w:val="00C73782"/>
    <w:rsid w:val="00C74107"/>
    <w:rsid w:val="00C77084"/>
    <w:rsid w:val="00C8019C"/>
    <w:rsid w:val="00C80D90"/>
    <w:rsid w:val="00C81B05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806"/>
    <w:rsid w:val="00C90F10"/>
    <w:rsid w:val="00C9133D"/>
    <w:rsid w:val="00C9183A"/>
    <w:rsid w:val="00C92840"/>
    <w:rsid w:val="00C934E0"/>
    <w:rsid w:val="00C94A2F"/>
    <w:rsid w:val="00C958A5"/>
    <w:rsid w:val="00C961CA"/>
    <w:rsid w:val="00C96454"/>
    <w:rsid w:val="00CA08DA"/>
    <w:rsid w:val="00CA0FB8"/>
    <w:rsid w:val="00CA15F3"/>
    <w:rsid w:val="00CA2680"/>
    <w:rsid w:val="00CA4D23"/>
    <w:rsid w:val="00CA522F"/>
    <w:rsid w:val="00CA6716"/>
    <w:rsid w:val="00CA7FB2"/>
    <w:rsid w:val="00CB036A"/>
    <w:rsid w:val="00CB0D34"/>
    <w:rsid w:val="00CB2524"/>
    <w:rsid w:val="00CB3818"/>
    <w:rsid w:val="00CB5559"/>
    <w:rsid w:val="00CB79F7"/>
    <w:rsid w:val="00CC0C22"/>
    <w:rsid w:val="00CC18C0"/>
    <w:rsid w:val="00CC1939"/>
    <w:rsid w:val="00CC23EB"/>
    <w:rsid w:val="00CC42D4"/>
    <w:rsid w:val="00CC4364"/>
    <w:rsid w:val="00CC5530"/>
    <w:rsid w:val="00CC64E3"/>
    <w:rsid w:val="00CC7712"/>
    <w:rsid w:val="00CC774A"/>
    <w:rsid w:val="00CD179A"/>
    <w:rsid w:val="00CD2030"/>
    <w:rsid w:val="00CD2536"/>
    <w:rsid w:val="00CD407F"/>
    <w:rsid w:val="00CD5740"/>
    <w:rsid w:val="00CD7420"/>
    <w:rsid w:val="00CE0BA7"/>
    <w:rsid w:val="00CE2FAA"/>
    <w:rsid w:val="00CE354C"/>
    <w:rsid w:val="00CE36EF"/>
    <w:rsid w:val="00CE3FC3"/>
    <w:rsid w:val="00CE552B"/>
    <w:rsid w:val="00CE6ACB"/>
    <w:rsid w:val="00CE6D09"/>
    <w:rsid w:val="00CE7375"/>
    <w:rsid w:val="00CF0E4D"/>
    <w:rsid w:val="00CF0FB5"/>
    <w:rsid w:val="00CF19C6"/>
    <w:rsid w:val="00CF230D"/>
    <w:rsid w:val="00CF26A6"/>
    <w:rsid w:val="00CF2A98"/>
    <w:rsid w:val="00CF5489"/>
    <w:rsid w:val="00CF68B5"/>
    <w:rsid w:val="00CF7615"/>
    <w:rsid w:val="00CF7823"/>
    <w:rsid w:val="00D003F8"/>
    <w:rsid w:val="00D0052C"/>
    <w:rsid w:val="00D01540"/>
    <w:rsid w:val="00D01591"/>
    <w:rsid w:val="00D01AFE"/>
    <w:rsid w:val="00D01ECB"/>
    <w:rsid w:val="00D02757"/>
    <w:rsid w:val="00D02FB7"/>
    <w:rsid w:val="00D037B6"/>
    <w:rsid w:val="00D04613"/>
    <w:rsid w:val="00D05C77"/>
    <w:rsid w:val="00D07739"/>
    <w:rsid w:val="00D10769"/>
    <w:rsid w:val="00D11642"/>
    <w:rsid w:val="00D116C7"/>
    <w:rsid w:val="00D13459"/>
    <w:rsid w:val="00D13AC5"/>
    <w:rsid w:val="00D14E5F"/>
    <w:rsid w:val="00D14FB2"/>
    <w:rsid w:val="00D16754"/>
    <w:rsid w:val="00D17548"/>
    <w:rsid w:val="00D17604"/>
    <w:rsid w:val="00D17CC6"/>
    <w:rsid w:val="00D2041E"/>
    <w:rsid w:val="00D20454"/>
    <w:rsid w:val="00D20D10"/>
    <w:rsid w:val="00D23801"/>
    <w:rsid w:val="00D25AEC"/>
    <w:rsid w:val="00D25B2F"/>
    <w:rsid w:val="00D27E9B"/>
    <w:rsid w:val="00D3037E"/>
    <w:rsid w:val="00D305AC"/>
    <w:rsid w:val="00D308C1"/>
    <w:rsid w:val="00D32074"/>
    <w:rsid w:val="00D32376"/>
    <w:rsid w:val="00D326DD"/>
    <w:rsid w:val="00D33DBD"/>
    <w:rsid w:val="00D341C9"/>
    <w:rsid w:val="00D3447D"/>
    <w:rsid w:val="00D3488B"/>
    <w:rsid w:val="00D35F32"/>
    <w:rsid w:val="00D361DE"/>
    <w:rsid w:val="00D36680"/>
    <w:rsid w:val="00D37212"/>
    <w:rsid w:val="00D37427"/>
    <w:rsid w:val="00D3793E"/>
    <w:rsid w:val="00D37E78"/>
    <w:rsid w:val="00D37FB2"/>
    <w:rsid w:val="00D404C7"/>
    <w:rsid w:val="00D4065D"/>
    <w:rsid w:val="00D407A5"/>
    <w:rsid w:val="00D41A6A"/>
    <w:rsid w:val="00D4233A"/>
    <w:rsid w:val="00D4334E"/>
    <w:rsid w:val="00D4398D"/>
    <w:rsid w:val="00D44B3D"/>
    <w:rsid w:val="00D46787"/>
    <w:rsid w:val="00D46C4C"/>
    <w:rsid w:val="00D506CF"/>
    <w:rsid w:val="00D51F18"/>
    <w:rsid w:val="00D52DA3"/>
    <w:rsid w:val="00D52E5A"/>
    <w:rsid w:val="00D53537"/>
    <w:rsid w:val="00D54E9E"/>
    <w:rsid w:val="00D551C8"/>
    <w:rsid w:val="00D55972"/>
    <w:rsid w:val="00D564BB"/>
    <w:rsid w:val="00D565FA"/>
    <w:rsid w:val="00D5674B"/>
    <w:rsid w:val="00D56758"/>
    <w:rsid w:val="00D568ED"/>
    <w:rsid w:val="00D56BF9"/>
    <w:rsid w:val="00D56E3F"/>
    <w:rsid w:val="00D571B4"/>
    <w:rsid w:val="00D6014E"/>
    <w:rsid w:val="00D6190A"/>
    <w:rsid w:val="00D630E7"/>
    <w:rsid w:val="00D6311D"/>
    <w:rsid w:val="00D640BA"/>
    <w:rsid w:val="00D64C56"/>
    <w:rsid w:val="00D66F17"/>
    <w:rsid w:val="00D700E5"/>
    <w:rsid w:val="00D70900"/>
    <w:rsid w:val="00D71B77"/>
    <w:rsid w:val="00D74A87"/>
    <w:rsid w:val="00D75CE3"/>
    <w:rsid w:val="00D76186"/>
    <w:rsid w:val="00D771E9"/>
    <w:rsid w:val="00D817F1"/>
    <w:rsid w:val="00D818C9"/>
    <w:rsid w:val="00D85AFB"/>
    <w:rsid w:val="00D86C20"/>
    <w:rsid w:val="00D86DD4"/>
    <w:rsid w:val="00D909BB"/>
    <w:rsid w:val="00D90EE6"/>
    <w:rsid w:val="00D92529"/>
    <w:rsid w:val="00DA1613"/>
    <w:rsid w:val="00DA330A"/>
    <w:rsid w:val="00DA5AAB"/>
    <w:rsid w:val="00DA671A"/>
    <w:rsid w:val="00DA67F4"/>
    <w:rsid w:val="00DA6858"/>
    <w:rsid w:val="00DA7CBB"/>
    <w:rsid w:val="00DB08FA"/>
    <w:rsid w:val="00DB1CD7"/>
    <w:rsid w:val="00DB2086"/>
    <w:rsid w:val="00DB2651"/>
    <w:rsid w:val="00DB30B1"/>
    <w:rsid w:val="00DB31FF"/>
    <w:rsid w:val="00DB365A"/>
    <w:rsid w:val="00DB37A7"/>
    <w:rsid w:val="00DB3B63"/>
    <w:rsid w:val="00DB3ECD"/>
    <w:rsid w:val="00DB4717"/>
    <w:rsid w:val="00DB79D5"/>
    <w:rsid w:val="00DC0F8C"/>
    <w:rsid w:val="00DC12C8"/>
    <w:rsid w:val="00DC6AB5"/>
    <w:rsid w:val="00DC6F31"/>
    <w:rsid w:val="00DC7004"/>
    <w:rsid w:val="00DC7FFD"/>
    <w:rsid w:val="00DD0277"/>
    <w:rsid w:val="00DD1B11"/>
    <w:rsid w:val="00DD1B33"/>
    <w:rsid w:val="00DD231C"/>
    <w:rsid w:val="00DD686D"/>
    <w:rsid w:val="00DD6D82"/>
    <w:rsid w:val="00DD71A8"/>
    <w:rsid w:val="00DE045E"/>
    <w:rsid w:val="00DE1240"/>
    <w:rsid w:val="00DE1AA5"/>
    <w:rsid w:val="00DE231A"/>
    <w:rsid w:val="00DE23D6"/>
    <w:rsid w:val="00DE2825"/>
    <w:rsid w:val="00DE29B9"/>
    <w:rsid w:val="00DE2CB6"/>
    <w:rsid w:val="00DE2DDE"/>
    <w:rsid w:val="00DE395F"/>
    <w:rsid w:val="00DE5414"/>
    <w:rsid w:val="00DE5BAE"/>
    <w:rsid w:val="00DE6B47"/>
    <w:rsid w:val="00DE7566"/>
    <w:rsid w:val="00DE7E46"/>
    <w:rsid w:val="00DF066D"/>
    <w:rsid w:val="00DF0C37"/>
    <w:rsid w:val="00DF24FD"/>
    <w:rsid w:val="00DF2506"/>
    <w:rsid w:val="00DF2F26"/>
    <w:rsid w:val="00DF301A"/>
    <w:rsid w:val="00DF3469"/>
    <w:rsid w:val="00DF3BE2"/>
    <w:rsid w:val="00DF4E2C"/>
    <w:rsid w:val="00DF4E34"/>
    <w:rsid w:val="00DF5A5A"/>
    <w:rsid w:val="00DF5ACC"/>
    <w:rsid w:val="00DF6A93"/>
    <w:rsid w:val="00DF75EC"/>
    <w:rsid w:val="00E0133D"/>
    <w:rsid w:val="00E0199E"/>
    <w:rsid w:val="00E019ED"/>
    <w:rsid w:val="00E01B31"/>
    <w:rsid w:val="00E02392"/>
    <w:rsid w:val="00E0312F"/>
    <w:rsid w:val="00E04C48"/>
    <w:rsid w:val="00E05C97"/>
    <w:rsid w:val="00E05DA6"/>
    <w:rsid w:val="00E06065"/>
    <w:rsid w:val="00E07901"/>
    <w:rsid w:val="00E079C6"/>
    <w:rsid w:val="00E11756"/>
    <w:rsid w:val="00E11C3D"/>
    <w:rsid w:val="00E1273C"/>
    <w:rsid w:val="00E1434A"/>
    <w:rsid w:val="00E146CF"/>
    <w:rsid w:val="00E14BED"/>
    <w:rsid w:val="00E163A5"/>
    <w:rsid w:val="00E17711"/>
    <w:rsid w:val="00E17F53"/>
    <w:rsid w:val="00E21745"/>
    <w:rsid w:val="00E23C05"/>
    <w:rsid w:val="00E2425F"/>
    <w:rsid w:val="00E242F0"/>
    <w:rsid w:val="00E245B0"/>
    <w:rsid w:val="00E2461C"/>
    <w:rsid w:val="00E247E2"/>
    <w:rsid w:val="00E27D32"/>
    <w:rsid w:val="00E27F00"/>
    <w:rsid w:val="00E30431"/>
    <w:rsid w:val="00E304EB"/>
    <w:rsid w:val="00E329D0"/>
    <w:rsid w:val="00E330AD"/>
    <w:rsid w:val="00E33746"/>
    <w:rsid w:val="00E342B3"/>
    <w:rsid w:val="00E34408"/>
    <w:rsid w:val="00E3451F"/>
    <w:rsid w:val="00E3456A"/>
    <w:rsid w:val="00E34B80"/>
    <w:rsid w:val="00E36ADF"/>
    <w:rsid w:val="00E36B53"/>
    <w:rsid w:val="00E374D1"/>
    <w:rsid w:val="00E37585"/>
    <w:rsid w:val="00E40353"/>
    <w:rsid w:val="00E41B64"/>
    <w:rsid w:val="00E42C35"/>
    <w:rsid w:val="00E43E70"/>
    <w:rsid w:val="00E447E8"/>
    <w:rsid w:val="00E469D5"/>
    <w:rsid w:val="00E46CD5"/>
    <w:rsid w:val="00E500D9"/>
    <w:rsid w:val="00E50145"/>
    <w:rsid w:val="00E51AB5"/>
    <w:rsid w:val="00E51DFD"/>
    <w:rsid w:val="00E52345"/>
    <w:rsid w:val="00E52763"/>
    <w:rsid w:val="00E53EF0"/>
    <w:rsid w:val="00E541C7"/>
    <w:rsid w:val="00E544F2"/>
    <w:rsid w:val="00E563AE"/>
    <w:rsid w:val="00E57B52"/>
    <w:rsid w:val="00E61028"/>
    <w:rsid w:val="00E638B2"/>
    <w:rsid w:val="00E6514E"/>
    <w:rsid w:val="00E65B70"/>
    <w:rsid w:val="00E662CD"/>
    <w:rsid w:val="00E67427"/>
    <w:rsid w:val="00E676F1"/>
    <w:rsid w:val="00E715BA"/>
    <w:rsid w:val="00E72398"/>
    <w:rsid w:val="00E73271"/>
    <w:rsid w:val="00E735DA"/>
    <w:rsid w:val="00E74214"/>
    <w:rsid w:val="00E74762"/>
    <w:rsid w:val="00E74D52"/>
    <w:rsid w:val="00E75855"/>
    <w:rsid w:val="00E75BC6"/>
    <w:rsid w:val="00E7609C"/>
    <w:rsid w:val="00E8037A"/>
    <w:rsid w:val="00E82556"/>
    <w:rsid w:val="00E85CBE"/>
    <w:rsid w:val="00E86566"/>
    <w:rsid w:val="00E875F5"/>
    <w:rsid w:val="00E92527"/>
    <w:rsid w:val="00E92A93"/>
    <w:rsid w:val="00E93620"/>
    <w:rsid w:val="00E959A0"/>
    <w:rsid w:val="00E97045"/>
    <w:rsid w:val="00E97DA3"/>
    <w:rsid w:val="00EA134B"/>
    <w:rsid w:val="00EA270C"/>
    <w:rsid w:val="00EA3185"/>
    <w:rsid w:val="00EA36EA"/>
    <w:rsid w:val="00EA466B"/>
    <w:rsid w:val="00EA5B33"/>
    <w:rsid w:val="00EA5C69"/>
    <w:rsid w:val="00EA5CB5"/>
    <w:rsid w:val="00EA5CF4"/>
    <w:rsid w:val="00EA72FC"/>
    <w:rsid w:val="00EA7A6C"/>
    <w:rsid w:val="00EB09B9"/>
    <w:rsid w:val="00EB3C52"/>
    <w:rsid w:val="00EB6B43"/>
    <w:rsid w:val="00EB76F7"/>
    <w:rsid w:val="00EB7CB1"/>
    <w:rsid w:val="00EC0569"/>
    <w:rsid w:val="00EC0C7B"/>
    <w:rsid w:val="00EC1C35"/>
    <w:rsid w:val="00EC1F63"/>
    <w:rsid w:val="00EC59E5"/>
    <w:rsid w:val="00EC5E45"/>
    <w:rsid w:val="00EC608C"/>
    <w:rsid w:val="00EC61C2"/>
    <w:rsid w:val="00ED0557"/>
    <w:rsid w:val="00ED0CF0"/>
    <w:rsid w:val="00ED34D4"/>
    <w:rsid w:val="00ED3D84"/>
    <w:rsid w:val="00ED40FF"/>
    <w:rsid w:val="00ED42FF"/>
    <w:rsid w:val="00ED5E6C"/>
    <w:rsid w:val="00ED766C"/>
    <w:rsid w:val="00ED76FB"/>
    <w:rsid w:val="00EE05C2"/>
    <w:rsid w:val="00EE0D01"/>
    <w:rsid w:val="00EE28F6"/>
    <w:rsid w:val="00EE30EE"/>
    <w:rsid w:val="00EE3C6D"/>
    <w:rsid w:val="00EE48D0"/>
    <w:rsid w:val="00EE4C6E"/>
    <w:rsid w:val="00EE5135"/>
    <w:rsid w:val="00EE526A"/>
    <w:rsid w:val="00EE558C"/>
    <w:rsid w:val="00EE61BE"/>
    <w:rsid w:val="00EE6DE6"/>
    <w:rsid w:val="00EF057C"/>
    <w:rsid w:val="00EF1D14"/>
    <w:rsid w:val="00EF27D0"/>
    <w:rsid w:val="00EF4107"/>
    <w:rsid w:val="00EF4715"/>
    <w:rsid w:val="00EF4FEE"/>
    <w:rsid w:val="00EF6873"/>
    <w:rsid w:val="00EF6F24"/>
    <w:rsid w:val="00EF7143"/>
    <w:rsid w:val="00F0080B"/>
    <w:rsid w:val="00F00BE1"/>
    <w:rsid w:val="00F014BE"/>
    <w:rsid w:val="00F01B31"/>
    <w:rsid w:val="00F027B0"/>
    <w:rsid w:val="00F03AB9"/>
    <w:rsid w:val="00F03CF7"/>
    <w:rsid w:val="00F03F4E"/>
    <w:rsid w:val="00F0439A"/>
    <w:rsid w:val="00F06479"/>
    <w:rsid w:val="00F06B29"/>
    <w:rsid w:val="00F076C5"/>
    <w:rsid w:val="00F10B0A"/>
    <w:rsid w:val="00F120D9"/>
    <w:rsid w:val="00F124BE"/>
    <w:rsid w:val="00F125DE"/>
    <w:rsid w:val="00F12A9F"/>
    <w:rsid w:val="00F1433F"/>
    <w:rsid w:val="00F148FE"/>
    <w:rsid w:val="00F14C13"/>
    <w:rsid w:val="00F2254A"/>
    <w:rsid w:val="00F22EDB"/>
    <w:rsid w:val="00F24232"/>
    <w:rsid w:val="00F25222"/>
    <w:rsid w:val="00F2526C"/>
    <w:rsid w:val="00F27170"/>
    <w:rsid w:val="00F27B2F"/>
    <w:rsid w:val="00F30016"/>
    <w:rsid w:val="00F30CE5"/>
    <w:rsid w:val="00F3144A"/>
    <w:rsid w:val="00F31C75"/>
    <w:rsid w:val="00F32543"/>
    <w:rsid w:val="00F33277"/>
    <w:rsid w:val="00F339D7"/>
    <w:rsid w:val="00F33CE0"/>
    <w:rsid w:val="00F340CD"/>
    <w:rsid w:val="00F341CC"/>
    <w:rsid w:val="00F34375"/>
    <w:rsid w:val="00F34E67"/>
    <w:rsid w:val="00F3582B"/>
    <w:rsid w:val="00F36B6C"/>
    <w:rsid w:val="00F36D10"/>
    <w:rsid w:val="00F40CAB"/>
    <w:rsid w:val="00F41DDA"/>
    <w:rsid w:val="00F41FB3"/>
    <w:rsid w:val="00F4352E"/>
    <w:rsid w:val="00F43960"/>
    <w:rsid w:val="00F43A9B"/>
    <w:rsid w:val="00F43C3C"/>
    <w:rsid w:val="00F459C7"/>
    <w:rsid w:val="00F45D8C"/>
    <w:rsid w:val="00F47C5C"/>
    <w:rsid w:val="00F50173"/>
    <w:rsid w:val="00F53166"/>
    <w:rsid w:val="00F54856"/>
    <w:rsid w:val="00F55337"/>
    <w:rsid w:val="00F5565E"/>
    <w:rsid w:val="00F55D35"/>
    <w:rsid w:val="00F56AF3"/>
    <w:rsid w:val="00F56CB9"/>
    <w:rsid w:val="00F57650"/>
    <w:rsid w:val="00F579FC"/>
    <w:rsid w:val="00F6089D"/>
    <w:rsid w:val="00F60C74"/>
    <w:rsid w:val="00F61841"/>
    <w:rsid w:val="00F6257F"/>
    <w:rsid w:val="00F62773"/>
    <w:rsid w:val="00F62FE5"/>
    <w:rsid w:val="00F64DD3"/>
    <w:rsid w:val="00F64F51"/>
    <w:rsid w:val="00F66122"/>
    <w:rsid w:val="00F666FD"/>
    <w:rsid w:val="00F67099"/>
    <w:rsid w:val="00F67A35"/>
    <w:rsid w:val="00F70139"/>
    <w:rsid w:val="00F72620"/>
    <w:rsid w:val="00F759AD"/>
    <w:rsid w:val="00F765E8"/>
    <w:rsid w:val="00F775FA"/>
    <w:rsid w:val="00F7768D"/>
    <w:rsid w:val="00F8200C"/>
    <w:rsid w:val="00F85D77"/>
    <w:rsid w:val="00F86D88"/>
    <w:rsid w:val="00F87FA7"/>
    <w:rsid w:val="00F90898"/>
    <w:rsid w:val="00F914C8"/>
    <w:rsid w:val="00F914EA"/>
    <w:rsid w:val="00F92853"/>
    <w:rsid w:val="00F92EAE"/>
    <w:rsid w:val="00F9473C"/>
    <w:rsid w:val="00FA0942"/>
    <w:rsid w:val="00FA40A3"/>
    <w:rsid w:val="00FA45CD"/>
    <w:rsid w:val="00FA5B17"/>
    <w:rsid w:val="00FB301E"/>
    <w:rsid w:val="00FB33FA"/>
    <w:rsid w:val="00FB3BA6"/>
    <w:rsid w:val="00FB4D65"/>
    <w:rsid w:val="00FB5954"/>
    <w:rsid w:val="00FB6695"/>
    <w:rsid w:val="00FC0253"/>
    <w:rsid w:val="00FC0CDF"/>
    <w:rsid w:val="00FC0D7C"/>
    <w:rsid w:val="00FC163A"/>
    <w:rsid w:val="00FC183A"/>
    <w:rsid w:val="00FC19F5"/>
    <w:rsid w:val="00FC3D1C"/>
    <w:rsid w:val="00FC5F90"/>
    <w:rsid w:val="00FC64F3"/>
    <w:rsid w:val="00FD08A7"/>
    <w:rsid w:val="00FD1295"/>
    <w:rsid w:val="00FD2E55"/>
    <w:rsid w:val="00FD2FA9"/>
    <w:rsid w:val="00FD3572"/>
    <w:rsid w:val="00FD510B"/>
    <w:rsid w:val="00FD5360"/>
    <w:rsid w:val="00FD544F"/>
    <w:rsid w:val="00FD54CC"/>
    <w:rsid w:val="00FD6E0A"/>
    <w:rsid w:val="00FE06A2"/>
    <w:rsid w:val="00FE0CE6"/>
    <w:rsid w:val="00FE28C8"/>
    <w:rsid w:val="00FE2C3A"/>
    <w:rsid w:val="00FE452D"/>
    <w:rsid w:val="00FE4CFC"/>
    <w:rsid w:val="00FE79EF"/>
    <w:rsid w:val="00FF025A"/>
    <w:rsid w:val="00FF088B"/>
    <w:rsid w:val="00FF0AC4"/>
    <w:rsid w:val="00FF10AF"/>
    <w:rsid w:val="00FF1304"/>
    <w:rsid w:val="00FF208B"/>
    <w:rsid w:val="00FF23FB"/>
    <w:rsid w:val="00FF334E"/>
    <w:rsid w:val="00FF394B"/>
    <w:rsid w:val="00FF4604"/>
    <w:rsid w:val="00FF4C00"/>
    <w:rsid w:val="00FF5EB9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9987EC2-3967-4421-9157-87A695C8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uiPriority w:val="99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uiPriority w:val="99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Titdocumento">
    <w:name w:val="#Tit_documento"/>
    <w:basedOn w:val="Normal"/>
    <w:rsid w:val="00C15533"/>
    <w:pPr>
      <w:spacing w:before="240" w:after="240"/>
      <w:ind w:left="0"/>
      <w:jc w:val="center"/>
    </w:pPr>
    <w:rPr>
      <w:rFonts w:eastAsia="Times New Roman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1C80-687F-4AA4-8F4D-28CAF4A2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2547</Words>
  <Characters>13755</Characters>
  <Application>Microsoft Office Word</Application>
  <DocSecurity>4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16270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2012-02-23T19:18:00Z</cp:lastPrinted>
  <dcterms:created xsi:type="dcterms:W3CDTF">2015-05-07T12:44:00Z</dcterms:created>
  <dcterms:modified xsi:type="dcterms:W3CDTF">2015-05-07T12:44:00Z</dcterms:modified>
</cp:coreProperties>
</file>