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453555"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453555">
        <w:rPr>
          <w:rFonts w:ascii="Times New Roman" w:hAnsi="Times New Roman"/>
          <w:b/>
          <w:i w:val="0"/>
          <w:color w:val="000000"/>
          <w:sz w:val="22"/>
          <w:szCs w:val="22"/>
        </w:rPr>
        <w:t>Sess</w:t>
      </w:r>
      <w:r w:rsidR="00F41FB3" w:rsidRPr="00453555">
        <w:rPr>
          <w:rFonts w:ascii="Times New Roman" w:hAnsi="Times New Roman"/>
          <w:b/>
          <w:i w:val="0"/>
          <w:color w:val="000000"/>
          <w:sz w:val="22"/>
          <w:szCs w:val="22"/>
        </w:rPr>
        <w:t>ões</w:t>
      </w:r>
      <w:r w:rsidRPr="00453555">
        <w:rPr>
          <w:rFonts w:ascii="Times New Roman" w:hAnsi="Times New Roman"/>
          <w:b/>
          <w:i w:val="0"/>
          <w:color w:val="000000"/>
          <w:sz w:val="22"/>
          <w:szCs w:val="22"/>
        </w:rPr>
        <w:t>:</w:t>
      </w:r>
      <w:r w:rsidR="00531DD5">
        <w:rPr>
          <w:rFonts w:ascii="Times New Roman" w:hAnsi="Times New Roman"/>
          <w:b/>
          <w:i w:val="0"/>
          <w:color w:val="000000"/>
          <w:sz w:val="22"/>
          <w:szCs w:val="22"/>
        </w:rPr>
        <w:t xml:space="preserve"> </w:t>
      </w:r>
      <w:r w:rsidR="00166D7E" w:rsidRPr="00453555">
        <w:rPr>
          <w:rFonts w:ascii="Times New Roman" w:hAnsi="Times New Roman"/>
          <w:b/>
          <w:i w:val="0"/>
          <w:color w:val="000000"/>
          <w:sz w:val="22"/>
          <w:szCs w:val="22"/>
        </w:rPr>
        <w:t>7</w:t>
      </w:r>
      <w:r w:rsidR="00531DD5">
        <w:rPr>
          <w:rFonts w:ascii="Times New Roman" w:hAnsi="Times New Roman"/>
          <w:b/>
          <w:i w:val="0"/>
          <w:color w:val="000000"/>
          <w:sz w:val="22"/>
          <w:szCs w:val="22"/>
        </w:rPr>
        <w:t xml:space="preserve"> </w:t>
      </w:r>
      <w:r w:rsidR="00166D7E" w:rsidRPr="00453555">
        <w:rPr>
          <w:rFonts w:ascii="Times New Roman" w:hAnsi="Times New Roman"/>
          <w:b/>
          <w:i w:val="0"/>
          <w:color w:val="000000"/>
          <w:sz w:val="22"/>
          <w:szCs w:val="22"/>
        </w:rPr>
        <w:t>e</w:t>
      </w:r>
      <w:r w:rsidR="00DD231C" w:rsidRPr="00453555">
        <w:rPr>
          <w:rFonts w:ascii="Times New Roman" w:hAnsi="Times New Roman"/>
          <w:b/>
          <w:i w:val="0"/>
          <w:color w:val="000000"/>
          <w:sz w:val="22"/>
          <w:szCs w:val="22"/>
        </w:rPr>
        <w:t xml:space="preserve"> </w:t>
      </w:r>
      <w:r w:rsidR="00166D7E" w:rsidRPr="00453555">
        <w:rPr>
          <w:rFonts w:ascii="Times New Roman" w:hAnsi="Times New Roman"/>
          <w:b/>
          <w:i w:val="0"/>
          <w:color w:val="000000"/>
          <w:sz w:val="22"/>
          <w:szCs w:val="22"/>
        </w:rPr>
        <w:t>8</w:t>
      </w:r>
      <w:r w:rsidR="00F41FB3" w:rsidRPr="00453555">
        <w:rPr>
          <w:rFonts w:ascii="Times New Roman" w:hAnsi="Times New Roman"/>
          <w:b/>
          <w:i w:val="0"/>
          <w:color w:val="000000"/>
          <w:sz w:val="22"/>
          <w:szCs w:val="22"/>
        </w:rPr>
        <w:t xml:space="preserve"> de fevereiro </w:t>
      </w:r>
      <w:r w:rsidRPr="00453555">
        <w:rPr>
          <w:rFonts w:ascii="Times New Roman" w:hAnsi="Times New Roman"/>
          <w:b/>
          <w:i w:val="0"/>
          <w:color w:val="000000"/>
          <w:sz w:val="22"/>
          <w:szCs w:val="22"/>
        </w:rPr>
        <w:t>de 201</w:t>
      </w:r>
      <w:r w:rsidR="00025753" w:rsidRPr="00453555">
        <w:rPr>
          <w:rFonts w:ascii="Times New Roman" w:hAnsi="Times New Roman"/>
          <w:b/>
          <w:i w:val="0"/>
          <w:color w:val="000000"/>
          <w:sz w:val="22"/>
          <w:szCs w:val="22"/>
        </w:rPr>
        <w:t>2</w:t>
      </w:r>
    </w:p>
    <w:p w:rsidR="002D35F5" w:rsidRPr="00453555" w:rsidRDefault="002D35F5" w:rsidP="00B408FD">
      <w:pPr>
        <w:pStyle w:val="Corpodetexto2"/>
        <w:spacing w:after="0" w:line="240" w:lineRule="auto"/>
        <w:ind w:left="0"/>
        <w:rPr>
          <w:sz w:val="22"/>
          <w:szCs w:val="22"/>
        </w:rPr>
      </w:pPr>
      <w:r w:rsidRPr="00453555">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453555" w:rsidRDefault="00FF7C62" w:rsidP="00B408FD">
      <w:pPr>
        <w:pStyle w:val="Corpodetexto2"/>
        <w:spacing w:after="0" w:line="240" w:lineRule="auto"/>
        <w:ind w:left="0"/>
        <w:rPr>
          <w:sz w:val="22"/>
          <w:szCs w:val="22"/>
        </w:rPr>
      </w:pPr>
    </w:p>
    <w:p w:rsidR="002D35F5" w:rsidRPr="00453555" w:rsidRDefault="002D35F5" w:rsidP="00C9003E">
      <w:pPr>
        <w:pBdr>
          <w:top w:val="threeDEmboss" w:sz="24" w:space="2" w:color="auto"/>
        </w:pBdr>
        <w:tabs>
          <w:tab w:val="left" w:pos="284"/>
        </w:tabs>
        <w:spacing w:before="60" w:after="0"/>
        <w:ind w:left="0"/>
        <w:jc w:val="center"/>
        <w:rPr>
          <w:b/>
          <w:bCs/>
          <w:smallCaps/>
          <w:sz w:val="22"/>
          <w:szCs w:val="22"/>
        </w:rPr>
      </w:pPr>
      <w:r w:rsidRPr="00453555">
        <w:rPr>
          <w:b/>
          <w:bCs/>
          <w:smallCaps/>
          <w:sz w:val="22"/>
          <w:szCs w:val="22"/>
        </w:rPr>
        <w:t>S</w:t>
      </w:r>
      <w:r w:rsidR="00FF7C62" w:rsidRPr="00453555">
        <w:rPr>
          <w:b/>
          <w:bCs/>
          <w:smallCaps/>
          <w:sz w:val="22"/>
          <w:szCs w:val="22"/>
        </w:rPr>
        <w:t>UMÁRIO</w:t>
      </w:r>
    </w:p>
    <w:p w:rsidR="00166D7E" w:rsidRPr="00DE6B47" w:rsidRDefault="00166D7E" w:rsidP="00DE6B47">
      <w:pPr>
        <w:pStyle w:val="tita"/>
        <w:tabs>
          <w:tab w:val="left" w:pos="2590"/>
        </w:tabs>
        <w:spacing w:before="300" w:after="0" w:line="240" w:lineRule="auto"/>
        <w:jc w:val="both"/>
        <w:rPr>
          <w:i w:val="0"/>
          <w:iCs w:val="0"/>
          <w:sz w:val="22"/>
          <w:szCs w:val="22"/>
        </w:rPr>
      </w:pPr>
      <w:r w:rsidRPr="00DE6B47">
        <w:rPr>
          <w:i w:val="0"/>
          <w:iCs w:val="0"/>
          <w:sz w:val="22"/>
          <w:szCs w:val="22"/>
        </w:rPr>
        <w:t>Segunda Câm</w:t>
      </w:r>
      <w:r w:rsidR="00031590" w:rsidRPr="00DE6B47">
        <w:rPr>
          <w:i w:val="0"/>
          <w:iCs w:val="0"/>
          <w:sz w:val="22"/>
          <w:szCs w:val="22"/>
        </w:rPr>
        <w:t>a</w:t>
      </w:r>
      <w:r w:rsidRPr="00DE6B47">
        <w:rPr>
          <w:i w:val="0"/>
          <w:iCs w:val="0"/>
          <w:sz w:val="22"/>
          <w:szCs w:val="22"/>
        </w:rPr>
        <w:t>ra</w:t>
      </w:r>
      <w:r w:rsidR="00E163A5" w:rsidRPr="00DE6B47">
        <w:rPr>
          <w:i w:val="0"/>
          <w:iCs w:val="0"/>
          <w:sz w:val="22"/>
          <w:szCs w:val="22"/>
        </w:rPr>
        <w:t xml:space="preserve"> </w:t>
      </w:r>
    </w:p>
    <w:p w:rsidR="00DE6B47" w:rsidRPr="00DE6B47" w:rsidRDefault="00DE6B47" w:rsidP="00DE6B47">
      <w:pPr>
        <w:pStyle w:val="Default"/>
        <w:spacing w:before="60"/>
        <w:jc w:val="both"/>
        <w:rPr>
          <w:iCs/>
          <w:sz w:val="22"/>
          <w:szCs w:val="22"/>
        </w:rPr>
      </w:pPr>
      <w:r w:rsidRPr="00DE6B47">
        <w:rPr>
          <w:iCs/>
          <w:sz w:val="22"/>
          <w:szCs w:val="22"/>
        </w:rPr>
        <w:t xml:space="preserve">Nos casos de contratação por dispensa ou inexigibilidade de licitação para serviços complexos, compostos por itens diversos, a contratante deve, </w:t>
      </w:r>
      <w:r w:rsidRPr="00DE6B47">
        <w:rPr>
          <w:iCs/>
          <w:sz w:val="22"/>
          <w:szCs w:val="22"/>
          <w:u w:val="single"/>
        </w:rPr>
        <w:t>sempre que possível</w:t>
      </w:r>
      <w:r w:rsidRPr="00DE6B47">
        <w:rPr>
          <w:iCs/>
          <w:sz w:val="22"/>
          <w:szCs w:val="22"/>
        </w:rPr>
        <w:t>, fazer constar dos respectivos processos a planilha de custos dos itens unitários, em respeito ao que dispõem o art. 7º, § 2º, inciso II e o § 9º do mesmo artigo, todos da Lei 8.666/93</w:t>
      </w:r>
      <w:r>
        <w:rPr>
          <w:iCs/>
          <w:sz w:val="22"/>
          <w:szCs w:val="22"/>
        </w:rPr>
        <w:t>.</w:t>
      </w:r>
    </w:p>
    <w:p w:rsidR="009444E6" w:rsidRPr="00DE6B47" w:rsidRDefault="009444E6" w:rsidP="00DE6B47">
      <w:pPr>
        <w:pStyle w:val="tita"/>
        <w:tabs>
          <w:tab w:val="left" w:pos="2590"/>
        </w:tabs>
        <w:spacing w:before="60" w:after="0" w:line="240" w:lineRule="auto"/>
        <w:jc w:val="both"/>
        <w:rPr>
          <w:i w:val="0"/>
          <w:iCs w:val="0"/>
          <w:sz w:val="22"/>
          <w:szCs w:val="22"/>
        </w:rPr>
      </w:pPr>
      <w:r w:rsidRPr="00DE6B47">
        <w:rPr>
          <w:i w:val="0"/>
          <w:iCs w:val="0"/>
          <w:sz w:val="22"/>
          <w:szCs w:val="22"/>
        </w:rPr>
        <w:t>Plenário</w:t>
      </w:r>
      <w:r w:rsidR="00E163A5" w:rsidRPr="00DE6B47">
        <w:rPr>
          <w:i w:val="0"/>
          <w:iCs w:val="0"/>
          <w:sz w:val="22"/>
          <w:szCs w:val="22"/>
        </w:rPr>
        <w:t xml:space="preserve"> </w:t>
      </w:r>
    </w:p>
    <w:p w:rsidR="00DE6B47" w:rsidRPr="00DE6B47" w:rsidRDefault="00DE6B47" w:rsidP="005432C8">
      <w:pPr>
        <w:pStyle w:val="Default"/>
        <w:spacing w:before="60"/>
        <w:jc w:val="both"/>
        <w:rPr>
          <w:sz w:val="22"/>
          <w:szCs w:val="22"/>
        </w:rPr>
      </w:pPr>
      <w:r w:rsidRPr="00DE6B47">
        <w:rPr>
          <w:sz w:val="22"/>
          <w:szCs w:val="22"/>
        </w:rPr>
        <w:t>A aprovação das contas de convênio celebrado entre o DNIT e o DER/PE para a execução de obras de duplicação e restauração de pavimento e execução de obras de arte especiais em rodovia demanda a demonstração de que o pavimento a ser executado é capaz de suportar o volume de tráfego da rodovia e de garantir vida útil especificada no projeto executivo da obra, assim como de que as obras de artes especiais e complementares tenham qualidade satisfatória</w:t>
      </w:r>
      <w:r>
        <w:rPr>
          <w:sz w:val="22"/>
          <w:szCs w:val="22"/>
        </w:rPr>
        <w:t>.</w:t>
      </w:r>
      <w:r w:rsidRPr="00DE6B47">
        <w:rPr>
          <w:sz w:val="22"/>
          <w:szCs w:val="22"/>
        </w:rPr>
        <w:t xml:space="preserve">   </w:t>
      </w:r>
    </w:p>
    <w:p w:rsidR="00DE6B47" w:rsidRPr="00DE6B47" w:rsidRDefault="00DE6B47" w:rsidP="005432C8">
      <w:pPr>
        <w:pStyle w:val="Default"/>
        <w:spacing w:before="60"/>
        <w:jc w:val="both"/>
        <w:rPr>
          <w:sz w:val="22"/>
          <w:szCs w:val="22"/>
        </w:rPr>
      </w:pPr>
      <w:r w:rsidRPr="00DE6B47">
        <w:rPr>
          <w:sz w:val="22"/>
          <w:szCs w:val="22"/>
        </w:rPr>
        <w:t>A apresentação de Certificado de Regularidade do Fundo de Garantia por Tempo de Serviço forjado, com o objetivo de permitir a participação de empresa em licitação, configura fraude e justifica sua inabilitação para participar de certames licitatórios no âmbito da Administração Pública Federal</w:t>
      </w:r>
      <w:r>
        <w:rPr>
          <w:sz w:val="22"/>
          <w:szCs w:val="22"/>
        </w:rPr>
        <w:t>.</w:t>
      </w:r>
    </w:p>
    <w:p w:rsidR="00B938DE" w:rsidRPr="005432C8" w:rsidRDefault="005432C8" w:rsidP="005432C8">
      <w:pPr>
        <w:pStyle w:val="Default"/>
        <w:spacing w:before="60"/>
        <w:jc w:val="both"/>
        <w:rPr>
          <w:sz w:val="22"/>
          <w:szCs w:val="22"/>
        </w:rPr>
      </w:pPr>
      <w:r w:rsidRPr="005432C8">
        <w:rPr>
          <w:sz w:val="22"/>
          <w:szCs w:val="22"/>
        </w:rPr>
        <w:t>Alterações substanciais em itens que integram lote de licitação que tem por objetivo a conformação de ata de registro de preços demandam a republicação do edital e a reabertura do prazo para formulação de propostas, em respeito ao disposto no art. 21, § 4º, da Lei 8.666/1993 e no art. 20 do Decreto 5.450/2005</w:t>
      </w:r>
      <w:r w:rsidR="00DE6B47" w:rsidRPr="005432C8">
        <w:rPr>
          <w:sz w:val="22"/>
          <w:szCs w:val="22"/>
        </w:rPr>
        <w:t>.</w:t>
      </w:r>
    </w:p>
    <w:p w:rsidR="00DE6B47" w:rsidRPr="00DE6B47" w:rsidRDefault="00DE6B47" w:rsidP="00DE6B47">
      <w:pPr>
        <w:pStyle w:val="Default"/>
        <w:spacing w:before="60"/>
        <w:jc w:val="both"/>
        <w:rPr>
          <w:sz w:val="22"/>
          <w:szCs w:val="22"/>
        </w:rPr>
      </w:pPr>
    </w:p>
    <w:p w:rsidR="00DE6B47" w:rsidRDefault="00DE6B47" w:rsidP="00B408FD">
      <w:pPr>
        <w:pBdr>
          <w:top w:val="threeDEmboss" w:sz="24" w:space="0" w:color="auto"/>
        </w:pBdr>
        <w:tabs>
          <w:tab w:val="left" w:pos="284"/>
          <w:tab w:val="left" w:pos="2590"/>
        </w:tabs>
        <w:spacing w:after="0"/>
        <w:ind w:left="0"/>
        <w:jc w:val="center"/>
        <w:rPr>
          <w:b/>
          <w:bCs/>
          <w:smallCaps/>
          <w:sz w:val="22"/>
          <w:szCs w:val="22"/>
        </w:rPr>
      </w:pPr>
    </w:p>
    <w:p w:rsidR="00E163A5" w:rsidRDefault="00E163A5" w:rsidP="00B408FD">
      <w:pPr>
        <w:pBdr>
          <w:top w:val="threeDEmboss" w:sz="24" w:space="0" w:color="auto"/>
        </w:pBdr>
        <w:tabs>
          <w:tab w:val="left" w:pos="284"/>
          <w:tab w:val="left" w:pos="2590"/>
        </w:tabs>
        <w:spacing w:after="0"/>
        <w:ind w:left="0"/>
        <w:jc w:val="center"/>
        <w:rPr>
          <w:b/>
          <w:bCs/>
          <w:smallCaps/>
          <w:sz w:val="22"/>
          <w:szCs w:val="22"/>
        </w:rPr>
      </w:pPr>
      <w:r>
        <w:rPr>
          <w:b/>
          <w:bCs/>
          <w:smallCaps/>
          <w:sz w:val="22"/>
          <w:szCs w:val="22"/>
        </w:rPr>
        <w:t>SEGUNDA CÂMARA</w:t>
      </w:r>
    </w:p>
    <w:p w:rsidR="00E163A5" w:rsidRDefault="00E163A5" w:rsidP="00B408FD">
      <w:pPr>
        <w:pBdr>
          <w:top w:val="threeDEmboss" w:sz="24" w:space="0" w:color="auto"/>
        </w:pBdr>
        <w:tabs>
          <w:tab w:val="left" w:pos="284"/>
          <w:tab w:val="left" w:pos="2590"/>
        </w:tabs>
        <w:spacing w:after="0"/>
        <w:ind w:left="0"/>
        <w:jc w:val="center"/>
        <w:rPr>
          <w:b/>
          <w:bCs/>
          <w:smallCaps/>
          <w:sz w:val="22"/>
          <w:szCs w:val="22"/>
        </w:rPr>
      </w:pPr>
    </w:p>
    <w:p w:rsidR="00DE6B47" w:rsidRDefault="00DE6B47" w:rsidP="00DE6B47">
      <w:pPr>
        <w:pStyle w:val="Default"/>
        <w:jc w:val="both"/>
        <w:rPr>
          <w:b/>
          <w:iCs/>
          <w:sz w:val="22"/>
          <w:szCs w:val="22"/>
        </w:rPr>
      </w:pPr>
      <w:r>
        <w:rPr>
          <w:b/>
          <w:iCs/>
          <w:sz w:val="22"/>
          <w:szCs w:val="22"/>
        </w:rPr>
        <w:t>N</w:t>
      </w:r>
      <w:r w:rsidRPr="00453555">
        <w:rPr>
          <w:b/>
          <w:iCs/>
          <w:sz w:val="22"/>
          <w:szCs w:val="22"/>
        </w:rPr>
        <w:t xml:space="preserve">os casos de contratação por dispensa ou inexigibilidade de licitação para serviços complexos, compostos por itens diversos, a contratante deve, </w:t>
      </w:r>
      <w:r w:rsidRPr="00531DD5">
        <w:rPr>
          <w:b/>
          <w:iCs/>
          <w:sz w:val="22"/>
          <w:szCs w:val="22"/>
          <w:u w:val="single"/>
        </w:rPr>
        <w:t>sempre que possível</w:t>
      </w:r>
      <w:r w:rsidRPr="00453555">
        <w:rPr>
          <w:b/>
          <w:iCs/>
          <w:sz w:val="22"/>
          <w:szCs w:val="22"/>
        </w:rPr>
        <w:t xml:space="preserve">, fazer constar dos respectivos processos a planilha de custos dos itens unitários, em </w:t>
      </w:r>
      <w:r>
        <w:rPr>
          <w:b/>
          <w:iCs/>
          <w:sz w:val="22"/>
          <w:szCs w:val="22"/>
        </w:rPr>
        <w:t xml:space="preserve">respeito ao </w:t>
      </w:r>
      <w:r w:rsidRPr="00453555">
        <w:rPr>
          <w:b/>
          <w:iCs/>
          <w:sz w:val="22"/>
          <w:szCs w:val="22"/>
        </w:rPr>
        <w:t>que dispõem o art. 7º, § 2º, inciso II e o § 9º do mesmo artigo, todos da Lei 8.666/93</w:t>
      </w:r>
    </w:p>
    <w:p w:rsidR="00DE6B47" w:rsidRDefault="00DE6B47" w:rsidP="00DE6B47">
      <w:pPr>
        <w:pStyle w:val="Default"/>
        <w:jc w:val="both"/>
        <w:rPr>
          <w:b/>
          <w:i/>
          <w:sz w:val="22"/>
          <w:szCs w:val="22"/>
        </w:rPr>
      </w:pPr>
      <w:r w:rsidRPr="00453555">
        <w:rPr>
          <w:sz w:val="22"/>
          <w:szCs w:val="22"/>
        </w:rPr>
        <w:t xml:space="preserve">Pedido de reexame interposto pelo Banco do Brasil S.A. requereu a reforma de deliberação proferida nos autos de representação que apontou supostas irregularidades na contratação da empresa Cobra Tecnologia S.A., por dispensa de licitação, com suporte no art. 24, inciso XXIV, da Lei nº 8.666/1993. Tal contrato tem por objeto a prestação de serviços de processamento eletrônico de envelopes que são postados em terminais de autoatendimento.  Anotou o relator que os questionamentos iniciais estavam embasados na premissa de que o serviço seria divisível em itens (processamento de numerário, processamento de documentos e digitalização dos cartões de autógrafos). E </w:t>
      </w:r>
      <w:r>
        <w:rPr>
          <w:sz w:val="22"/>
          <w:szCs w:val="22"/>
        </w:rPr>
        <w:t xml:space="preserve">de </w:t>
      </w:r>
      <w:r w:rsidRPr="00453555">
        <w:rPr>
          <w:sz w:val="22"/>
          <w:szCs w:val="22"/>
        </w:rPr>
        <w:t>que, por isso, o banco deveria ter elaborado orçamento para apuração de seus custos unitários, em face do disposto no art. 7º, § 2º, inciso II, e § 9º da Lei 8.666/1993, “</w:t>
      </w:r>
      <w:r w:rsidRPr="00453555">
        <w:rPr>
          <w:i/>
          <w:sz w:val="22"/>
          <w:szCs w:val="22"/>
        </w:rPr>
        <w:t>de modo a verificar se os preços contratados eram compatíveis com os de mercado, atendendo à exigência da parte final do art. 24, inciso XXIII, bem como para fundamentar a justificativa do preço que deve constar dos processos de dispensa e inexigibilidade, conforme art. 26, parágrafo único, inciso III, da referida lei</w:t>
      </w:r>
      <w:r w:rsidRPr="00453555">
        <w:rPr>
          <w:sz w:val="22"/>
          <w:szCs w:val="22"/>
        </w:rPr>
        <w:t>”. A despeito de julgar improcedente a representação, o Tribunal, por meio Acórdão 3.356/2007-2ª Câmara, determin</w:t>
      </w:r>
      <w:r>
        <w:rPr>
          <w:sz w:val="22"/>
          <w:szCs w:val="22"/>
        </w:rPr>
        <w:t>ou</w:t>
      </w:r>
      <w:r w:rsidRPr="00453555">
        <w:rPr>
          <w:sz w:val="22"/>
          <w:szCs w:val="22"/>
        </w:rPr>
        <w:t xml:space="preserve"> ao Banco do Brasil que, doravante, </w:t>
      </w:r>
      <w:r w:rsidRPr="00453555">
        <w:rPr>
          <w:iCs/>
          <w:sz w:val="22"/>
          <w:szCs w:val="22"/>
        </w:rPr>
        <w:t>“</w:t>
      </w:r>
      <w:r w:rsidRPr="00453555">
        <w:rPr>
          <w:i/>
          <w:iCs/>
          <w:sz w:val="22"/>
          <w:szCs w:val="22"/>
        </w:rPr>
        <w:t xml:space="preserve">instrua seus processos de contratação por inexigibilidade ou dispensa de licitação para serviços complexos, compostos por itens diversos entre si com a planilha de custos dos itens unitários, nos moldes do disposto no art. 7º, § 2º, inciso II e § 9º do mesmo artigo, todos da Lei 8.666/93 </w:t>
      </w:r>
      <w:r w:rsidRPr="00453555">
        <w:rPr>
          <w:iCs/>
          <w:sz w:val="22"/>
          <w:szCs w:val="22"/>
        </w:rPr>
        <w:t xml:space="preserve">(...)”. </w:t>
      </w:r>
      <w:r>
        <w:rPr>
          <w:iCs/>
          <w:sz w:val="22"/>
          <w:szCs w:val="22"/>
        </w:rPr>
        <w:t>O</w:t>
      </w:r>
      <w:r w:rsidRPr="00453555">
        <w:rPr>
          <w:iCs/>
          <w:sz w:val="22"/>
          <w:szCs w:val="22"/>
        </w:rPr>
        <w:t xml:space="preserve"> </w:t>
      </w:r>
      <w:r w:rsidRPr="00453555">
        <w:rPr>
          <w:sz w:val="22"/>
          <w:szCs w:val="22"/>
        </w:rPr>
        <w:t>Banco do Brasil</w:t>
      </w:r>
      <w:r>
        <w:rPr>
          <w:sz w:val="22"/>
          <w:szCs w:val="22"/>
        </w:rPr>
        <w:t xml:space="preserve">, em seu recurso contra essa decisão, </w:t>
      </w:r>
      <w:r w:rsidRPr="00453555">
        <w:rPr>
          <w:iCs/>
          <w:sz w:val="22"/>
          <w:szCs w:val="22"/>
        </w:rPr>
        <w:t>argumentou: a) “</w:t>
      </w:r>
      <w:r w:rsidRPr="00453555">
        <w:rPr>
          <w:i/>
          <w:iCs/>
          <w:sz w:val="22"/>
          <w:szCs w:val="22"/>
        </w:rPr>
        <w:t>Não seria simples a elaboração de planilha de custos de itens unitários relativa a serviços que envolvam componentes diversos, como mão-de-obra, inteligência no desenvolvimento de softwares e investimento em tecnologias cada vez mais avançadas</w:t>
      </w:r>
      <w:r w:rsidRPr="00453555">
        <w:rPr>
          <w:iCs/>
          <w:sz w:val="22"/>
          <w:szCs w:val="22"/>
        </w:rPr>
        <w:t>”; b) “</w:t>
      </w:r>
      <w:r w:rsidRPr="00453555">
        <w:rPr>
          <w:i/>
          <w:iCs/>
          <w:sz w:val="22"/>
          <w:szCs w:val="22"/>
        </w:rPr>
        <w:t>A especificação dos custos unitários de cada item integrante de tais serviços não teria o condão de ‘garantir a eficiência administrativa’ e implicaria custos adicionais</w:t>
      </w:r>
      <w:r w:rsidRPr="00453555">
        <w:rPr>
          <w:iCs/>
          <w:sz w:val="22"/>
          <w:szCs w:val="22"/>
        </w:rPr>
        <w:t>”; c) efetuou a contratação dos serviços com a empresa que cotou o menor preço total; d)</w:t>
      </w:r>
      <w:r w:rsidRPr="00453555">
        <w:rPr>
          <w:i/>
          <w:iCs/>
          <w:sz w:val="22"/>
          <w:szCs w:val="22"/>
        </w:rPr>
        <w:t xml:space="preserve"> </w:t>
      </w:r>
      <w:r w:rsidRPr="00453555">
        <w:rPr>
          <w:iCs/>
          <w:sz w:val="22"/>
          <w:szCs w:val="22"/>
        </w:rPr>
        <w:t>“</w:t>
      </w:r>
      <w:r w:rsidRPr="00453555">
        <w:rPr>
          <w:i/>
          <w:iCs/>
          <w:sz w:val="22"/>
          <w:szCs w:val="22"/>
        </w:rPr>
        <w:t>avaliou o benefício de contratar empresas diversas para prestar cada serviço, diante do fato de que seriam de comum emprego a todos os serviços tanto o sítio na rede mundial de computadores como a ‘solução tecnológica’ ...”</w:t>
      </w:r>
      <w:r w:rsidRPr="00453555">
        <w:rPr>
          <w:iCs/>
          <w:sz w:val="22"/>
          <w:szCs w:val="22"/>
        </w:rPr>
        <w:t>. A relatora do feito, ao reconhecer a plausibilidade de argumentos trazidos pelo recorrente, ressaltou que “</w:t>
      </w:r>
      <w:r w:rsidRPr="00453555">
        <w:rPr>
          <w:i/>
          <w:sz w:val="22"/>
          <w:szCs w:val="22"/>
        </w:rPr>
        <w:t>as três macroatividades inseridas no serviço contratado eram interligadas, não cabendo a sua segregação por questão de segurança</w:t>
      </w:r>
      <w:r w:rsidRPr="00453555">
        <w:rPr>
          <w:sz w:val="22"/>
          <w:szCs w:val="22"/>
        </w:rPr>
        <w:t>” e que “</w:t>
      </w:r>
      <w:r w:rsidRPr="00453555">
        <w:rPr>
          <w:i/>
          <w:sz w:val="22"/>
          <w:szCs w:val="22"/>
        </w:rPr>
        <w:t>o site disponibilizado pelo Banco e a solução tecnológica empregada para a prestação dos serviços seriam comuns às atividades</w:t>
      </w:r>
      <w:r w:rsidRPr="00453555">
        <w:rPr>
          <w:sz w:val="22"/>
          <w:szCs w:val="22"/>
        </w:rPr>
        <w:t xml:space="preserve">”. Ponderou que a contratada desenvolvera software específico para o serviço demandado e </w:t>
      </w:r>
      <w:r>
        <w:rPr>
          <w:sz w:val="22"/>
          <w:szCs w:val="22"/>
        </w:rPr>
        <w:t xml:space="preserve">o </w:t>
      </w:r>
      <w:r w:rsidRPr="00453555">
        <w:rPr>
          <w:sz w:val="22"/>
          <w:szCs w:val="22"/>
        </w:rPr>
        <w:t>adaptou às necessidades do Banco do Brasil. Acrescentou: “</w:t>
      </w:r>
      <w:r w:rsidRPr="00453555">
        <w:rPr>
          <w:b/>
          <w:i/>
          <w:sz w:val="22"/>
          <w:szCs w:val="22"/>
        </w:rPr>
        <w:t>há serviços que podem ser desmembrados em itens e há outros que não</w:t>
      </w:r>
      <w:r w:rsidRPr="00453555">
        <w:rPr>
          <w:sz w:val="22"/>
          <w:szCs w:val="22"/>
        </w:rPr>
        <w:t>” – grifou-se</w:t>
      </w:r>
      <w:r w:rsidRPr="00453555">
        <w:rPr>
          <w:i/>
          <w:sz w:val="22"/>
          <w:szCs w:val="22"/>
        </w:rPr>
        <w:t>.</w:t>
      </w:r>
      <w:r w:rsidRPr="00453555">
        <w:rPr>
          <w:sz w:val="22"/>
          <w:szCs w:val="22"/>
        </w:rPr>
        <w:t xml:space="preserve"> Nesse sentido, anotou que: “</w:t>
      </w:r>
      <w:r w:rsidRPr="00453555">
        <w:rPr>
          <w:i/>
          <w:sz w:val="22"/>
          <w:szCs w:val="22"/>
        </w:rPr>
        <w:t>as informações prestadas pelo Banco do Brasil, na fase de saneamento dos autos, permitem (...) concluir que o serviço em foco não poderia ser contratado por partes, principalmente por se tratar de área extremamente sensível na atividade bancária, com impacto direto nos interesses do próprio Banco e de correntistas (saques e depósitos em contas correntes e verificação da fidedignidade de assinaturas)</w:t>
      </w:r>
      <w:r w:rsidRPr="00453555">
        <w:rPr>
          <w:sz w:val="22"/>
          <w:szCs w:val="22"/>
        </w:rPr>
        <w:t>”. Anotou qu</w:t>
      </w:r>
      <w:r>
        <w:rPr>
          <w:sz w:val="22"/>
          <w:szCs w:val="22"/>
        </w:rPr>
        <w:t>e, n</w:t>
      </w:r>
      <w:r w:rsidRPr="00453555">
        <w:rPr>
          <w:sz w:val="22"/>
          <w:szCs w:val="22"/>
        </w:rPr>
        <w:t>o caso concreto</w:t>
      </w:r>
      <w:r>
        <w:rPr>
          <w:sz w:val="22"/>
          <w:szCs w:val="22"/>
        </w:rPr>
        <w:t xml:space="preserve">, </w:t>
      </w:r>
      <w:r w:rsidRPr="00453555">
        <w:rPr>
          <w:sz w:val="22"/>
          <w:szCs w:val="22"/>
        </w:rPr>
        <w:t>atendeu-se “</w:t>
      </w:r>
      <w:r w:rsidRPr="00453555">
        <w:rPr>
          <w:i/>
          <w:sz w:val="22"/>
          <w:szCs w:val="22"/>
        </w:rPr>
        <w:t>à parte final do art. 24, inciso XXIII, da Lei 8.666/1993</w:t>
      </w:r>
      <w:r w:rsidRPr="00453555">
        <w:rPr>
          <w:sz w:val="22"/>
          <w:szCs w:val="22"/>
        </w:rPr>
        <w:t>”. Quanto ao cerne da determinação recorrida, a despeito de considerá-la, como regra, adequada, entendeu pertinente reformulá-la. O Tribunal, então, ao acolher proposta da relatora, decidiu conceder provimento parcial ao citado pedido de reexame, a fim de conferir ao mencionado comando a seguinte redação: “</w:t>
      </w:r>
      <w:r w:rsidRPr="00453555">
        <w:rPr>
          <w:i/>
          <w:iCs/>
          <w:sz w:val="22"/>
          <w:szCs w:val="22"/>
        </w:rPr>
        <w:t xml:space="preserve">nos casos de contratação por dispensa ou inexigibilidade de licitação para serviços complexos, compostos por itens diversos, instrua, </w:t>
      </w:r>
      <w:r w:rsidRPr="004861CA">
        <w:rPr>
          <w:i/>
          <w:iCs/>
          <w:sz w:val="22"/>
          <w:szCs w:val="22"/>
          <w:u w:val="single"/>
        </w:rPr>
        <w:t>sempre que possível</w:t>
      </w:r>
      <w:r w:rsidRPr="00453555">
        <w:rPr>
          <w:i/>
          <w:iCs/>
          <w:sz w:val="22"/>
          <w:szCs w:val="22"/>
        </w:rPr>
        <w:t>, os respectivos processos com a planilha de custos dos itens unitários, nos moldes do disposto no art. 7º, § 2º, inciso II e § 9º do mesmo artigo, todos da Lei 8.666/93</w:t>
      </w:r>
      <w:r w:rsidRPr="00453555">
        <w:rPr>
          <w:iCs/>
          <w:sz w:val="22"/>
          <w:szCs w:val="22"/>
        </w:rPr>
        <w:t>(...)”</w:t>
      </w:r>
      <w:r>
        <w:rPr>
          <w:iCs/>
          <w:sz w:val="22"/>
          <w:szCs w:val="22"/>
        </w:rPr>
        <w:t xml:space="preserve"> – grifou-se</w:t>
      </w:r>
      <w:r w:rsidRPr="00453555">
        <w:rPr>
          <w:iCs/>
          <w:sz w:val="22"/>
          <w:szCs w:val="22"/>
        </w:rPr>
        <w:t>.</w:t>
      </w:r>
      <w:r w:rsidRPr="00453555">
        <w:rPr>
          <w:i/>
          <w:iCs/>
          <w:sz w:val="22"/>
          <w:szCs w:val="22"/>
        </w:rPr>
        <w:t xml:space="preserve"> </w:t>
      </w:r>
      <w:r w:rsidRPr="00453555">
        <w:rPr>
          <w:sz w:val="22"/>
          <w:szCs w:val="22"/>
        </w:rPr>
        <w:t xml:space="preserve"> </w:t>
      </w:r>
      <w:r w:rsidRPr="00453555">
        <w:rPr>
          <w:b/>
          <w:i/>
          <w:sz w:val="22"/>
          <w:szCs w:val="22"/>
        </w:rPr>
        <w:t>Acórdão n.º 690/2012-Segunda Câmara, TC 011.420/2007-0, rel. Min. Ana Arraes, 7.2.2012</w:t>
      </w:r>
      <w:r>
        <w:rPr>
          <w:b/>
          <w:i/>
          <w:sz w:val="22"/>
          <w:szCs w:val="22"/>
        </w:rPr>
        <w:t>.</w:t>
      </w:r>
    </w:p>
    <w:p w:rsidR="00DE6B47" w:rsidRDefault="00DE6B47" w:rsidP="00DE6B47">
      <w:pPr>
        <w:pStyle w:val="Default"/>
        <w:jc w:val="both"/>
        <w:rPr>
          <w:b/>
          <w:i/>
          <w:sz w:val="22"/>
          <w:szCs w:val="22"/>
        </w:rPr>
      </w:pPr>
    </w:p>
    <w:p w:rsidR="00861A73" w:rsidRDefault="003C6DEB" w:rsidP="00DE6B47">
      <w:pPr>
        <w:pStyle w:val="Default"/>
        <w:jc w:val="center"/>
        <w:rPr>
          <w:b/>
          <w:bCs/>
          <w:smallCaps/>
          <w:sz w:val="22"/>
          <w:szCs w:val="22"/>
        </w:rPr>
      </w:pPr>
      <w:r w:rsidRPr="00453555">
        <w:rPr>
          <w:b/>
          <w:bCs/>
          <w:smallCaps/>
          <w:sz w:val="22"/>
          <w:szCs w:val="22"/>
        </w:rPr>
        <w:t>PLENÁRIO</w:t>
      </w:r>
    </w:p>
    <w:p w:rsidR="00DE6B47" w:rsidRPr="00453555" w:rsidRDefault="00DE6B47" w:rsidP="00DE6B47">
      <w:pPr>
        <w:pStyle w:val="Default"/>
        <w:jc w:val="both"/>
        <w:rPr>
          <w:b/>
          <w:bCs/>
          <w:smallCaps/>
          <w:sz w:val="22"/>
          <w:szCs w:val="22"/>
        </w:rPr>
      </w:pPr>
    </w:p>
    <w:p w:rsidR="00861A73" w:rsidRPr="000606E0" w:rsidRDefault="00861A73" w:rsidP="00861A73">
      <w:pPr>
        <w:pStyle w:val="Default"/>
        <w:jc w:val="both"/>
        <w:rPr>
          <w:b/>
          <w:sz w:val="22"/>
          <w:szCs w:val="22"/>
        </w:rPr>
      </w:pPr>
      <w:r w:rsidRPr="000606E0">
        <w:rPr>
          <w:b/>
          <w:sz w:val="22"/>
          <w:szCs w:val="22"/>
        </w:rPr>
        <w:t>A aprovação das contas de convênio celebrado entre o DNIT e o DER/PE para a execução de obras de duplicação e restauração</w:t>
      </w:r>
      <w:r w:rsidR="003C5A68">
        <w:rPr>
          <w:b/>
          <w:sz w:val="22"/>
          <w:szCs w:val="22"/>
        </w:rPr>
        <w:t xml:space="preserve"> de pavimento </w:t>
      </w:r>
      <w:r w:rsidRPr="000606E0">
        <w:rPr>
          <w:b/>
          <w:sz w:val="22"/>
          <w:szCs w:val="22"/>
        </w:rPr>
        <w:t xml:space="preserve">e </w:t>
      </w:r>
      <w:r w:rsidR="003C5A68">
        <w:rPr>
          <w:b/>
          <w:sz w:val="22"/>
          <w:szCs w:val="22"/>
        </w:rPr>
        <w:t xml:space="preserve">execução de </w:t>
      </w:r>
      <w:r w:rsidRPr="000606E0">
        <w:rPr>
          <w:b/>
          <w:sz w:val="22"/>
          <w:szCs w:val="22"/>
        </w:rPr>
        <w:t xml:space="preserve">obras de arte especiais em rodovia demanda a demonstração de que o pavimento </w:t>
      </w:r>
      <w:r w:rsidR="003C5A68">
        <w:rPr>
          <w:b/>
          <w:sz w:val="22"/>
          <w:szCs w:val="22"/>
        </w:rPr>
        <w:t xml:space="preserve">a ser </w:t>
      </w:r>
      <w:r w:rsidRPr="000606E0">
        <w:rPr>
          <w:b/>
          <w:sz w:val="22"/>
          <w:szCs w:val="22"/>
        </w:rPr>
        <w:t xml:space="preserve">executado </w:t>
      </w:r>
      <w:r>
        <w:rPr>
          <w:b/>
          <w:sz w:val="22"/>
          <w:szCs w:val="22"/>
        </w:rPr>
        <w:t xml:space="preserve">é capaz de </w:t>
      </w:r>
      <w:r w:rsidRPr="000606E0">
        <w:rPr>
          <w:b/>
          <w:sz w:val="22"/>
          <w:szCs w:val="22"/>
        </w:rPr>
        <w:t xml:space="preserve">suportar o volume de tráfego da rodovia e de garantir vida útil especificada no projeto executivo da obra, assim como de que as obras de artes especiais e complementares </w:t>
      </w:r>
      <w:r w:rsidR="00B956D9">
        <w:rPr>
          <w:b/>
          <w:sz w:val="22"/>
          <w:szCs w:val="22"/>
        </w:rPr>
        <w:t xml:space="preserve">tenham </w:t>
      </w:r>
      <w:r w:rsidR="003C5A68">
        <w:rPr>
          <w:b/>
          <w:sz w:val="22"/>
          <w:szCs w:val="22"/>
        </w:rPr>
        <w:t>qualidade satisfatória</w:t>
      </w:r>
      <w:r w:rsidRPr="000606E0">
        <w:rPr>
          <w:b/>
          <w:sz w:val="22"/>
          <w:szCs w:val="22"/>
        </w:rPr>
        <w:t xml:space="preserve">   </w:t>
      </w:r>
    </w:p>
    <w:p w:rsidR="00861A73" w:rsidRPr="00861A73" w:rsidRDefault="00861A73" w:rsidP="00861A73">
      <w:pPr>
        <w:pStyle w:val="Default"/>
        <w:jc w:val="both"/>
        <w:rPr>
          <w:b/>
          <w:i/>
          <w:sz w:val="22"/>
          <w:szCs w:val="22"/>
        </w:rPr>
      </w:pPr>
      <w:r w:rsidRPr="00453555">
        <w:rPr>
          <w:sz w:val="22"/>
          <w:szCs w:val="22"/>
        </w:rPr>
        <w:t xml:space="preserve">Representação de equipe de auditoria do Tribunal apontou indícios de irregularidade em contrato para elaboração de projeto, supervisão e execução das obras de duplicação, restauração e </w:t>
      </w:r>
      <w:r w:rsidR="003C5A68">
        <w:rPr>
          <w:sz w:val="22"/>
          <w:szCs w:val="22"/>
        </w:rPr>
        <w:t>execução de ob</w:t>
      </w:r>
      <w:r w:rsidRPr="00453555">
        <w:rPr>
          <w:sz w:val="22"/>
          <w:szCs w:val="22"/>
        </w:rPr>
        <w:t xml:space="preserve">ras de arte no trecho da BR- 101/PE situado entre as cidades de Ponte dos Carvalhos e Cabo de Santo Agostinho (km 94,9 a km 98,7), objeto do Convênio nº 056/2002-00, celebrado entre o Departamento Nacional de Infraestrutura de Transportes (Dnit) e o Departamento de Estradas e Rodagem de Pernambuco (DER/PE). Com base em relatório de fiscalização do Tribunal de Contas de Pernambuco, a Secretaria de Obras – 2 do TCU diligenciou ao Dnit a fim de que informasse as providências </w:t>
      </w:r>
      <w:r>
        <w:rPr>
          <w:sz w:val="22"/>
          <w:szCs w:val="22"/>
        </w:rPr>
        <w:t xml:space="preserve">já adotadas </w:t>
      </w:r>
      <w:r w:rsidRPr="00453555">
        <w:rPr>
          <w:sz w:val="22"/>
          <w:szCs w:val="22"/>
        </w:rPr>
        <w:t>com a finalidade de corrigir os seguintes vícios construtivos: “</w:t>
      </w:r>
      <w:r w:rsidRPr="00453555">
        <w:rPr>
          <w:i/>
          <w:sz w:val="22"/>
          <w:szCs w:val="22"/>
        </w:rPr>
        <w:t>a) desalinhamento na construção do viaduto de acesso à PE-060; b) problemas estruturais em apoio elastomérico da ponte sobre o Rio Pirapama; c) problemas na estrutura do pavimento asfáltico e do pavimento do concreto; d) evidências de serviços mal executados nas obras de arte especiais; e) desmoronamentos e deslizamentos dos taludes; f) má qualidade na execução das barreiras de proteção</w:t>
      </w:r>
      <w:r w:rsidRPr="00453555">
        <w:rPr>
          <w:sz w:val="22"/>
          <w:szCs w:val="22"/>
        </w:rPr>
        <w:t>”. Em resposta, o DNIT apresentou termo de compromisso firmado entre a contratada Galvão Engenharia S.A. e o DER/PE, com o objetivo de realizar reparos naquela obra. O valor dos serviços corretivos a serem promovidos pela contratada, sem ônus para a contratante</w:t>
      </w:r>
      <w:r w:rsidRPr="00F27B2F">
        <w:rPr>
          <w:sz w:val="22"/>
          <w:szCs w:val="22"/>
        </w:rPr>
        <w:t xml:space="preserve"> </w:t>
      </w:r>
      <w:r w:rsidRPr="00453555">
        <w:rPr>
          <w:sz w:val="22"/>
          <w:szCs w:val="22"/>
        </w:rPr>
        <w:t xml:space="preserve">foi </w:t>
      </w:r>
      <w:r>
        <w:rPr>
          <w:sz w:val="22"/>
          <w:szCs w:val="22"/>
        </w:rPr>
        <w:t>estimado</w:t>
      </w:r>
      <w:r w:rsidRPr="00453555">
        <w:rPr>
          <w:sz w:val="22"/>
          <w:szCs w:val="22"/>
        </w:rPr>
        <w:t xml:space="preserve"> em R$ 2.178.605,86. Tendo em vista, porém, que não houve encaminhamento do projeto das </w:t>
      </w:r>
      <w:r>
        <w:rPr>
          <w:sz w:val="22"/>
          <w:szCs w:val="22"/>
        </w:rPr>
        <w:t>intervenções</w:t>
      </w:r>
      <w:r w:rsidRPr="00453555">
        <w:rPr>
          <w:sz w:val="22"/>
          <w:szCs w:val="22"/>
        </w:rPr>
        <w:t xml:space="preserve"> a serem implementadas, a unidade técnica propôs que o DNIT condicione a aprovação de contas do citado convênio à apresentação de dados técnicos capazes de demonstrar a </w:t>
      </w:r>
      <w:r w:rsidR="003C5A68">
        <w:rPr>
          <w:sz w:val="22"/>
          <w:szCs w:val="22"/>
        </w:rPr>
        <w:t xml:space="preserve">compatibilidade entre </w:t>
      </w:r>
      <w:r w:rsidRPr="00453555">
        <w:rPr>
          <w:sz w:val="22"/>
          <w:szCs w:val="22"/>
        </w:rPr>
        <w:t xml:space="preserve">a qualidade dos serviços </w:t>
      </w:r>
      <w:r>
        <w:rPr>
          <w:sz w:val="22"/>
          <w:szCs w:val="22"/>
        </w:rPr>
        <w:t xml:space="preserve">que vierem a ser </w:t>
      </w:r>
      <w:r w:rsidRPr="00453555">
        <w:rPr>
          <w:sz w:val="22"/>
          <w:szCs w:val="22"/>
        </w:rPr>
        <w:t xml:space="preserve">executados e as </w:t>
      </w:r>
      <w:r w:rsidR="003C5A68">
        <w:rPr>
          <w:sz w:val="22"/>
          <w:szCs w:val="22"/>
        </w:rPr>
        <w:t>especificações do contrato</w:t>
      </w:r>
      <w:r w:rsidRPr="00453555">
        <w:rPr>
          <w:sz w:val="22"/>
          <w:szCs w:val="22"/>
        </w:rPr>
        <w:t>. O relator, após anotar que “</w:t>
      </w:r>
      <w:r w:rsidRPr="00453555">
        <w:rPr>
          <w:i/>
          <w:sz w:val="22"/>
          <w:szCs w:val="22"/>
        </w:rPr>
        <w:t>as tratativas administrativas para reparação do dano estão em pleno curso</w:t>
      </w:r>
      <w:r w:rsidRPr="00453555">
        <w:rPr>
          <w:sz w:val="22"/>
          <w:szCs w:val="22"/>
        </w:rPr>
        <w:t>” e que a empreiteira “</w:t>
      </w:r>
      <w:r w:rsidRPr="00453555">
        <w:rPr>
          <w:i/>
          <w:sz w:val="22"/>
          <w:szCs w:val="22"/>
        </w:rPr>
        <w:t>é objetivamente responsável pela solidez e segurança da obra por um prazo irredutível de cinco anos</w:t>
      </w:r>
      <w:r w:rsidRPr="00453555">
        <w:rPr>
          <w:sz w:val="22"/>
          <w:szCs w:val="22"/>
        </w:rPr>
        <w:t>”, consoante disposto no art. 618 do Código Civil, endossou a sugestão de encaminhamento fornecida pela unidade técnica. Acrescentou a necessidade de a autarquia instaurar tomada de contas especial no caso de os reparos não serem realizados satisfatoriamente. O Tribunal, então, com base em proposta do relator, decidiu, quanto ao objeto do Convênio nº 056/2002-00, determinar ao Dnit que “</w:t>
      </w:r>
      <w:r w:rsidRPr="00F27B2F">
        <w:rPr>
          <w:i/>
          <w:sz w:val="22"/>
          <w:szCs w:val="22"/>
        </w:rPr>
        <w:t>9.2.1. condicione a aprovação da prestação de contas do convênio e o recebimento definitivo da obra ao seguinte: 9.2.1.1. obtenção da condição funcional e estrutural satisfatória do pavimento da obra, tomada a partir de resultados dos ensaios de LVC, IRI, FWD a serem realizados após as intervenções, com resultados compatíveis com os índices de IRI e IGG e deflexão admissível coerentes com o que se espera de um pavimento com volume de tráfego e vida útil tal qual definido no projeto executivo da obra; 9.2.1.2. resultado satisfatório das condições das obras de artes especiais e complementares conforme preconizado no Manual de Inspeção de Obras de Arte Especiais do DNIT, assim que concluídas as intervenções nas obras de arte especiais, elementos de drenagem e barreiras New Jersey; 9.2.2. encaminhe ao Tribunal, no prazo de 180 (cento e oitenta) dias, a partir da ciência, laudo conclusivo que ateste as condições listadas nos itens supra, bem como a situação da prestação de contas do convênio e recebimento definitivo da obra; 9.2.3. instaure a devida tomada de contas especial no caso de insucesso das medidas administrativas para reparação do dano decorrente da execução do objeto do Convênio nº 056/2002-00 com qualidade deficiente</w:t>
      </w:r>
      <w:r w:rsidRPr="00453555">
        <w:rPr>
          <w:sz w:val="22"/>
          <w:szCs w:val="22"/>
        </w:rPr>
        <w:t xml:space="preserve"> (...)</w:t>
      </w:r>
      <w:r>
        <w:rPr>
          <w:sz w:val="22"/>
          <w:szCs w:val="22"/>
        </w:rPr>
        <w:t xml:space="preserve">”. </w:t>
      </w:r>
      <w:r w:rsidRPr="00861A73">
        <w:rPr>
          <w:b/>
          <w:i/>
          <w:sz w:val="22"/>
          <w:szCs w:val="22"/>
        </w:rPr>
        <w:t>Acórdão n.º 252/2012-Plenário, TC</w:t>
      </w:r>
      <w:r w:rsidR="00B956D9">
        <w:rPr>
          <w:b/>
          <w:i/>
          <w:sz w:val="22"/>
          <w:szCs w:val="22"/>
        </w:rPr>
        <w:t>-</w:t>
      </w:r>
      <w:r w:rsidRPr="00861A73">
        <w:rPr>
          <w:b/>
          <w:i/>
          <w:sz w:val="22"/>
          <w:szCs w:val="22"/>
        </w:rPr>
        <w:t>014.265/2009-1, rel. Min. Valmir Campelo, 8.2.2012</w:t>
      </w:r>
      <w:r>
        <w:rPr>
          <w:b/>
          <w:i/>
          <w:sz w:val="22"/>
          <w:szCs w:val="22"/>
        </w:rPr>
        <w:t>.</w:t>
      </w:r>
    </w:p>
    <w:p w:rsidR="00804B2B" w:rsidRPr="00453555" w:rsidRDefault="00804B2B" w:rsidP="004017DA">
      <w:pPr>
        <w:pStyle w:val="Default"/>
        <w:jc w:val="both"/>
        <w:rPr>
          <w:b/>
          <w:sz w:val="22"/>
          <w:szCs w:val="22"/>
        </w:rPr>
      </w:pPr>
    </w:p>
    <w:p w:rsidR="00453555" w:rsidRPr="00F27B2F" w:rsidRDefault="00453555" w:rsidP="009968DA">
      <w:pPr>
        <w:pStyle w:val="Default"/>
        <w:jc w:val="both"/>
        <w:rPr>
          <w:b/>
          <w:sz w:val="22"/>
          <w:szCs w:val="22"/>
        </w:rPr>
      </w:pPr>
      <w:r w:rsidRPr="00F27B2F">
        <w:rPr>
          <w:b/>
          <w:sz w:val="22"/>
          <w:szCs w:val="22"/>
        </w:rPr>
        <w:t>A apresentação de Certificado de Regularidade do Fundo de Garantia por Tempo de Serviço</w:t>
      </w:r>
      <w:r w:rsidR="009968DA" w:rsidRPr="00F27B2F">
        <w:rPr>
          <w:b/>
          <w:sz w:val="22"/>
          <w:szCs w:val="22"/>
        </w:rPr>
        <w:t xml:space="preserve"> forjado</w:t>
      </w:r>
      <w:r w:rsidR="004B073F">
        <w:rPr>
          <w:b/>
          <w:sz w:val="22"/>
          <w:szCs w:val="22"/>
        </w:rPr>
        <w:t>,</w:t>
      </w:r>
      <w:r w:rsidR="009968DA" w:rsidRPr="00F27B2F">
        <w:rPr>
          <w:b/>
          <w:sz w:val="22"/>
          <w:szCs w:val="22"/>
        </w:rPr>
        <w:t xml:space="preserve"> </w:t>
      </w:r>
      <w:r w:rsidRPr="00F27B2F">
        <w:rPr>
          <w:b/>
          <w:sz w:val="22"/>
          <w:szCs w:val="22"/>
        </w:rPr>
        <w:t xml:space="preserve">com o objetivo de permitir a participação </w:t>
      </w:r>
      <w:r w:rsidR="009968DA" w:rsidRPr="00F27B2F">
        <w:rPr>
          <w:b/>
          <w:sz w:val="22"/>
          <w:szCs w:val="22"/>
        </w:rPr>
        <w:t xml:space="preserve">de empresa em </w:t>
      </w:r>
      <w:r w:rsidR="004B073F">
        <w:rPr>
          <w:b/>
          <w:sz w:val="22"/>
          <w:szCs w:val="22"/>
        </w:rPr>
        <w:t>licitação,</w:t>
      </w:r>
      <w:r w:rsidR="009968DA" w:rsidRPr="00F27B2F">
        <w:rPr>
          <w:b/>
          <w:sz w:val="22"/>
          <w:szCs w:val="22"/>
        </w:rPr>
        <w:t xml:space="preserve"> configura fraude e justifica sua inabilitação para participar de </w:t>
      </w:r>
      <w:r w:rsidR="004B073F">
        <w:rPr>
          <w:b/>
          <w:sz w:val="22"/>
          <w:szCs w:val="22"/>
        </w:rPr>
        <w:t>certames licitatórios</w:t>
      </w:r>
      <w:r w:rsidR="009968DA" w:rsidRPr="00F27B2F">
        <w:rPr>
          <w:b/>
          <w:sz w:val="22"/>
          <w:szCs w:val="22"/>
        </w:rPr>
        <w:t xml:space="preserve"> no âmbito da Administração Pública Federal</w:t>
      </w:r>
    </w:p>
    <w:p w:rsidR="00E11C3D" w:rsidRPr="00861A73" w:rsidRDefault="004F77A8" w:rsidP="00861A73">
      <w:pPr>
        <w:pStyle w:val="Default"/>
        <w:jc w:val="both"/>
        <w:rPr>
          <w:b/>
          <w:i/>
          <w:sz w:val="22"/>
          <w:szCs w:val="22"/>
        </w:rPr>
      </w:pPr>
      <w:r w:rsidRPr="00453555">
        <w:rPr>
          <w:sz w:val="22"/>
          <w:szCs w:val="22"/>
        </w:rPr>
        <w:t>Representação formulada pela Procuradoria-Geral do Estado do Piauí acusou a ocorrência de irregularidade</w:t>
      </w:r>
      <w:r w:rsidR="00BD6FD8" w:rsidRPr="00453555">
        <w:rPr>
          <w:sz w:val="22"/>
          <w:szCs w:val="22"/>
        </w:rPr>
        <w:t xml:space="preserve"> cometida por </w:t>
      </w:r>
      <w:r w:rsidR="008E07E7" w:rsidRPr="00453555">
        <w:rPr>
          <w:sz w:val="22"/>
          <w:szCs w:val="22"/>
        </w:rPr>
        <w:t xml:space="preserve">empresa na licitação </w:t>
      </w:r>
      <w:r w:rsidRPr="00453555">
        <w:rPr>
          <w:sz w:val="22"/>
          <w:szCs w:val="22"/>
        </w:rPr>
        <w:t xml:space="preserve">conduzida pela Secretaria de Segurança Pública do Estado do Piauí (SSP/PI), visando </w:t>
      </w:r>
      <w:r w:rsidR="00B956D9">
        <w:rPr>
          <w:sz w:val="22"/>
          <w:szCs w:val="22"/>
        </w:rPr>
        <w:t>à</w:t>
      </w:r>
      <w:r w:rsidRPr="00453555">
        <w:rPr>
          <w:sz w:val="22"/>
          <w:szCs w:val="22"/>
        </w:rPr>
        <w:t xml:space="preserve"> conclusão das obras de construção de instalações do 4º Batalhão da Polícia Militar do Piauí, na cidade de Picos/PI, com utilização de recursos federais</w:t>
      </w:r>
      <w:r w:rsidR="008E07E7" w:rsidRPr="00453555">
        <w:rPr>
          <w:sz w:val="22"/>
          <w:szCs w:val="22"/>
        </w:rPr>
        <w:t>.</w:t>
      </w:r>
      <w:r w:rsidRPr="00453555">
        <w:rPr>
          <w:sz w:val="22"/>
          <w:szCs w:val="22"/>
        </w:rPr>
        <w:t xml:space="preserve"> Aquela Procuradoria registrou a apresentação por licitante de Certificado de Regularidade do Fundo de Garantia por Tempo de Serviço adulterado. </w:t>
      </w:r>
      <w:r w:rsidR="00841B60" w:rsidRPr="00453555">
        <w:rPr>
          <w:sz w:val="22"/>
          <w:szCs w:val="22"/>
        </w:rPr>
        <w:t xml:space="preserve">Tal expediente garantiu </w:t>
      </w:r>
      <w:r w:rsidR="00B956D9">
        <w:rPr>
          <w:sz w:val="22"/>
          <w:szCs w:val="22"/>
        </w:rPr>
        <w:t xml:space="preserve">sua </w:t>
      </w:r>
      <w:r w:rsidR="00841B60" w:rsidRPr="00453555">
        <w:rPr>
          <w:sz w:val="22"/>
          <w:szCs w:val="22"/>
        </w:rPr>
        <w:t xml:space="preserve">participação no certame e </w:t>
      </w:r>
      <w:r w:rsidR="002B4764" w:rsidRPr="00453555">
        <w:rPr>
          <w:sz w:val="22"/>
          <w:szCs w:val="22"/>
        </w:rPr>
        <w:t xml:space="preserve">permitiu que viesse a </w:t>
      </w:r>
      <w:r w:rsidRPr="00453555">
        <w:rPr>
          <w:sz w:val="22"/>
          <w:szCs w:val="22"/>
        </w:rPr>
        <w:t>venc</w:t>
      </w:r>
      <w:r w:rsidR="0078685A" w:rsidRPr="00453555">
        <w:rPr>
          <w:sz w:val="22"/>
          <w:szCs w:val="22"/>
        </w:rPr>
        <w:t>ê-lo.</w:t>
      </w:r>
      <w:r w:rsidR="002B4764" w:rsidRPr="00453555">
        <w:rPr>
          <w:sz w:val="22"/>
          <w:szCs w:val="22"/>
        </w:rPr>
        <w:t xml:space="preserve"> A </w:t>
      </w:r>
      <w:r w:rsidRPr="00453555">
        <w:rPr>
          <w:sz w:val="22"/>
          <w:szCs w:val="22"/>
        </w:rPr>
        <w:t>SSP/PI</w:t>
      </w:r>
      <w:r w:rsidR="002B4764" w:rsidRPr="00453555">
        <w:rPr>
          <w:sz w:val="22"/>
          <w:szCs w:val="22"/>
        </w:rPr>
        <w:t xml:space="preserve"> </w:t>
      </w:r>
      <w:r w:rsidRPr="00453555">
        <w:rPr>
          <w:sz w:val="22"/>
          <w:szCs w:val="22"/>
        </w:rPr>
        <w:t>instaurou processo administrativo que resultou na anulação do Contrato nº 41/SSPPI/2010</w:t>
      </w:r>
      <w:r w:rsidR="0078685A" w:rsidRPr="00453555">
        <w:rPr>
          <w:sz w:val="22"/>
          <w:szCs w:val="22"/>
        </w:rPr>
        <w:t xml:space="preserve"> e, ao final, </w:t>
      </w:r>
      <w:r w:rsidR="008E07E7" w:rsidRPr="00453555">
        <w:rPr>
          <w:sz w:val="22"/>
          <w:szCs w:val="22"/>
        </w:rPr>
        <w:t xml:space="preserve">na </w:t>
      </w:r>
      <w:r w:rsidRPr="00453555">
        <w:rPr>
          <w:sz w:val="22"/>
          <w:szCs w:val="22"/>
        </w:rPr>
        <w:t>declar</w:t>
      </w:r>
      <w:r w:rsidR="008E07E7" w:rsidRPr="00453555">
        <w:rPr>
          <w:sz w:val="22"/>
          <w:szCs w:val="22"/>
        </w:rPr>
        <w:t>ação</w:t>
      </w:r>
      <w:r w:rsidRPr="00453555">
        <w:rPr>
          <w:sz w:val="22"/>
          <w:szCs w:val="22"/>
        </w:rPr>
        <w:t xml:space="preserve">, com base nos arts. 87, inciso IV, e 88, incisos II e III, da Lei 8.666/93, </w:t>
      </w:r>
      <w:r w:rsidR="008E07E7" w:rsidRPr="00453555">
        <w:rPr>
          <w:sz w:val="22"/>
          <w:szCs w:val="22"/>
        </w:rPr>
        <w:t>d</w:t>
      </w:r>
      <w:r w:rsidRPr="00453555">
        <w:rPr>
          <w:sz w:val="22"/>
          <w:szCs w:val="22"/>
        </w:rPr>
        <w:t>a</w:t>
      </w:r>
      <w:r w:rsidR="002B4764" w:rsidRPr="00453555">
        <w:rPr>
          <w:sz w:val="22"/>
          <w:szCs w:val="22"/>
        </w:rPr>
        <w:t xml:space="preserve"> </w:t>
      </w:r>
      <w:r w:rsidRPr="00453555">
        <w:rPr>
          <w:sz w:val="22"/>
          <w:szCs w:val="22"/>
        </w:rPr>
        <w:t>inidoneidade d</w:t>
      </w:r>
      <w:r w:rsidR="008E07E7" w:rsidRPr="00453555">
        <w:rPr>
          <w:sz w:val="22"/>
          <w:szCs w:val="22"/>
        </w:rPr>
        <w:t>ess</w:t>
      </w:r>
      <w:r w:rsidRPr="00453555">
        <w:rPr>
          <w:sz w:val="22"/>
          <w:szCs w:val="22"/>
        </w:rPr>
        <w:t xml:space="preserve">a </w:t>
      </w:r>
      <w:r w:rsidR="0078685A" w:rsidRPr="00453555">
        <w:rPr>
          <w:sz w:val="22"/>
          <w:szCs w:val="22"/>
        </w:rPr>
        <w:t xml:space="preserve">empresa </w:t>
      </w:r>
      <w:r w:rsidRPr="00453555">
        <w:rPr>
          <w:sz w:val="22"/>
          <w:szCs w:val="22"/>
        </w:rPr>
        <w:t>para contratar com a Administração Pública.</w:t>
      </w:r>
      <w:r w:rsidR="000F7F62" w:rsidRPr="00453555">
        <w:rPr>
          <w:sz w:val="22"/>
          <w:szCs w:val="22"/>
        </w:rPr>
        <w:t xml:space="preserve"> O Relator</w:t>
      </w:r>
      <w:r w:rsidR="008E07E7" w:rsidRPr="00453555">
        <w:rPr>
          <w:sz w:val="22"/>
          <w:szCs w:val="22"/>
        </w:rPr>
        <w:t>, ao examinar as razões apresentadas pela empresa,</w:t>
      </w:r>
      <w:r w:rsidR="000F7F62" w:rsidRPr="00453555">
        <w:rPr>
          <w:sz w:val="22"/>
          <w:szCs w:val="22"/>
        </w:rPr>
        <w:t xml:space="preserve"> </w:t>
      </w:r>
      <w:r w:rsidR="00432341" w:rsidRPr="00453555">
        <w:rPr>
          <w:sz w:val="22"/>
          <w:szCs w:val="22"/>
        </w:rPr>
        <w:t xml:space="preserve">lembrou </w:t>
      </w:r>
      <w:r w:rsidR="000F7F62" w:rsidRPr="00453555">
        <w:rPr>
          <w:sz w:val="22"/>
          <w:szCs w:val="22"/>
        </w:rPr>
        <w:t xml:space="preserve">que </w:t>
      </w:r>
      <w:r w:rsidR="00163664" w:rsidRPr="00453555">
        <w:rPr>
          <w:sz w:val="22"/>
          <w:szCs w:val="22"/>
        </w:rPr>
        <w:t>“</w:t>
      </w:r>
      <w:r w:rsidR="00163664" w:rsidRPr="00453555">
        <w:rPr>
          <w:i/>
          <w:sz w:val="22"/>
          <w:szCs w:val="22"/>
        </w:rPr>
        <w:t>a prova da regularidade relativa ao Fundo de Garantia por Tempo de Serviço (FGTS) é requisito indispensável p</w:t>
      </w:r>
      <w:r w:rsidR="00453555" w:rsidRPr="00453555">
        <w:rPr>
          <w:i/>
          <w:sz w:val="22"/>
          <w:szCs w:val="22"/>
        </w:rPr>
        <w:t>a</w:t>
      </w:r>
      <w:r w:rsidR="00163664" w:rsidRPr="00453555">
        <w:rPr>
          <w:i/>
          <w:sz w:val="22"/>
          <w:szCs w:val="22"/>
        </w:rPr>
        <w:t>ra habilitação em licitação pública, conforme disposto no art. 29, inciso IV, da Lei nº 8.666/1993</w:t>
      </w:r>
      <w:r w:rsidR="00163664" w:rsidRPr="00453555">
        <w:rPr>
          <w:sz w:val="22"/>
          <w:szCs w:val="22"/>
        </w:rPr>
        <w:t>”. A</w:t>
      </w:r>
      <w:r w:rsidR="00453555" w:rsidRPr="00453555">
        <w:rPr>
          <w:sz w:val="22"/>
          <w:szCs w:val="22"/>
        </w:rPr>
        <w:t>notou também que</w:t>
      </w:r>
      <w:r w:rsidR="009968DA">
        <w:rPr>
          <w:sz w:val="22"/>
          <w:szCs w:val="22"/>
        </w:rPr>
        <w:t xml:space="preserve">, segundo o </w:t>
      </w:r>
      <w:r w:rsidR="00163664" w:rsidRPr="00453555">
        <w:rPr>
          <w:sz w:val="22"/>
          <w:szCs w:val="22"/>
        </w:rPr>
        <w:t>art. 27 da Lei nº 8.036/1990</w:t>
      </w:r>
      <w:r w:rsidR="009968DA">
        <w:rPr>
          <w:sz w:val="22"/>
          <w:szCs w:val="22"/>
        </w:rPr>
        <w:t xml:space="preserve">, </w:t>
      </w:r>
      <w:r w:rsidR="00163664" w:rsidRPr="00453555">
        <w:rPr>
          <w:sz w:val="22"/>
          <w:szCs w:val="22"/>
        </w:rPr>
        <w:t xml:space="preserve">que </w:t>
      </w:r>
      <w:r w:rsidR="009968DA">
        <w:rPr>
          <w:sz w:val="22"/>
          <w:szCs w:val="22"/>
        </w:rPr>
        <w:t xml:space="preserve">disciplina </w:t>
      </w:r>
      <w:r w:rsidR="00163664" w:rsidRPr="00453555">
        <w:rPr>
          <w:sz w:val="22"/>
          <w:szCs w:val="22"/>
        </w:rPr>
        <w:t xml:space="preserve">o FGTS, a apresentação do </w:t>
      </w:r>
      <w:r w:rsidR="009968DA">
        <w:rPr>
          <w:sz w:val="22"/>
          <w:szCs w:val="22"/>
        </w:rPr>
        <w:t>certificado de regularidade do FGTS</w:t>
      </w:r>
      <w:r w:rsidR="00163664" w:rsidRPr="00453555">
        <w:rPr>
          <w:sz w:val="22"/>
          <w:szCs w:val="22"/>
        </w:rPr>
        <w:t xml:space="preserve"> fornecido pela CEF é obrigatória </w:t>
      </w:r>
      <w:r w:rsidR="00B956D9">
        <w:rPr>
          <w:sz w:val="22"/>
          <w:szCs w:val="22"/>
        </w:rPr>
        <w:t>par</w:t>
      </w:r>
      <w:r w:rsidR="00B956D9" w:rsidRPr="00B956D9">
        <w:rPr>
          <w:sz w:val="22"/>
          <w:szCs w:val="22"/>
        </w:rPr>
        <w:t xml:space="preserve">a participação em </w:t>
      </w:r>
      <w:r w:rsidR="00163664" w:rsidRPr="00B956D9">
        <w:rPr>
          <w:iCs/>
          <w:sz w:val="22"/>
          <w:szCs w:val="22"/>
        </w:rPr>
        <w:t>licitação promovida por órgão da administração federal, estadual e municipal, direta, indireta ou fundacional ou por entidade controlada direta ou indiretamente pela União, estado e município</w:t>
      </w:r>
      <w:r w:rsidR="00432341" w:rsidRPr="00B956D9">
        <w:rPr>
          <w:sz w:val="22"/>
          <w:szCs w:val="22"/>
        </w:rPr>
        <w:t>.</w:t>
      </w:r>
      <w:r w:rsidR="008E07E7" w:rsidRPr="00453555">
        <w:rPr>
          <w:sz w:val="22"/>
          <w:szCs w:val="22"/>
        </w:rPr>
        <w:t xml:space="preserve"> Observou que </w:t>
      </w:r>
      <w:r w:rsidR="000F7F62" w:rsidRPr="00453555">
        <w:rPr>
          <w:sz w:val="22"/>
          <w:szCs w:val="22"/>
        </w:rPr>
        <w:t>o certificado apresentado</w:t>
      </w:r>
      <w:r w:rsidR="00B956D9">
        <w:rPr>
          <w:sz w:val="22"/>
          <w:szCs w:val="22"/>
        </w:rPr>
        <w:t xml:space="preserve"> por certa empresa</w:t>
      </w:r>
      <w:r w:rsidR="000F7F62" w:rsidRPr="00453555">
        <w:rPr>
          <w:sz w:val="22"/>
          <w:szCs w:val="22"/>
        </w:rPr>
        <w:t>, “</w:t>
      </w:r>
      <w:r w:rsidRPr="00453555">
        <w:rPr>
          <w:i/>
          <w:sz w:val="22"/>
          <w:szCs w:val="22"/>
        </w:rPr>
        <w:t>com período de validade entre 13/7/2010 e 11/8/2010, não se mostrou condizente com o verdadeiro</w:t>
      </w:r>
      <w:r w:rsidR="00163664" w:rsidRPr="00453555">
        <w:rPr>
          <w:i/>
          <w:sz w:val="22"/>
          <w:szCs w:val="22"/>
        </w:rPr>
        <w:t xml:space="preserve"> </w:t>
      </w:r>
      <w:r w:rsidRPr="00453555">
        <w:rPr>
          <w:i/>
          <w:sz w:val="22"/>
          <w:szCs w:val="22"/>
        </w:rPr>
        <w:t>CRF emitido pela Caixa Econômica Federal (CEF), sob o número 2010070915421022630016, cuja</w:t>
      </w:r>
      <w:r w:rsidR="00163664" w:rsidRPr="00453555">
        <w:rPr>
          <w:i/>
          <w:sz w:val="22"/>
          <w:szCs w:val="22"/>
        </w:rPr>
        <w:t xml:space="preserve"> </w:t>
      </w:r>
      <w:r w:rsidRPr="00453555">
        <w:rPr>
          <w:i/>
          <w:sz w:val="22"/>
          <w:szCs w:val="22"/>
        </w:rPr>
        <w:t>validade findou em 7/8/2010</w:t>
      </w:r>
      <w:r w:rsidR="00163664" w:rsidRPr="00453555">
        <w:rPr>
          <w:sz w:val="22"/>
          <w:szCs w:val="22"/>
        </w:rPr>
        <w:t>”</w:t>
      </w:r>
      <w:r w:rsidRPr="00453555">
        <w:rPr>
          <w:sz w:val="22"/>
          <w:szCs w:val="22"/>
        </w:rPr>
        <w:t>.</w:t>
      </w:r>
      <w:r w:rsidR="00163664" w:rsidRPr="00453555">
        <w:rPr>
          <w:sz w:val="22"/>
          <w:szCs w:val="22"/>
        </w:rPr>
        <w:t xml:space="preserve"> </w:t>
      </w:r>
      <w:r w:rsidRPr="00453555">
        <w:rPr>
          <w:sz w:val="22"/>
          <w:szCs w:val="22"/>
        </w:rPr>
        <w:t>Tal fato foi confirmado pela</w:t>
      </w:r>
      <w:r w:rsidR="008E07E7" w:rsidRPr="00453555">
        <w:rPr>
          <w:sz w:val="22"/>
          <w:szCs w:val="22"/>
        </w:rPr>
        <w:t xml:space="preserve"> CEF. E mais: “</w:t>
      </w:r>
      <w:r w:rsidRPr="00453555">
        <w:rPr>
          <w:i/>
          <w:sz w:val="22"/>
          <w:szCs w:val="22"/>
        </w:rPr>
        <w:t>Como a licitação processou-se em 8/8/2010, recai sobre referida sociedade</w:t>
      </w:r>
      <w:r w:rsidR="008E07E7" w:rsidRPr="00453555">
        <w:rPr>
          <w:i/>
          <w:sz w:val="22"/>
          <w:szCs w:val="22"/>
        </w:rPr>
        <w:t xml:space="preserve"> </w:t>
      </w:r>
      <w:r w:rsidRPr="00453555">
        <w:rPr>
          <w:i/>
          <w:sz w:val="22"/>
          <w:szCs w:val="22"/>
        </w:rPr>
        <w:t>empresária grave irregularidade, visto que, sem o certificado, provavelmente seria desclassificada do</w:t>
      </w:r>
      <w:r w:rsidR="008E07E7" w:rsidRPr="00453555">
        <w:rPr>
          <w:i/>
          <w:sz w:val="22"/>
          <w:szCs w:val="22"/>
        </w:rPr>
        <w:t xml:space="preserve"> </w:t>
      </w:r>
      <w:r w:rsidRPr="00453555">
        <w:rPr>
          <w:i/>
          <w:sz w:val="22"/>
          <w:szCs w:val="22"/>
        </w:rPr>
        <w:t>certame, a não ser por decisão judicial – precária ou definitiva – que lhe assegurasse direito a dele</w:t>
      </w:r>
      <w:r w:rsidR="008E07E7" w:rsidRPr="00453555">
        <w:rPr>
          <w:i/>
          <w:sz w:val="22"/>
          <w:szCs w:val="22"/>
        </w:rPr>
        <w:t xml:space="preserve"> </w:t>
      </w:r>
      <w:r w:rsidRPr="00453555">
        <w:rPr>
          <w:i/>
          <w:sz w:val="22"/>
          <w:szCs w:val="22"/>
        </w:rPr>
        <w:t>participar</w:t>
      </w:r>
      <w:r w:rsidR="008E07E7" w:rsidRPr="00453555">
        <w:rPr>
          <w:sz w:val="22"/>
          <w:szCs w:val="22"/>
        </w:rPr>
        <w:t>”</w:t>
      </w:r>
      <w:r w:rsidRPr="00453555">
        <w:rPr>
          <w:sz w:val="22"/>
          <w:szCs w:val="22"/>
        </w:rPr>
        <w:t>.</w:t>
      </w:r>
      <w:r w:rsidR="008E07E7" w:rsidRPr="00453555">
        <w:rPr>
          <w:sz w:val="22"/>
          <w:szCs w:val="22"/>
        </w:rPr>
        <w:t xml:space="preserve"> </w:t>
      </w:r>
      <w:r w:rsidR="00655485" w:rsidRPr="00453555">
        <w:rPr>
          <w:sz w:val="22"/>
          <w:szCs w:val="22"/>
        </w:rPr>
        <w:t xml:space="preserve">O relator não ignorou o fato de que a empresa, em </w:t>
      </w:r>
      <w:r w:rsidRPr="00453555">
        <w:rPr>
          <w:sz w:val="22"/>
          <w:szCs w:val="22"/>
        </w:rPr>
        <w:t xml:space="preserve">liminar </w:t>
      </w:r>
      <w:r w:rsidR="00655485" w:rsidRPr="00453555">
        <w:rPr>
          <w:sz w:val="22"/>
          <w:szCs w:val="22"/>
        </w:rPr>
        <w:t xml:space="preserve">concedida </w:t>
      </w:r>
      <w:r w:rsidRPr="00453555">
        <w:rPr>
          <w:sz w:val="22"/>
          <w:szCs w:val="22"/>
        </w:rPr>
        <w:t>pel</w:t>
      </w:r>
      <w:r w:rsidR="00655485" w:rsidRPr="00453555">
        <w:rPr>
          <w:sz w:val="22"/>
          <w:szCs w:val="22"/>
        </w:rPr>
        <w:t xml:space="preserve">o </w:t>
      </w:r>
      <w:r w:rsidRPr="00453555">
        <w:rPr>
          <w:sz w:val="22"/>
          <w:szCs w:val="22"/>
        </w:rPr>
        <w:t>juízo da 2º Vara Federal do Piauí</w:t>
      </w:r>
      <w:r w:rsidR="00655485" w:rsidRPr="00453555">
        <w:rPr>
          <w:sz w:val="22"/>
          <w:szCs w:val="22"/>
        </w:rPr>
        <w:t xml:space="preserve">, </w:t>
      </w:r>
      <w:r w:rsidRPr="00453555">
        <w:rPr>
          <w:sz w:val="22"/>
          <w:szCs w:val="22"/>
        </w:rPr>
        <w:t>em</w:t>
      </w:r>
      <w:r w:rsidR="00655485" w:rsidRPr="00453555">
        <w:rPr>
          <w:sz w:val="22"/>
          <w:szCs w:val="22"/>
        </w:rPr>
        <w:t xml:space="preserve"> </w:t>
      </w:r>
      <w:r w:rsidRPr="00453555">
        <w:rPr>
          <w:sz w:val="22"/>
          <w:szCs w:val="22"/>
        </w:rPr>
        <w:t xml:space="preserve">18/10/2010, </w:t>
      </w:r>
      <w:r w:rsidR="00655485" w:rsidRPr="00453555">
        <w:rPr>
          <w:sz w:val="22"/>
          <w:szCs w:val="22"/>
        </w:rPr>
        <w:t>teve “</w:t>
      </w:r>
      <w:r w:rsidR="00655485" w:rsidRPr="00453555">
        <w:rPr>
          <w:i/>
          <w:sz w:val="22"/>
          <w:szCs w:val="22"/>
        </w:rPr>
        <w:t xml:space="preserve">o </w:t>
      </w:r>
      <w:r w:rsidRPr="00453555">
        <w:rPr>
          <w:i/>
          <w:sz w:val="22"/>
          <w:szCs w:val="22"/>
        </w:rPr>
        <w:t>reconhecimento do direito à regularidade junto ao FGTS</w:t>
      </w:r>
      <w:r w:rsidR="00655485" w:rsidRPr="00453555">
        <w:rPr>
          <w:sz w:val="22"/>
          <w:szCs w:val="22"/>
        </w:rPr>
        <w:t xml:space="preserve">” que </w:t>
      </w:r>
      <w:r w:rsidR="005215AB" w:rsidRPr="00453555">
        <w:rPr>
          <w:sz w:val="22"/>
          <w:szCs w:val="22"/>
        </w:rPr>
        <w:t>abrangeria, segundo seu entendimento, período que satisfaria as exigências do edital da licitação. Levou em conta também q</w:t>
      </w:r>
      <w:r w:rsidR="00655485" w:rsidRPr="00453555">
        <w:rPr>
          <w:sz w:val="22"/>
          <w:szCs w:val="22"/>
        </w:rPr>
        <w:t xml:space="preserve">ue, posteriormente, </w:t>
      </w:r>
      <w:r w:rsidRPr="00453555">
        <w:rPr>
          <w:sz w:val="22"/>
          <w:szCs w:val="22"/>
        </w:rPr>
        <w:t>seu pedido foi julgado procedente no tocante ao mérito, tendo-lhe sido concedida a segurança.</w:t>
      </w:r>
      <w:r w:rsidR="005215AB" w:rsidRPr="00453555">
        <w:rPr>
          <w:sz w:val="22"/>
          <w:szCs w:val="22"/>
        </w:rPr>
        <w:t xml:space="preserve"> Anotou, porém, que esse provimento judicial “</w:t>
      </w:r>
      <w:r w:rsidRPr="00453555">
        <w:rPr>
          <w:i/>
          <w:sz w:val="22"/>
          <w:szCs w:val="22"/>
        </w:rPr>
        <w:t>só foi garantido depois de três</w:t>
      </w:r>
      <w:r w:rsidR="005215AB" w:rsidRPr="00453555">
        <w:rPr>
          <w:i/>
          <w:sz w:val="22"/>
          <w:szCs w:val="22"/>
        </w:rPr>
        <w:t xml:space="preserve"> </w:t>
      </w:r>
      <w:r w:rsidRPr="00453555">
        <w:rPr>
          <w:i/>
          <w:sz w:val="22"/>
          <w:szCs w:val="22"/>
        </w:rPr>
        <w:t>meses do processamento da licitação</w:t>
      </w:r>
      <w:r w:rsidR="005215AB" w:rsidRPr="00453555">
        <w:rPr>
          <w:sz w:val="22"/>
          <w:szCs w:val="22"/>
        </w:rPr>
        <w:t>”</w:t>
      </w:r>
      <w:r w:rsidR="00B956D9">
        <w:rPr>
          <w:sz w:val="22"/>
          <w:szCs w:val="22"/>
        </w:rPr>
        <w:t>.</w:t>
      </w:r>
      <w:r w:rsidR="005215AB" w:rsidRPr="00453555">
        <w:rPr>
          <w:sz w:val="22"/>
          <w:szCs w:val="22"/>
        </w:rPr>
        <w:t xml:space="preserve"> Ponderou, ainda, que a licitante, em vez de apresentar certificado </w:t>
      </w:r>
      <w:r w:rsidR="004B4FB1" w:rsidRPr="00453555">
        <w:rPr>
          <w:sz w:val="22"/>
          <w:szCs w:val="22"/>
        </w:rPr>
        <w:t>eivado de vício, poderia</w:t>
      </w:r>
      <w:r w:rsidR="005215AB" w:rsidRPr="00453555">
        <w:rPr>
          <w:sz w:val="22"/>
          <w:szCs w:val="22"/>
        </w:rPr>
        <w:t xml:space="preserve"> ter quitado seus débitos junto ao FGTS com antecedência</w:t>
      </w:r>
      <w:r w:rsidR="004B4FB1" w:rsidRPr="00453555">
        <w:rPr>
          <w:sz w:val="22"/>
          <w:szCs w:val="22"/>
        </w:rPr>
        <w:t xml:space="preserve"> ou pleitea</w:t>
      </w:r>
      <w:r w:rsidR="00B956D9">
        <w:rPr>
          <w:sz w:val="22"/>
          <w:szCs w:val="22"/>
        </w:rPr>
        <w:t>do</w:t>
      </w:r>
      <w:r w:rsidR="004B4FB1" w:rsidRPr="00453555">
        <w:rPr>
          <w:sz w:val="22"/>
          <w:szCs w:val="22"/>
        </w:rPr>
        <w:t xml:space="preserve"> autorização judicial que </w:t>
      </w:r>
      <w:r w:rsidR="005215AB" w:rsidRPr="00453555">
        <w:rPr>
          <w:sz w:val="22"/>
          <w:szCs w:val="22"/>
        </w:rPr>
        <w:t xml:space="preserve">lhe </w:t>
      </w:r>
      <w:r w:rsidR="004B4FB1" w:rsidRPr="00453555">
        <w:rPr>
          <w:sz w:val="22"/>
          <w:szCs w:val="22"/>
        </w:rPr>
        <w:t>garantisse a participação no certame. O Tribunal, então, ao acolher proposta do Relator, decidiu: a) conhecer a representação</w:t>
      </w:r>
      <w:r w:rsidR="00453555" w:rsidRPr="00453555">
        <w:rPr>
          <w:sz w:val="22"/>
          <w:szCs w:val="22"/>
        </w:rPr>
        <w:t xml:space="preserve">; </w:t>
      </w:r>
      <w:r w:rsidR="004B4FB1" w:rsidRPr="00453555">
        <w:rPr>
          <w:sz w:val="22"/>
          <w:szCs w:val="22"/>
        </w:rPr>
        <w:t>b) com fundamento no art. 46 da Lei nº 8.443/1992, declarar a empresa inidônea, pelo período de um ano, para participar de licitação no âmbito da Administração Pública Federal</w:t>
      </w:r>
      <w:r w:rsidR="00C64E1A" w:rsidRPr="00453555">
        <w:rPr>
          <w:sz w:val="22"/>
          <w:szCs w:val="22"/>
        </w:rPr>
        <w:t xml:space="preserve">. Precedente mencionado: Acórdão nº 548/2007-Plenário. </w:t>
      </w:r>
      <w:r w:rsidR="00C64E1A" w:rsidRPr="00861A73">
        <w:rPr>
          <w:b/>
          <w:i/>
          <w:sz w:val="22"/>
          <w:szCs w:val="22"/>
        </w:rPr>
        <w:t xml:space="preserve">Acórdão n.º </w:t>
      </w:r>
      <w:r w:rsidR="003B2442" w:rsidRPr="00861A73">
        <w:rPr>
          <w:b/>
          <w:i/>
          <w:sz w:val="22"/>
          <w:szCs w:val="22"/>
        </w:rPr>
        <w:t>2</w:t>
      </w:r>
      <w:r w:rsidR="00861A73" w:rsidRPr="00861A73">
        <w:rPr>
          <w:b/>
          <w:i/>
          <w:sz w:val="22"/>
          <w:szCs w:val="22"/>
        </w:rPr>
        <w:t>60</w:t>
      </w:r>
      <w:r w:rsidR="00C64E1A" w:rsidRPr="00861A73">
        <w:rPr>
          <w:b/>
          <w:i/>
          <w:sz w:val="22"/>
          <w:szCs w:val="22"/>
        </w:rPr>
        <w:t xml:space="preserve">/2012-Plenário, </w:t>
      </w:r>
      <w:r w:rsidR="003B2442" w:rsidRPr="00861A73">
        <w:rPr>
          <w:b/>
          <w:i/>
          <w:sz w:val="22"/>
          <w:szCs w:val="22"/>
        </w:rPr>
        <w:t>TC-</w:t>
      </w:r>
      <w:r w:rsidR="00861A73" w:rsidRPr="00861A73">
        <w:rPr>
          <w:b/>
          <w:i/>
          <w:sz w:val="23"/>
          <w:szCs w:val="23"/>
        </w:rPr>
        <w:t>032.693/2010-9</w:t>
      </w:r>
      <w:r w:rsidR="00C64E1A" w:rsidRPr="00861A73">
        <w:rPr>
          <w:b/>
          <w:i/>
          <w:sz w:val="22"/>
          <w:szCs w:val="22"/>
        </w:rPr>
        <w:t xml:space="preserve">, rel. Min. </w:t>
      </w:r>
      <w:r w:rsidR="00861A73" w:rsidRPr="00861A73">
        <w:rPr>
          <w:b/>
          <w:i/>
          <w:sz w:val="22"/>
          <w:szCs w:val="22"/>
        </w:rPr>
        <w:t>Augusto Nardes</w:t>
      </w:r>
      <w:r w:rsidR="00C64E1A" w:rsidRPr="00861A73">
        <w:rPr>
          <w:b/>
          <w:i/>
          <w:sz w:val="22"/>
          <w:szCs w:val="22"/>
        </w:rPr>
        <w:t>, 8.2.2012.</w:t>
      </w:r>
    </w:p>
    <w:p w:rsidR="00861A73" w:rsidRDefault="00861A73" w:rsidP="00861A73">
      <w:pPr>
        <w:pStyle w:val="Default"/>
        <w:jc w:val="both"/>
        <w:rPr>
          <w:b/>
          <w:sz w:val="22"/>
          <w:szCs w:val="22"/>
        </w:rPr>
      </w:pPr>
    </w:p>
    <w:p w:rsidR="00DD1917" w:rsidRDefault="00DD1917" w:rsidP="00861A73">
      <w:pPr>
        <w:pStyle w:val="Default"/>
        <w:jc w:val="both"/>
        <w:rPr>
          <w:b/>
          <w:sz w:val="22"/>
          <w:szCs w:val="22"/>
        </w:rPr>
      </w:pPr>
    </w:p>
    <w:p w:rsidR="00DD1917" w:rsidRDefault="00DD1917" w:rsidP="00861A73">
      <w:pPr>
        <w:pStyle w:val="Default"/>
        <w:jc w:val="both"/>
        <w:rPr>
          <w:b/>
          <w:sz w:val="22"/>
          <w:szCs w:val="22"/>
        </w:rPr>
      </w:pPr>
    </w:p>
    <w:p w:rsidR="00DD1917" w:rsidRDefault="00DD1917" w:rsidP="00861A73">
      <w:pPr>
        <w:pStyle w:val="Default"/>
        <w:jc w:val="both"/>
        <w:rPr>
          <w:b/>
          <w:sz w:val="22"/>
          <w:szCs w:val="22"/>
        </w:rPr>
      </w:pPr>
    </w:p>
    <w:p w:rsidR="00BB543C" w:rsidRPr="00453555" w:rsidRDefault="00BB543C" w:rsidP="00861A73">
      <w:pPr>
        <w:pStyle w:val="Default"/>
        <w:jc w:val="both"/>
        <w:rPr>
          <w:b/>
          <w:sz w:val="22"/>
          <w:szCs w:val="22"/>
        </w:rPr>
      </w:pPr>
    </w:p>
    <w:p w:rsidR="00861A73" w:rsidRPr="005432C8" w:rsidRDefault="00861A73" w:rsidP="00861A73">
      <w:pPr>
        <w:pStyle w:val="Default"/>
        <w:jc w:val="both"/>
        <w:rPr>
          <w:b/>
          <w:sz w:val="22"/>
          <w:szCs w:val="22"/>
        </w:rPr>
      </w:pPr>
      <w:r w:rsidRPr="00453555">
        <w:rPr>
          <w:b/>
          <w:sz w:val="22"/>
          <w:szCs w:val="22"/>
        </w:rPr>
        <w:t xml:space="preserve">Alterações substanciais em itens que integram lote de licitação </w:t>
      </w:r>
      <w:r w:rsidR="00F41DDA">
        <w:rPr>
          <w:b/>
          <w:sz w:val="22"/>
          <w:szCs w:val="22"/>
        </w:rPr>
        <w:t>que tem por objetivo a</w:t>
      </w:r>
      <w:r w:rsidRPr="00453555">
        <w:rPr>
          <w:b/>
          <w:sz w:val="22"/>
          <w:szCs w:val="22"/>
        </w:rPr>
        <w:t xml:space="preserve"> conformação de ata de registro de preços demandam a republicação do edital e a reabertura do prazo para formulação de propostas</w:t>
      </w:r>
      <w:r w:rsidR="005432C8">
        <w:rPr>
          <w:b/>
          <w:sz w:val="22"/>
          <w:szCs w:val="22"/>
        </w:rPr>
        <w:t xml:space="preserve">, em respeito ao </w:t>
      </w:r>
      <w:r w:rsidR="005432C8" w:rsidRPr="005432C8">
        <w:rPr>
          <w:b/>
          <w:sz w:val="22"/>
          <w:szCs w:val="22"/>
        </w:rPr>
        <w:t xml:space="preserve">disposto no art. 21, § 4º, da Lei 8.666/1993 e </w:t>
      </w:r>
      <w:r w:rsidR="005432C8">
        <w:rPr>
          <w:b/>
          <w:sz w:val="22"/>
          <w:szCs w:val="22"/>
        </w:rPr>
        <w:t>n</w:t>
      </w:r>
      <w:r w:rsidR="005432C8" w:rsidRPr="005432C8">
        <w:rPr>
          <w:b/>
          <w:sz w:val="22"/>
          <w:szCs w:val="22"/>
        </w:rPr>
        <w:t xml:space="preserve">o art. 20 do Decreto 5.450/2005  </w:t>
      </w:r>
      <w:r w:rsidRPr="005432C8">
        <w:rPr>
          <w:b/>
          <w:sz w:val="22"/>
          <w:szCs w:val="22"/>
        </w:rPr>
        <w:t xml:space="preserve"> </w:t>
      </w:r>
    </w:p>
    <w:p w:rsidR="00861A73" w:rsidRPr="00453555" w:rsidRDefault="00861A73" w:rsidP="00861A73">
      <w:pPr>
        <w:pStyle w:val="Default"/>
        <w:jc w:val="both"/>
        <w:rPr>
          <w:b/>
          <w:i/>
          <w:sz w:val="22"/>
          <w:szCs w:val="22"/>
        </w:rPr>
      </w:pPr>
      <w:r w:rsidRPr="00453555">
        <w:rPr>
          <w:sz w:val="22"/>
          <w:szCs w:val="22"/>
        </w:rPr>
        <w:t>Representação formulada por empresa apontou supostas irregularidades no Pregão Eletrônico 25/2011, promovido pelo Comando da Brigada de Infantaria Paraquedista (Brigada), que tem por objeto o registro de preços, do tipo menor preço por lote, visando a aquisição de material para serviço de aprovisionamento. O objeto do pregão compõe-se de 14 lotes, que foram conformados em razão de semelhanças entre seus itens. Ao todo, foram especificados 185 itens. Ao examinar os elementos trazidos aos autos, anotou o relator que “</w:t>
      </w:r>
      <w:r w:rsidRPr="00453555">
        <w:rPr>
          <w:i/>
          <w:sz w:val="22"/>
          <w:szCs w:val="22"/>
        </w:rPr>
        <w:t>o lote 12, objeto da representação, era composto de 101 itens de utensílios domésticos, como açucareiros, baldes de gelo, bandejas, baixelas, bules, talheres, copos, xícaras, coadores de café, refratários, dentre outros</w:t>
      </w:r>
      <w:r w:rsidRPr="00453555">
        <w:rPr>
          <w:sz w:val="22"/>
          <w:szCs w:val="22"/>
        </w:rPr>
        <w:t>”. Esse lote teve valor estimado de R$ 1.800.860,96, o que correspondeu a cerca de 15,70% da estimativa global da contratação.  Ocorre que, ao apreciar impugnação de licitante, em resposta encaminhada por meio eletrônico a ele, reconheceu que “</w:t>
      </w:r>
      <w:r w:rsidRPr="00453555">
        <w:rPr>
          <w:i/>
          <w:sz w:val="22"/>
          <w:szCs w:val="22"/>
        </w:rPr>
        <w:t>alguns itens que compõem o lote 12, são discrepantes do restante dos materiais</w:t>
      </w:r>
      <w:r w:rsidRPr="00453555">
        <w:rPr>
          <w:sz w:val="22"/>
          <w:szCs w:val="22"/>
        </w:rPr>
        <w:t>”. Em decorrência dessa ausência de características comuns, informou ao licitante “</w:t>
      </w:r>
      <w:r w:rsidRPr="00453555">
        <w:rPr>
          <w:i/>
          <w:sz w:val="22"/>
          <w:szCs w:val="22"/>
        </w:rPr>
        <w:t>que os itens 125, 126, 127, 128, 129, 130, 144, 145, 149, 150, 158 e 174 seriam excluídos do certame</w:t>
      </w:r>
      <w:r w:rsidRPr="00453555">
        <w:rPr>
          <w:sz w:val="22"/>
          <w:szCs w:val="22"/>
        </w:rPr>
        <w:t>”. A despeito disso, não foi efetuada publicação dessa impugnação, nem de sua resposta no campo próprio do sistema. Conforme registrado pela unidade técnica, os demais licitantes somente foram informados sobre o cancelamento dos citados itens após a abertura das propostas, mediante aviso no sistema Comprasnet. O relator do feito, ao examinar essa questão, ponderou: “</w:t>
      </w:r>
      <w:r w:rsidRPr="00453555">
        <w:rPr>
          <w:i/>
          <w:sz w:val="22"/>
          <w:szCs w:val="22"/>
        </w:rPr>
        <w:t>Pela relevância da quantidade e do valor dos itens excluídos em relação ao total do lote, o cancelamento dos itens do grupo 12 constitui alteração substancial no objeto da licitação</w:t>
      </w:r>
      <w:r w:rsidRPr="00453555">
        <w:rPr>
          <w:sz w:val="22"/>
          <w:szCs w:val="22"/>
        </w:rPr>
        <w:t>”. Tais alterações, portanto, demandavam a “</w:t>
      </w:r>
      <w:r w:rsidRPr="00453555">
        <w:rPr>
          <w:i/>
          <w:sz w:val="22"/>
          <w:szCs w:val="22"/>
        </w:rPr>
        <w:t>republicação do edital e de reabertura do prazo para formulação de propostas, se o órgão licitante pretendesse manter o lote no certame, em conformidade com o disposto no art. 21, § 4º, da Lei 8.666/1993 e do art. 20 do Decreto 5.450/2005</w:t>
      </w:r>
      <w:r w:rsidRPr="00453555">
        <w:rPr>
          <w:sz w:val="22"/>
          <w:szCs w:val="22"/>
        </w:rPr>
        <w:t xml:space="preserve">”, cujos teores foram explicitados em seu despacho: </w:t>
      </w:r>
      <w:r w:rsidRPr="00453555">
        <w:rPr>
          <w:i/>
          <w:sz w:val="22"/>
          <w:szCs w:val="22"/>
        </w:rPr>
        <w:t>"[Lei 8.666/1993] Art. 21. §4º Qualquer modificação no edital exige divulgação pela mesma forma que se deu o texto original, reabrindo-se o prazo inicialmente estabelecido, exceto quando, inquestionavelmente, a alteração não afetar a formulação das propostas</w:t>
      </w:r>
      <w:r w:rsidRPr="00453555">
        <w:rPr>
          <w:sz w:val="22"/>
          <w:szCs w:val="22"/>
        </w:rPr>
        <w:t xml:space="preserve">” e </w:t>
      </w:r>
      <w:r w:rsidRPr="00453555">
        <w:rPr>
          <w:i/>
          <w:sz w:val="22"/>
          <w:szCs w:val="22"/>
        </w:rPr>
        <w:t>“[Decreto 5.450/2005] Art. 20. Qualquer modificação no edital exige divulgação pelo mesmo instrumento de publicação em que se deu o texto original, reabrindo-se o prazo inicialmente estabelecido, exceto quando, inquestionavelmente, a alteração não afetar a formulação das propostas.</w:t>
      </w:r>
      <w:r w:rsidRPr="00453555">
        <w:rPr>
          <w:sz w:val="22"/>
          <w:szCs w:val="22"/>
        </w:rPr>
        <w:t>" O relator, em face dessa ocorrência e também de provável sobrepreço em itens cotados no Pregão, determinou ao Comando da Brigada de Infantaria Paraquedista que: a) não autorize adesões às atas de registro de preços decorrentes do pregão eletrônico 25/2011, até posterior deliberação deste Tribunal; b)</w:t>
      </w:r>
      <w:r w:rsidRPr="00453555">
        <w:rPr>
          <w:color w:val="auto"/>
          <w:sz w:val="22"/>
          <w:szCs w:val="22"/>
        </w:rPr>
        <w:t xml:space="preserve"> ao utilizar-se dessa ata, afira os preços registrados e, quando esses forem superiores aos que utilizou como preços de mercado, não os adquira. Promoveu, também, oitiva questionando a falta de republicação do edital apesar do cancelamento de vários itens do mencionado lote 12</w:t>
      </w:r>
      <w:r w:rsidR="00E163A5">
        <w:rPr>
          <w:color w:val="auto"/>
          <w:sz w:val="22"/>
          <w:szCs w:val="22"/>
        </w:rPr>
        <w:t>.</w:t>
      </w:r>
      <w:r w:rsidRPr="00453555">
        <w:rPr>
          <w:sz w:val="22"/>
          <w:szCs w:val="22"/>
        </w:rPr>
        <w:t xml:space="preserve"> O Plenário endossou a medida implementada pelo relator. </w:t>
      </w:r>
      <w:r w:rsidRPr="00E163A5">
        <w:rPr>
          <w:b/>
          <w:i/>
          <w:sz w:val="22"/>
          <w:szCs w:val="22"/>
        </w:rPr>
        <w:t>Comunicação ao Plenário, TC 036.516/2011-2, rel. Min. Weder de Oliveira, 8.2.2012.</w:t>
      </w:r>
      <w:r w:rsidRPr="00453555">
        <w:rPr>
          <w:b/>
          <w:i/>
          <w:sz w:val="22"/>
          <w:szCs w:val="22"/>
        </w:rPr>
        <w:t xml:space="preserve">  </w:t>
      </w:r>
    </w:p>
    <w:p w:rsidR="00861A73" w:rsidRPr="00861A73" w:rsidRDefault="00861A73" w:rsidP="00B938DE">
      <w:pPr>
        <w:pStyle w:val="Default"/>
        <w:rPr>
          <w:b/>
          <w:sz w:val="22"/>
          <w:szCs w:val="22"/>
        </w:rPr>
      </w:pPr>
    </w:p>
    <w:p w:rsidR="00C64E1A" w:rsidRPr="00453555" w:rsidRDefault="00861A73" w:rsidP="00861A73">
      <w:pPr>
        <w:pStyle w:val="Default"/>
        <w:tabs>
          <w:tab w:val="left" w:pos="8240"/>
        </w:tabs>
        <w:rPr>
          <w:b/>
          <w:i/>
          <w:sz w:val="22"/>
          <w:szCs w:val="22"/>
        </w:rPr>
      </w:pPr>
      <w:r>
        <w:rPr>
          <w:b/>
          <w:i/>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453555" w:rsidTr="0030360F">
        <w:trPr>
          <w:trHeight w:val="779"/>
          <w:jc w:val="center"/>
        </w:trPr>
        <w:tc>
          <w:tcPr>
            <w:tcW w:w="0" w:type="auto"/>
            <w:vAlign w:val="center"/>
          </w:tcPr>
          <w:p w:rsidR="007334B1" w:rsidRPr="00453555" w:rsidRDefault="00C10DD5" w:rsidP="00B408FD">
            <w:pPr>
              <w:pStyle w:val="enter-3pt"/>
              <w:tabs>
                <w:tab w:val="left" w:pos="2590"/>
              </w:tabs>
              <w:spacing w:line="240" w:lineRule="auto"/>
              <w:jc w:val="center"/>
              <w:rPr>
                <w:b/>
                <w:i/>
                <w:sz w:val="22"/>
                <w:szCs w:val="22"/>
              </w:rPr>
            </w:pPr>
            <w:r w:rsidRPr="00453555">
              <w:rPr>
                <w:b/>
                <w:i/>
                <w:sz w:val="22"/>
                <w:szCs w:val="22"/>
              </w:rPr>
              <w:t>Elaboração: Secretaria das Sessões</w:t>
            </w:r>
          </w:p>
          <w:p w:rsidR="007334B1" w:rsidRPr="00453555" w:rsidRDefault="007334B1" w:rsidP="00B408FD">
            <w:pPr>
              <w:pStyle w:val="enter-3pt"/>
              <w:tabs>
                <w:tab w:val="left" w:pos="2590"/>
              </w:tabs>
              <w:spacing w:line="240" w:lineRule="auto"/>
              <w:jc w:val="center"/>
              <w:rPr>
                <w:b/>
                <w:i/>
                <w:sz w:val="22"/>
                <w:szCs w:val="22"/>
              </w:rPr>
            </w:pPr>
            <w:r w:rsidRPr="00453555">
              <w:rPr>
                <w:b/>
                <w:i/>
                <w:sz w:val="22"/>
                <w:szCs w:val="22"/>
              </w:rPr>
              <w:t xml:space="preserve">Contato: </w:t>
            </w:r>
            <w:hyperlink r:id="rId8" w:history="1">
              <w:r w:rsidRPr="00453555">
                <w:rPr>
                  <w:rStyle w:val="Hyperlink"/>
                  <w:b/>
                  <w:i/>
                  <w:color w:val="auto"/>
                  <w:sz w:val="22"/>
                  <w:szCs w:val="22"/>
                </w:rPr>
                <w:t>infojuris@tcu.gov.br</w:t>
              </w:r>
            </w:hyperlink>
          </w:p>
        </w:tc>
      </w:tr>
    </w:tbl>
    <w:p w:rsidR="007334B1" w:rsidRPr="00453555" w:rsidRDefault="007334B1" w:rsidP="00D37E78">
      <w:pPr>
        <w:pStyle w:val="PargrafodaLista"/>
        <w:widowControl w:val="0"/>
        <w:autoSpaceDE w:val="0"/>
        <w:autoSpaceDN w:val="0"/>
        <w:adjustRightInd w:val="0"/>
        <w:spacing w:before="120"/>
        <w:ind w:left="0"/>
        <w:jc w:val="both"/>
        <w:rPr>
          <w:b/>
          <w:color w:val="FF0000"/>
          <w:sz w:val="22"/>
        </w:rPr>
      </w:pPr>
    </w:p>
    <w:sectPr w:rsidR="007334B1" w:rsidRPr="00453555"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ED3" w:rsidRDefault="00D92ED3" w:rsidP="008B0547">
      <w:pPr>
        <w:spacing w:after="0"/>
      </w:pPr>
      <w:r>
        <w:separator/>
      </w:r>
    </w:p>
  </w:endnote>
  <w:endnote w:type="continuationSeparator" w:id="0">
    <w:p w:rsidR="00D92ED3" w:rsidRDefault="00D92ED3"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23670A"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CE4ECD">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ED3" w:rsidRDefault="00D92ED3" w:rsidP="008B0547">
      <w:pPr>
        <w:spacing w:after="0"/>
      </w:pPr>
      <w:r>
        <w:separator/>
      </w:r>
    </w:p>
  </w:footnote>
  <w:footnote w:type="continuationSeparator" w:id="0">
    <w:p w:rsidR="00D92ED3" w:rsidRDefault="00D92ED3"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5E0B6D"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5E0B6D" w:rsidP="00080148">
    <w:pPr>
      <w:spacing w:after="0"/>
      <w:rPr>
        <w:rFonts w:ascii="Arial" w:hAnsi="Arial" w:cs="Arial"/>
        <w:b/>
      </w:rPr>
    </w:pPr>
    <w:r w:rsidRPr="0023670A">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D562"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5875A3" w:rsidRPr="00515E7B">
      <w:rPr>
        <w:rFonts w:ascii="Arial" w:hAnsi="Arial" w:cs="Arial"/>
        <w:noProof/>
        <w:lang w:eastAsia="pt-BR"/>
      </w:rPr>
      <w:t>Info</w:t>
    </w:r>
    <w:r w:rsidR="005875A3">
      <w:rPr>
        <w:rFonts w:ascii="Arial" w:hAnsi="Arial" w:cs="Arial"/>
        <w:noProof/>
        <w:lang w:eastAsia="pt-BR"/>
      </w:rPr>
      <w:t xml:space="preserve">rmativo </w:t>
    </w:r>
    <w:r w:rsidR="00364A5E">
      <w:rPr>
        <w:rFonts w:ascii="Arial" w:hAnsi="Arial" w:cs="Arial"/>
        <w:noProof/>
        <w:lang w:eastAsia="pt-BR"/>
      </w:rPr>
      <w:t xml:space="preserve">de Jurisprudência </w:t>
    </w:r>
    <w:r w:rsidR="005875A3">
      <w:rPr>
        <w:rFonts w:ascii="Arial" w:hAnsi="Arial" w:cs="Arial"/>
        <w:noProof/>
        <w:lang w:eastAsia="pt-BR"/>
      </w:rPr>
      <w:t>sobre L</w:t>
    </w:r>
    <w:r w:rsidR="005875A3" w:rsidRPr="00515E7B">
      <w:rPr>
        <w:rFonts w:ascii="Arial" w:hAnsi="Arial" w:cs="Arial"/>
        <w:noProof/>
        <w:lang w:eastAsia="pt-BR"/>
      </w:rPr>
      <w:t xml:space="preserve">icitações e </w:t>
    </w:r>
    <w:r w:rsidR="005875A3">
      <w:rPr>
        <w:rFonts w:ascii="Arial" w:hAnsi="Arial" w:cs="Arial"/>
        <w:noProof/>
        <w:lang w:eastAsia="pt-BR"/>
      </w:rPr>
      <w:t>C</w:t>
    </w:r>
    <w:r w:rsidR="005875A3" w:rsidRPr="00515E7B">
      <w:rPr>
        <w:rFonts w:ascii="Arial" w:hAnsi="Arial" w:cs="Arial"/>
        <w:noProof/>
        <w:lang w:eastAsia="pt-BR"/>
      </w:rPr>
      <w:t>ontratos</w:t>
    </w:r>
    <w:r w:rsidR="005875A3">
      <w:rPr>
        <w:rFonts w:ascii="Arial" w:hAnsi="Arial" w:cs="Arial"/>
        <w:noProof/>
        <w:lang w:eastAsia="pt-BR"/>
      </w:rPr>
      <w:t xml:space="preserve"> nº </w:t>
    </w:r>
    <w:r w:rsidR="00166D7E">
      <w:rPr>
        <w:rFonts w:ascii="Arial" w:hAnsi="Arial" w:cs="Arial"/>
        <w:noProof/>
        <w:lang w:eastAsia="pt-BR"/>
      </w:rPr>
      <w:t>93</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5">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25324A1"/>
    <w:multiLevelType w:val="hybridMultilevel"/>
    <w:tmpl w:val="8C7850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9">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19"/>
  </w:num>
  <w:num w:numId="3">
    <w:abstractNumId w:val="8"/>
  </w:num>
  <w:num w:numId="4">
    <w:abstractNumId w:val="0"/>
  </w:num>
  <w:num w:numId="5">
    <w:abstractNumId w:val="11"/>
  </w:num>
  <w:num w:numId="6">
    <w:abstractNumId w:val="18"/>
  </w:num>
  <w:num w:numId="7">
    <w:abstractNumId w:val="26"/>
  </w:num>
  <w:num w:numId="8">
    <w:abstractNumId w:val="23"/>
  </w:num>
  <w:num w:numId="9">
    <w:abstractNumId w:val="20"/>
  </w:num>
  <w:num w:numId="10">
    <w:abstractNumId w:val="6"/>
  </w:num>
  <w:num w:numId="11">
    <w:abstractNumId w:val="29"/>
  </w:num>
  <w:num w:numId="12">
    <w:abstractNumId w:val="4"/>
  </w:num>
  <w:num w:numId="13">
    <w:abstractNumId w:val="17"/>
  </w:num>
  <w:num w:numId="14">
    <w:abstractNumId w:val="25"/>
  </w:num>
  <w:num w:numId="15">
    <w:abstractNumId w:val="15"/>
  </w:num>
  <w:num w:numId="16">
    <w:abstractNumId w:val="2"/>
  </w:num>
  <w:num w:numId="17">
    <w:abstractNumId w:val="13"/>
  </w:num>
  <w:num w:numId="18">
    <w:abstractNumId w:val="28"/>
    <w:lvlOverride w:ilvl="0">
      <w:startOverride w:val="1"/>
    </w:lvlOverride>
  </w:num>
  <w:num w:numId="19">
    <w:abstractNumId w:val="21"/>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4D04"/>
    <w:rsid w:val="00005435"/>
    <w:rsid w:val="00005E1E"/>
    <w:rsid w:val="000118BC"/>
    <w:rsid w:val="000118CC"/>
    <w:rsid w:val="00011BA0"/>
    <w:rsid w:val="00011D5A"/>
    <w:rsid w:val="00012468"/>
    <w:rsid w:val="00013851"/>
    <w:rsid w:val="00015B6B"/>
    <w:rsid w:val="000161F7"/>
    <w:rsid w:val="0001636D"/>
    <w:rsid w:val="00020C27"/>
    <w:rsid w:val="00020C75"/>
    <w:rsid w:val="00020FC8"/>
    <w:rsid w:val="0002237E"/>
    <w:rsid w:val="0002327E"/>
    <w:rsid w:val="00023D72"/>
    <w:rsid w:val="000253D1"/>
    <w:rsid w:val="00025450"/>
    <w:rsid w:val="00025753"/>
    <w:rsid w:val="000271FA"/>
    <w:rsid w:val="000300A2"/>
    <w:rsid w:val="00031590"/>
    <w:rsid w:val="00032198"/>
    <w:rsid w:val="0003252F"/>
    <w:rsid w:val="00033551"/>
    <w:rsid w:val="00037DCE"/>
    <w:rsid w:val="00037E26"/>
    <w:rsid w:val="00041450"/>
    <w:rsid w:val="000438FC"/>
    <w:rsid w:val="00045CF0"/>
    <w:rsid w:val="000460E4"/>
    <w:rsid w:val="0004660A"/>
    <w:rsid w:val="00046CF7"/>
    <w:rsid w:val="0005133B"/>
    <w:rsid w:val="0005205F"/>
    <w:rsid w:val="00052B15"/>
    <w:rsid w:val="0005356E"/>
    <w:rsid w:val="000540FC"/>
    <w:rsid w:val="0005412B"/>
    <w:rsid w:val="00054432"/>
    <w:rsid w:val="00054FBE"/>
    <w:rsid w:val="000562CD"/>
    <w:rsid w:val="00056A5A"/>
    <w:rsid w:val="00056D51"/>
    <w:rsid w:val="0006028E"/>
    <w:rsid w:val="000606E0"/>
    <w:rsid w:val="00060CE3"/>
    <w:rsid w:val="00061C2E"/>
    <w:rsid w:val="000622E0"/>
    <w:rsid w:val="000647B1"/>
    <w:rsid w:val="00065A8B"/>
    <w:rsid w:val="00065E95"/>
    <w:rsid w:val="000675D5"/>
    <w:rsid w:val="00067E95"/>
    <w:rsid w:val="00070785"/>
    <w:rsid w:val="0007259B"/>
    <w:rsid w:val="00074384"/>
    <w:rsid w:val="00074AC5"/>
    <w:rsid w:val="00077A56"/>
    <w:rsid w:val="00077BA4"/>
    <w:rsid w:val="00080148"/>
    <w:rsid w:val="000807D4"/>
    <w:rsid w:val="00081DFB"/>
    <w:rsid w:val="000835D8"/>
    <w:rsid w:val="0008394A"/>
    <w:rsid w:val="00084282"/>
    <w:rsid w:val="00084727"/>
    <w:rsid w:val="00086A39"/>
    <w:rsid w:val="00086BAA"/>
    <w:rsid w:val="00086F53"/>
    <w:rsid w:val="00087006"/>
    <w:rsid w:val="0009133A"/>
    <w:rsid w:val="000916AF"/>
    <w:rsid w:val="000929ED"/>
    <w:rsid w:val="00092C2E"/>
    <w:rsid w:val="00094C5B"/>
    <w:rsid w:val="00094EEC"/>
    <w:rsid w:val="00095069"/>
    <w:rsid w:val="00095D98"/>
    <w:rsid w:val="0009649A"/>
    <w:rsid w:val="0009748C"/>
    <w:rsid w:val="00097863"/>
    <w:rsid w:val="00097ABD"/>
    <w:rsid w:val="00097BF6"/>
    <w:rsid w:val="000A04D2"/>
    <w:rsid w:val="000A0EF8"/>
    <w:rsid w:val="000A152A"/>
    <w:rsid w:val="000A1EBD"/>
    <w:rsid w:val="000A2C56"/>
    <w:rsid w:val="000A3A45"/>
    <w:rsid w:val="000A47EA"/>
    <w:rsid w:val="000A57DA"/>
    <w:rsid w:val="000A599E"/>
    <w:rsid w:val="000A6269"/>
    <w:rsid w:val="000A62BD"/>
    <w:rsid w:val="000B0ECB"/>
    <w:rsid w:val="000B0FEA"/>
    <w:rsid w:val="000B2AFA"/>
    <w:rsid w:val="000B5DB2"/>
    <w:rsid w:val="000B639F"/>
    <w:rsid w:val="000B6BC1"/>
    <w:rsid w:val="000C02AD"/>
    <w:rsid w:val="000C22C0"/>
    <w:rsid w:val="000C2558"/>
    <w:rsid w:val="000C2E3A"/>
    <w:rsid w:val="000C3DAB"/>
    <w:rsid w:val="000C4611"/>
    <w:rsid w:val="000C4648"/>
    <w:rsid w:val="000C4A10"/>
    <w:rsid w:val="000C5799"/>
    <w:rsid w:val="000C7D11"/>
    <w:rsid w:val="000D1878"/>
    <w:rsid w:val="000D1B91"/>
    <w:rsid w:val="000D1DC7"/>
    <w:rsid w:val="000D1EF5"/>
    <w:rsid w:val="000D1FD7"/>
    <w:rsid w:val="000D6388"/>
    <w:rsid w:val="000D6418"/>
    <w:rsid w:val="000D6906"/>
    <w:rsid w:val="000D7DB6"/>
    <w:rsid w:val="000D7DED"/>
    <w:rsid w:val="000E020F"/>
    <w:rsid w:val="000E12F7"/>
    <w:rsid w:val="000E1D37"/>
    <w:rsid w:val="000E2D47"/>
    <w:rsid w:val="000E3B31"/>
    <w:rsid w:val="000E3C6D"/>
    <w:rsid w:val="000E504D"/>
    <w:rsid w:val="000E55C6"/>
    <w:rsid w:val="000E7FD4"/>
    <w:rsid w:val="000F136B"/>
    <w:rsid w:val="000F2133"/>
    <w:rsid w:val="000F2D05"/>
    <w:rsid w:val="000F2F92"/>
    <w:rsid w:val="000F4373"/>
    <w:rsid w:val="000F45F0"/>
    <w:rsid w:val="000F6986"/>
    <w:rsid w:val="000F6D85"/>
    <w:rsid w:val="000F7B66"/>
    <w:rsid w:val="000F7CEE"/>
    <w:rsid w:val="000F7D84"/>
    <w:rsid w:val="000F7F62"/>
    <w:rsid w:val="001005A8"/>
    <w:rsid w:val="00102D37"/>
    <w:rsid w:val="001041ED"/>
    <w:rsid w:val="00104A62"/>
    <w:rsid w:val="00105454"/>
    <w:rsid w:val="001056D9"/>
    <w:rsid w:val="001057E4"/>
    <w:rsid w:val="00106775"/>
    <w:rsid w:val="001074E9"/>
    <w:rsid w:val="001104BA"/>
    <w:rsid w:val="001125A2"/>
    <w:rsid w:val="00112676"/>
    <w:rsid w:val="00112A5F"/>
    <w:rsid w:val="0011373A"/>
    <w:rsid w:val="00113A1F"/>
    <w:rsid w:val="00114511"/>
    <w:rsid w:val="00115911"/>
    <w:rsid w:val="001163BC"/>
    <w:rsid w:val="00116BAB"/>
    <w:rsid w:val="001203BE"/>
    <w:rsid w:val="00122F63"/>
    <w:rsid w:val="001236D4"/>
    <w:rsid w:val="00125F9A"/>
    <w:rsid w:val="00126026"/>
    <w:rsid w:val="00130A0C"/>
    <w:rsid w:val="001316FC"/>
    <w:rsid w:val="00133EA9"/>
    <w:rsid w:val="00133FBC"/>
    <w:rsid w:val="00137B22"/>
    <w:rsid w:val="00137FE3"/>
    <w:rsid w:val="00140FED"/>
    <w:rsid w:val="00141D7A"/>
    <w:rsid w:val="001420D1"/>
    <w:rsid w:val="00142446"/>
    <w:rsid w:val="00142621"/>
    <w:rsid w:val="00142C16"/>
    <w:rsid w:val="001444A2"/>
    <w:rsid w:val="00144987"/>
    <w:rsid w:val="00151F92"/>
    <w:rsid w:val="0015258E"/>
    <w:rsid w:val="00152ECC"/>
    <w:rsid w:val="001532E4"/>
    <w:rsid w:val="0015496C"/>
    <w:rsid w:val="0015699C"/>
    <w:rsid w:val="00156A48"/>
    <w:rsid w:val="00156C90"/>
    <w:rsid w:val="00156DDB"/>
    <w:rsid w:val="00157614"/>
    <w:rsid w:val="00157AFE"/>
    <w:rsid w:val="00157C0F"/>
    <w:rsid w:val="001612C0"/>
    <w:rsid w:val="00163664"/>
    <w:rsid w:val="001658B2"/>
    <w:rsid w:val="001665B9"/>
    <w:rsid w:val="00166D7E"/>
    <w:rsid w:val="00171E89"/>
    <w:rsid w:val="001737F7"/>
    <w:rsid w:val="001744E7"/>
    <w:rsid w:val="00176375"/>
    <w:rsid w:val="001766A9"/>
    <w:rsid w:val="00177405"/>
    <w:rsid w:val="001809FD"/>
    <w:rsid w:val="00181339"/>
    <w:rsid w:val="00181848"/>
    <w:rsid w:val="00183A7D"/>
    <w:rsid w:val="001847D6"/>
    <w:rsid w:val="00184DD0"/>
    <w:rsid w:val="00192052"/>
    <w:rsid w:val="00194053"/>
    <w:rsid w:val="00195759"/>
    <w:rsid w:val="00195F77"/>
    <w:rsid w:val="001A0B42"/>
    <w:rsid w:val="001A0CC1"/>
    <w:rsid w:val="001A204B"/>
    <w:rsid w:val="001A2A67"/>
    <w:rsid w:val="001A3198"/>
    <w:rsid w:val="001A330B"/>
    <w:rsid w:val="001A4C6F"/>
    <w:rsid w:val="001A58D8"/>
    <w:rsid w:val="001A60A2"/>
    <w:rsid w:val="001A75FE"/>
    <w:rsid w:val="001A79D3"/>
    <w:rsid w:val="001B1669"/>
    <w:rsid w:val="001B19FF"/>
    <w:rsid w:val="001B2580"/>
    <w:rsid w:val="001B3530"/>
    <w:rsid w:val="001B3729"/>
    <w:rsid w:val="001B3BEF"/>
    <w:rsid w:val="001B3E8E"/>
    <w:rsid w:val="001B4316"/>
    <w:rsid w:val="001B4F90"/>
    <w:rsid w:val="001B5333"/>
    <w:rsid w:val="001B5426"/>
    <w:rsid w:val="001B6823"/>
    <w:rsid w:val="001B7F4F"/>
    <w:rsid w:val="001C0575"/>
    <w:rsid w:val="001C1568"/>
    <w:rsid w:val="001C1903"/>
    <w:rsid w:val="001C23B5"/>
    <w:rsid w:val="001C2950"/>
    <w:rsid w:val="001C437E"/>
    <w:rsid w:val="001C45FA"/>
    <w:rsid w:val="001C5C51"/>
    <w:rsid w:val="001C71E3"/>
    <w:rsid w:val="001C72D6"/>
    <w:rsid w:val="001D03C7"/>
    <w:rsid w:val="001D0FAF"/>
    <w:rsid w:val="001D1478"/>
    <w:rsid w:val="001D1E52"/>
    <w:rsid w:val="001D35B4"/>
    <w:rsid w:val="001D3C57"/>
    <w:rsid w:val="001D56C3"/>
    <w:rsid w:val="001D74CE"/>
    <w:rsid w:val="001E0BF1"/>
    <w:rsid w:val="001E1E28"/>
    <w:rsid w:val="001E2620"/>
    <w:rsid w:val="001E4147"/>
    <w:rsid w:val="001E5B5B"/>
    <w:rsid w:val="001E7019"/>
    <w:rsid w:val="001E71F9"/>
    <w:rsid w:val="001E747D"/>
    <w:rsid w:val="001E76DA"/>
    <w:rsid w:val="001E7C3D"/>
    <w:rsid w:val="001F00DF"/>
    <w:rsid w:val="001F0DEE"/>
    <w:rsid w:val="001F1E8F"/>
    <w:rsid w:val="001F4B90"/>
    <w:rsid w:val="001F553C"/>
    <w:rsid w:val="001F64D1"/>
    <w:rsid w:val="002000F8"/>
    <w:rsid w:val="00200260"/>
    <w:rsid w:val="002002CE"/>
    <w:rsid w:val="0020066F"/>
    <w:rsid w:val="0020107A"/>
    <w:rsid w:val="0020135D"/>
    <w:rsid w:val="00201A21"/>
    <w:rsid w:val="00201FED"/>
    <w:rsid w:val="00202EAD"/>
    <w:rsid w:val="00203A6F"/>
    <w:rsid w:val="00205DB1"/>
    <w:rsid w:val="00211816"/>
    <w:rsid w:val="002139A2"/>
    <w:rsid w:val="00217566"/>
    <w:rsid w:val="00217B1B"/>
    <w:rsid w:val="00223BB9"/>
    <w:rsid w:val="00225D42"/>
    <w:rsid w:val="00226AEF"/>
    <w:rsid w:val="00226D9D"/>
    <w:rsid w:val="00227776"/>
    <w:rsid w:val="00231C86"/>
    <w:rsid w:val="00232158"/>
    <w:rsid w:val="002328F9"/>
    <w:rsid w:val="0023395B"/>
    <w:rsid w:val="00233CE3"/>
    <w:rsid w:val="002343BF"/>
    <w:rsid w:val="00234556"/>
    <w:rsid w:val="0023535F"/>
    <w:rsid w:val="002353E9"/>
    <w:rsid w:val="00235D4C"/>
    <w:rsid w:val="002366B7"/>
    <w:rsid w:val="0023670A"/>
    <w:rsid w:val="00236F05"/>
    <w:rsid w:val="002415A6"/>
    <w:rsid w:val="00242061"/>
    <w:rsid w:val="002435FC"/>
    <w:rsid w:val="002442D9"/>
    <w:rsid w:val="00244BA7"/>
    <w:rsid w:val="00245432"/>
    <w:rsid w:val="0024593F"/>
    <w:rsid w:val="00247107"/>
    <w:rsid w:val="002476B6"/>
    <w:rsid w:val="00247E76"/>
    <w:rsid w:val="00247E8F"/>
    <w:rsid w:val="002510D5"/>
    <w:rsid w:val="00253242"/>
    <w:rsid w:val="00254590"/>
    <w:rsid w:val="002549FC"/>
    <w:rsid w:val="00255C16"/>
    <w:rsid w:val="00257D8A"/>
    <w:rsid w:val="00261488"/>
    <w:rsid w:val="0026222C"/>
    <w:rsid w:val="00262359"/>
    <w:rsid w:val="0026362E"/>
    <w:rsid w:val="002639CA"/>
    <w:rsid w:val="002649A7"/>
    <w:rsid w:val="00264FC3"/>
    <w:rsid w:val="002663B7"/>
    <w:rsid w:val="002666C5"/>
    <w:rsid w:val="00266C8A"/>
    <w:rsid w:val="00267900"/>
    <w:rsid w:val="00270EAC"/>
    <w:rsid w:val="00271CD7"/>
    <w:rsid w:val="00271CF2"/>
    <w:rsid w:val="00271D81"/>
    <w:rsid w:val="0027213F"/>
    <w:rsid w:val="0027267D"/>
    <w:rsid w:val="00273058"/>
    <w:rsid w:val="00273E72"/>
    <w:rsid w:val="00274068"/>
    <w:rsid w:val="0027498E"/>
    <w:rsid w:val="00276215"/>
    <w:rsid w:val="0027686D"/>
    <w:rsid w:val="00276B43"/>
    <w:rsid w:val="00276DC0"/>
    <w:rsid w:val="00277F47"/>
    <w:rsid w:val="00280F3D"/>
    <w:rsid w:val="002810D9"/>
    <w:rsid w:val="00281830"/>
    <w:rsid w:val="00281D9E"/>
    <w:rsid w:val="002830F6"/>
    <w:rsid w:val="002836D4"/>
    <w:rsid w:val="00285FDD"/>
    <w:rsid w:val="00287326"/>
    <w:rsid w:val="0029043B"/>
    <w:rsid w:val="00290A06"/>
    <w:rsid w:val="00291766"/>
    <w:rsid w:val="0029211E"/>
    <w:rsid w:val="00293198"/>
    <w:rsid w:val="0029450E"/>
    <w:rsid w:val="0029746F"/>
    <w:rsid w:val="00297A00"/>
    <w:rsid w:val="002A03ED"/>
    <w:rsid w:val="002A040F"/>
    <w:rsid w:val="002A190F"/>
    <w:rsid w:val="002A2129"/>
    <w:rsid w:val="002A3796"/>
    <w:rsid w:val="002A3B3F"/>
    <w:rsid w:val="002A42CE"/>
    <w:rsid w:val="002A5A02"/>
    <w:rsid w:val="002A651C"/>
    <w:rsid w:val="002A6CE6"/>
    <w:rsid w:val="002B059A"/>
    <w:rsid w:val="002B1AD6"/>
    <w:rsid w:val="002B2414"/>
    <w:rsid w:val="002B3128"/>
    <w:rsid w:val="002B32DD"/>
    <w:rsid w:val="002B3968"/>
    <w:rsid w:val="002B4001"/>
    <w:rsid w:val="002B409B"/>
    <w:rsid w:val="002B4392"/>
    <w:rsid w:val="002B4764"/>
    <w:rsid w:val="002B56C3"/>
    <w:rsid w:val="002B5AD5"/>
    <w:rsid w:val="002B5C5A"/>
    <w:rsid w:val="002B6422"/>
    <w:rsid w:val="002B71BA"/>
    <w:rsid w:val="002B7B4D"/>
    <w:rsid w:val="002C208E"/>
    <w:rsid w:val="002C2F67"/>
    <w:rsid w:val="002C4633"/>
    <w:rsid w:val="002C506F"/>
    <w:rsid w:val="002C662D"/>
    <w:rsid w:val="002C7B61"/>
    <w:rsid w:val="002C7B6D"/>
    <w:rsid w:val="002D0B7C"/>
    <w:rsid w:val="002D0D1A"/>
    <w:rsid w:val="002D0ECD"/>
    <w:rsid w:val="002D155C"/>
    <w:rsid w:val="002D1637"/>
    <w:rsid w:val="002D1688"/>
    <w:rsid w:val="002D1B69"/>
    <w:rsid w:val="002D1BA5"/>
    <w:rsid w:val="002D3043"/>
    <w:rsid w:val="002D35F5"/>
    <w:rsid w:val="002D47FE"/>
    <w:rsid w:val="002D532D"/>
    <w:rsid w:val="002D739A"/>
    <w:rsid w:val="002D73BD"/>
    <w:rsid w:val="002D76AB"/>
    <w:rsid w:val="002D786D"/>
    <w:rsid w:val="002E0C55"/>
    <w:rsid w:val="002E0CBF"/>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2AEE"/>
    <w:rsid w:val="002F3866"/>
    <w:rsid w:val="002F4696"/>
    <w:rsid w:val="002F5E6B"/>
    <w:rsid w:val="002F5F3B"/>
    <w:rsid w:val="002F693C"/>
    <w:rsid w:val="002F7C6D"/>
    <w:rsid w:val="003020F4"/>
    <w:rsid w:val="003023A1"/>
    <w:rsid w:val="003025C7"/>
    <w:rsid w:val="0030360F"/>
    <w:rsid w:val="00303790"/>
    <w:rsid w:val="00303984"/>
    <w:rsid w:val="00304161"/>
    <w:rsid w:val="00304A73"/>
    <w:rsid w:val="00304DFD"/>
    <w:rsid w:val="003057F7"/>
    <w:rsid w:val="00306864"/>
    <w:rsid w:val="003069F9"/>
    <w:rsid w:val="00310208"/>
    <w:rsid w:val="0031058F"/>
    <w:rsid w:val="0031089E"/>
    <w:rsid w:val="00310D69"/>
    <w:rsid w:val="00311B02"/>
    <w:rsid w:val="003147B7"/>
    <w:rsid w:val="00314844"/>
    <w:rsid w:val="003149A9"/>
    <w:rsid w:val="0031528D"/>
    <w:rsid w:val="00316FB0"/>
    <w:rsid w:val="00317E59"/>
    <w:rsid w:val="00320465"/>
    <w:rsid w:val="00322AE7"/>
    <w:rsid w:val="00325246"/>
    <w:rsid w:val="00325D35"/>
    <w:rsid w:val="00326448"/>
    <w:rsid w:val="0032650F"/>
    <w:rsid w:val="0032662E"/>
    <w:rsid w:val="00326B3B"/>
    <w:rsid w:val="003275E4"/>
    <w:rsid w:val="00330069"/>
    <w:rsid w:val="00330144"/>
    <w:rsid w:val="0033244F"/>
    <w:rsid w:val="00332EF9"/>
    <w:rsid w:val="00333F1D"/>
    <w:rsid w:val="00335707"/>
    <w:rsid w:val="00337E16"/>
    <w:rsid w:val="0034069B"/>
    <w:rsid w:val="00340E66"/>
    <w:rsid w:val="00340F10"/>
    <w:rsid w:val="00341D56"/>
    <w:rsid w:val="00342A44"/>
    <w:rsid w:val="003436D7"/>
    <w:rsid w:val="00343FC9"/>
    <w:rsid w:val="00344520"/>
    <w:rsid w:val="0034486B"/>
    <w:rsid w:val="00344D92"/>
    <w:rsid w:val="003455A2"/>
    <w:rsid w:val="00345760"/>
    <w:rsid w:val="00345BD4"/>
    <w:rsid w:val="0034675B"/>
    <w:rsid w:val="0034741D"/>
    <w:rsid w:val="0034796E"/>
    <w:rsid w:val="003506E7"/>
    <w:rsid w:val="00350BE7"/>
    <w:rsid w:val="00350E87"/>
    <w:rsid w:val="00353B7C"/>
    <w:rsid w:val="0035438E"/>
    <w:rsid w:val="00355828"/>
    <w:rsid w:val="00356418"/>
    <w:rsid w:val="00356E38"/>
    <w:rsid w:val="00357CBE"/>
    <w:rsid w:val="0036100D"/>
    <w:rsid w:val="00361487"/>
    <w:rsid w:val="00361661"/>
    <w:rsid w:val="00363344"/>
    <w:rsid w:val="00364A5E"/>
    <w:rsid w:val="00365F91"/>
    <w:rsid w:val="00370BC7"/>
    <w:rsid w:val="00371289"/>
    <w:rsid w:val="003719DE"/>
    <w:rsid w:val="00371A33"/>
    <w:rsid w:val="00372E83"/>
    <w:rsid w:val="00375080"/>
    <w:rsid w:val="00375F02"/>
    <w:rsid w:val="00377407"/>
    <w:rsid w:val="00380026"/>
    <w:rsid w:val="00381780"/>
    <w:rsid w:val="0038242D"/>
    <w:rsid w:val="003824E4"/>
    <w:rsid w:val="00383CFE"/>
    <w:rsid w:val="00384BEF"/>
    <w:rsid w:val="003853FF"/>
    <w:rsid w:val="00385609"/>
    <w:rsid w:val="003856A4"/>
    <w:rsid w:val="00385DAB"/>
    <w:rsid w:val="0038696B"/>
    <w:rsid w:val="00387CA6"/>
    <w:rsid w:val="00387CBD"/>
    <w:rsid w:val="003900C7"/>
    <w:rsid w:val="0039039F"/>
    <w:rsid w:val="00390ED6"/>
    <w:rsid w:val="00391B5C"/>
    <w:rsid w:val="00392509"/>
    <w:rsid w:val="003925E5"/>
    <w:rsid w:val="00392CD3"/>
    <w:rsid w:val="00393786"/>
    <w:rsid w:val="00393FCC"/>
    <w:rsid w:val="003943E5"/>
    <w:rsid w:val="0039629A"/>
    <w:rsid w:val="00397D8E"/>
    <w:rsid w:val="003A105C"/>
    <w:rsid w:val="003A2222"/>
    <w:rsid w:val="003A3262"/>
    <w:rsid w:val="003A5479"/>
    <w:rsid w:val="003A5C1B"/>
    <w:rsid w:val="003A7C7F"/>
    <w:rsid w:val="003B023B"/>
    <w:rsid w:val="003B0304"/>
    <w:rsid w:val="003B043F"/>
    <w:rsid w:val="003B155C"/>
    <w:rsid w:val="003B1E19"/>
    <w:rsid w:val="003B2442"/>
    <w:rsid w:val="003B2486"/>
    <w:rsid w:val="003B2E10"/>
    <w:rsid w:val="003B33CE"/>
    <w:rsid w:val="003B343D"/>
    <w:rsid w:val="003B391B"/>
    <w:rsid w:val="003B4936"/>
    <w:rsid w:val="003B56D7"/>
    <w:rsid w:val="003C1911"/>
    <w:rsid w:val="003C1B4F"/>
    <w:rsid w:val="003C1CD8"/>
    <w:rsid w:val="003C21BD"/>
    <w:rsid w:val="003C2288"/>
    <w:rsid w:val="003C331C"/>
    <w:rsid w:val="003C3336"/>
    <w:rsid w:val="003C39E6"/>
    <w:rsid w:val="003C526E"/>
    <w:rsid w:val="003C5A68"/>
    <w:rsid w:val="003C6DEB"/>
    <w:rsid w:val="003C7585"/>
    <w:rsid w:val="003C7A5C"/>
    <w:rsid w:val="003D0C03"/>
    <w:rsid w:val="003D660C"/>
    <w:rsid w:val="003D73BD"/>
    <w:rsid w:val="003D7CCE"/>
    <w:rsid w:val="003E0864"/>
    <w:rsid w:val="003E0D8C"/>
    <w:rsid w:val="003E154A"/>
    <w:rsid w:val="003E15A3"/>
    <w:rsid w:val="003E1B68"/>
    <w:rsid w:val="003E2601"/>
    <w:rsid w:val="003E65D7"/>
    <w:rsid w:val="003E7483"/>
    <w:rsid w:val="003F0515"/>
    <w:rsid w:val="003F163F"/>
    <w:rsid w:val="003F1ACE"/>
    <w:rsid w:val="003F1CE1"/>
    <w:rsid w:val="003F2D7E"/>
    <w:rsid w:val="003F413A"/>
    <w:rsid w:val="003F5154"/>
    <w:rsid w:val="003F5249"/>
    <w:rsid w:val="003F54FB"/>
    <w:rsid w:val="003F6572"/>
    <w:rsid w:val="003F68AD"/>
    <w:rsid w:val="003F6D1F"/>
    <w:rsid w:val="00400F7F"/>
    <w:rsid w:val="004017DA"/>
    <w:rsid w:val="004036AF"/>
    <w:rsid w:val="00403E3F"/>
    <w:rsid w:val="0040424B"/>
    <w:rsid w:val="00405316"/>
    <w:rsid w:val="0041018F"/>
    <w:rsid w:val="0041153E"/>
    <w:rsid w:val="004123CF"/>
    <w:rsid w:val="00412488"/>
    <w:rsid w:val="00412B7F"/>
    <w:rsid w:val="00412CEF"/>
    <w:rsid w:val="004141A8"/>
    <w:rsid w:val="004169D8"/>
    <w:rsid w:val="00420098"/>
    <w:rsid w:val="004201AF"/>
    <w:rsid w:val="00424E58"/>
    <w:rsid w:val="00425FF9"/>
    <w:rsid w:val="00426328"/>
    <w:rsid w:val="00427B3B"/>
    <w:rsid w:val="00427EBF"/>
    <w:rsid w:val="0043072D"/>
    <w:rsid w:val="00430A9E"/>
    <w:rsid w:val="00431085"/>
    <w:rsid w:val="00431AA2"/>
    <w:rsid w:val="00432278"/>
    <w:rsid w:val="00432341"/>
    <w:rsid w:val="00435269"/>
    <w:rsid w:val="004362AB"/>
    <w:rsid w:val="00441101"/>
    <w:rsid w:val="004415FB"/>
    <w:rsid w:val="00441CE3"/>
    <w:rsid w:val="004421F5"/>
    <w:rsid w:val="004425E2"/>
    <w:rsid w:val="0044284D"/>
    <w:rsid w:val="00443050"/>
    <w:rsid w:val="0044434A"/>
    <w:rsid w:val="0044437F"/>
    <w:rsid w:val="00445E76"/>
    <w:rsid w:val="00446606"/>
    <w:rsid w:val="004471BC"/>
    <w:rsid w:val="00447217"/>
    <w:rsid w:val="00451471"/>
    <w:rsid w:val="00452C60"/>
    <w:rsid w:val="00453555"/>
    <w:rsid w:val="00453FC2"/>
    <w:rsid w:val="0045665B"/>
    <w:rsid w:val="004573D3"/>
    <w:rsid w:val="00457F93"/>
    <w:rsid w:val="00460A1A"/>
    <w:rsid w:val="004617A9"/>
    <w:rsid w:val="00461B70"/>
    <w:rsid w:val="0046258E"/>
    <w:rsid w:val="00462D93"/>
    <w:rsid w:val="0046384E"/>
    <w:rsid w:val="00464CF4"/>
    <w:rsid w:val="00466E73"/>
    <w:rsid w:val="0046706B"/>
    <w:rsid w:val="00467815"/>
    <w:rsid w:val="00467BED"/>
    <w:rsid w:val="00471284"/>
    <w:rsid w:val="00472C57"/>
    <w:rsid w:val="00472FB0"/>
    <w:rsid w:val="00473696"/>
    <w:rsid w:val="00473721"/>
    <w:rsid w:val="00473A4B"/>
    <w:rsid w:val="0047480E"/>
    <w:rsid w:val="0047491E"/>
    <w:rsid w:val="00474A6A"/>
    <w:rsid w:val="0047658E"/>
    <w:rsid w:val="004836D8"/>
    <w:rsid w:val="004837C6"/>
    <w:rsid w:val="00483998"/>
    <w:rsid w:val="00483FC1"/>
    <w:rsid w:val="0048408F"/>
    <w:rsid w:val="00484250"/>
    <w:rsid w:val="00484E4C"/>
    <w:rsid w:val="004861CA"/>
    <w:rsid w:val="004878ED"/>
    <w:rsid w:val="00490C52"/>
    <w:rsid w:val="00491438"/>
    <w:rsid w:val="00491B1C"/>
    <w:rsid w:val="00492E3F"/>
    <w:rsid w:val="00493F5C"/>
    <w:rsid w:val="00494EB3"/>
    <w:rsid w:val="00495DB3"/>
    <w:rsid w:val="004A171B"/>
    <w:rsid w:val="004A2385"/>
    <w:rsid w:val="004A2D91"/>
    <w:rsid w:val="004A34CF"/>
    <w:rsid w:val="004A3B95"/>
    <w:rsid w:val="004A7912"/>
    <w:rsid w:val="004B0194"/>
    <w:rsid w:val="004B073F"/>
    <w:rsid w:val="004B1113"/>
    <w:rsid w:val="004B176A"/>
    <w:rsid w:val="004B1DC3"/>
    <w:rsid w:val="004B326B"/>
    <w:rsid w:val="004B36AE"/>
    <w:rsid w:val="004B4672"/>
    <w:rsid w:val="004B4FB1"/>
    <w:rsid w:val="004B58F5"/>
    <w:rsid w:val="004B67A4"/>
    <w:rsid w:val="004C289A"/>
    <w:rsid w:val="004C61A3"/>
    <w:rsid w:val="004C6E03"/>
    <w:rsid w:val="004C780C"/>
    <w:rsid w:val="004D03BA"/>
    <w:rsid w:val="004D3100"/>
    <w:rsid w:val="004D3441"/>
    <w:rsid w:val="004D45C8"/>
    <w:rsid w:val="004D6A38"/>
    <w:rsid w:val="004D6C65"/>
    <w:rsid w:val="004D708E"/>
    <w:rsid w:val="004D760C"/>
    <w:rsid w:val="004D7C91"/>
    <w:rsid w:val="004E26E4"/>
    <w:rsid w:val="004E357A"/>
    <w:rsid w:val="004E3861"/>
    <w:rsid w:val="004E5000"/>
    <w:rsid w:val="004E56F8"/>
    <w:rsid w:val="004E586B"/>
    <w:rsid w:val="004E65EB"/>
    <w:rsid w:val="004E7114"/>
    <w:rsid w:val="004E7E70"/>
    <w:rsid w:val="004F0244"/>
    <w:rsid w:val="004F0A27"/>
    <w:rsid w:val="004F3D4A"/>
    <w:rsid w:val="004F401E"/>
    <w:rsid w:val="004F7174"/>
    <w:rsid w:val="004F77A8"/>
    <w:rsid w:val="004F7E98"/>
    <w:rsid w:val="00500DD0"/>
    <w:rsid w:val="005010BA"/>
    <w:rsid w:val="005012AA"/>
    <w:rsid w:val="005012CF"/>
    <w:rsid w:val="0050355D"/>
    <w:rsid w:val="0050489B"/>
    <w:rsid w:val="005055B5"/>
    <w:rsid w:val="00505EC6"/>
    <w:rsid w:val="00506619"/>
    <w:rsid w:val="00507E53"/>
    <w:rsid w:val="00510257"/>
    <w:rsid w:val="00510A23"/>
    <w:rsid w:val="00510D1D"/>
    <w:rsid w:val="00511033"/>
    <w:rsid w:val="00511BBF"/>
    <w:rsid w:val="00512DD0"/>
    <w:rsid w:val="00515E7B"/>
    <w:rsid w:val="00517868"/>
    <w:rsid w:val="00520894"/>
    <w:rsid w:val="00520BC0"/>
    <w:rsid w:val="005215AB"/>
    <w:rsid w:val="005217F8"/>
    <w:rsid w:val="0052267A"/>
    <w:rsid w:val="005226D4"/>
    <w:rsid w:val="005239DD"/>
    <w:rsid w:val="00523CA1"/>
    <w:rsid w:val="00524A9C"/>
    <w:rsid w:val="005266F4"/>
    <w:rsid w:val="0052675C"/>
    <w:rsid w:val="00526D46"/>
    <w:rsid w:val="005303B5"/>
    <w:rsid w:val="00531143"/>
    <w:rsid w:val="0053186B"/>
    <w:rsid w:val="00531DD5"/>
    <w:rsid w:val="00532A23"/>
    <w:rsid w:val="00533BDA"/>
    <w:rsid w:val="005340EA"/>
    <w:rsid w:val="00534A44"/>
    <w:rsid w:val="00536332"/>
    <w:rsid w:val="00542821"/>
    <w:rsid w:val="005432C8"/>
    <w:rsid w:val="00543514"/>
    <w:rsid w:val="005438A1"/>
    <w:rsid w:val="00543B81"/>
    <w:rsid w:val="00543C00"/>
    <w:rsid w:val="00543EB8"/>
    <w:rsid w:val="00543F41"/>
    <w:rsid w:val="00544550"/>
    <w:rsid w:val="00544FCF"/>
    <w:rsid w:val="005450DC"/>
    <w:rsid w:val="00545A47"/>
    <w:rsid w:val="00545FC7"/>
    <w:rsid w:val="0054634E"/>
    <w:rsid w:val="00546B67"/>
    <w:rsid w:val="005474C7"/>
    <w:rsid w:val="00550F71"/>
    <w:rsid w:val="005512D3"/>
    <w:rsid w:val="00551C0E"/>
    <w:rsid w:val="00552BDA"/>
    <w:rsid w:val="005544FA"/>
    <w:rsid w:val="00554A33"/>
    <w:rsid w:val="0055588A"/>
    <w:rsid w:val="0055716D"/>
    <w:rsid w:val="005571A6"/>
    <w:rsid w:val="00557953"/>
    <w:rsid w:val="00560CA9"/>
    <w:rsid w:val="00560E55"/>
    <w:rsid w:val="00562E8F"/>
    <w:rsid w:val="0056301A"/>
    <w:rsid w:val="005635AD"/>
    <w:rsid w:val="005636B0"/>
    <w:rsid w:val="005640E1"/>
    <w:rsid w:val="00564EA1"/>
    <w:rsid w:val="0056534C"/>
    <w:rsid w:val="00566E81"/>
    <w:rsid w:val="00567CEE"/>
    <w:rsid w:val="005713F4"/>
    <w:rsid w:val="00571B61"/>
    <w:rsid w:val="00571E64"/>
    <w:rsid w:val="00573D3B"/>
    <w:rsid w:val="00575CC3"/>
    <w:rsid w:val="00575D10"/>
    <w:rsid w:val="00576018"/>
    <w:rsid w:val="005808CA"/>
    <w:rsid w:val="00580F26"/>
    <w:rsid w:val="00581A7C"/>
    <w:rsid w:val="0058427E"/>
    <w:rsid w:val="005864FA"/>
    <w:rsid w:val="005875A3"/>
    <w:rsid w:val="005902C9"/>
    <w:rsid w:val="00590750"/>
    <w:rsid w:val="00590907"/>
    <w:rsid w:val="0059346F"/>
    <w:rsid w:val="00594A7B"/>
    <w:rsid w:val="00595178"/>
    <w:rsid w:val="00596C07"/>
    <w:rsid w:val="00597AA7"/>
    <w:rsid w:val="005A1EAB"/>
    <w:rsid w:val="005A2D82"/>
    <w:rsid w:val="005A3789"/>
    <w:rsid w:val="005A3835"/>
    <w:rsid w:val="005A3AEC"/>
    <w:rsid w:val="005A61F7"/>
    <w:rsid w:val="005A6858"/>
    <w:rsid w:val="005A72F2"/>
    <w:rsid w:val="005B2194"/>
    <w:rsid w:val="005B2BC3"/>
    <w:rsid w:val="005B2D1E"/>
    <w:rsid w:val="005B4CFA"/>
    <w:rsid w:val="005B5B3D"/>
    <w:rsid w:val="005B6D64"/>
    <w:rsid w:val="005B7112"/>
    <w:rsid w:val="005B7166"/>
    <w:rsid w:val="005B74D2"/>
    <w:rsid w:val="005C18EE"/>
    <w:rsid w:val="005C1A79"/>
    <w:rsid w:val="005C4397"/>
    <w:rsid w:val="005C48CC"/>
    <w:rsid w:val="005C7644"/>
    <w:rsid w:val="005C791C"/>
    <w:rsid w:val="005C7BF4"/>
    <w:rsid w:val="005D1B66"/>
    <w:rsid w:val="005D1FDF"/>
    <w:rsid w:val="005D2B0F"/>
    <w:rsid w:val="005D323E"/>
    <w:rsid w:val="005D3352"/>
    <w:rsid w:val="005D3917"/>
    <w:rsid w:val="005D3D1E"/>
    <w:rsid w:val="005E06AE"/>
    <w:rsid w:val="005E0B6D"/>
    <w:rsid w:val="005E111B"/>
    <w:rsid w:val="005E12DD"/>
    <w:rsid w:val="005E269C"/>
    <w:rsid w:val="005E3586"/>
    <w:rsid w:val="005E386D"/>
    <w:rsid w:val="005E3EC0"/>
    <w:rsid w:val="005E4DEE"/>
    <w:rsid w:val="005E5FF1"/>
    <w:rsid w:val="005E72FB"/>
    <w:rsid w:val="005E7A63"/>
    <w:rsid w:val="005F01CE"/>
    <w:rsid w:val="005F135B"/>
    <w:rsid w:val="005F4E54"/>
    <w:rsid w:val="005F70B6"/>
    <w:rsid w:val="005F7A87"/>
    <w:rsid w:val="006011A3"/>
    <w:rsid w:val="006017DF"/>
    <w:rsid w:val="00601F0A"/>
    <w:rsid w:val="00602B38"/>
    <w:rsid w:val="00603630"/>
    <w:rsid w:val="0060382E"/>
    <w:rsid w:val="00604DBE"/>
    <w:rsid w:val="006063E1"/>
    <w:rsid w:val="006065E4"/>
    <w:rsid w:val="006066D1"/>
    <w:rsid w:val="00606F56"/>
    <w:rsid w:val="00607D48"/>
    <w:rsid w:val="00610039"/>
    <w:rsid w:val="00610381"/>
    <w:rsid w:val="00610917"/>
    <w:rsid w:val="00611B68"/>
    <w:rsid w:val="00611C07"/>
    <w:rsid w:val="00611E07"/>
    <w:rsid w:val="00612045"/>
    <w:rsid w:val="00612F12"/>
    <w:rsid w:val="00613AC9"/>
    <w:rsid w:val="00615808"/>
    <w:rsid w:val="00620E86"/>
    <w:rsid w:val="006219DD"/>
    <w:rsid w:val="00621D63"/>
    <w:rsid w:val="006223AE"/>
    <w:rsid w:val="00623DAF"/>
    <w:rsid w:val="006242BF"/>
    <w:rsid w:val="0062524C"/>
    <w:rsid w:val="00631FE7"/>
    <w:rsid w:val="00632ACC"/>
    <w:rsid w:val="006345C1"/>
    <w:rsid w:val="00634EDB"/>
    <w:rsid w:val="00634F76"/>
    <w:rsid w:val="00637FDD"/>
    <w:rsid w:val="00641E57"/>
    <w:rsid w:val="006423EF"/>
    <w:rsid w:val="0064260D"/>
    <w:rsid w:val="00643438"/>
    <w:rsid w:val="00643CED"/>
    <w:rsid w:val="00644DE2"/>
    <w:rsid w:val="006478E6"/>
    <w:rsid w:val="006503A5"/>
    <w:rsid w:val="00650463"/>
    <w:rsid w:val="00651660"/>
    <w:rsid w:val="00651C0A"/>
    <w:rsid w:val="00652171"/>
    <w:rsid w:val="00652FFB"/>
    <w:rsid w:val="00653133"/>
    <w:rsid w:val="006532C3"/>
    <w:rsid w:val="00654C9C"/>
    <w:rsid w:val="0065528E"/>
    <w:rsid w:val="00655485"/>
    <w:rsid w:val="0065606D"/>
    <w:rsid w:val="006571CC"/>
    <w:rsid w:val="006617ED"/>
    <w:rsid w:val="00661BD2"/>
    <w:rsid w:val="00663B35"/>
    <w:rsid w:val="006654B7"/>
    <w:rsid w:val="00666285"/>
    <w:rsid w:val="0066731A"/>
    <w:rsid w:val="0067097B"/>
    <w:rsid w:val="00670BE7"/>
    <w:rsid w:val="00670FEA"/>
    <w:rsid w:val="00671DC9"/>
    <w:rsid w:val="0067252D"/>
    <w:rsid w:val="006734AA"/>
    <w:rsid w:val="006734B3"/>
    <w:rsid w:val="0067353C"/>
    <w:rsid w:val="00676163"/>
    <w:rsid w:val="006764C4"/>
    <w:rsid w:val="006777E4"/>
    <w:rsid w:val="00677C22"/>
    <w:rsid w:val="006808CC"/>
    <w:rsid w:val="006813BF"/>
    <w:rsid w:val="00682F4C"/>
    <w:rsid w:val="00684966"/>
    <w:rsid w:val="00685899"/>
    <w:rsid w:val="00691611"/>
    <w:rsid w:val="00692D30"/>
    <w:rsid w:val="00695597"/>
    <w:rsid w:val="00696A89"/>
    <w:rsid w:val="00696DAE"/>
    <w:rsid w:val="00696F75"/>
    <w:rsid w:val="00696FEC"/>
    <w:rsid w:val="00697477"/>
    <w:rsid w:val="006A037E"/>
    <w:rsid w:val="006A131E"/>
    <w:rsid w:val="006A2019"/>
    <w:rsid w:val="006A21CC"/>
    <w:rsid w:val="006A30E6"/>
    <w:rsid w:val="006A3D41"/>
    <w:rsid w:val="006A7796"/>
    <w:rsid w:val="006B0495"/>
    <w:rsid w:val="006B0DCB"/>
    <w:rsid w:val="006B2408"/>
    <w:rsid w:val="006B24DB"/>
    <w:rsid w:val="006B3AF9"/>
    <w:rsid w:val="006B3C91"/>
    <w:rsid w:val="006B414C"/>
    <w:rsid w:val="006B4B0F"/>
    <w:rsid w:val="006C32CF"/>
    <w:rsid w:val="006C335E"/>
    <w:rsid w:val="006C3A1F"/>
    <w:rsid w:val="006C54BB"/>
    <w:rsid w:val="006C5C6C"/>
    <w:rsid w:val="006C63EB"/>
    <w:rsid w:val="006C6F73"/>
    <w:rsid w:val="006C7DE0"/>
    <w:rsid w:val="006D024B"/>
    <w:rsid w:val="006D16CA"/>
    <w:rsid w:val="006D3693"/>
    <w:rsid w:val="006D3DC7"/>
    <w:rsid w:val="006D4245"/>
    <w:rsid w:val="006D45AC"/>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4969"/>
    <w:rsid w:val="00705758"/>
    <w:rsid w:val="00705E45"/>
    <w:rsid w:val="0070707A"/>
    <w:rsid w:val="0070717A"/>
    <w:rsid w:val="00707244"/>
    <w:rsid w:val="00711167"/>
    <w:rsid w:val="00712CCC"/>
    <w:rsid w:val="007136E9"/>
    <w:rsid w:val="00713DE5"/>
    <w:rsid w:val="007155D9"/>
    <w:rsid w:val="007157A0"/>
    <w:rsid w:val="007174DA"/>
    <w:rsid w:val="00720910"/>
    <w:rsid w:val="00720F29"/>
    <w:rsid w:val="00721038"/>
    <w:rsid w:val="007224C2"/>
    <w:rsid w:val="0072306A"/>
    <w:rsid w:val="00723294"/>
    <w:rsid w:val="00726FEB"/>
    <w:rsid w:val="00731117"/>
    <w:rsid w:val="00731409"/>
    <w:rsid w:val="007334B1"/>
    <w:rsid w:val="007339F3"/>
    <w:rsid w:val="00733EB2"/>
    <w:rsid w:val="00737FEC"/>
    <w:rsid w:val="00740292"/>
    <w:rsid w:val="007424E5"/>
    <w:rsid w:val="00742B07"/>
    <w:rsid w:val="0074394A"/>
    <w:rsid w:val="00744619"/>
    <w:rsid w:val="0075064C"/>
    <w:rsid w:val="00752E39"/>
    <w:rsid w:val="00755956"/>
    <w:rsid w:val="00756161"/>
    <w:rsid w:val="00756AA0"/>
    <w:rsid w:val="00757B85"/>
    <w:rsid w:val="00757CE6"/>
    <w:rsid w:val="007622F8"/>
    <w:rsid w:val="00762AA2"/>
    <w:rsid w:val="00763097"/>
    <w:rsid w:val="00764CB0"/>
    <w:rsid w:val="007666D8"/>
    <w:rsid w:val="00766D03"/>
    <w:rsid w:val="007671B6"/>
    <w:rsid w:val="007671DA"/>
    <w:rsid w:val="00767C28"/>
    <w:rsid w:val="00770C72"/>
    <w:rsid w:val="007719A8"/>
    <w:rsid w:val="0077228C"/>
    <w:rsid w:val="00772356"/>
    <w:rsid w:val="00772FA8"/>
    <w:rsid w:val="00773CAE"/>
    <w:rsid w:val="00774593"/>
    <w:rsid w:val="007746F3"/>
    <w:rsid w:val="00774C88"/>
    <w:rsid w:val="00774D02"/>
    <w:rsid w:val="00776EDA"/>
    <w:rsid w:val="00777599"/>
    <w:rsid w:val="00782AE7"/>
    <w:rsid w:val="00782B59"/>
    <w:rsid w:val="00782CF1"/>
    <w:rsid w:val="00783A87"/>
    <w:rsid w:val="00784E47"/>
    <w:rsid w:val="00785646"/>
    <w:rsid w:val="00785CF8"/>
    <w:rsid w:val="0078685A"/>
    <w:rsid w:val="007870BA"/>
    <w:rsid w:val="00793277"/>
    <w:rsid w:val="00793463"/>
    <w:rsid w:val="0079435F"/>
    <w:rsid w:val="00796068"/>
    <w:rsid w:val="007965B0"/>
    <w:rsid w:val="00796CC0"/>
    <w:rsid w:val="00796CF1"/>
    <w:rsid w:val="007979EA"/>
    <w:rsid w:val="00797A74"/>
    <w:rsid w:val="007A19BC"/>
    <w:rsid w:val="007A1A35"/>
    <w:rsid w:val="007A1C2A"/>
    <w:rsid w:val="007A2166"/>
    <w:rsid w:val="007A2B7F"/>
    <w:rsid w:val="007A3059"/>
    <w:rsid w:val="007A581B"/>
    <w:rsid w:val="007A5922"/>
    <w:rsid w:val="007A5969"/>
    <w:rsid w:val="007A63D4"/>
    <w:rsid w:val="007A73F9"/>
    <w:rsid w:val="007A7C23"/>
    <w:rsid w:val="007B17F0"/>
    <w:rsid w:val="007B1ABA"/>
    <w:rsid w:val="007B2070"/>
    <w:rsid w:val="007B259B"/>
    <w:rsid w:val="007B3F28"/>
    <w:rsid w:val="007B434A"/>
    <w:rsid w:val="007B471E"/>
    <w:rsid w:val="007B5018"/>
    <w:rsid w:val="007B53E7"/>
    <w:rsid w:val="007B65B3"/>
    <w:rsid w:val="007B6A14"/>
    <w:rsid w:val="007B7287"/>
    <w:rsid w:val="007B7A70"/>
    <w:rsid w:val="007C08AB"/>
    <w:rsid w:val="007C2D69"/>
    <w:rsid w:val="007C31C1"/>
    <w:rsid w:val="007C38F7"/>
    <w:rsid w:val="007C4E99"/>
    <w:rsid w:val="007C5151"/>
    <w:rsid w:val="007C546B"/>
    <w:rsid w:val="007C5B8D"/>
    <w:rsid w:val="007C670D"/>
    <w:rsid w:val="007C7359"/>
    <w:rsid w:val="007D0CD1"/>
    <w:rsid w:val="007D0ED0"/>
    <w:rsid w:val="007D1F01"/>
    <w:rsid w:val="007D250D"/>
    <w:rsid w:val="007D3500"/>
    <w:rsid w:val="007D3868"/>
    <w:rsid w:val="007D3E0E"/>
    <w:rsid w:val="007D4104"/>
    <w:rsid w:val="007D48CF"/>
    <w:rsid w:val="007D4A4A"/>
    <w:rsid w:val="007E0721"/>
    <w:rsid w:val="007E0B69"/>
    <w:rsid w:val="007E0C58"/>
    <w:rsid w:val="007E0E05"/>
    <w:rsid w:val="007E1DD3"/>
    <w:rsid w:val="007E209F"/>
    <w:rsid w:val="007E23C8"/>
    <w:rsid w:val="007E25F0"/>
    <w:rsid w:val="007E2878"/>
    <w:rsid w:val="007E4655"/>
    <w:rsid w:val="007E4B34"/>
    <w:rsid w:val="007E50E4"/>
    <w:rsid w:val="007E55E0"/>
    <w:rsid w:val="007E5C50"/>
    <w:rsid w:val="007E5DED"/>
    <w:rsid w:val="007F0546"/>
    <w:rsid w:val="007F09D3"/>
    <w:rsid w:val="007F1DEB"/>
    <w:rsid w:val="007F22A5"/>
    <w:rsid w:val="007F421D"/>
    <w:rsid w:val="007F5688"/>
    <w:rsid w:val="007F588F"/>
    <w:rsid w:val="007F66A5"/>
    <w:rsid w:val="007F7F95"/>
    <w:rsid w:val="0080038A"/>
    <w:rsid w:val="0080065F"/>
    <w:rsid w:val="00802DA0"/>
    <w:rsid w:val="00804B2B"/>
    <w:rsid w:val="008051DE"/>
    <w:rsid w:val="00805659"/>
    <w:rsid w:val="00805B36"/>
    <w:rsid w:val="0080733E"/>
    <w:rsid w:val="00807A2A"/>
    <w:rsid w:val="00810CC2"/>
    <w:rsid w:val="00812C2A"/>
    <w:rsid w:val="0081324B"/>
    <w:rsid w:val="0081440E"/>
    <w:rsid w:val="00816193"/>
    <w:rsid w:val="008165E4"/>
    <w:rsid w:val="008172C9"/>
    <w:rsid w:val="008234BD"/>
    <w:rsid w:val="0082489C"/>
    <w:rsid w:val="00824A8C"/>
    <w:rsid w:val="00825155"/>
    <w:rsid w:val="00825D55"/>
    <w:rsid w:val="00825EB9"/>
    <w:rsid w:val="00826561"/>
    <w:rsid w:val="008279D7"/>
    <w:rsid w:val="008301B7"/>
    <w:rsid w:val="008303E2"/>
    <w:rsid w:val="00831B7E"/>
    <w:rsid w:val="00833A8F"/>
    <w:rsid w:val="008341F8"/>
    <w:rsid w:val="00834584"/>
    <w:rsid w:val="008359F3"/>
    <w:rsid w:val="00835DB6"/>
    <w:rsid w:val="00836AC2"/>
    <w:rsid w:val="00837D13"/>
    <w:rsid w:val="008406D5"/>
    <w:rsid w:val="00841B60"/>
    <w:rsid w:val="00843BED"/>
    <w:rsid w:val="008447C8"/>
    <w:rsid w:val="00844C5B"/>
    <w:rsid w:val="008453E7"/>
    <w:rsid w:val="00846992"/>
    <w:rsid w:val="00847B37"/>
    <w:rsid w:val="008501A4"/>
    <w:rsid w:val="008505A1"/>
    <w:rsid w:val="008505EB"/>
    <w:rsid w:val="00850817"/>
    <w:rsid w:val="008508DF"/>
    <w:rsid w:val="00851B47"/>
    <w:rsid w:val="00851D16"/>
    <w:rsid w:val="00851E54"/>
    <w:rsid w:val="0085433A"/>
    <w:rsid w:val="00854A85"/>
    <w:rsid w:val="00854B32"/>
    <w:rsid w:val="00855F2B"/>
    <w:rsid w:val="00856252"/>
    <w:rsid w:val="00857634"/>
    <w:rsid w:val="00857FFB"/>
    <w:rsid w:val="0086124E"/>
    <w:rsid w:val="00861A73"/>
    <w:rsid w:val="00861B74"/>
    <w:rsid w:val="00864A10"/>
    <w:rsid w:val="008652C9"/>
    <w:rsid w:val="00866084"/>
    <w:rsid w:val="00866992"/>
    <w:rsid w:val="00866CA9"/>
    <w:rsid w:val="00867E32"/>
    <w:rsid w:val="008705AA"/>
    <w:rsid w:val="00872942"/>
    <w:rsid w:val="00873069"/>
    <w:rsid w:val="0087504D"/>
    <w:rsid w:val="00875991"/>
    <w:rsid w:val="00875BB5"/>
    <w:rsid w:val="008771B6"/>
    <w:rsid w:val="00877865"/>
    <w:rsid w:val="00877FDD"/>
    <w:rsid w:val="00880FED"/>
    <w:rsid w:val="0088186D"/>
    <w:rsid w:val="008841C8"/>
    <w:rsid w:val="00885367"/>
    <w:rsid w:val="008855A4"/>
    <w:rsid w:val="00885989"/>
    <w:rsid w:val="00887082"/>
    <w:rsid w:val="00887C8D"/>
    <w:rsid w:val="00887DC7"/>
    <w:rsid w:val="00891FCC"/>
    <w:rsid w:val="00892BB8"/>
    <w:rsid w:val="00893014"/>
    <w:rsid w:val="0089513A"/>
    <w:rsid w:val="00896755"/>
    <w:rsid w:val="00896F38"/>
    <w:rsid w:val="008A2417"/>
    <w:rsid w:val="008A5D49"/>
    <w:rsid w:val="008A6952"/>
    <w:rsid w:val="008A751E"/>
    <w:rsid w:val="008A756C"/>
    <w:rsid w:val="008B0547"/>
    <w:rsid w:val="008B11A3"/>
    <w:rsid w:val="008B1FE5"/>
    <w:rsid w:val="008B2AD7"/>
    <w:rsid w:val="008B3A74"/>
    <w:rsid w:val="008B3D72"/>
    <w:rsid w:val="008B434A"/>
    <w:rsid w:val="008B4A72"/>
    <w:rsid w:val="008B5DA7"/>
    <w:rsid w:val="008B7B55"/>
    <w:rsid w:val="008C25D0"/>
    <w:rsid w:val="008C3A5B"/>
    <w:rsid w:val="008C3D50"/>
    <w:rsid w:val="008C4823"/>
    <w:rsid w:val="008C5B71"/>
    <w:rsid w:val="008C6D01"/>
    <w:rsid w:val="008D0E23"/>
    <w:rsid w:val="008D1518"/>
    <w:rsid w:val="008D2382"/>
    <w:rsid w:val="008D2F21"/>
    <w:rsid w:val="008D3521"/>
    <w:rsid w:val="008D5667"/>
    <w:rsid w:val="008D6F5D"/>
    <w:rsid w:val="008E003A"/>
    <w:rsid w:val="008E07E7"/>
    <w:rsid w:val="008E15E3"/>
    <w:rsid w:val="008E2045"/>
    <w:rsid w:val="008E4C62"/>
    <w:rsid w:val="008E4EC9"/>
    <w:rsid w:val="008E6C91"/>
    <w:rsid w:val="008E727E"/>
    <w:rsid w:val="008E784E"/>
    <w:rsid w:val="008F0B17"/>
    <w:rsid w:val="008F2902"/>
    <w:rsid w:val="008F3912"/>
    <w:rsid w:val="008F4047"/>
    <w:rsid w:val="008F4111"/>
    <w:rsid w:val="008F4122"/>
    <w:rsid w:val="008F4593"/>
    <w:rsid w:val="008F660B"/>
    <w:rsid w:val="008F695F"/>
    <w:rsid w:val="008F7674"/>
    <w:rsid w:val="009005CE"/>
    <w:rsid w:val="009007A8"/>
    <w:rsid w:val="00901376"/>
    <w:rsid w:val="0090188B"/>
    <w:rsid w:val="009021A4"/>
    <w:rsid w:val="00903309"/>
    <w:rsid w:val="00904305"/>
    <w:rsid w:val="00904362"/>
    <w:rsid w:val="0090441C"/>
    <w:rsid w:val="00904986"/>
    <w:rsid w:val="00904EC5"/>
    <w:rsid w:val="0091406E"/>
    <w:rsid w:val="00914B48"/>
    <w:rsid w:val="0091511B"/>
    <w:rsid w:val="009172D7"/>
    <w:rsid w:val="00917B21"/>
    <w:rsid w:val="00917B6F"/>
    <w:rsid w:val="00917E84"/>
    <w:rsid w:val="009236AA"/>
    <w:rsid w:val="009239AA"/>
    <w:rsid w:val="009245B5"/>
    <w:rsid w:val="009245D0"/>
    <w:rsid w:val="00924AB4"/>
    <w:rsid w:val="00925EF2"/>
    <w:rsid w:val="00925F3C"/>
    <w:rsid w:val="00925F9C"/>
    <w:rsid w:val="00926204"/>
    <w:rsid w:val="00934683"/>
    <w:rsid w:val="00935C40"/>
    <w:rsid w:val="00935F4D"/>
    <w:rsid w:val="009377EA"/>
    <w:rsid w:val="0093795C"/>
    <w:rsid w:val="00937A0E"/>
    <w:rsid w:val="00937DCB"/>
    <w:rsid w:val="00937F7E"/>
    <w:rsid w:val="009419BB"/>
    <w:rsid w:val="009440DE"/>
    <w:rsid w:val="009444E6"/>
    <w:rsid w:val="00944A8E"/>
    <w:rsid w:val="009455E6"/>
    <w:rsid w:val="0094589B"/>
    <w:rsid w:val="00947A9A"/>
    <w:rsid w:val="00950775"/>
    <w:rsid w:val="009509C0"/>
    <w:rsid w:val="00952B9C"/>
    <w:rsid w:val="00953B70"/>
    <w:rsid w:val="0095414E"/>
    <w:rsid w:val="00955E2A"/>
    <w:rsid w:val="00956330"/>
    <w:rsid w:val="00956348"/>
    <w:rsid w:val="00956BA7"/>
    <w:rsid w:val="00956FD8"/>
    <w:rsid w:val="009575F7"/>
    <w:rsid w:val="00957E4B"/>
    <w:rsid w:val="0096021A"/>
    <w:rsid w:val="00960F73"/>
    <w:rsid w:val="00961346"/>
    <w:rsid w:val="00961F4A"/>
    <w:rsid w:val="009642CA"/>
    <w:rsid w:val="00964692"/>
    <w:rsid w:val="00964846"/>
    <w:rsid w:val="009652B6"/>
    <w:rsid w:val="0096655D"/>
    <w:rsid w:val="009670B5"/>
    <w:rsid w:val="00970E8A"/>
    <w:rsid w:val="00971139"/>
    <w:rsid w:val="00971F5D"/>
    <w:rsid w:val="00972B10"/>
    <w:rsid w:val="0097401F"/>
    <w:rsid w:val="00975E28"/>
    <w:rsid w:val="00976F32"/>
    <w:rsid w:val="00977307"/>
    <w:rsid w:val="00981799"/>
    <w:rsid w:val="00981FA0"/>
    <w:rsid w:val="0098263A"/>
    <w:rsid w:val="00983541"/>
    <w:rsid w:val="00984366"/>
    <w:rsid w:val="00984E80"/>
    <w:rsid w:val="0098690F"/>
    <w:rsid w:val="00987994"/>
    <w:rsid w:val="00987EE5"/>
    <w:rsid w:val="00991CD8"/>
    <w:rsid w:val="00991EBE"/>
    <w:rsid w:val="009928B3"/>
    <w:rsid w:val="00992B6B"/>
    <w:rsid w:val="00993C2E"/>
    <w:rsid w:val="009968DA"/>
    <w:rsid w:val="00997C8A"/>
    <w:rsid w:val="009A0E89"/>
    <w:rsid w:val="009A1339"/>
    <w:rsid w:val="009A1A95"/>
    <w:rsid w:val="009A2CCC"/>
    <w:rsid w:val="009A3006"/>
    <w:rsid w:val="009A3994"/>
    <w:rsid w:val="009A7665"/>
    <w:rsid w:val="009B0D4C"/>
    <w:rsid w:val="009B0E74"/>
    <w:rsid w:val="009B1B10"/>
    <w:rsid w:val="009B2FB9"/>
    <w:rsid w:val="009B5D6F"/>
    <w:rsid w:val="009B62AF"/>
    <w:rsid w:val="009B66AC"/>
    <w:rsid w:val="009B6745"/>
    <w:rsid w:val="009B68AF"/>
    <w:rsid w:val="009B74EA"/>
    <w:rsid w:val="009B7AB9"/>
    <w:rsid w:val="009C33CA"/>
    <w:rsid w:val="009C4B6D"/>
    <w:rsid w:val="009D0928"/>
    <w:rsid w:val="009D1B99"/>
    <w:rsid w:val="009D226B"/>
    <w:rsid w:val="009D2884"/>
    <w:rsid w:val="009D5393"/>
    <w:rsid w:val="009D5445"/>
    <w:rsid w:val="009D565F"/>
    <w:rsid w:val="009D6026"/>
    <w:rsid w:val="009D65B9"/>
    <w:rsid w:val="009D70EE"/>
    <w:rsid w:val="009D733B"/>
    <w:rsid w:val="009E04DC"/>
    <w:rsid w:val="009E0FB3"/>
    <w:rsid w:val="009E3B5A"/>
    <w:rsid w:val="009E3E85"/>
    <w:rsid w:val="009E5105"/>
    <w:rsid w:val="009E59A1"/>
    <w:rsid w:val="009E66EE"/>
    <w:rsid w:val="009F015D"/>
    <w:rsid w:val="009F20C6"/>
    <w:rsid w:val="009F2E94"/>
    <w:rsid w:val="009F35F7"/>
    <w:rsid w:val="009F37BF"/>
    <w:rsid w:val="009F425F"/>
    <w:rsid w:val="009F4326"/>
    <w:rsid w:val="009F7078"/>
    <w:rsid w:val="009F77F6"/>
    <w:rsid w:val="009F7BB2"/>
    <w:rsid w:val="009F7FA6"/>
    <w:rsid w:val="00A0082F"/>
    <w:rsid w:val="00A00AE7"/>
    <w:rsid w:val="00A0244C"/>
    <w:rsid w:val="00A033FF"/>
    <w:rsid w:val="00A0409E"/>
    <w:rsid w:val="00A046C7"/>
    <w:rsid w:val="00A04EDA"/>
    <w:rsid w:val="00A06137"/>
    <w:rsid w:val="00A063FE"/>
    <w:rsid w:val="00A06EDB"/>
    <w:rsid w:val="00A07ACC"/>
    <w:rsid w:val="00A10B46"/>
    <w:rsid w:val="00A11259"/>
    <w:rsid w:val="00A1329C"/>
    <w:rsid w:val="00A14503"/>
    <w:rsid w:val="00A14E25"/>
    <w:rsid w:val="00A14E81"/>
    <w:rsid w:val="00A16896"/>
    <w:rsid w:val="00A16A60"/>
    <w:rsid w:val="00A17A3D"/>
    <w:rsid w:val="00A203C2"/>
    <w:rsid w:val="00A2062A"/>
    <w:rsid w:val="00A2066E"/>
    <w:rsid w:val="00A21E19"/>
    <w:rsid w:val="00A236A1"/>
    <w:rsid w:val="00A239A8"/>
    <w:rsid w:val="00A25B79"/>
    <w:rsid w:val="00A30683"/>
    <w:rsid w:val="00A3115F"/>
    <w:rsid w:val="00A32209"/>
    <w:rsid w:val="00A32BA0"/>
    <w:rsid w:val="00A33030"/>
    <w:rsid w:val="00A35A7A"/>
    <w:rsid w:val="00A378A2"/>
    <w:rsid w:val="00A407B6"/>
    <w:rsid w:val="00A40CDE"/>
    <w:rsid w:val="00A418FF"/>
    <w:rsid w:val="00A43FBD"/>
    <w:rsid w:val="00A43FD4"/>
    <w:rsid w:val="00A44703"/>
    <w:rsid w:val="00A473D7"/>
    <w:rsid w:val="00A52DA1"/>
    <w:rsid w:val="00A54367"/>
    <w:rsid w:val="00A54CCB"/>
    <w:rsid w:val="00A57301"/>
    <w:rsid w:val="00A5757E"/>
    <w:rsid w:val="00A60270"/>
    <w:rsid w:val="00A60F52"/>
    <w:rsid w:val="00A61DFE"/>
    <w:rsid w:val="00A62AA8"/>
    <w:rsid w:val="00A630D8"/>
    <w:rsid w:val="00A63B4C"/>
    <w:rsid w:val="00A6526F"/>
    <w:rsid w:val="00A65CDB"/>
    <w:rsid w:val="00A6604B"/>
    <w:rsid w:val="00A664AD"/>
    <w:rsid w:val="00A664E7"/>
    <w:rsid w:val="00A66E7F"/>
    <w:rsid w:val="00A67917"/>
    <w:rsid w:val="00A679B0"/>
    <w:rsid w:val="00A70904"/>
    <w:rsid w:val="00A709BB"/>
    <w:rsid w:val="00A740EA"/>
    <w:rsid w:val="00A75C52"/>
    <w:rsid w:val="00A767B2"/>
    <w:rsid w:val="00A7717C"/>
    <w:rsid w:val="00A77CCE"/>
    <w:rsid w:val="00A80B0C"/>
    <w:rsid w:val="00A81B11"/>
    <w:rsid w:val="00A82B9E"/>
    <w:rsid w:val="00A84186"/>
    <w:rsid w:val="00A846F1"/>
    <w:rsid w:val="00A857B4"/>
    <w:rsid w:val="00A85B14"/>
    <w:rsid w:val="00A875C0"/>
    <w:rsid w:val="00A87C15"/>
    <w:rsid w:val="00A9000E"/>
    <w:rsid w:val="00A925D7"/>
    <w:rsid w:val="00A92706"/>
    <w:rsid w:val="00A92CF1"/>
    <w:rsid w:val="00A943F8"/>
    <w:rsid w:val="00A961D4"/>
    <w:rsid w:val="00A9704A"/>
    <w:rsid w:val="00A97AD0"/>
    <w:rsid w:val="00AA0874"/>
    <w:rsid w:val="00AA0C5B"/>
    <w:rsid w:val="00AA1110"/>
    <w:rsid w:val="00AA1377"/>
    <w:rsid w:val="00AA1D1B"/>
    <w:rsid w:val="00AA34B8"/>
    <w:rsid w:val="00AA49AF"/>
    <w:rsid w:val="00AA4F2F"/>
    <w:rsid w:val="00AA57CE"/>
    <w:rsid w:val="00AA5ADC"/>
    <w:rsid w:val="00AA5E45"/>
    <w:rsid w:val="00AA7211"/>
    <w:rsid w:val="00AA7540"/>
    <w:rsid w:val="00AB0B9C"/>
    <w:rsid w:val="00AB3E6B"/>
    <w:rsid w:val="00AB4D0B"/>
    <w:rsid w:val="00AB51C8"/>
    <w:rsid w:val="00AB52A7"/>
    <w:rsid w:val="00AB5586"/>
    <w:rsid w:val="00AB64F9"/>
    <w:rsid w:val="00AB7B25"/>
    <w:rsid w:val="00AC0BAE"/>
    <w:rsid w:val="00AC0E78"/>
    <w:rsid w:val="00AC126F"/>
    <w:rsid w:val="00AC13F7"/>
    <w:rsid w:val="00AC16D2"/>
    <w:rsid w:val="00AC3256"/>
    <w:rsid w:val="00AC43D2"/>
    <w:rsid w:val="00AC4A94"/>
    <w:rsid w:val="00AC4B34"/>
    <w:rsid w:val="00AC6DE2"/>
    <w:rsid w:val="00AC737D"/>
    <w:rsid w:val="00AD05A6"/>
    <w:rsid w:val="00AD283D"/>
    <w:rsid w:val="00AD3920"/>
    <w:rsid w:val="00AD40B4"/>
    <w:rsid w:val="00AD5922"/>
    <w:rsid w:val="00AD5F80"/>
    <w:rsid w:val="00AD6555"/>
    <w:rsid w:val="00AD6F4A"/>
    <w:rsid w:val="00AD71D2"/>
    <w:rsid w:val="00AE05EA"/>
    <w:rsid w:val="00AE0EDF"/>
    <w:rsid w:val="00AE1128"/>
    <w:rsid w:val="00AE14F4"/>
    <w:rsid w:val="00AE1AB0"/>
    <w:rsid w:val="00AE2609"/>
    <w:rsid w:val="00AE29A8"/>
    <w:rsid w:val="00AE3960"/>
    <w:rsid w:val="00AE4074"/>
    <w:rsid w:val="00AE439A"/>
    <w:rsid w:val="00AE591D"/>
    <w:rsid w:val="00AE617A"/>
    <w:rsid w:val="00AE6CD9"/>
    <w:rsid w:val="00AE713F"/>
    <w:rsid w:val="00AF01CB"/>
    <w:rsid w:val="00AF09C7"/>
    <w:rsid w:val="00AF1474"/>
    <w:rsid w:val="00AF1A40"/>
    <w:rsid w:val="00AF2CC6"/>
    <w:rsid w:val="00AF37F7"/>
    <w:rsid w:val="00AF4BF4"/>
    <w:rsid w:val="00AF551F"/>
    <w:rsid w:val="00AF6401"/>
    <w:rsid w:val="00B0025D"/>
    <w:rsid w:val="00B006D8"/>
    <w:rsid w:val="00B02238"/>
    <w:rsid w:val="00B03D35"/>
    <w:rsid w:val="00B05065"/>
    <w:rsid w:val="00B05194"/>
    <w:rsid w:val="00B05F42"/>
    <w:rsid w:val="00B0688D"/>
    <w:rsid w:val="00B06AA0"/>
    <w:rsid w:val="00B06B45"/>
    <w:rsid w:val="00B06D33"/>
    <w:rsid w:val="00B074B3"/>
    <w:rsid w:val="00B10AD8"/>
    <w:rsid w:val="00B13820"/>
    <w:rsid w:val="00B149B2"/>
    <w:rsid w:val="00B154B5"/>
    <w:rsid w:val="00B1664E"/>
    <w:rsid w:val="00B17303"/>
    <w:rsid w:val="00B1744E"/>
    <w:rsid w:val="00B17466"/>
    <w:rsid w:val="00B20833"/>
    <w:rsid w:val="00B21343"/>
    <w:rsid w:val="00B219AA"/>
    <w:rsid w:val="00B21A5B"/>
    <w:rsid w:val="00B221C7"/>
    <w:rsid w:val="00B25143"/>
    <w:rsid w:val="00B2585D"/>
    <w:rsid w:val="00B25962"/>
    <w:rsid w:val="00B266FA"/>
    <w:rsid w:val="00B269DF"/>
    <w:rsid w:val="00B26C40"/>
    <w:rsid w:val="00B26D82"/>
    <w:rsid w:val="00B27359"/>
    <w:rsid w:val="00B30BA2"/>
    <w:rsid w:val="00B31DDF"/>
    <w:rsid w:val="00B33FC2"/>
    <w:rsid w:val="00B3423E"/>
    <w:rsid w:val="00B347F1"/>
    <w:rsid w:val="00B34A99"/>
    <w:rsid w:val="00B3502B"/>
    <w:rsid w:val="00B35610"/>
    <w:rsid w:val="00B35755"/>
    <w:rsid w:val="00B35774"/>
    <w:rsid w:val="00B3599F"/>
    <w:rsid w:val="00B35C3E"/>
    <w:rsid w:val="00B36473"/>
    <w:rsid w:val="00B408FD"/>
    <w:rsid w:val="00B40BEA"/>
    <w:rsid w:val="00B40EC3"/>
    <w:rsid w:val="00B414C9"/>
    <w:rsid w:val="00B41D9D"/>
    <w:rsid w:val="00B44029"/>
    <w:rsid w:val="00B44FFA"/>
    <w:rsid w:val="00B45428"/>
    <w:rsid w:val="00B475CB"/>
    <w:rsid w:val="00B47943"/>
    <w:rsid w:val="00B50446"/>
    <w:rsid w:val="00B50A6E"/>
    <w:rsid w:val="00B512D2"/>
    <w:rsid w:val="00B527BF"/>
    <w:rsid w:val="00B52DC6"/>
    <w:rsid w:val="00B530FD"/>
    <w:rsid w:val="00B53920"/>
    <w:rsid w:val="00B53C03"/>
    <w:rsid w:val="00B53C9C"/>
    <w:rsid w:val="00B54B68"/>
    <w:rsid w:val="00B54C45"/>
    <w:rsid w:val="00B5585D"/>
    <w:rsid w:val="00B558FE"/>
    <w:rsid w:val="00B56396"/>
    <w:rsid w:val="00B5639B"/>
    <w:rsid w:val="00B60A84"/>
    <w:rsid w:val="00B60C3E"/>
    <w:rsid w:val="00B615CB"/>
    <w:rsid w:val="00B62022"/>
    <w:rsid w:val="00B6280B"/>
    <w:rsid w:val="00B63E30"/>
    <w:rsid w:val="00B645FA"/>
    <w:rsid w:val="00B64775"/>
    <w:rsid w:val="00B657AB"/>
    <w:rsid w:val="00B65AF9"/>
    <w:rsid w:val="00B663CD"/>
    <w:rsid w:val="00B67B4F"/>
    <w:rsid w:val="00B702CD"/>
    <w:rsid w:val="00B708C3"/>
    <w:rsid w:val="00B763BE"/>
    <w:rsid w:val="00B77BB8"/>
    <w:rsid w:val="00B800EC"/>
    <w:rsid w:val="00B80354"/>
    <w:rsid w:val="00B81718"/>
    <w:rsid w:val="00B85A97"/>
    <w:rsid w:val="00B86278"/>
    <w:rsid w:val="00B86AF6"/>
    <w:rsid w:val="00B86E2A"/>
    <w:rsid w:val="00B877AA"/>
    <w:rsid w:val="00B909E7"/>
    <w:rsid w:val="00B9389E"/>
    <w:rsid w:val="00B938DE"/>
    <w:rsid w:val="00B94EB5"/>
    <w:rsid w:val="00B956D9"/>
    <w:rsid w:val="00B96EA4"/>
    <w:rsid w:val="00B97282"/>
    <w:rsid w:val="00B97A3E"/>
    <w:rsid w:val="00BA21DC"/>
    <w:rsid w:val="00BA2F02"/>
    <w:rsid w:val="00BA2FFD"/>
    <w:rsid w:val="00BA3492"/>
    <w:rsid w:val="00BA428A"/>
    <w:rsid w:val="00BA5023"/>
    <w:rsid w:val="00BA5365"/>
    <w:rsid w:val="00BA58B6"/>
    <w:rsid w:val="00BA62AD"/>
    <w:rsid w:val="00BA6DBD"/>
    <w:rsid w:val="00BB0267"/>
    <w:rsid w:val="00BB078B"/>
    <w:rsid w:val="00BB0E0C"/>
    <w:rsid w:val="00BB37AF"/>
    <w:rsid w:val="00BB4349"/>
    <w:rsid w:val="00BB4769"/>
    <w:rsid w:val="00BB4C08"/>
    <w:rsid w:val="00BB543C"/>
    <w:rsid w:val="00BB61BE"/>
    <w:rsid w:val="00BB6AC3"/>
    <w:rsid w:val="00BB779D"/>
    <w:rsid w:val="00BC050A"/>
    <w:rsid w:val="00BC1866"/>
    <w:rsid w:val="00BC1DBD"/>
    <w:rsid w:val="00BC2414"/>
    <w:rsid w:val="00BC322A"/>
    <w:rsid w:val="00BC5092"/>
    <w:rsid w:val="00BC526B"/>
    <w:rsid w:val="00BC5737"/>
    <w:rsid w:val="00BC65A7"/>
    <w:rsid w:val="00BD16D2"/>
    <w:rsid w:val="00BD1747"/>
    <w:rsid w:val="00BD3C68"/>
    <w:rsid w:val="00BD421D"/>
    <w:rsid w:val="00BD4493"/>
    <w:rsid w:val="00BD5052"/>
    <w:rsid w:val="00BD6B87"/>
    <w:rsid w:val="00BD6FD8"/>
    <w:rsid w:val="00BD73FC"/>
    <w:rsid w:val="00BD79B1"/>
    <w:rsid w:val="00BD7FF4"/>
    <w:rsid w:val="00BE04D9"/>
    <w:rsid w:val="00BE08EF"/>
    <w:rsid w:val="00BE0BCC"/>
    <w:rsid w:val="00BE4614"/>
    <w:rsid w:val="00BE4E6F"/>
    <w:rsid w:val="00BE5100"/>
    <w:rsid w:val="00BE529D"/>
    <w:rsid w:val="00BE53DD"/>
    <w:rsid w:val="00BE573E"/>
    <w:rsid w:val="00BE6584"/>
    <w:rsid w:val="00BE6637"/>
    <w:rsid w:val="00BE749B"/>
    <w:rsid w:val="00BE7D8D"/>
    <w:rsid w:val="00BF10E8"/>
    <w:rsid w:val="00BF2033"/>
    <w:rsid w:val="00BF3158"/>
    <w:rsid w:val="00BF3169"/>
    <w:rsid w:val="00BF51B7"/>
    <w:rsid w:val="00BF56BE"/>
    <w:rsid w:val="00BF67F5"/>
    <w:rsid w:val="00BF706F"/>
    <w:rsid w:val="00C00953"/>
    <w:rsid w:val="00C00F38"/>
    <w:rsid w:val="00C0314D"/>
    <w:rsid w:val="00C03312"/>
    <w:rsid w:val="00C03532"/>
    <w:rsid w:val="00C039A5"/>
    <w:rsid w:val="00C03A04"/>
    <w:rsid w:val="00C03C67"/>
    <w:rsid w:val="00C046F7"/>
    <w:rsid w:val="00C064FE"/>
    <w:rsid w:val="00C066AB"/>
    <w:rsid w:val="00C06EA1"/>
    <w:rsid w:val="00C10C0B"/>
    <w:rsid w:val="00C10DD5"/>
    <w:rsid w:val="00C11F76"/>
    <w:rsid w:val="00C12989"/>
    <w:rsid w:val="00C14D9F"/>
    <w:rsid w:val="00C15533"/>
    <w:rsid w:val="00C15A27"/>
    <w:rsid w:val="00C15FEF"/>
    <w:rsid w:val="00C165A1"/>
    <w:rsid w:val="00C1776A"/>
    <w:rsid w:val="00C20301"/>
    <w:rsid w:val="00C20BBA"/>
    <w:rsid w:val="00C20FFB"/>
    <w:rsid w:val="00C22519"/>
    <w:rsid w:val="00C22F12"/>
    <w:rsid w:val="00C2305C"/>
    <w:rsid w:val="00C233D0"/>
    <w:rsid w:val="00C2380D"/>
    <w:rsid w:val="00C2403B"/>
    <w:rsid w:val="00C24162"/>
    <w:rsid w:val="00C24E78"/>
    <w:rsid w:val="00C2509D"/>
    <w:rsid w:val="00C25373"/>
    <w:rsid w:val="00C2796E"/>
    <w:rsid w:val="00C27A2E"/>
    <w:rsid w:val="00C302BD"/>
    <w:rsid w:val="00C34ABD"/>
    <w:rsid w:val="00C353CF"/>
    <w:rsid w:val="00C35F43"/>
    <w:rsid w:val="00C363A9"/>
    <w:rsid w:val="00C3658D"/>
    <w:rsid w:val="00C36C55"/>
    <w:rsid w:val="00C37088"/>
    <w:rsid w:val="00C3715E"/>
    <w:rsid w:val="00C408C2"/>
    <w:rsid w:val="00C408D5"/>
    <w:rsid w:val="00C40B77"/>
    <w:rsid w:val="00C41D3C"/>
    <w:rsid w:val="00C43801"/>
    <w:rsid w:val="00C43CD1"/>
    <w:rsid w:val="00C44A07"/>
    <w:rsid w:val="00C44BDC"/>
    <w:rsid w:val="00C45BFB"/>
    <w:rsid w:val="00C45DCE"/>
    <w:rsid w:val="00C46085"/>
    <w:rsid w:val="00C469DE"/>
    <w:rsid w:val="00C46D15"/>
    <w:rsid w:val="00C50C7D"/>
    <w:rsid w:val="00C50FF9"/>
    <w:rsid w:val="00C54B14"/>
    <w:rsid w:val="00C6352A"/>
    <w:rsid w:val="00C64E1A"/>
    <w:rsid w:val="00C65B2D"/>
    <w:rsid w:val="00C65C5D"/>
    <w:rsid w:val="00C65DA0"/>
    <w:rsid w:val="00C6656A"/>
    <w:rsid w:val="00C66C03"/>
    <w:rsid w:val="00C711E5"/>
    <w:rsid w:val="00C730CB"/>
    <w:rsid w:val="00C731FC"/>
    <w:rsid w:val="00C73782"/>
    <w:rsid w:val="00C74107"/>
    <w:rsid w:val="00C80D90"/>
    <w:rsid w:val="00C81B05"/>
    <w:rsid w:val="00C83AEE"/>
    <w:rsid w:val="00C84CAA"/>
    <w:rsid w:val="00C85531"/>
    <w:rsid w:val="00C85563"/>
    <w:rsid w:val="00C85AC7"/>
    <w:rsid w:val="00C85B0B"/>
    <w:rsid w:val="00C87F13"/>
    <w:rsid w:val="00C9003E"/>
    <w:rsid w:val="00C9045E"/>
    <w:rsid w:val="00C90466"/>
    <w:rsid w:val="00C906CD"/>
    <w:rsid w:val="00C90806"/>
    <w:rsid w:val="00C90F10"/>
    <w:rsid w:val="00C9133D"/>
    <w:rsid w:val="00C9183A"/>
    <w:rsid w:val="00C92840"/>
    <w:rsid w:val="00C934E0"/>
    <w:rsid w:val="00C94A2F"/>
    <w:rsid w:val="00C961CA"/>
    <w:rsid w:val="00C96454"/>
    <w:rsid w:val="00CA08DA"/>
    <w:rsid w:val="00CA0FB8"/>
    <w:rsid w:val="00CA15F3"/>
    <w:rsid w:val="00CA2680"/>
    <w:rsid w:val="00CA4D23"/>
    <w:rsid w:val="00CA522F"/>
    <w:rsid w:val="00CA6716"/>
    <w:rsid w:val="00CA7FB2"/>
    <w:rsid w:val="00CB036A"/>
    <w:rsid w:val="00CB0D34"/>
    <w:rsid w:val="00CB2524"/>
    <w:rsid w:val="00CB3818"/>
    <w:rsid w:val="00CB5559"/>
    <w:rsid w:val="00CB79F7"/>
    <w:rsid w:val="00CC0C22"/>
    <w:rsid w:val="00CC18C0"/>
    <w:rsid w:val="00CC1939"/>
    <w:rsid w:val="00CC23EB"/>
    <w:rsid w:val="00CC42D4"/>
    <w:rsid w:val="00CC4364"/>
    <w:rsid w:val="00CC5530"/>
    <w:rsid w:val="00CC64E3"/>
    <w:rsid w:val="00CC7712"/>
    <w:rsid w:val="00CC774A"/>
    <w:rsid w:val="00CD179A"/>
    <w:rsid w:val="00CD2030"/>
    <w:rsid w:val="00CD2536"/>
    <w:rsid w:val="00CD407F"/>
    <w:rsid w:val="00CD5740"/>
    <w:rsid w:val="00CD7420"/>
    <w:rsid w:val="00CE0BA7"/>
    <w:rsid w:val="00CE2FAA"/>
    <w:rsid w:val="00CE354C"/>
    <w:rsid w:val="00CE36EF"/>
    <w:rsid w:val="00CE3FC3"/>
    <w:rsid w:val="00CE4ECD"/>
    <w:rsid w:val="00CE552B"/>
    <w:rsid w:val="00CE6ACB"/>
    <w:rsid w:val="00CE6D09"/>
    <w:rsid w:val="00CE7375"/>
    <w:rsid w:val="00CF0E4D"/>
    <w:rsid w:val="00CF19C6"/>
    <w:rsid w:val="00CF230D"/>
    <w:rsid w:val="00CF26A6"/>
    <w:rsid w:val="00CF2A98"/>
    <w:rsid w:val="00CF5489"/>
    <w:rsid w:val="00CF68B5"/>
    <w:rsid w:val="00CF7615"/>
    <w:rsid w:val="00CF7823"/>
    <w:rsid w:val="00D003F8"/>
    <w:rsid w:val="00D0052C"/>
    <w:rsid w:val="00D01540"/>
    <w:rsid w:val="00D01AFE"/>
    <w:rsid w:val="00D01ECB"/>
    <w:rsid w:val="00D02757"/>
    <w:rsid w:val="00D02FB7"/>
    <w:rsid w:val="00D037B6"/>
    <w:rsid w:val="00D04613"/>
    <w:rsid w:val="00D05C77"/>
    <w:rsid w:val="00D07739"/>
    <w:rsid w:val="00D10769"/>
    <w:rsid w:val="00D11642"/>
    <w:rsid w:val="00D116C7"/>
    <w:rsid w:val="00D13459"/>
    <w:rsid w:val="00D13AC5"/>
    <w:rsid w:val="00D14E5F"/>
    <w:rsid w:val="00D14FB2"/>
    <w:rsid w:val="00D16754"/>
    <w:rsid w:val="00D17548"/>
    <w:rsid w:val="00D17604"/>
    <w:rsid w:val="00D17CC6"/>
    <w:rsid w:val="00D2041E"/>
    <w:rsid w:val="00D20454"/>
    <w:rsid w:val="00D20D10"/>
    <w:rsid w:val="00D23801"/>
    <w:rsid w:val="00D25AEC"/>
    <w:rsid w:val="00D25B2F"/>
    <w:rsid w:val="00D27E9B"/>
    <w:rsid w:val="00D3037E"/>
    <w:rsid w:val="00D305AC"/>
    <w:rsid w:val="00D308C1"/>
    <w:rsid w:val="00D32074"/>
    <w:rsid w:val="00D32376"/>
    <w:rsid w:val="00D326DD"/>
    <w:rsid w:val="00D33DBD"/>
    <w:rsid w:val="00D341C9"/>
    <w:rsid w:val="00D3447D"/>
    <w:rsid w:val="00D3488B"/>
    <w:rsid w:val="00D35F32"/>
    <w:rsid w:val="00D361DE"/>
    <w:rsid w:val="00D36680"/>
    <w:rsid w:val="00D37212"/>
    <w:rsid w:val="00D37427"/>
    <w:rsid w:val="00D3793E"/>
    <w:rsid w:val="00D37E78"/>
    <w:rsid w:val="00D37FB2"/>
    <w:rsid w:val="00D404C7"/>
    <w:rsid w:val="00D407A5"/>
    <w:rsid w:val="00D41A6A"/>
    <w:rsid w:val="00D4233A"/>
    <w:rsid w:val="00D4334E"/>
    <w:rsid w:val="00D4398D"/>
    <w:rsid w:val="00D44B3D"/>
    <w:rsid w:val="00D46787"/>
    <w:rsid w:val="00D46C4C"/>
    <w:rsid w:val="00D506CF"/>
    <w:rsid w:val="00D51F18"/>
    <w:rsid w:val="00D52DA3"/>
    <w:rsid w:val="00D52E5A"/>
    <w:rsid w:val="00D53537"/>
    <w:rsid w:val="00D54E9E"/>
    <w:rsid w:val="00D551C8"/>
    <w:rsid w:val="00D55972"/>
    <w:rsid w:val="00D564BB"/>
    <w:rsid w:val="00D565FA"/>
    <w:rsid w:val="00D5674B"/>
    <w:rsid w:val="00D56758"/>
    <w:rsid w:val="00D568ED"/>
    <w:rsid w:val="00D56BF9"/>
    <w:rsid w:val="00D56E3F"/>
    <w:rsid w:val="00D571B4"/>
    <w:rsid w:val="00D6014E"/>
    <w:rsid w:val="00D6190A"/>
    <w:rsid w:val="00D630E7"/>
    <w:rsid w:val="00D6311D"/>
    <w:rsid w:val="00D640BA"/>
    <w:rsid w:val="00D64C56"/>
    <w:rsid w:val="00D66F17"/>
    <w:rsid w:val="00D700E5"/>
    <w:rsid w:val="00D70900"/>
    <w:rsid w:val="00D71B77"/>
    <w:rsid w:val="00D74A87"/>
    <w:rsid w:val="00D75CE3"/>
    <w:rsid w:val="00D76186"/>
    <w:rsid w:val="00D771E9"/>
    <w:rsid w:val="00D817F1"/>
    <w:rsid w:val="00D818C9"/>
    <w:rsid w:val="00D85AFB"/>
    <w:rsid w:val="00D86C20"/>
    <w:rsid w:val="00D86DD4"/>
    <w:rsid w:val="00D909BB"/>
    <w:rsid w:val="00D92529"/>
    <w:rsid w:val="00D92ED3"/>
    <w:rsid w:val="00DA1613"/>
    <w:rsid w:val="00DA330A"/>
    <w:rsid w:val="00DA5AAB"/>
    <w:rsid w:val="00DA671A"/>
    <w:rsid w:val="00DA67F4"/>
    <w:rsid w:val="00DA6858"/>
    <w:rsid w:val="00DA7CBB"/>
    <w:rsid w:val="00DB08FA"/>
    <w:rsid w:val="00DB1CD7"/>
    <w:rsid w:val="00DB2086"/>
    <w:rsid w:val="00DB2651"/>
    <w:rsid w:val="00DB30B1"/>
    <w:rsid w:val="00DB31FF"/>
    <w:rsid w:val="00DB365A"/>
    <w:rsid w:val="00DB37A7"/>
    <w:rsid w:val="00DB3B63"/>
    <w:rsid w:val="00DB3ECD"/>
    <w:rsid w:val="00DB4717"/>
    <w:rsid w:val="00DB79D5"/>
    <w:rsid w:val="00DC0F8C"/>
    <w:rsid w:val="00DC12C8"/>
    <w:rsid w:val="00DC6AB5"/>
    <w:rsid w:val="00DC6F31"/>
    <w:rsid w:val="00DC7004"/>
    <w:rsid w:val="00DC7FFD"/>
    <w:rsid w:val="00DD0277"/>
    <w:rsid w:val="00DD1917"/>
    <w:rsid w:val="00DD1B11"/>
    <w:rsid w:val="00DD1B33"/>
    <w:rsid w:val="00DD231C"/>
    <w:rsid w:val="00DD6D82"/>
    <w:rsid w:val="00DD71A8"/>
    <w:rsid w:val="00DE045E"/>
    <w:rsid w:val="00DE1240"/>
    <w:rsid w:val="00DE1AA5"/>
    <w:rsid w:val="00DE231A"/>
    <w:rsid w:val="00DE23D6"/>
    <w:rsid w:val="00DE2825"/>
    <w:rsid w:val="00DE29B9"/>
    <w:rsid w:val="00DE2CB6"/>
    <w:rsid w:val="00DE2DDE"/>
    <w:rsid w:val="00DE395F"/>
    <w:rsid w:val="00DE5414"/>
    <w:rsid w:val="00DE5BAE"/>
    <w:rsid w:val="00DE6B47"/>
    <w:rsid w:val="00DE7566"/>
    <w:rsid w:val="00DE7E46"/>
    <w:rsid w:val="00DF066D"/>
    <w:rsid w:val="00DF0C37"/>
    <w:rsid w:val="00DF24FD"/>
    <w:rsid w:val="00DF2506"/>
    <w:rsid w:val="00DF2E6F"/>
    <w:rsid w:val="00DF2F26"/>
    <w:rsid w:val="00DF301A"/>
    <w:rsid w:val="00DF3469"/>
    <w:rsid w:val="00DF3BE2"/>
    <w:rsid w:val="00DF4E2C"/>
    <w:rsid w:val="00DF4E34"/>
    <w:rsid w:val="00DF5ACC"/>
    <w:rsid w:val="00DF6A93"/>
    <w:rsid w:val="00DF75EC"/>
    <w:rsid w:val="00E0133D"/>
    <w:rsid w:val="00E0199E"/>
    <w:rsid w:val="00E019ED"/>
    <w:rsid w:val="00E01B31"/>
    <w:rsid w:val="00E02392"/>
    <w:rsid w:val="00E0312F"/>
    <w:rsid w:val="00E04C48"/>
    <w:rsid w:val="00E05C97"/>
    <w:rsid w:val="00E05DA6"/>
    <w:rsid w:val="00E06065"/>
    <w:rsid w:val="00E07901"/>
    <w:rsid w:val="00E079C6"/>
    <w:rsid w:val="00E11C3D"/>
    <w:rsid w:val="00E1273C"/>
    <w:rsid w:val="00E1434A"/>
    <w:rsid w:val="00E146CF"/>
    <w:rsid w:val="00E14BED"/>
    <w:rsid w:val="00E163A5"/>
    <w:rsid w:val="00E17711"/>
    <w:rsid w:val="00E21745"/>
    <w:rsid w:val="00E23C05"/>
    <w:rsid w:val="00E2425F"/>
    <w:rsid w:val="00E242F0"/>
    <w:rsid w:val="00E245B0"/>
    <w:rsid w:val="00E2461C"/>
    <w:rsid w:val="00E247E2"/>
    <w:rsid w:val="00E27F00"/>
    <w:rsid w:val="00E30431"/>
    <w:rsid w:val="00E304EB"/>
    <w:rsid w:val="00E329D0"/>
    <w:rsid w:val="00E330AD"/>
    <w:rsid w:val="00E33746"/>
    <w:rsid w:val="00E342B3"/>
    <w:rsid w:val="00E3451F"/>
    <w:rsid w:val="00E34B80"/>
    <w:rsid w:val="00E36ADF"/>
    <w:rsid w:val="00E36B53"/>
    <w:rsid w:val="00E374D1"/>
    <w:rsid w:val="00E37585"/>
    <w:rsid w:val="00E41B64"/>
    <w:rsid w:val="00E42C35"/>
    <w:rsid w:val="00E43E70"/>
    <w:rsid w:val="00E469D5"/>
    <w:rsid w:val="00E46CD5"/>
    <w:rsid w:val="00E500D9"/>
    <w:rsid w:val="00E51AB5"/>
    <w:rsid w:val="00E51DFD"/>
    <w:rsid w:val="00E52345"/>
    <w:rsid w:val="00E52763"/>
    <w:rsid w:val="00E541C7"/>
    <w:rsid w:val="00E544F2"/>
    <w:rsid w:val="00E563AE"/>
    <w:rsid w:val="00E57B52"/>
    <w:rsid w:val="00E61028"/>
    <w:rsid w:val="00E638B2"/>
    <w:rsid w:val="00E6514E"/>
    <w:rsid w:val="00E65B70"/>
    <w:rsid w:val="00E662CD"/>
    <w:rsid w:val="00E67427"/>
    <w:rsid w:val="00E676F1"/>
    <w:rsid w:val="00E715BA"/>
    <w:rsid w:val="00E73271"/>
    <w:rsid w:val="00E735DA"/>
    <w:rsid w:val="00E74214"/>
    <w:rsid w:val="00E74762"/>
    <w:rsid w:val="00E74D52"/>
    <w:rsid w:val="00E75855"/>
    <w:rsid w:val="00E75BC6"/>
    <w:rsid w:val="00E7609C"/>
    <w:rsid w:val="00E8037A"/>
    <w:rsid w:val="00E82556"/>
    <w:rsid w:val="00E85CBE"/>
    <w:rsid w:val="00E86566"/>
    <w:rsid w:val="00E875F5"/>
    <w:rsid w:val="00E92527"/>
    <w:rsid w:val="00E92A93"/>
    <w:rsid w:val="00E93620"/>
    <w:rsid w:val="00E959A0"/>
    <w:rsid w:val="00E97045"/>
    <w:rsid w:val="00E97DA3"/>
    <w:rsid w:val="00EA134B"/>
    <w:rsid w:val="00EA270C"/>
    <w:rsid w:val="00EA3185"/>
    <w:rsid w:val="00EA36EA"/>
    <w:rsid w:val="00EA466B"/>
    <w:rsid w:val="00EA5B33"/>
    <w:rsid w:val="00EA5CB5"/>
    <w:rsid w:val="00EA5CF4"/>
    <w:rsid w:val="00EA72FC"/>
    <w:rsid w:val="00EA7A6C"/>
    <w:rsid w:val="00EB09B9"/>
    <w:rsid w:val="00EB3C52"/>
    <w:rsid w:val="00EB6B43"/>
    <w:rsid w:val="00EB76F7"/>
    <w:rsid w:val="00EB7CB1"/>
    <w:rsid w:val="00EC0569"/>
    <w:rsid w:val="00EC0C7B"/>
    <w:rsid w:val="00EC1C35"/>
    <w:rsid w:val="00EC1F63"/>
    <w:rsid w:val="00EC59E5"/>
    <w:rsid w:val="00EC5E45"/>
    <w:rsid w:val="00EC608C"/>
    <w:rsid w:val="00EC61C2"/>
    <w:rsid w:val="00ED0557"/>
    <w:rsid w:val="00ED0CF0"/>
    <w:rsid w:val="00ED34D4"/>
    <w:rsid w:val="00ED3D84"/>
    <w:rsid w:val="00ED40FF"/>
    <w:rsid w:val="00ED42FF"/>
    <w:rsid w:val="00ED5E6C"/>
    <w:rsid w:val="00ED766C"/>
    <w:rsid w:val="00ED76FB"/>
    <w:rsid w:val="00EE05C2"/>
    <w:rsid w:val="00EE0D01"/>
    <w:rsid w:val="00EE28F6"/>
    <w:rsid w:val="00EE30EE"/>
    <w:rsid w:val="00EE3C6D"/>
    <w:rsid w:val="00EE48D0"/>
    <w:rsid w:val="00EE4C6E"/>
    <w:rsid w:val="00EE5135"/>
    <w:rsid w:val="00EE526A"/>
    <w:rsid w:val="00EE558C"/>
    <w:rsid w:val="00EE61BE"/>
    <w:rsid w:val="00EE6DE6"/>
    <w:rsid w:val="00EF057C"/>
    <w:rsid w:val="00EF1D14"/>
    <w:rsid w:val="00EF27D0"/>
    <w:rsid w:val="00EF4715"/>
    <w:rsid w:val="00EF4FEE"/>
    <w:rsid w:val="00EF6873"/>
    <w:rsid w:val="00EF6F24"/>
    <w:rsid w:val="00EF7143"/>
    <w:rsid w:val="00F0080B"/>
    <w:rsid w:val="00F00BE1"/>
    <w:rsid w:val="00F01B31"/>
    <w:rsid w:val="00F03AB9"/>
    <w:rsid w:val="00F03CF7"/>
    <w:rsid w:val="00F03F4E"/>
    <w:rsid w:val="00F0439A"/>
    <w:rsid w:val="00F06479"/>
    <w:rsid w:val="00F06B29"/>
    <w:rsid w:val="00F076C5"/>
    <w:rsid w:val="00F10B0A"/>
    <w:rsid w:val="00F120D9"/>
    <w:rsid w:val="00F124BE"/>
    <w:rsid w:val="00F125DE"/>
    <w:rsid w:val="00F12A9F"/>
    <w:rsid w:val="00F14C13"/>
    <w:rsid w:val="00F2254A"/>
    <w:rsid w:val="00F22EDB"/>
    <w:rsid w:val="00F24232"/>
    <w:rsid w:val="00F2526C"/>
    <w:rsid w:val="00F27170"/>
    <w:rsid w:val="00F27B2F"/>
    <w:rsid w:val="00F30016"/>
    <w:rsid w:val="00F30CE5"/>
    <w:rsid w:val="00F3144A"/>
    <w:rsid w:val="00F31C75"/>
    <w:rsid w:val="00F32543"/>
    <w:rsid w:val="00F33277"/>
    <w:rsid w:val="00F339D7"/>
    <w:rsid w:val="00F33CE0"/>
    <w:rsid w:val="00F340CD"/>
    <w:rsid w:val="00F341CC"/>
    <w:rsid w:val="00F34375"/>
    <w:rsid w:val="00F34E67"/>
    <w:rsid w:val="00F36B6C"/>
    <w:rsid w:val="00F36D10"/>
    <w:rsid w:val="00F40CAB"/>
    <w:rsid w:val="00F41DDA"/>
    <w:rsid w:val="00F41FB3"/>
    <w:rsid w:val="00F4352E"/>
    <w:rsid w:val="00F43960"/>
    <w:rsid w:val="00F43C3C"/>
    <w:rsid w:val="00F459C7"/>
    <w:rsid w:val="00F45D8C"/>
    <w:rsid w:val="00F47C5C"/>
    <w:rsid w:val="00F50173"/>
    <w:rsid w:val="00F53166"/>
    <w:rsid w:val="00F54856"/>
    <w:rsid w:val="00F55337"/>
    <w:rsid w:val="00F5565E"/>
    <w:rsid w:val="00F55D35"/>
    <w:rsid w:val="00F56AF3"/>
    <w:rsid w:val="00F56CB9"/>
    <w:rsid w:val="00F57650"/>
    <w:rsid w:val="00F579FC"/>
    <w:rsid w:val="00F6089D"/>
    <w:rsid w:val="00F60C74"/>
    <w:rsid w:val="00F61841"/>
    <w:rsid w:val="00F62773"/>
    <w:rsid w:val="00F62FE5"/>
    <w:rsid w:val="00F64DD3"/>
    <w:rsid w:val="00F64F51"/>
    <w:rsid w:val="00F66122"/>
    <w:rsid w:val="00F666FD"/>
    <w:rsid w:val="00F67099"/>
    <w:rsid w:val="00F67A35"/>
    <w:rsid w:val="00F72620"/>
    <w:rsid w:val="00F759AD"/>
    <w:rsid w:val="00F765E8"/>
    <w:rsid w:val="00F7768D"/>
    <w:rsid w:val="00F8200C"/>
    <w:rsid w:val="00F85D77"/>
    <w:rsid w:val="00F86D88"/>
    <w:rsid w:val="00F87FA7"/>
    <w:rsid w:val="00F90898"/>
    <w:rsid w:val="00F914C8"/>
    <w:rsid w:val="00F914EA"/>
    <w:rsid w:val="00F92853"/>
    <w:rsid w:val="00F92EAE"/>
    <w:rsid w:val="00F9473C"/>
    <w:rsid w:val="00FA0942"/>
    <w:rsid w:val="00FA40A3"/>
    <w:rsid w:val="00FA45CD"/>
    <w:rsid w:val="00FA5B17"/>
    <w:rsid w:val="00FB301E"/>
    <w:rsid w:val="00FB33FA"/>
    <w:rsid w:val="00FB3BA6"/>
    <w:rsid w:val="00FB4D65"/>
    <w:rsid w:val="00FB5954"/>
    <w:rsid w:val="00FB6695"/>
    <w:rsid w:val="00FC0253"/>
    <w:rsid w:val="00FC0CDF"/>
    <w:rsid w:val="00FC0D7C"/>
    <w:rsid w:val="00FC163A"/>
    <w:rsid w:val="00FC183A"/>
    <w:rsid w:val="00FC19F5"/>
    <w:rsid w:val="00FC3D1C"/>
    <w:rsid w:val="00FC5F90"/>
    <w:rsid w:val="00FC64F3"/>
    <w:rsid w:val="00FD08A7"/>
    <w:rsid w:val="00FD1295"/>
    <w:rsid w:val="00FD2E55"/>
    <w:rsid w:val="00FD2FA9"/>
    <w:rsid w:val="00FD3572"/>
    <w:rsid w:val="00FD510B"/>
    <w:rsid w:val="00FD5360"/>
    <w:rsid w:val="00FD544F"/>
    <w:rsid w:val="00FD54CC"/>
    <w:rsid w:val="00FE06A2"/>
    <w:rsid w:val="00FE0CE6"/>
    <w:rsid w:val="00FE28C8"/>
    <w:rsid w:val="00FE2C3A"/>
    <w:rsid w:val="00FE452D"/>
    <w:rsid w:val="00FE4CFC"/>
    <w:rsid w:val="00FE79EF"/>
    <w:rsid w:val="00FF025A"/>
    <w:rsid w:val="00FF088B"/>
    <w:rsid w:val="00FF0AC4"/>
    <w:rsid w:val="00FF10AF"/>
    <w:rsid w:val="00FF1304"/>
    <w:rsid w:val="00FF23FB"/>
    <w:rsid w:val="00FF334E"/>
    <w:rsid w:val="00FF394B"/>
    <w:rsid w:val="00FF4C00"/>
    <w:rsid w:val="00FF5EB9"/>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C0CAED9-6E16-4B07-AC72-C5429C21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uiPriority w:val="99"/>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uiPriority w:val="99"/>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Titdocumento">
    <w:name w:val="#Tit_documento"/>
    <w:basedOn w:val="Normal"/>
    <w:rsid w:val="00C15533"/>
    <w:pPr>
      <w:spacing w:before="240" w:after="240"/>
      <w:ind w:left="0"/>
      <w:jc w:val="center"/>
    </w:pPr>
    <w:rPr>
      <w:rFonts w:eastAsia="Times New Roman"/>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AE20-035B-4567-9E46-AA29824E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2894</Words>
  <Characters>15631</Characters>
  <Application>Microsoft Office Word</Application>
  <DocSecurity>4</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18489</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2012-02-13T21:35:00Z</cp:lastPrinted>
  <dcterms:created xsi:type="dcterms:W3CDTF">2015-05-07T12:43:00Z</dcterms:created>
  <dcterms:modified xsi:type="dcterms:W3CDTF">2015-05-07T12:43:00Z</dcterms:modified>
</cp:coreProperties>
</file>