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F130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FF1304">
        <w:rPr>
          <w:rFonts w:ascii="Times New Roman" w:hAnsi="Times New Roman"/>
          <w:b/>
          <w:i w:val="0"/>
          <w:color w:val="000000"/>
          <w:sz w:val="22"/>
          <w:szCs w:val="22"/>
        </w:rPr>
        <w:t xml:space="preserve">Sessões: </w:t>
      </w:r>
      <w:r w:rsidR="000C5799" w:rsidRPr="00FF1304">
        <w:rPr>
          <w:rFonts w:ascii="Times New Roman" w:hAnsi="Times New Roman"/>
          <w:b/>
          <w:i w:val="0"/>
          <w:color w:val="000000"/>
          <w:sz w:val="22"/>
          <w:szCs w:val="22"/>
        </w:rPr>
        <w:t>15 e 16</w:t>
      </w:r>
      <w:r w:rsidR="00AE591D" w:rsidRPr="00FF1304">
        <w:rPr>
          <w:rFonts w:ascii="Times New Roman" w:hAnsi="Times New Roman"/>
          <w:b/>
          <w:i w:val="0"/>
          <w:color w:val="000000"/>
          <w:sz w:val="22"/>
          <w:szCs w:val="22"/>
        </w:rPr>
        <w:t xml:space="preserve"> de </w:t>
      </w:r>
      <w:r w:rsidR="00091172">
        <w:rPr>
          <w:rFonts w:ascii="Times New Roman" w:hAnsi="Times New Roman"/>
          <w:b/>
          <w:i w:val="0"/>
          <w:color w:val="000000"/>
          <w:sz w:val="22"/>
          <w:szCs w:val="22"/>
        </w:rPr>
        <w:t>novembro</w:t>
      </w:r>
      <w:r w:rsidR="00AE591D" w:rsidRPr="00FF1304">
        <w:rPr>
          <w:rFonts w:ascii="Times New Roman" w:hAnsi="Times New Roman"/>
          <w:b/>
          <w:i w:val="0"/>
          <w:color w:val="000000"/>
          <w:sz w:val="22"/>
          <w:szCs w:val="22"/>
        </w:rPr>
        <w:t xml:space="preserve"> </w:t>
      </w:r>
      <w:r w:rsidRPr="00FF1304">
        <w:rPr>
          <w:rFonts w:ascii="Times New Roman" w:hAnsi="Times New Roman"/>
          <w:b/>
          <w:i w:val="0"/>
          <w:color w:val="000000"/>
          <w:sz w:val="22"/>
          <w:szCs w:val="22"/>
        </w:rPr>
        <w:t>de 201</w:t>
      </w:r>
      <w:r w:rsidR="00467815" w:rsidRPr="00FF1304">
        <w:rPr>
          <w:rFonts w:ascii="Times New Roman" w:hAnsi="Times New Roman"/>
          <w:b/>
          <w:i w:val="0"/>
          <w:color w:val="000000"/>
          <w:sz w:val="22"/>
          <w:szCs w:val="22"/>
        </w:rPr>
        <w:t>1</w:t>
      </w:r>
    </w:p>
    <w:p w:rsidR="002D35F5" w:rsidRPr="00FF1304" w:rsidRDefault="002D35F5" w:rsidP="00B408FD">
      <w:pPr>
        <w:pStyle w:val="Corpodetexto2"/>
        <w:spacing w:after="0" w:line="240" w:lineRule="auto"/>
        <w:ind w:left="0"/>
        <w:rPr>
          <w:sz w:val="22"/>
          <w:szCs w:val="22"/>
        </w:rPr>
      </w:pPr>
      <w:r w:rsidRPr="00FF130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FF1304" w:rsidRDefault="00FF7C62" w:rsidP="00B408FD">
      <w:pPr>
        <w:pStyle w:val="Corpodetexto2"/>
        <w:spacing w:after="0" w:line="240" w:lineRule="auto"/>
        <w:ind w:left="0"/>
        <w:rPr>
          <w:sz w:val="22"/>
          <w:szCs w:val="22"/>
        </w:rPr>
      </w:pPr>
    </w:p>
    <w:p w:rsidR="002D35F5" w:rsidRPr="00FF1304" w:rsidRDefault="002D35F5" w:rsidP="002B1043">
      <w:pPr>
        <w:pBdr>
          <w:top w:val="threeDEmboss" w:sz="24" w:space="2" w:color="auto"/>
        </w:pBdr>
        <w:tabs>
          <w:tab w:val="left" w:pos="284"/>
        </w:tabs>
        <w:spacing w:before="60" w:after="0"/>
        <w:ind w:left="0"/>
        <w:jc w:val="center"/>
        <w:rPr>
          <w:b/>
          <w:bCs/>
          <w:smallCaps/>
          <w:sz w:val="22"/>
          <w:szCs w:val="22"/>
        </w:rPr>
      </w:pPr>
      <w:r w:rsidRPr="00FF1304">
        <w:rPr>
          <w:b/>
          <w:bCs/>
          <w:smallCaps/>
          <w:sz w:val="22"/>
          <w:szCs w:val="22"/>
        </w:rPr>
        <w:t>S</w:t>
      </w:r>
      <w:r w:rsidR="00FF7C62" w:rsidRPr="00FF1304">
        <w:rPr>
          <w:b/>
          <w:bCs/>
          <w:smallCaps/>
          <w:sz w:val="22"/>
          <w:szCs w:val="22"/>
        </w:rPr>
        <w:t>UMÁRIO</w:t>
      </w:r>
    </w:p>
    <w:p w:rsidR="009444E6" w:rsidRPr="00FF1304" w:rsidRDefault="009444E6" w:rsidP="002B1043">
      <w:pPr>
        <w:pStyle w:val="tita"/>
        <w:tabs>
          <w:tab w:val="left" w:pos="2590"/>
        </w:tabs>
        <w:spacing w:before="60" w:after="0" w:line="240" w:lineRule="auto"/>
        <w:jc w:val="both"/>
        <w:rPr>
          <w:i w:val="0"/>
          <w:iCs w:val="0"/>
          <w:sz w:val="22"/>
          <w:szCs w:val="22"/>
        </w:rPr>
      </w:pPr>
      <w:r w:rsidRPr="00FF1304">
        <w:rPr>
          <w:i w:val="0"/>
          <w:iCs w:val="0"/>
          <w:sz w:val="22"/>
          <w:szCs w:val="22"/>
        </w:rPr>
        <w:t>Plenário</w:t>
      </w:r>
    </w:p>
    <w:p w:rsidR="00896F38" w:rsidRPr="00FF1304" w:rsidRDefault="00A740EA" w:rsidP="002B1043">
      <w:pPr>
        <w:tabs>
          <w:tab w:val="left" w:pos="851"/>
        </w:tabs>
        <w:spacing w:before="60" w:after="0"/>
        <w:ind w:left="0"/>
        <w:rPr>
          <w:sz w:val="22"/>
          <w:szCs w:val="22"/>
        </w:rPr>
      </w:pPr>
      <w:r w:rsidRPr="00FF1304">
        <w:rPr>
          <w:sz w:val="22"/>
          <w:szCs w:val="22"/>
        </w:rPr>
        <w:t xml:space="preserve">Licitação de obras aeroportuárias: </w:t>
      </w:r>
      <w:r w:rsidR="00896F38" w:rsidRPr="00FF1304">
        <w:rPr>
          <w:sz w:val="22"/>
          <w:szCs w:val="22"/>
        </w:rPr>
        <w:tab/>
      </w:r>
    </w:p>
    <w:p w:rsidR="00A35A7A" w:rsidRPr="00FF1304" w:rsidRDefault="00A35A7A" w:rsidP="002B1043">
      <w:pPr>
        <w:pStyle w:val="tita"/>
        <w:tabs>
          <w:tab w:val="left" w:pos="567"/>
          <w:tab w:val="left" w:pos="2590"/>
        </w:tabs>
        <w:spacing w:before="60" w:after="0" w:line="240" w:lineRule="auto"/>
        <w:jc w:val="both"/>
        <w:rPr>
          <w:b w:val="0"/>
          <w:i w:val="0"/>
          <w:sz w:val="22"/>
          <w:szCs w:val="22"/>
        </w:rPr>
      </w:pPr>
      <w:r w:rsidRPr="00FF1304">
        <w:rPr>
          <w:b w:val="0"/>
          <w:i w:val="0"/>
          <w:sz w:val="22"/>
          <w:szCs w:val="22"/>
        </w:rPr>
        <w:tab/>
        <w:t>1 - A habilitação técnico-operacional só pode ser exigida de licitantes para demonstração da capacidade de execução de parcelas do objeto a ser contratado</w:t>
      </w:r>
      <w:r w:rsidR="00D404C7">
        <w:rPr>
          <w:b w:val="0"/>
          <w:i w:val="0"/>
          <w:sz w:val="22"/>
          <w:szCs w:val="22"/>
        </w:rPr>
        <w:t xml:space="preserve"> que sejam</w:t>
      </w:r>
      <w:r w:rsidRPr="00FF1304">
        <w:rPr>
          <w:b w:val="0"/>
          <w:i w:val="0"/>
          <w:sz w:val="22"/>
          <w:szCs w:val="22"/>
        </w:rPr>
        <w:t xml:space="preserve">, cumulativamente, de maior relevância e de </w:t>
      </w:r>
      <w:r w:rsidR="00FF1304">
        <w:rPr>
          <w:b w:val="0"/>
          <w:i w:val="0"/>
          <w:sz w:val="22"/>
          <w:szCs w:val="22"/>
        </w:rPr>
        <w:t xml:space="preserve">maior </w:t>
      </w:r>
      <w:r w:rsidRPr="00FF1304">
        <w:rPr>
          <w:b w:val="0"/>
          <w:i w:val="0"/>
          <w:sz w:val="22"/>
          <w:szCs w:val="22"/>
        </w:rPr>
        <w:t>valor</w:t>
      </w:r>
      <w:r w:rsidR="00D404C7">
        <w:rPr>
          <w:b w:val="0"/>
          <w:i w:val="0"/>
          <w:sz w:val="22"/>
          <w:szCs w:val="22"/>
        </w:rPr>
        <w:t>;</w:t>
      </w:r>
    </w:p>
    <w:p w:rsidR="00A35A7A" w:rsidRPr="005B6D64" w:rsidRDefault="00A35A7A" w:rsidP="002B1043">
      <w:pPr>
        <w:tabs>
          <w:tab w:val="left" w:pos="567"/>
        </w:tabs>
        <w:spacing w:before="60" w:after="0"/>
        <w:ind w:left="0"/>
        <w:rPr>
          <w:sz w:val="22"/>
          <w:szCs w:val="22"/>
        </w:rPr>
      </w:pPr>
      <w:r w:rsidRPr="00FF1304">
        <w:rPr>
          <w:i/>
          <w:sz w:val="22"/>
          <w:szCs w:val="22"/>
        </w:rPr>
        <w:tab/>
      </w:r>
      <w:r w:rsidRPr="005B6D64">
        <w:rPr>
          <w:sz w:val="22"/>
          <w:szCs w:val="22"/>
        </w:rPr>
        <w:t>2 - Em obras aeroportuárias a exigência de qualificação técnica deve-se limitar, nas situações ordinárias, à demonstração de expertise na execução de obras similares ou equivalentes</w:t>
      </w:r>
      <w:r w:rsidR="00AA1110" w:rsidRPr="005B6D64">
        <w:rPr>
          <w:sz w:val="22"/>
          <w:szCs w:val="22"/>
        </w:rPr>
        <w:t xml:space="preserve">, em respeito ao </w:t>
      </w:r>
      <w:r w:rsidR="005B6D64">
        <w:rPr>
          <w:sz w:val="22"/>
          <w:szCs w:val="22"/>
        </w:rPr>
        <w:t xml:space="preserve">comando contido no </w:t>
      </w:r>
      <w:r w:rsidR="00AA1110" w:rsidRPr="005B6D64">
        <w:rPr>
          <w:sz w:val="22"/>
          <w:szCs w:val="22"/>
        </w:rPr>
        <w:t>art. 3º, § 1º, inciso I, da Lei 8.666/93</w:t>
      </w:r>
      <w:r w:rsidR="00D404C7" w:rsidRPr="005B6D64">
        <w:rPr>
          <w:sz w:val="22"/>
          <w:szCs w:val="22"/>
        </w:rPr>
        <w:t>;</w:t>
      </w:r>
    </w:p>
    <w:p w:rsidR="00A35A7A" w:rsidRPr="00FF1304" w:rsidRDefault="00A35A7A" w:rsidP="002B1043">
      <w:pPr>
        <w:pStyle w:val="tita"/>
        <w:tabs>
          <w:tab w:val="left" w:pos="567"/>
          <w:tab w:val="left" w:pos="2590"/>
        </w:tabs>
        <w:spacing w:before="60" w:after="0" w:line="240" w:lineRule="auto"/>
        <w:jc w:val="both"/>
        <w:rPr>
          <w:b w:val="0"/>
          <w:i w:val="0"/>
          <w:iCs w:val="0"/>
          <w:color w:val="FF0000"/>
          <w:sz w:val="22"/>
          <w:szCs w:val="22"/>
        </w:rPr>
      </w:pPr>
      <w:r w:rsidRPr="00FF1304">
        <w:rPr>
          <w:b w:val="0"/>
          <w:i w:val="0"/>
          <w:sz w:val="22"/>
          <w:szCs w:val="22"/>
        </w:rPr>
        <w:tab/>
      </w:r>
      <w:r w:rsidRPr="009A2CCC">
        <w:rPr>
          <w:b w:val="0"/>
          <w:i w:val="0"/>
          <w:sz w:val="22"/>
          <w:szCs w:val="22"/>
        </w:rPr>
        <w:t xml:space="preserve">3 </w:t>
      </w:r>
      <w:r w:rsidR="009A2CCC" w:rsidRPr="009A2CCC">
        <w:rPr>
          <w:b w:val="0"/>
          <w:i w:val="0"/>
          <w:sz w:val="22"/>
          <w:szCs w:val="22"/>
        </w:rPr>
        <w:t xml:space="preserve">- </w:t>
      </w:r>
      <w:r w:rsidRPr="009A2CCC">
        <w:rPr>
          <w:b w:val="0"/>
          <w:i w:val="0"/>
          <w:sz w:val="22"/>
          <w:szCs w:val="22"/>
        </w:rPr>
        <w:t xml:space="preserve">Para a realização de parcela da obra aeroportuária que seja técnica e materialmente relevante e que, por sua especialidade, seja normalmente subcontratada, deve-se proceder ao parcelamento do objeto a ser </w:t>
      </w:r>
      <w:r w:rsidR="009A2CCC">
        <w:rPr>
          <w:b w:val="0"/>
          <w:i w:val="0"/>
          <w:sz w:val="22"/>
          <w:szCs w:val="22"/>
        </w:rPr>
        <w:t>a ser licitado</w:t>
      </w:r>
      <w:r w:rsidRPr="009A2CCC">
        <w:rPr>
          <w:b w:val="0"/>
          <w:i w:val="0"/>
          <w:sz w:val="22"/>
          <w:szCs w:val="22"/>
        </w:rPr>
        <w:t xml:space="preserve"> ou, se isso não for viável, </w:t>
      </w:r>
      <w:r w:rsidR="009A2CCC">
        <w:rPr>
          <w:b w:val="0"/>
          <w:i w:val="0"/>
          <w:sz w:val="22"/>
          <w:szCs w:val="22"/>
        </w:rPr>
        <w:t xml:space="preserve">deve-se </w:t>
      </w:r>
      <w:r w:rsidRPr="009A2CCC">
        <w:rPr>
          <w:b w:val="0"/>
          <w:i w:val="0"/>
          <w:sz w:val="22"/>
          <w:szCs w:val="22"/>
        </w:rPr>
        <w:t>admitir a participação de consórcios na licitação</w:t>
      </w:r>
      <w:r w:rsidR="00D404C7" w:rsidRPr="009A2CCC">
        <w:rPr>
          <w:b w:val="0"/>
          <w:i w:val="0"/>
          <w:sz w:val="22"/>
          <w:szCs w:val="22"/>
        </w:rPr>
        <w:t>;</w:t>
      </w:r>
      <w:r w:rsidR="003719DE">
        <w:rPr>
          <w:b w:val="0"/>
          <w:i w:val="0"/>
          <w:sz w:val="22"/>
          <w:szCs w:val="22"/>
        </w:rPr>
        <w:t xml:space="preserve"> </w:t>
      </w:r>
    </w:p>
    <w:p w:rsidR="0077228C" w:rsidRPr="008C6D01" w:rsidRDefault="00A35A7A" w:rsidP="002B1043">
      <w:pPr>
        <w:pStyle w:val="Corpodetexto"/>
        <w:tabs>
          <w:tab w:val="left" w:pos="567"/>
          <w:tab w:val="left" w:pos="2590"/>
        </w:tabs>
        <w:spacing w:before="60" w:after="0"/>
        <w:ind w:left="0"/>
        <w:rPr>
          <w:sz w:val="22"/>
          <w:szCs w:val="22"/>
        </w:rPr>
      </w:pPr>
      <w:r w:rsidRPr="00FF1304">
        <w:rPr>
          <w:sz w:val="22"/>
          <w:szCs w:val="22"/>
        </w:rPr>
        <w:tab/>
        <w:t xml:space="preserve">4 </w:t>
      </w:r>
      <w:r w:rsidRPr="008C6D01">
        <w:rPr>
          <w:sz w:val="22"/>
          <w:szCs w:val="22"/>
        </w:rPr>
        <w:t xml:space="preserve">- </w:t>
      </w:r>
      <w:r w:rsidR="008C6D01" w:rsidRPr="008C6D01">
        <w:rPr>
          <w:sz w:val="22"/>
          <w:szCs w:val="22"/>
        </w:rPr>
        <w:t xml:space="preserve">Não é cabível a exigência de atestados de capacitação técnica visando à comprovação de experiência para a execução de serviços técnica e materialmente relevantes, passíveis de serem executados apenas por </w:t>
      </w:r>
      <w:r w:rsidR="005A3789">
        <w:rPr>
          <w:sz w:val="22"/>
          <w:szCs w:val="22"/>
        </w:rPr>
        <w:t xml:space="preserve">poucas </w:t>
      </w:r>
      <w:r w:rsidR="008C6D01" w:rsidRPr="008C6D01">
        <w:rPr>
          <w:sz w:val="22"/>
          <w:szCs w:val="22"/>
        </w:rPr>
        <w:t>empresas</w:t>
      </w:r>
      <w:r w:rsidR="009A2CCC">
        <w:rPr>
          <w:sz w:val="22"/>
          <w:szCs w:val="22"/>
        </w:rPr>
        <w:t>,</w:t>
      </w:r>
      <w:r w:rsidR="008C6D01" w:rsidRPr="008C6D01">
        <w:rPr>
          <w:sz w:val="22"/>
          <w:szCs w:val="22"/>
        </w:rPr>
        <w:t xml:space="preserve"> e que, por circunstância de mercado, já se saiba de antemão que serão subcontratados</w:t>
      </w:r>
      <w:r w:rsidR="00D404C7" w:rsidRPr="008C6D01">
        <w:rPr>
          <w:sz w:val="22"/>
          <w:szCs w:val="22"/>
        </w:rPr>
        <w:t>;</w:t>
      </w:r>
    </w:p>
    <w:p w:rsidR="00A35A7A" w:rsidRPr="001E76DA" w:rsidRDefault="00A35A7A" w:rsidP="002B1043">
      <w:pPr>
        <w:tabs>
          <w:tab w:val="left" w:pos="567"/>
        </w:tabs>
        <w:spacing w:before="60" w:after="0"/>
        <w:ind w:left="0"/>
        <w:rPr>
          <w:sz w:val="22"/>
          <w:szCs w:val="22"/>
        </w:rPr>
      </w:pPr>
      <w:r w:rsidRPr="00FF1304">
        <w:rPr>
          <w:sz w:val="22"/>
          <w:szCs w:val="22"/>
        </w:rPr>
        <w:tab/>
        <w:t>5 - No caso d</w:t>
      </w:r>
      <w:r w:rsidR="00D404C7">
        <w:rPr>
          <w:sz w:val="22"/>
          <w:szCs w:val="22"/>
        </w:rPr>
        <w:t>e</w:t>
      </w:r>
      <w:r w:rsidRPr="00FF1304">
        <w:rPr>
          <w:sz w:val="22"/>
          <w:szCs w:val="22"/>
        </w:rPr>
        <w:t xml:space="preserve"> subcontratação de parcela da obra para a qual houve solicitação de atestados de qualificação técnica na licitação, ou na hipótese de não ter</w:t>
      </w:r>
      <w:r w:rsidR="00C46085">
        <w:rPr>
          <w:sz w:val="22"/>
          <w:szCs w:val="22"/>
        </w:rPr>
        <w:t xml:space="preserve">em </w:t>
      </w:r>
      <w:r w:rsidRPr="00FF1304">
        <w:rPr>
          <w:sz w:val="22"/>
          <w:szCs w:val="22"/>
        </w:rPr>
        <w:t>sido exigido</w:t>
      </w:r>
      <w:r w:rsidR="00C46085">
        <w:rPr>
          <w:sz w:val="22"/>
          <w:szCs w:val="22"/>
        </w:rPr>
        <w:t xml:space="preserve">s atestados </w:t>
      </w:r>
      <w:r w:rsidRPr="00FF1304">
        <w:rPr>
          <w:sz w:val="22"/>
          <w:szCs w:val="22"/>
        </w:rPr>
        <w:t>por se tratar de serviço usualmente prestado por limitad</w:t>
      </w:r>
      <w:r w:rsidR="004425E2">
        <w:rPr>
          <w:sz w:val="22"/>
          <w:szCs w:val="22"/>
        </w:rPr>
        <w:t xml:space="preserve">íssimo </w:t>
      </w:r>
      <w:r w:rsidRPr="001E76DA">
        <w:rPr>
          <w:sz w:val="22"/>
          <w:szCs w:val="22"/>
        </w:rPr>
        <w:t>número de empresas, a contratada original deve exigir da subcontratada comprovação de capacidade técnica</w:t>
      </w:r>
      <w:r w:rsidR="001E76DA" w:rsidRPr="001E76DA">
        <w:rPr>
          <w:sz w:val="22"/>
          <w:szCs w:val="22"/>
        </w:rPr>
        <w:t>, disposição essa que deve constar, necessariamente, do instrumento convocatório</w:t>
      </w:r>
      <w:r w:rsidR="00C46085" w:rsidRPr="001E76DA">
        <w:rPr>
          <w:sz w:val="22"/>
          <w:szCs w:val="22"/>
        </w:rPr>
        <w:t>.</w:t>
      </w:r>
    </w:p>
    <w:p w:rsidR="00A35A7A" w:rsidRDefault="00A35A7A" w:rsidP="002B1043">
      <w:pPr>
        <w:pStyle w:val="PargrafodaLista"/>
        <w:widowControl w:val="0"/>
        <w:autoSpaceDE w:val="0"/>
        <w:autoSpaceDN w:val="0"/>
        <w:adjustRightInd w:val="0"/>
        <w:spacing w:before="60"/>
        <w:ind w:left="0"/>
        <w:contextualSpacing w:val="0"/>
        <w:jc w:val="both"/>
        <w:rPr>
          <w:sz w:val="22"/>
        </w:rPr>
      </w:pPr>
      <w:r w:rsidRPr="00FF1304">
        <w:rPr>
          <w:bCs/>
          <w:iCs/>
          <w:sz w:val="22"/>
          <w:lang w:eastAsia="pt-BR"/>
        </w:rPr>
        <w:t xml:space="preserve">O uso de documentação inidônea com o objetivo de caracterizar a condição de empresa de pequeno porte e obter tratamento favorecido em licitações </w:t>
      </w:r>
      <w:r w:rsidR="008C6D01">
        <w:rPr>
          <w:bCs/>
          <w:iCs/>
          <w:sz w:val="22"/>
          <w:lang w:eastAsia="pt-BR"/>
        </w:rPr>
        <w:t xml:space="preserve">justifica a </w:t>
      </w:r>
      <w:r w:rsidRPr="00FF1304">
        <w:rPr>
          <w:bCs/>
          <w:iCs/>
          <w:sz w:val="22"/>
          <w:lang w:eastAsia="pt-BR"/>
        </w:rPr>
        <w:t xml:space="preserve">inabilitação de empresa para </w:t>
      </w:r>
      <w:r w:rsidRPr="00FF1304">
        <w:rPr>
          <w:sz w:val="22"/>
        </w:rPr>
        <w:t>participar de licitação na Administração Pública Federal</w:t>
      </w:r>
      <w:r w:rsidR="008C6D01">
        <w:rPr>
          <w:sz w:val="22"/>
        </w:rPr>
        <w:t>.</w:t>
      </w:r>
      <w:r w:rsidRPr="00FF1304">
        <w:rPr>
          <w:sz w:val="22"/>
        </w:rPr>
        <w:t xml:space="preserve"> </w:t>
      </w:r>
    </w:p>
    <w:p w:rsidR="00F55337" w:rsidRPr="00FF1304" w:rsidRDefault="00F55337" w:rsidP="002B1043">
      <w:pPr>
        <w:pStyle w:val="PargrafodaLista"/>
        <w:widowControl w:val="0"/>
        <w:autoSpaceDE w:val="0"/>
        <w:autoSpaceDN w:val="0"/>
        <w:adjustRightInd w:val="0"/>
        <w:spacing w:before="60"/>
        <w:ind w:left="0"/>
        <w:contextualSpacing w:val="0"/>
        <w:jc w:val="both"/>
        <w:rPr>
          <w:sz w:val="22"/>
        </w:rPr>
      </w:pPr>
      <w:r w:rsidRPr="00FF1304">
        <w:rPr>
          <w:sz w:val="22"/>
        </w:rPr>
        <w:t xml:space="preserve">A exigência de que empresa a ser contratada mantenha </w:t>
      </w:r>
      <w:r w:rsidRPr="00FF1304">
        <w:rPr>
          <w:iCs/>
          <w:sz w:val="22"/>
        </w:rPr>
        <w:t>rede de postos de serviço credenciados em todo</w:t>
      </w:r>
      <w:r>
        <w:rPr>
          <w:iCs/>
          <w:sz w:val="22"/>
        </w:rPr>
        <w:t xml:space="preserve"> o</w:t>
      </w:r>
      <w:r w:rsidRPr="00FF1304">
        <w:rPr>
          <w:iCs/>
          <w:sz w:val="22"/>
        </w:rPr>
        <w:t xml:space="preserve"> território nacional, para prestação de serviço de</w:t>
      </w:r>
      <w:r w:rsidRPr="00FF1304">
        <w:rPr>
          <w:sz w:val="22"/>
        </w:rPr>
        <w:t xml:space="preserve"> abastecimento de combustível de frota baseada em dada unidade da federação, configura restrição ao caráter competitivo de certame licitatório</w:t>
      </w:r>
      <w:r>
        <w:rPr>
          <w:sz w:val="22"/>
        </w:rPr>
        <w:t>.</w:t>
      </w:r>
    </w:p>
    <w:p w:rsidR="00A35A7A" w:rsidRDefault="00A35A7A" w:rsidP="002B1043">
      <w:pPr>
        <w:pStyle w:val="PargrafodaLista"/>
        <w:widowControl w:val="0"/>
        <w:autoSpaceDE w:val="0"/>
        <w:autoSpaceDN w:val="0"/>
        <w:adjustRightInd w:val="0"/>
        <w:spacing w:before="60"/>
        <w:ind w:left="0"/>
        <w:jc w:val="both"/>
        <w:rPr>
          <w:b/>
          <w:bCs/>
          <w:iCs/>
          <w:sz w:val="22"/>
          <w:lang w:eastAsia="pt-BR"/>
        </w:rPr>
      </w:pPr>
    </w:p>
    <w:p w:rsidR="001A3198" w:rsidRPr="00FF1304" w:rsidRDefault="001A3198" w:rsidP="00A35A7A">
      <w:pPr>
        <w:pStyle w:val="PargrafodaLista"/>
        <w:widowControl w:val="0"/>
        <w:autoSpaceDE w:val="0"/>
        <w:autoSpaceDN w:val="0"/>
        <w:adjustRightInd w:val="0"/>
        <w:spacing w:before="120"/>
        <w:ind w:left="0"/>
        <w:jc w:val="both"/>
        <w:rPr>
          <w:b/>
          <w:bCs/>
          <w:iCs/>
          <w:sz w:val="22"/>
          <w:lang w:eastAsia="pt-BR"/>
        </w:rPr>
      </w:pPr>
    </w:p>
    <w:p w:rsidR="003C6DEB" w:rsidRDefault="003C6DEB" w:rsidP="00B408FD">
      <w:pPr>
        <w:pBdr>
          <w:top w:val="threeDEmboss" w:sz="24" w:space="0" w:color="auto"/>
        </w:pBdr>
        <w:tabs>
          <w:tab w:val="left" w:pos="284"/>
          <w:tab w:val="left" w:pos="2590"/>
        </w:tabs>
        <w:spacing w:after="0"/>
        <w:ind w:left="0"/>
        <w:jc w:val="center"/>
        <w:rPr>
          <w:b/>
          <w:bCs/>
          <w:smallCaps/>
          <w:sz w:val="22"/>
          <w:szCs w:val="22"/>
        </w:rPr>
      </w:pPr>
      <w:r w:rsidRPr="00FF1304">
        <w:rPr>
          <w:b/>
          <w:bCs/>
          <w:smallCaps/>
          <w:sz w:val="22"/>
          <w:szCs w:val="22"/>
        </w:rPr>
        <w:t>PLENÁRIO</w:t>
      </w:r>
    </w:p>
    <w:p w:rsidR="00FF1304" w:rsidRPr="00FF1304" w:rsidRDefault="00FF1304" w:rsidP="00B408FD">
      <w:pPr>
        <w:pBdr>
          <w:top w:val="threeDEmboss" w:sz="24" w:space="0" w:color="auto"/>
        </w:pBdr>
        <w:tabs>
          <w:tab w:val="left" w:pos="284"/>
          <w:tab w:val="left" w:pos="2590"/>
        </w:tabs>
        <w:spacing w:after="0"/>
        <w:ind w:left="0"/>
        <w:jc w:val="center"/>
        <w:rPr>
          <w:b/>
          <w:bCs/>
          <w:smallCaps/>
          <w:sz w:val="22"/>
          <w:szCs w:val="22"/>
        </w:rPr>
      </w:pPr>
    </w:p>
    <w:p w:rsidR="00D404C7" w:rsidRPr="009A2CCC" w:rsidRDefault="009A2CCC" w:rsidP="00F339D7">
      <w:pPr>
        <w:spacing w:after="0"/>
        <w:ind w:left="0"/>
        <w:rPr>
          <w:b/>
          <w:sz w:val="22"/>
          <w:szCs w:val="22"/>
        </w:rPr>
      </w:pPr>
      <w:r w:rsidRPr="009A2CCC">
        <w:rPr>
          <w:b/>
          <w:sz w:val="22"/>
          <w:szCs w:val="22"/>
        </w:rPr>
        <w:t>A habilitação técnico-operacional só pode ser exigida de licitantes para demonstração da capacidade de execução de parcelas do objeto a ser contratado que sejam, cumulativamente, de maior relevância e de maior valor</w:t>
      </w:r>
      <w:r w:rsidR="00D404C7" w:rsidRPr="009A2CCC">
        <w:rPr>
          <w:b/>
          <w:sz w:val="22"/>
          <w:szCs w:val="22"/>
        </w:rPr>
        <w:t xml:space="preserve"> </w:t>
      </w:r>
    </w:p>
    <w:p w:rsidR="00F339D7" w:rsidRPr="00FF1304" w:rsidRDefault="0062524C" w:rsidP="00F339D7">
      <w:pPr>
        <w:spacing w:after="0"/>
        <w:ind w:left="0"/>
        <w:rPr>
          <w:sz w:val="22"/>
          <w:szCs w:val="22"/>
        </w:rPr>
      </w:pPr>
      <w:r w:rsidRPr="00FF1304">
        <w:rPr>
          <w:sz w:val="22"/>
          <w:szCs w:val="22"/>
        </w:rPr>
        <w:t>Representação da Secob-1, efetuada em cumprimento ao comando</w:t>
      </w:r>
      <w:r w:rsidR="000C5799" w:rsidRPr="00FF1304">
        <w:rPr>
          <w:sz w:val="22"/>
          <w:szCs w:val="22"/>
        </w:rPr>
        <w:t xml:space="preserve"> </w:t>
      </w:r>
      <w:r w:rsidRPr="00FF1304">
        <w:rPr>
          <w:sz w:val="22"/>
          <w:szCs w:val="22"/>
        </w:rPr>
        <w:t xml:space="preserve">contido no subitem 9.3 do Acórdão 718/2011-Plenário, </w:t>
      </w:r>
      <w:r w:rsidR="00CB3818" w:rsidRPr="00FF1304">
        <w:rPr>
          <w:sz w:val="22"/>
          <w:szCs w:val="22"/>
        </w:rPr>
        <w:t xml:space="preserve">proferido nos </w:t>
      </w:r>
      <w:r w:rsidRPr="00FF1304">
        <w:rPr>
          <w:sz w:val="22"/>
          <w:szCs w:val="22"/>
        </w:rPr>
        <w:t xml:space="preserve">autos de processo </w:t>
      </w:r>
      <w:r w:rsidR="00CB3818" w:rsidRPr="00FF1304">
        <w:rPr>
          <w:sz w:val="22"/>
          <w:szCs w:val="22"/>
        </w:rPr>
        <w:t xml:space="preserve">em que se examinava denúncia envolvendo supostas irregularidades no edital de licitações para as obras no Aeroporto de Confins, em Belo Horizonte/MG, </w:t>
      </w:r>
      <w:r w:rsidRPr="00FF1304">
        <w:rPr>
          <w:sz w:val="22"/>
          <w:szCs w:val="22"/>
        </w:rPr>
        <w:t>aprofundou estudos acerca da “</w:t>
      </w:r>
      <w:r w:rsidRPr="00FF1304">
        <w:rPr>
          <w:i/>
          <w:sz w:val="22"/>
          <w:szCs w:val="22"/>
        </w:rPr>
        <w:t>subcontratação de serviços tradicionalmente terceirizados em obras aeroportuárias bem como acerca da exigência de habilitação técnica para itens específicos de instalações de aeroportos, tais como esteiras de transporte e pontes de embarque, que têm mercado monopolizado ou de restrito número de fornecedores”, com o objetivo de “aperfeiçoar as disposições de futuros editais de licitação para obras semelhantes às tratadas nestes autos, no intuito de ampliar a competitividade e obter a proposta mais vantajosa para a administração</w:t>
      </w:r>
      <w:r w:rsidRPr="00FF1304">
        <w:rPr>
          <w:sz w:val="22"/>
          <w:szCs w:val="22"/>
        </w:rPr>
        <w:t xml:space="preserve"> </w:t>
      </w:r>
      <w:r w:rsidRPr="00FF1304">
        <w:rPr>
          <w:i/>
          <w:sz w:val="22"/>
          <w:szCs w:val="22"/>
        </w:rPr>
        <w:t>(...)</w:t>
      </w:r>
      <w:r w:rsidRPr="00FF1304">
        <w:rPr>
          <w:sz w:val="22"/>
          <w:szCs w:val="22"/>
        </w:rPr>
        <w:t>”.</w:t>
      </w:r>
      <w:r w:rsidR="00CB3818" w:rsidRPr="00FF1304">
        <w:rPr>
          <w:sz w:val="22"/>
          <w:szCs w:val="22"/>
        </w:rPr>
        <w:t xml:space="preserve"> A Secob-1 acusou</w:t>
      </w:r>
      <w:r w:rsidR="001A2A67" w:rsidRPr="00FF1304">
        <w:rPr>
          <w:sz w:val="22"/>
          <w:szCs w:val="22"/>
        </w:rPr>
        <w:t xml:space="preserve">, inicialmente, </w:t>
      </w:r>
      <w:r w:rsidR="00CB3818" w:rsidRPr="00FF1304">
        <w:rPr>
          <w:sz w:val="22"/>
          <w:szCs w:val="22"/>
        </w:rPr>
        <w:t xml:space="preserve">dissonância entre </w:t>
      </w:r>
      <w:r w:rsidR="004E586B" w:rsidRPr="00FF1304">
        <w:rPr>
          <w:sz w:val="22"/>
          <w:szCs w:val="22"/>
        </w:rPr>
        <w:t xml:space="preserve">o </w:t>
      </w:r>
      <w:r w:rsidR="00CB3818" w:rsidRPr="00FF1304">
        <w:rPr>
          <w:sz w:val="22"/>
          <w:szCs w:val="22"/>
        </w:rPr>
        <w:t xml:space="preserve">comando contido no Regulamento de Licitações e Contratos da Infraero </w:t>
      </w:r>
      <w:r w:rsidR="004E586B" w:rsidRPr="00FF1304">
        <w:rPr>
          <w:sz w:val="22"/>
          <w:szCs w:val="22"/>
        </w:rPr>
        <w:t xml:space="preserve">e o </w:t>
      </w:r>
      <w:r w:rsidR="00CB3818" w:rsidRPr="00FF1304">
        <w:rPr>
          <w:sz w:val="22"/>
          <w:szCs w:val="22"/>
        </w:rPr>
        <w:t xml:space="preserve">do art. 30, § 1º, </w:t>
      </w:r>
      <w:r w:rsidR="00AA1110">
        <w:rPr>
          <w:sz w:val="22"/>
          <w:szCs w:val="22"/>
        </w:rPr>
        <w:t xml:space="preserve">inciso I, </w:t>
      </w:r>
      <w:r w:rsidR="00CB3818" w:rsidRPr="00FF1304">
        <w:rPr>
          <w:sz w:val="22"/>
          <w:szCs w:val="22"/>
        </w:rPr>
        <w:t xml:space="preserve">da Lei 8.666/93. </w:t>
      </w:r>
      <w:r w:rsidR="004E586B" w:rsidRPr="00FF1304">
        <w:rPr>
          <w:sz w:val="22"/>
          <w:szCs w:val="22"/>
        </w:rPr>
        <w:t>Isso porque o n</w:t>
      </w:r>
      <w:r w:rsidR="00CB3818" w:rsidRPr="00FF1304">
        <w:rPr>
          <w:sz w:val="22"/>
          <w:szCs w:val="22"/>
        </w:rPr>
        <w:t xml:space="preserve">ormativo interno da empresa admite a exigência de atestados de experiência para comprovação da capacidade técnica em itens de maior relevância </w:t>
      </w:r>
      <w:r w:rsidR="00CB3818" w:rsidRPr="00FF1304">
        <w:rPr>
          <w:sz w:val="22"/>
          <w:szCs w:val="22"/>
          <w:u w:val="single"/>
        </w:rPr>
        <w:t>ou</w:t>
      </w:r>
      <w:r w:rsidR="00CB3818" w:rsidRPr="00FF1304">
        <w:rPr>
          <w:sz w:val="22"/>
          <w:szCs w:val="22"/>
        </w:rPr>
        <w:t xml:space="preserve"> valor significativo da obra</w:t>
      </w:r>
      <w:r w:rsidR="004E586B" w:rsidRPr="00FF1304">
        <w:rPr>
          <w:sz w:val="22"/>
          <w:szCs w:val="22"/>
        </w:rPr>
        <w:t xml:space="preserve">, enquanto o entendimento </w:t>
      </w:r>
      <w:r w:rsidR="00CB3818" w:rsidRPr="00FF1304">
        <w:rPr>
          <w:sz w:val="22"/>
          <w:szCs w:val="22"/>
        </w:rPr>
        <w:t>já sumulado por esta Corte</w:t>
      </w:r>
      <w:r w:rsidR="004E586B" w:rsidRPr="00FF1304">
        <w:rPr>
          <w:sz w:val="22"/>
          <w:szCs w:val="22"/>
        </w:rPr>
        <w:t xml:space="preserve"> aponta no sentido de que </w:t>
      </w:r>
      <w:r w:rsidR="00CB3818" w:rsidRPr="00FF1304">
        <w:rPr>
          <w:sz w:val="22"/>
          <w:szCs w:val="22"/>
        </w:rPr>
        <w:t>ta</w:t>
      </w:r>
      <w:r w:rsidR="004E586B" w:rsidRPr="00FF1304">
        <w:rPr>
          <w:sz w:val="22"/>
          <w:szCs w:val="22"/>
        </w:rPr>
        <w:t xml:space="preserve">l exigência </w:t>
      </w:r>
      <w:r w:rsidR="00CB3818" w:rsidRPr="00FF1304">
        <w:rPr>
          <w:sz w:val="22"/>
          <w:szCs w:val="22"/>
        </w:rPr>
        <w:t xml:space="preserve">só </w:t>
      </w:r>
      <w:r w:rsidR="004E586B" w:rsidRPr="00FF1304">
        <w:rPr>
          <w:sz w:val="22"/>
          <w:szCs w:val="22"/>
        </w:rPr>
        <w:t>poderia ser efetuada</w:t>
      </w:r>
      <w:r w:rsidR="00CB3818" w:rsidRPr="00FF1304">
        <w:rPr>
          <w:sz w:val="22"/>
          <w:szCs w:val="22"/>
        </w:rPr>
        <w:t xml:space="preserve"> quando o serviço for </w:t>
      </w:r>
      <w:r w:rsidR="005A3789">
        <w:rPr>
          <w:sz w:val="22"/>
          <w:szCs w:val="22"/>
        </w:rPr>
        <w:t xml:space="preserve">técnica </w:t>
      </w:r>
      <w:r w:rsidR="00CB3818" w:rsidRPr="00FF1304">
        <w:rPr>
          <w:sz w:val="22"/>
          <w:szCs w:val="22"/>
          <w:u w:val="single"/>
        </w:rPr>
        <w:t>e</w:t>
      </w:r>
      <w:r w:rsidR="00CB3818" w:rsidRPr="00FF1304">
        <w:rPr>
          <w:sz w:val="22"/>
          <w:szCs w:val="22"/>
        </w:rPr>
        <w:t xml:space="preserve"> materialmente relevante (Súmula 263/2011).</w:t>
      </w:r>
      <w:r w:rsidR="00A16896" w:rsidRPr="00FF1304">
        <w:rPr>
          <w:sz w:val="22"/>
          <w:szCs w:val="22"/>
        </w:rPr>
        <w:t xml:space="preserve"> </w:t>
      </w:r>
      <w:r w:rsidR="00F339D7" w:rsidRPr="00FF1304">
        <w:rPr>
          <w:sz w:val="22"/>
          <w:szCs w:val="22"/>
        </w:rPr>
        <w:t>Em resposta a oitiva do Tribunal, a Infraero asseverou que, ao conduzir seus certames licitatórios, somente exigia demonstração de qualificação técnica</w:t>
      </w:r>
      <w:r w:rsidR="005A3789">
        <w:rPr>
          <w:sz w:val="22"/>
          <w:szCs w:val="22"/>
        </w:rPr>
        <w:t>,</w:t>
      </w:r>
      <w:r w:rsidR="00F339D7" w:rsidRPr="00FF1304">
        <w:rPr>
          <w:sz w:val="22"/>
          <w:szCs w:val="22"/>
        </w:rPr>
        <w:t xml:space="preserve"> se presentes ambos os requisitos acima citados. </w:t>
      </w:r>
      <w:r w:rsidR="009377EA" w:rsidRPr="00FF1304">
        <w:rPr>
          <w:sz w:val="22"/>
          <w:szCs w:val="22"/>
        </w:rPr>
        <w:t xml:space="preserve">Restou, porém, </w:t>
      </w:r>
      <w:r w:rsidR="00F339D7" w:rsidRPr="00FF1304">
        <w:rPr>
          <w:sz w:val="22"/>
          <w:szCs w:val="22"/>
        </w:rPr>
        <w:t>efetivamente comprovada a ilicitude</w:t>
      </w:r>
      <w:r w:rsidR="00FF394B">
        <w:rPr>
          <w:sz w:val="22"/>
          <w:szCs w:val="22"/>
        </w:rPr>
        <w:t xml:space="preserve"> </w:t>
      </w:r>
      <w:r w:rsidR="005A3789">
        <w:rPr>
          <w:sz w:val="22"/>
          <w:szCs w:val="22"/>
        </w:rPr>
        <w:t>apontada</w:t>
      </w:r>
      <w:r w:rsidR="009377EA" w:rsidRPr="00FF1304">
        <w:rPr>
          <w:sz w:val="22"/>
          <w:szCs w:val="22"/>
        </w:rPr>
        <w:t>, conforme ressaltou a unidade técnica e o Ministério Público</w:t>
      </w:r>
      <w:r w:rsidR="00CA7FB2">
        <w:rPr>
          <w:sz w:val="22"/>
          <w:szCs w:val="22"/>
        </w:rPr>
        <w:t>/TCU</w:t>
      </w:r>
      <w:r w:rsidR="00F339D7" w:rsidRPr="00FF1304">
        <w:rPr>
          <w:sz w:val="22"/>
          <w:szCs w:val="22"/>
        </w:rPr>
        <w:t>.</w:t>
      </w:r>
      <w:r w:rsidR="009377EA" w:rsidRPr="00FF1304">
        <w:rPr>
          <w:sz w:val="22"/>
          <w:szCs w:val="22"/>
        </w:rPr>
        <w:t xml:space="preserve"> </w:t>
      </w:r>
      <w:r w:rsidR="00F339D7" w:rsidRPr="00FF1304">
        <w:rPr>
          <w:sz w:val="22"/>
          <w:szCs w:val="22"/>
        </w:rPr>
        <w:t>Por esse motivo, o Tribunal</w:t>
      </w:r>
      <w:r w:rsidR="009377EA" w:rsidRPr="00FF1304">
        <w:rPr>
          <w:sz w:val="22"/>
          <w:szCs w:val="22"/>
        </w:rPr>
        <w:t xml:space="preserve">, ao adotar proposta de encaminhamento apresentada pelo relator, </w:t>
      </w:r>
      <w:r w:rsidR="00F339D7" w:rsidRPr="00FF1304">
        <w:rPr>
          <w:sz w:val="22"/>
          <w:szCs w:val="22"/>
        </w:rPr>
        <w:t>decidiu “</w:t>
      </w:r>
      <w:r w:rsidR="00F339D7" w:rsidRPr="00FF1304">
        <w:rPr>
          <w:rFonts w:eastAsia="Times New Roman"/>
          <w:bCs/>
          <w:i/>
          <w:iCs/>
          <w:sz w:val="22"/>
          <w:szCs w:val="22"/>
          <w:lang w:eastAsia="pt-BR"/>
        </w:rPr>
        <w:t>9.2. determinar à Secretaria de Aviação Civil da Presidência da República que, com base no art. 43, inciso I, da Lei 8.443/1992 e no art. 250, inciso II, do Regimento Interno do Tribunal, tome as providências para alteração do Regulamento de Licitações e Contratos da Infraero, de modo que as exigências de habilitação técnico-operacional das licitantes refiram-se, simultaneamente, às parcelas de maior relevância e de maior valor significativo do objeto a ser contratado, a fim de compatibilizar o normativo da empresa pública com o disposto no artigo 30 da Lei 8.666/1993 e com a Súmula 263/2011-TCU</w:t>
      </w:r>
      <w:r w:rsidR="00F339D7" w:rsidRPr="00FF1304">
        <w:rPr>
          <w:i/>
          <w:sz w:val="22"/>
          <w:szCs w:val="22"/>
        </w:rPr>
        <w:t xml:space="preserve">;”. </w:t>
      </w:r>
      <w:r w:rsidR="00F339D7" w:rsidRPr="00FF1304">
        <w:rPr>
          <w:b/>
          <w:i/>
          <w:sz w:val="22"/>
          <w:szCs w:val="22"/>
        </w:rPr>
        <w:t xml:space="preserve">Acórdão </w:t>
      </w:r>
      <w:r w:rsidR="005A3789">
        <w:rPr>
          <w:b/>
          <w:i/>
          <w:sz w:val="22"/>
          <w:szCs w:val="22"/>
        </w:rPr>
        <w:t xml:space="preserve">n.º </w:t>
      </w:r>
      <w:r w:rsidR="00812C2A" w:rsidRPr="00FF1304">
        <w:rPr>
          <w:b/>
          <w:i/>
          <w:sz w:val="22"/>
          <w:szCs w:val="22"/>
        </w:rPr>
        <w:t>2</w:t>
      </w:r>
      <w:r w:rsidR="00AD6F4A">
        <w:rPr>
          <w:b/>
          <w:i/>
          <w:sz w:val="22"/>
          <w:szCs w:val="22"/>
        </w:rPr>
        <w:t>9</w:t>
      </w:r>
      <w:r w:rsidR="00812C2A" w:rsidRPr="00FF1304">
        <w:rPr>
          <w:b/>
          <w:i/>
          <w:sz w:val="22"/>
          <w:szCs w:val="22"/>
        </w:rPr>
        <w:t>92</w:t>
      </w:r>
      <w:r w:rsidR="00F339D7" w:rsidRPr="00FF1304">
        <w:rPr>
          <w:b/>
          <w:i/>
          <w:sz w:val="22"/>
          <w:szCs w:val="22"/>
        </w:rPr>
        <w:t xml:space="preserve">/2011-Plenário, </w:t>
      </w:r>
      <w:r w:rsidR="009377EA" w:rsidRPr="00FF1304">
        <w:rPr>
          <w:b/>
          <w:i/>
          <w:sz w:val="22"/>
          <w:szCs w:val="22"/>
        </w:rPr>
        <w:t>TC-008.543/2011-9</w:t>
      </w:r>
      <w:r w:rsidR="00F339D7" w:rsidRPr="00FF1304">
        <w:rPr>
          <w:b/>
          <w:i/>
          <w:sz w:val="22"/>
          <w:szCs w:val="22"/>
        </w:rPr>
        <w:t xml:space="preserve">, rel. Min. </w:t>
      </w:r>
      <w:r w:rsidR="009377EA" w:rsidRPr="00FF1304">
        <w:rPr>
          <w:b/>
          <w:i/>
          <w:sz w:val="22"/>
          <w:szCs w:val="22"/>
        </w:rPr>
        <w:t>Valmir Campelo</w:t>
      </w:r>
      <w:r w:rsidR="00F339D7" w:rsidRPr="00FF1304">
        <w:rPr>
          <w:b/>
          <w:i/>
          <w:sz w:val="22"/>
          <w:szCs w:val="22"/>
        </w:rPr>
        <w:t xml:space="preserve">, </w:t>
      </w:r>
      <w:r w:rsidR="007E25F0" w:rsidRPr="00FF1304">
        <w:rPr>
          <w:b/>
          <w:i/>
          <w:sz w:val="22"/>
          <w:szCs w:val="22"/>
        </w:rPr>
        <w:t>16</w:t>
      </w:r>
      <w:r w:rsidR="00F339D7" w:rsidRPr="00FF1304">
        <w:rPr>
          <w:b/>
          <w:i/>
          <w:sz w:val="22"/>
          <w:szCs w:val="22"/>
        </w:rPr>
        <w:t>.1</w:t>
      </w:r>
      <w:r w:rsidR="009377EA" w:rsidRPr="00FF1304">
        <w:rPr>
          <w:b/>
          <w:i/>
          <w:sz w:val="22"/>
          <w:szCs w:val="22"/>
        </w:rPr>
        <w:t>1</w:t>
      </w:r>
      <w:r w:rsidR="00F339D7" w:rsidRPr="00FF1304">
        <w:rPr>
          <w:b/>
          <w:i/>
          <w:sz w:val="22"/>
          <w:szCs w:val="22"/>
        </w:rPr>
        <w:t>.2011</w:t>
      </w:r>
      <w:r w:rsidR="00F339D7" w:rsidRPr="00FF1304">
        <w:rPr>
          <w:sz w:val="22"/>
          <w:szCs w:val="22"/>
        </w:rPr>
        <w:t>.</w:t>
      </w:r>
    </w:p>
    <w:p w:rsidR="00F339D7" w:rsidRPr="00FF1304" w:rsidRDefault="00F339D7" w:rsidP="00F339D7">
      <w:pPr>
        <w:pStyle w:val="tita"/>
        <w:tabs>
          <w:tab w:val="left" w:pos="2590"/>
        </w:tabs>
        <w:spacing w:before="0" w:after="0" w:line="240" w:lineRule="auto"/>
        <w:jc w:val="both"/>
        <w:rPr>
          <w:b w:val="0"/>
          <w:i w:val="0"/>
          <w:iCs w:val="0"/>
          <w:color w:val="FF0000"/>
          <w:sz w:val="22"/>
          <w:szCs w:val="22"/>
        </w:rPr>
      </w:pPr>
    </w:p>
    <w:p w:rsidR="00961346" w:rsidRPr="005B6D64" w:rsidRDefault="005B6D64" w:rsidP="00961346">
      <w:pPr>
        <w:spacing w:after="0"/>
        <w:ind w:left="0"/>
        <w:rPr>
          <w:b/>
          <w:sz w:val="22"/>
          <w:szCs w:val="22"/>
        </w:rPr>
      </w:pPr>
      <w:r w:rsidRPr="005B6D64">
        <w:rPr>
          <w:b/>
          <w:sz w:val="22"/>
          <w:szCs w:val="22"/>
        </w:rPr>
        <w:t>Em obras aeroportuárias a exigência de qualificação técnica deve-se limitar, nas situações ordinárias, à demonstração de expertise na execução de obras similares ou equivalentes, em respeito ao comando contido no art. 3º, § 1º, inciso I, da Lei 8.666/93</w:t>
      </w:r>
    </w:p>
    <w:p w:rsidR="00812C2A" w:rsidRPr="00FF1304" w:rsidRDefault="005474C7" w:rsidP="00812C2A">
      <w:pPr>
        <w:spacing w:after="0"/>
        <w:ind w:left="0"/>
        <w:rPr>
          <w:sz w:val="22"/>
          <w:szCs w:val="22"/>
        </w:rPr>
      </w:pPr>
      <w:r w:rsidRPr="00FF1304">
        <w:rPr>
          <w:sz w:val="22"/>
          <w:szCs w:val="22"/>
        </w:rPr>
        <w:t xml:space="preserve">Na </w:t>
      </w:r>
      <w:r w:rsidR="00925F3C" w:rsidRPr="00FF1304">
        <w:rPr>
          <w:sz w:val="22"/>
          <w:szCs w:val="22"/>
        </w:rPr>
        <w:t xml:space="preserve">citada </w:t>
      </w:r>
      <w:r w:rsidRPr="00FF1304">
        <w:rPr>
          <w:sz w:val="22"/>
          <w:szCs w:val="22"/>
        </w:rPr>
        <w:t>r</w:t>
      </w:r>
      <w:r w:rsidR="00925F3C" w:rsidRPr="00FF1304">
        <w:rPr>
          <w:sz w:val="22"/>
          <w:szCs w:val="22"/>
        </w:rPr>
        <w:t xml:space="preserve">epresentação da Secob-1, </w:t>
      </w:r>
      <w:r w:rsidRPr="00FF1304">
        <w:rPr>
          <w:sz w:val="22"/>
          <w:szCs w:val="22"/>
        </w:rPr>
        <w:t>o relator</w:t>
      </w:r>
      <w:r w:rsidR="00526D46" w:rsidRPr="00FF1304">
        <w:rPr>
          <w:sz w:val="22"/>
          <w:szCs w:val="22"/>
        </w:rPr>
        <w:t xml:space="preserve"> </w:t>
      </w:r>
      <w:r w:rsidR="005A3789">
        <w:rPr>
          <w:sz w:val="22"/>
          <w:szCs w:val="22"/>
        </w:rPr>
        <w:t>tratou da</w:t>
      </w:r>
      <w:r w:rsidR="00431AA2" w:rsidRPr="00FF1304">
        <w:rPr>
          <w:sz w:val="22"/>
          <w:szCs w:val="22"/>
        </w:rPr>
        <w:t xml:space="preserve"> </w:t>
      </w:r>
      <w:r w:rsidR="00A35A7A" w:rsidRPr="00FF1304">
        <w:rPr>
          <w:sz w:val="22"/>
          <w:szCs w:val="22"/>
        </w:rPr>
        <w:t xml:space="preserve">exigência de atestados de qualificação técnica para a execução de itens que integram obras aeroportuárias e </w:t>
      </w:r>
      <w:r w:rsidR="005A3789">
        <w:rPr>
          <w:sz w:val="22"/>
          <w:szCs w:val="22"/>
        </w:rPr>
        <w:t>da</w:t>
      </w:r>
      <w:r w:rsidR="00A35A7A" w:rsidRPr="00FF1304">
        <w:rPr>
          <w:sz w:val="22"/>
          <w:szCs w:val="22"/>
        </w:rPr>
        <w:t xml:space="preserve"> </w:t>
      </w:r>
      <w:r w:rsidR="00925F3C" w:rsidRPr="00FF1304">
        <w:rPr>
          <w:sz w:val="22"/>
          <w:szCs w:val="22"/>
        </w:rPr>
        <w:t>subcontratação de serviços tradicionalmente terceirizados em obras aeroportuárias</w:t>
      </w:r>
      <w:r w:rsidR="00526D46" w:rsidRPr="00FF1304">
        <w:rPr>
          <w:sz w:val="22"/>
          <w:szCs w:val="22"/>
        </w:rPr>
        <w:t xml:space="preserve">. Endossou </w:t>
      </w:r>
      <w:r w:rsidR="008C25D0" w:rsidRPr="00FF1304">
        <w:rPr>
          <w:sz w:val="22"/>
          <w:szCs w:val="22"/>
        </w:rPr>
        <w:t xml:space="preserve">entendimento </w:t>
      </w:r>
      <w:r w:rsidR="00925F3C" w:rsidRPr="00FF1304">
        <w:rPr>
          <w:sz w:val="22"/>
          <w:szCs w:val="22"/>
        </w:rPr>
        <w:t>da unidade técnica,</w:t>
      </w:r>
      <w:r w:rsidR="00431AA2" w:rsidRPr="00FF1304">
        <w:rPr>
          <w:sz w:val="22"/>
          <w:szCs w:val="22"/>
        </w:rPr>
        <w:t xml:space="preserve"> segundo </w:t>
      </w:r>
      <w:r w:rsidR="008C25D0" w:rsidRPr="00FF1304">
        <w:rPr>
          <w:sz w:val="22"/>
          <w:szCs w:val="22"/>
        </w:rPr>
        <w:t>o</w:t>
      </w:r>
      <w:r w:rsidR="00431AA2" w:rsidRPr="00FF1304">
        <w:rPr>
          <w:sz w:val="22"/>
          <w:szCs w:val="22"/>
        </w:rPr>
        <w:t xml:space="preserve"> qual, em vez de </w:t>
      </w:r>
      <w:r w:rsidR="000F6986" w:rsidRPr="00FF1304">
        <w:rPr>
          <w:sz w:val="22"/>
          <w:szCs w:val="22"/>
        </w:rPr>
        <w:t xml:space="preserve">se </w:t>
      </w:r>
      <w:r w:rsidR="00431AA2" w:rsidRPr="00FF1304">
        <w:rPr>
          <w:sz w:val="22"/>
          <w:szCs w:val="22"/>
        </w:rPr>
        <w:t xml:space="preserve">exigir a apresentação de atestados de diversas parcelas do objeto licitado e de </w:t>
      </w:r>
      <w:r w:rsidR="000F6986" w:rsidRPr="00FF1304">
        <w:rPr>
          <w:sz w:val="22"/>
          <w:szCs w:val="22"/>
        </w:rPr>
        <w:t xml:space="preserve">se </w:t>
      </w:r>
      <w:r w:rsidR="00431AA2" w:rsidRPr="00FF1304">
        <w:rPr>
          <w:sz w:val="22"/>
          <w:szCs w:val="22"/>
        </w:rPr>
        <w:t xml:space="preserve">proibir </w:t>
      </w:r>
      <w:r w:rsidR="000F6986" w:rsidRPr="00FF1304">
        <w:rPr>
          <w:sz w:val="22"/>
          <w:szCs w:val="22"/>
        </w:rPr>
        <w:t>a</w:t>
      </w:r>
      <w:r w:rsidR="00431AA2" w:rsidRPr="00FF1304">
        <w:rPr>
          <w:sz w:val="22"/>
          <w:szCs w:val="22"/>
        </w:rPr>
        <w:t xml:space="preserve"> subcontra</w:t>
      </w:r>
      <w:r w:rsidR="00A54367" w:rsidRPr="00FF1304">
        <w:rPr>
          <w:sz w:val="22"/>
          <w:szCs w:val="22"/>
        </w:rPr>
        <w:t>tação d</w:t>
      </w:r>
      <w:r w:rsidR="00431AA2" w:rsidRPr="00FF1304">
        <w:rPr>
          <w:sz w:val="22"/>
          <w:szCs w:val="22"/>
        </w:rPr>
        <w:t xml:space="preserve">as referidas parcelas, </w:t>
      </w:r>
      <w:r w:rsidR="00A54367" w:rsidRPr="00FF1304">
        <w:rPr>
          <w:sz w:val="22"/>
          <w:szCs w:val="22"/>
        </w:rPr>
        <w:t>“</w:t>
      </w:r>
      <w:r w:rsidR="00431AA2" w:rsidRPr="00FF1304">
        <w:rPr>
          <w:i/>
          <w:sz w:val="22"/>
          <w:szCs w:val="22"/>
        </w:rPr>
        <w:t>parece mais salutar que a Infraero exija apenas a comprovação de que as licitantes executaram obra similar ou equivalente, flexibilizando a subcontratação dos diversos serviços e parcelas da obra e deixando a cargo da iniciativa privada fazer a melhor gestão da execução dos recursos necessários à conclusão do objeto</w:t>
      </w:r>
      <w:r w:rsidR="00431AA2" w:rsidRPr="00FF1304">
        <w:rPr>
          <w:sz w:val="22"/>
          <w:szCs w:val="22"/>
        </w:rPr>
        <w:t>".</w:t>
      </w:r>
      <w:r w:rsidR="000F6986" w:rsidRPr="00FF1304">
        <w:rPr>
          <w:sz w:val="22"/>
          <w:szCs w:val="22"/>
        </w:rPr>
        <w:t xml:space="preserve"> O relator, ao </w:t>
      </w:r>
      <w:r w:rsidR="008C25D0" w:rsidRPr="00FF1304">
        <w:rPr>
          <w:sz w:val="22"/>
          <w:szCs w:val="22"/>
        </w:rPr>
        <w:t>discorrer a esse respeito</w:t>
      </w:r>
      <w:r w:rsidR="00A54367" w:rsidRPr="00FF1304">
        <w:rPr>
          <w:sz w:val="22"/>
          <w:szCs w:val="22"/>
        </w:rPr>
        <w:t>, abordou a execução de itens usuais em obras aeroportuárias</w:t>
      </w:r>
      <w:r w:rsidR="00D33DBD" w:rsidRPr="00FF1304">
        <w:rPr>
          <w:sz w:val="22"/>
          <w:szCs w:val="22"/>
        </w:rPr>
        <w:t xml:space="preserve"> e e</w:t>
      </w:r>
      <w:r w:rsidR="00A54367" w:rsidRPr="00FF1304">
        <w:rPr>
          <w:sz w:val="22"/>
          <w:szCs w:val="22"/>
        </w:rPr>
        <w:t>xemp</w:t>
      </w:r>
      <w:r w:rsidR="00D33DBD" w:rsidRPr="00FF1304">
        <w:rPr>
          <w:sz w:val="22"/>
          <w:szCs w:val="22"/>
        </w:rPr>
        <w:t>lificou</w:t>
      </w:r>
      <w:r w:rsidR="00A54367" w:rsidRPr="00FF1304">
        <w:rPr>
          <w:sz w:val="22"/>
          <w:szCs w:val="22"/>
        </w:rPr>
        <w:t>: “</w:t>
      </w:r>
      <w:r w:rsidR="00A54367" w:rsidRPr="00FF1304">
        <w:rPr>
          <w:i/>
          <w:sz w:val="22"/>
          <w:szCs w:val="22"/>
        </w:rPr>
        <w:t>É inegável que em praticamente todos os aeroportos existirão esteiras de bagagem, e isso independe do seu tamanho. Questiono, portanto, em que incrementará a solicitação de comprovação da experiência anterior nesse tipo de serviço, quando, inexoravelmente, ao se comprovar a execução bem sucedida da construção de outro aeroporto, já se ‘embute’ o ‘saber fazer’ na execução dessas esteiras</w:t>
      </w:r>
      <w:r w:rsidR="00A54367" w:rsidRPr="00FF1304">
        <w:rPr>
          <w:sz w:val="22"/>
          <w:szCs w:val="22"/>
        </w:rPr>
        <w:t>”.</w:t>
      </w:r>
      <w:r w:rsidR="00D33DBD" w:rsidRPr="00FF1304">
        <w:rPr>
          <w:sz w:val="22"/>
          <w:szCs w:val="22"/>
        </w:rPr>
        <w:t xml:space="preserve"> </w:t>
      </w:r>
      <w:r w:rsidR="00517868" w:rsidRPr="00FF1304">
        <w:rPr>
          <w:sz w:val="22"/>
          <w:szCs w:val="22"/>
        </w:rPr>
        <w:t xml:space="preserve">Estendeu esse raciocínio </w:t>
      </w:r>
      <w:r w:rsidR="000C5799" w:rsidRPr="00FF1304">
        <w:rPr>
          <w:sz w:val="22"/>
          <w:szCs w:val="22"/>
        </w:rPr>
        <w:t>a</w:t>
      </w:r>
      <w:r w:rsidR="00517868" w:rsidRPr="00FF1304">
        <w:rPr>
          <w:sz w:val="22"/>
          <w:szCs w:val="22"/>
        </w:rPr>
        <w:t xml:space="preserve"> outros serviços, como o de movimentação de terra em pistas de pouso e o de fundações corriqueiras em edificações. Nesses casos, bastaria “</w:t>
      </w:r>
      <w:r w:rsidR="00517868" w:rsidRPr="00FF1304">
        <w:rPr>
          <w:i/>
          <w:sz w:val="22"/>
          <w:szCs w:val="22"/>
        </w:rPr>
        <w:t>demonstrar a habilidade em executar uma pista de pouso com tamanho compatível; ou uma edificação com características semelhantes</w:t>
      </w:r>
      <w:r w:rsidR="00517868" w:rsidRPr="00FF1304">
        <w:rPr>
          <w:sz w:val="22"/>
          <w:szCs w:val="22"/>
        </w:rPr>
        <w:t xml:space="preserve">”. Ressaltou, então, a necessidade de observância do comando contido no art. 3º, § 1º, inciso I, da Lei 8.666/93, segundo o qual é vedado aos agentes públicos </w:t>
      </w:r>
      <w:r w:rsidR="00517868" w:rsidRPr="00FF1304">
        <w:rPr>
          <w:i/>
          <w:sz w:val="22"/>
          <w:szCs w:val="22"/>
        </w:rPr>
        <w:t xml:space="preserve">"admitir, prever, incluir ou tolerar, nos atos de convocação, cláusulas ou condições que comprometam, restrinjam ou frustrem o seu caráter competitivo, (...) ou de qualquer outra circunstância impertinente ou </w:t>
      </w:r>
      <w:r w:rsidR="00517868" w:rsidRPr="00FF1304">
        <w:rPr>
          <w:b/>
          <w:i/>
          <w:sz w:val="22"/>
          <w:szCs w:val="22"/>
          <w:u w:val="single"/>
        </w:rPr>
        <w:t>irrelevante</w:t>
      </w:r>
      <w:r w:rsidR="00517868" w:rsidRPr="00FF1304">
        <w:rPr>
          <w:i/>
          <w:sz w:val="22"/>
          <w:szCs w:val="22"/>
        </w:rPr>
        <w:t xml:space="preserve"> para o específico objeto do contrato (...)</w:t>
      </w:r>
      <w:r w:rsidR="00517868" w:rsidRPr="00FF1304">
        <w:rPr>
          <w:sz w:val="22"/>
          <w:szCs w:val="22"/>
        </w:rPr>
        <w:t>"</w:t>
      </w:r>
      <w:r w:rsidR="007B434A" w:rsidRPr="00FF1304">
        <w:rPr>
          <w:sz w:val="22"/>
          <w:szCs w:val="22"/>
        </w:rPr>
        <w:t xml:space="preserve"> – grifo do relator</w:t>
      </w:r>
      <w:r w:rsidR="00517868" w:rsidRPr="00FF1304">
        <w:rPr>
          <w:i/>
          <w:sz w:val="22"/>
          <w:szCs w:val="22"/>
        </w:rPr>
        <w:t xml:space="preserve">. </w:t>
      </w:r>
      <w:r w:rsidR="007E25F0" w:rsidRPr="00FF1304">
        <w:rPr>
          <w:sz w:val="22"/>
          <w:szCs w:val="22"/>
        </w:rPr>
        <w:t xml:space="preserve">Propôs, </w:t>
      </w:r>
      <w:r w:rsidR="0040424B" w:rsidRPr="00FF1304">
        <w:rPr>
          <w:sz w:val="22"/>
          <w:szCs w:val="22"/>
        </w:rPr>
        <w:t>ao final</w:t>
      </w:r>
      <w:r w:rsidR="007E25F0" w:rsidRPr="00FF1304">
        <w:rPr>
          <w:sz w:val="22"/>
          <w:szCs w:val="22"/>
        </w:rPr>
        <w:t xml:space="preserve">, a realização de determinação à Infraero, que foi acolhida pelo Plenário, </w:t>
      </w:r>
      <w:r w:rsidR="0040424B" w:rsidRPr="00FF1304">
        <w:rPr>
          <w:sz w:val="22"/>
          <w:szCs w:val="22"/>
        </w:rPr>
        <w:t xml:space="preserve">e que assumiu a </w:t>
      </w:r>
      <w:r w:rsidR="007E25F0" w:rsidRPr="00FF1304">
        <w:rPr>
          <w:sz w:val="22"/>
          <w:szCs w:val="22"/>
        </w:rPr>
        <w:t>seguinte redação: “</w:t>
      </w:r>
      <w:r w:rsidR="007E25F0" w:rsidRPr="00FF1304">
        <w:rPr>
          <w:i/>
          <w:sz w:val="22"/>
          <w:szCs w:val="22"/>
        </w:rPr>
        <w:t>9.</w:t>
      </w:r>
      <w:r w:rsidR="00925F3C" w:rsidRPr="00FF1304">
        <w:rPr>
          <w:i/>
          <w:sz w:val="22"/>
          <w:szCs w:val="22"/>
        </w:rPr>
        <w:t>3.1. verifique a estrita necessidade de solicitar atestados de capacidade técnico-operacional e profissional para comprovação de experiência dos licitantes em serviços ou itens específicos da obra, limitando tais exigências, nas situações ordinárias, à expertise na execução de obras similares ou equivalentes tidas como um todo, por desnecessária restrição à competitividade do certame, em respeito ao art. 3º, § 1º, inciso I, da Lei 8.666/93;</w:t>
      </w:r>
      <w:r w:rsidR="007E25F0" w:rsidRPr="00FF1304">
        <w:rPr>
          <w:sz w:val="22"/>
          <w:szCs w:val="22"/>
        </w:rPr>
        <w:t>”.</w:t>
      </w:r>
      <w:r w:rsidR="00812C2A" w:rsidRPr="00FF1304">
        <w:rPr>
          <w:sz w:val="22"/>
          <w:szCs w:val="22"/>
        </w:rPr>
        <w:t xml:space="preserve"> </w:t>
      </w:r>
      <w:r w:rsidR="00812C2A" w:rsidRPr="00FF1304">
        <w:rPr>
          <w:b/>
          <w:i/>
          <w:sz w:val="22"/>
          <w:szCs w:val="22"/>
        </w:rPr>
        <w:t xml:space="preserve">Acórdão </w:t>
      </w:r>
      <w:r w:rsidR="0009649A">
        <w:rPr>
          <w:b/>
          <w:i/>
          <w:sz w:val="22"/>
          <w:szCs w:val="22"/>
        </w:rPr>
        <w:t xml:space="preserve">n.º </w:t>
      </w:r>
      <w:r w:rsidR="00812C2A" w:rsidRPr="00FF1304">
        <w:rPr>
          <w:b/>
          <w:i/>
          <w:sz w:val="22"/>
          <w:szCs w:val="22"/>
        </w:rPr>
        <w:t>2</w:t>
      </w:r>
      <w:r w:rsidR="0043072D">
        <w:rPr>
          <w:b/>
          <w:i/>
          <w:sz w:val="22"/>
          <w:szCs w:val="22"/>
        </w:rPr>
        <w:t>9</w:t>
      </w:r>
      <w:r w:rsidR="00812C2A" w:rsidRPr="00FF1304">
        <w:rPr>
          <w:b/>
          <w:i/>
          <w:sz w:val="22"/>
          <w:szCs w:val="22"/>
        </w:rPr>
        <w:t>92/2011-Plenário, TC-008.543/2011-9, rel. Min. Valmir Campelo, 16.11.2011</w:t>
      </w:r>
      <w:r w:rsidR="00812C2A" w:rsidRPr="00FF1304">
        <w:rPr>
          <w:sz w:val="22"/>
          <w:szCs w:val="22"/>
        </w:rPr>
        <w:t>.</w:t>
      </w:r>
    </w:p>
    <w:p w:rsidR="00925F3C" w:rsidRPr="00FF1304" w:rsidRDefault="00925F3C" w:rsidP="00F339D7">
      <w:pPr>
        <w:pStyle w:val="tita"/>
        <w:tabs>
          <w:tab w:val="left" w:pos="2590"/>
        </w:tabs>
        <w:spacing w:before="0" w:after="0" w:line="240" w:lineRule="auto"/>
        <w:jc w:val="both"/>
        <w:rPr>
          <w:b w:val="0"/>
          <w:i w:val="0"/>
          <w:iCs w:val="0"/>
          <w:color w:val="FF0000"/>
          <w:sz w:val="22"/>
          <w:szCs w:val="22"/>
        </w:rPr>
      </w:pPr>
    </w:p>
    <w:p w:rsidR="00812C2A" w:rsidRPr="009A2CCC" w:rsidRDefault="009A2CCC" w:rsidP="00F339D7">
      <w:pPr>
        <w:pStyle w:val="tita"/>
        <w:tabs>
          <w:tab w:val="left" w:pos="2590"/>
        </w:tabs>
        <w:spacing w:before="0" w:after="0" w:line="240" w:lineRule="auto"/>
        <w:jc w:val="both"/>
        <w:rPr>
          <w:i w:val="0"/>
          <w:iCs w:val="0"/>
          <w:color w:val="FF0000"/>
          <w:sz w:val="22"/>
          <w:szCs w:val="22"/>
        </w:rPr>
      </w:pPr>
      <w:r w:rsidRPr="009A2CCC">
        <w:rPr>
          <w:i w:val="0"/>
          <w:sz w:val="22"/>
          <w:szCs w:val="22"/>
        </w:rPr>
        <w:t>Para a realização de parcela da obra aeroportuária que seja técnica e materialmente relevante e que, por sua especialidade, seja normalmente subcontratada, deve-se proceder ao parcelamento do objeto a ser a ser licitado ou, se isso não for viável, deve-se admitir a participação de consórcios na licitação</w:t>
      </w:r>
      <w:r w:rsidR="00BC1866" w:rsidRPr="009A2CCC">
        <w:rPr>
          <w:i w:val="0"/>
          <w:sz w:val="22"/>
          <w:szCs w:val="22"/>
        </w:rPr>
        <w:t xml:space="preserve"> </w:t>
      </w:r>
    </w:p>
    <w:p w:rsidR="00812C2A" w:rsidRPr="00FF1304" w:rsidRDefault="00BC5092" w:rsidP="00812C2A">
      <w:pPr>
        <w:spacing w:after="0"/>
        <w:ind w:left="0"/>
        <w:rPr>
          <w:sz w:val="22"/>
          <w:szCs w:val="22"/>
        </w:rPr>
      </w:pPr>
      <w:r w:rsidRPr="00FF1304">
        <w:rPr>
          <w:sz w:val="22"/>
          <w:szCs w:val="22"/>
        </w:rPr>
        <w:t>N</w:t>
      </w:r>
      <w:r w:rsidR="007E25F0" w:rsidRPr="00FF1304">
        <w:rPr>
          <w:sz w:val="22"/>
          <w:szCs w:val="22"/>
        </w:rPr>
        <w:t xml:space="preserve">a mesma </w:t>
      </w:r>
      <w:r w:rsidR="00B909E7" w:rsidRPr="00FF1304">
        <w:rPr>
          <w:sz w:val="22"/>
          <w:szCs w:val="22"/>
        </w:rPr>
        <w:t>r</w:t>
      </w:r>
      <w:r w:rsidR="007E25F0" w:rsidRPr="00FF1304">
        <w:rPr>
          <w:sz w:val="22"/>
          <w:szCs w:val="22"/>
        </w:rPr>
        <w:t xml:space="preserve">epresentação </w:t>
      </w:r>
      <w:r w:rsidRPr="00FF1304">
        <w:rPr>
          <w:sz w:val="22"/>
          <w:szCs w:val="22"/>
        </w:rPr>
        <w:t>da Secob</w:t>
      </w:r>
      <w:r w:rsidR="00CA7FB2">
        <w:rPr>
          <w:sz w:val="22"/>
          <w:szCs w:val="22"/>
        </w:rPr>
        <w:t>-</w:t>
      </w:r>
      <w:r w:rsidRPr="00FF1304">
        <w:rPr>
          <w:sz w:val="22"/>
          <w:szCs w:val="22"/>
        </w:rPr>
        <w:t>1</w:t>
      </w:r>
      <w:r w:rsidR="00F12A9F" w:rsidRPr="00FF1304">
        <w:rPr>
          <w:sz w:val="22"/>
          <w:szCs w:val="22"/>
        </w:rPr>
        <w:t xml:space="preserve">, que abordou a </w:t>
      </w:r>
      <w:r w:rsidR="007E25F0" w:rsidRPr="00FF1304">
        <w:rPr>
          <w:sz w:val="22"/>
          <w:szCs w:val="22"/>
        </w:rPr>
        <w:t>subcontratação de serviços em obras aeroportuárias</w:t>
      </w:r>
      <w:r w:rsidRPr="00FF1304">
        <w:rPr>
          <w:sz w:val="22"/>
          <w:szCs w:val="22"/>
        </w:rPr>
        <w:t>, tratou</w:t>
      </w:r>
      <w:r w:rsidR="00BE749B" w:rsidRPr="00FF1304">
        <w:rPr>
          <w:sz w:val="22"/>
          <w:szCs w:val="22"/>
        </w:rPr>
        <w:t xml:space="preserve">-se, também, </w:t>
      </w:r>
      <w:r w:rsidRPr="00FF1304">
        <w:rPr>
          <w:sz w:val="22"/>
          <w:szCs w:val="22"/>
        </w:rPr>
        <w:t xml:space="preserve">das parcelas de maior relevância e </w:t>
      </w:r>
      <w:r w:rsidR="0015699C" w:rsidRPr="00FF1304">
        <w:rPr>
          <w:sz w:val="22"/>
          <w:szCs w:val="22"/>
        </w:rPr>
        <w:t xml:space="preserve">de </w:t>
      </w:r>
      <w:r w:rsidRPr="00FF1304">
        <w:rPr>
          <w:sz w:val="22"/>
          <w:szCs w:val="22"/>
        </w:rPr>
        <w:t>valor significativo que, efetivamente</w:t>
      </w:r>
      <w:r w:rsidR="0015699C" w:rsidRPr="00FF1304">
        <w:rPr>
          <w:sz w:val="22"/>
          <w:szCs w:val="22"/>
        </w:rPr>
        <w:t>, justificam a exigência de habilitação técnica para sua realização. A</w:t>
      </w:r>
      <w:r w:rsidR="00F12A9F" w:rsidRPr="00FF1304">
        <w:rPr>
          <w:sz w:val="22"/>
          <w:szCs w:val="22"/>
        </w:rPr>
        <w:t xml:space="preserve">o esquadrinhar esse aspecto do tema abordado, o relator </w:t>
      </w:r>
      <w:r w:rsidR="0015699C" w:rsidRPr="00FF1304">
        <w:rPr>
          <w:sz w:val="22"/>
          <w:szCs w:val="22"/>
        </w:rPr>
        <w:t xml:space="preserve">pugnou pela validade do comando contido no </w:t>
      </w:r>
      <w:r w:rsidR="0015699C" w:rsidRPr="00FF1304">
        <w:rPr>
          <w:rFonts w:eastAsia="Times New Roman"/>
          <w:bCs/>
          <w:iCs/>
          <w:sz w:val="22"/>
          <w:szCs w:val="22"/>
          <w:lang w:eastAsia="pt-BR"/>
        </w:rPr>
        <w:t>art. 126, § 1º, do Regulamento de Licitações e Contratos da Infraero</w:t>
      </w:r>
      <w:r w:rsidR="0015699C" w:rsidRPr="00FF1304">
        <w:rPr>
          <w:bCs/>
          <w:iCs/>
          <w:sz w:val="22"/>
          <w:szCs w:val="22"/>
          <w:lang w:eastAsia="pt-BR"/>
        </w:rPr>
        <w:t xml:space="preserve">, segundo o qual, </w:t>
      </w:r>
      <w:r w:rsidR="0015699C" w:rsidRPr="00FF1304">
        <w:rPr>
          <w:i/>
          <w:color w:val="000000"/>
          <w:sz w:val="22"/>
          <w:szCs w:val="22"/>
        </w:rPr>
        <w:t xml:space="preserve">"§ 1° será vedada a subcontratação: I – sobre parcelas ou </w:t>
      </w:r>
      <w:r w:rsidR="0015699C" w:rsidRPr="00FF1304">
        <w:rPr>
          <w:i/>
          <w:sz w:val="22"/>
          <w:szCs w:val="22"/>
        </w:rPr>
        <w:t>itens</w:t>
      </w:r>
      <w:r w:rsidR="0015699C" w:rsidRPr="00FF1304">
        <w:rPr>
          <w:i/>
          <w:color w:val="000000"/>
          <w:sz w:val="22"/>
          <w:szCs w:val="22"/>
        </w:rPr>
        <w:t xml:space="preserve"> referentes à qualificação técnica exigida para efeito de habilitação da empresa vencedora do certame;</w:t>
      </w:r>
      <w:r w:rsidR="0015699C" w:rsidRPr="00FF1304">
        <w:rPr>
          <w:color w:val="000000"/>
          <w:sz w:val="22"/>
          <w:szCs w:val="22"/>
        </w:rPr>
        <w:t>". Ressaltou, ainda, que, nessa hipótese, deve ser permitida “</w:t>
      </w:r>
      <w:r w:rsidR="0015699C" w:rsidRPr="00FF1304">
        <w:rPr>
          <w:i/>
          <w:sz w:val="22"/>
          <w:szCs w:val="22"/>
        </w:rPr>
        <w:t>a formação de consórcios – ou, antes disso, caso seja técnica, prática e economicamente viável, o parcelamento da licitação, nos termos do art. 23, § 1º, da Lei 8.666/93 e da Súmula 247/2011-TCU – para não ensejar restrição indevida ou comprometimento quanto a garantia da experiência da futura contratada</w:t>
      </w:r>
      <w:r w:rsidR="0015699C" w:rsidRPr="00FF1304">
        <w:rPr>
          <w:sz w:val="22"/>
          <w:szCs w:val="22"/>
        </w:rPr>
        <w:t>”. Por esses motivos, propôs a formulação de determinação à Infraero, que foi acolhida pelo Plenário e assumiu a seguinte redação: “</w:t>
      </w:r>
      <w:r w:rsidRPr="00FF1304">
        <w:rPr>
          <w:rFonts w:eastAsia="Times New Roman"/>
          <w:bCs/>
          <w:i/>
          <w:iCs/>
          <w:sz w:val="22"/>
          <w:szCs w:val="22"/>
          <w:lang w:eastAsia="pt-BR"/>
        </w:rPr>
        <w:t>9.3.2.1. em razão da vedação à subcontratação de serviços para os quais se solicitem atestados de capacidade técnica, tal qual consta do art. 126, § 1º, do Regulamento de Licitações e Contratos da Infraero, caso o encargo seja materialmente relevante e, por sua especialidade, seja normalmente subcontratado pelas empresas de engenharia em objeto congênere, verifique a viabilidade do parcelamento da licitação, nos termos da Súmula 247-TCU, ou, se tecnicamente, praticamente ou economicamente inviável, autorize a formação de consórcios no instrumento convocatório, nos moldes do art. 33 da Lei 8.666/93;</w:t>
      </w:r>
      <w:r w:rsidR="00812C2A" w:rsidRPr="00FF1304">
        <w:rPr>
          <w:bCs/>
          <w:iCs/>
          <w:sz w:val="22"/>
          <w:szCs w:val="22"/>
          <w:lang w:eastAsia="pt-BR"/>
        </w:rPr>
        <w:t xml:space="preserve">”. </w:t>
      </w:r>
      <w:r w:rsidR="00812C2A" w:rsidRPr="00FF1304">
        <w:rPr>
          <w:b/>
          <w:i/>
          <w:sz w:val="22"/>
          <w:szCs w:val="22"/>
        </w:rPr>
        <w:t xml:space="preserve">Acórdão </w:t>
      </w:r>
      <w:r w:rsidR="0009649A">
        <w:rPr>
          <w:b/>
          <w:i/>
          <w:sz w:val="22"/>
          <w:szCs w:val="22"/>
        </w:rPr>
        <w:t xml:space="preserve">n.º </w:t>
      </w:r>
      <w:r w:rsidR="00812C2A" w:rsidRPr="00FF1304">
        <w:rPr>
          <w:b/>
          <w:i/>
          <w:sz w:val="22"/>
          <w:szCs w:val="22"/>
        </w:rPr>
        <w:t>2</w:t>
      </w:r>
      <w:r w:rsidR="0043072D">
        <w:rPr>
          <w:b/>
          <w:i/>
          <w:sz w:val="22"/>
          <w:szCs w:val="22"/>
        </w:rPr>
        <w:t>9</w:t>
      </w:r>
      <w:r w:rsidR="00812C2A" w:rsidRPr="00FF1304">
        <w:rPr>
          <w:b/>
          <w:i/>
          <w:sz w:val="22"/>
          <w:szCs w:val="22"/>
        </w:rPr>
        <w:t>92/2011-Plenário, TC-008.543/2011-9, rel. Min. Valmir Campelo, 16.11.2011</w:t>
      </w:r>
      <w:r w:rsidR="00812C2A" w:rsidRPr="00FF1304">
        <w:rPr>
          <w:sz w:val="22"/>
          <w:szCs w:val="22"/>
        </w:rPr>
        <w:t>.</w:t>
      </w:r>
    </w:p>
    <w:p w:rsidR="00812C2A" w:rsidRPr="00FF1304" w:rsidRDefault="00812C2A" w:rsidP="00812C2A">
      <w:pPr>
        <w:spacing w:after="0"/>
        <w:ind w:left="0"/>
        <w:rPr>
          <w:sz w:val="22"/>
          <w:szCs w:val="22"/>
        </w:rPr>
      </w:pPr>
    </w:p>
    <w:p w:rsidR="00EC61C2" w:rsidRPr="00F55337" w:rsidRDefault="009A2CCC" w:rsidP="00812C2A">
      <w:pPr>
        <w:spacing w:after="0"/>
        <w:ind w:left="0"/>
        <w:rPr>
          <w:b/>
          <w:sz w:val="22"/>
          <w:szCs w:val="22"/>
        </w:rPr>
      </w:pPr>
      <w:r w:rsidRPr="00F55337">
        <w:rPr>
          <w:b/>
          <w:sz w:val="22"/>
          <w:szCs w:val="22"/>
        </w:rPr>
        <w:t>Não é cabível a exigência de atestados de capacitação técnica visando à comprovação de experiência para a execução de serviços técnica e materialmente relevantes, passíveis de serem executados apenas por poucas empresas, e que, por circunstância de mercado, já se saiba de antemão que serão subcontratados</w:t>
      </w:r>
      <w:r w:rsidR="00461B70" w:rsidRPr="00F55337">
        <w:rPr>
          <w:b/>
          <w:sz w:val="22"/>
          <w:szCs w:val="22"/>
        </w:rPr>
        <w:t xml:space="preserve"> </w:t>
      </w:r>
      <w:r w:rsidR="008C6D01" w:rsidRPr="00F55337">
        <w:rPr>
          <w:b/>
          <w:sz w:val="22"/>
          <w:szCs w:val="22"/>
        </w:rPr>
        <w:t xml:space="preserve"> </w:t>
      </w:r>
    </w:p>
    <w:p w:rsidR="00FA0942" w:rsidRPr="00FF1304" w:rsidRDefault="007B6A14" w:rsidP="00FA0942">
      <w:pPr>
        <w:spacing w:after="0"/>
        <w:ind w:left="0"/>
        <w:rPr>
          <w:sz w:val="22"/>
          <w:szCs w:val="22"/>
        </w:rPr>
      </w:pPr>
      <w:r w:rsidRPr="00FF1304">
        <w:rPr>
          <w:sz w:val="22"/>
          <w:szCs w:val="22"/>
        </w:rPr>
        <w:t xml:space="preserve">Ainda na </w:t>
      </w:r>
      <w:r w:rsidR="00B909E7" w:rsidRPr="00FF1304">
        <w:rPr>
          <w:sz w:val="22"/>
          <w:szCs w:val="22"/>
        </w:rPr>
        <w:t>r</w:t>
      </w:r>
      <w:r w:rsidRPr="00FF1304">
        <w:rPr>
          <w:sz w:val="22"/>
          <w:szCs w:val="22"/>
        </w:rPr>
        <w:t>epresentação da Secob 1, o relator cuidou de hipótese em que, por circunstância de mercado, já se saiba que determinada fração do objeto licitado será subcontratada, e que, “</w:t>
      </w:r>
      <w:r w:rsidRPr="00FF1304">
        <w:rPr>
          <w:i/>
          <w:sz w:val="22"/>
          <w:szCs w:val="22"/>
        </w:rPr>
        <w:t>pela especialidade do encargo, pouquíssimas empresas dominem essa técnica construtiva ou detenham exclusividade no fornecimento de determinado insumo, formando monopólios ou oligopólios</w:t>
      </w:r>
      <w:r w:rsidRPr="00FF1304">
        <w:rPr>
          <w:sz w:val="22"/>
          <w:szCs w:val="22"/>
        </w:rPr>
        <w:t>”. Ponderou, a esse respeito, que, em face da proibição de subcontratar a parte principal do objeto, “</w:t>
      </w:r>
      <w:r w:rsidRPr="00FF1304">
        <w:rPr>
          <w:i/>
          <w:sz w:val="22"/>
          <w:szCs w:val="22"/>
        </w:rPr>
        <w:t>as poucas empresas aptas a executar esses serviços darão ensejo – quando muito – à formação de um pequeno número de consórcios</w:t>
      </w:r>
      <w:r w:rsidRPr="00FF1304">
        <w:rPr>
          <w:sz w:val="22"/>
          <w:szCs w:val="22"/>
        </w:rPr>
        <w:t>”. Anotou, ainda, não haver justificativa para se exigir, nesses casos, atestados de qualificação técnica para demonstração da capacidade de execução do respectivo serviço. Isso porque “</w:t>
      </w:r>
      <w:r w:rsidRPr="00FF1304">
        <w:rPr>
          <w:i/>
          <w:sz w:val="22"/>
          <w:szCs w:val="22"/>
        </w:rPr>
        <w:t>Poucas empresas – e somente elas – estarão aptas a executar essa parcela peculiar do objeto. Não existe ganho, portanto, em se limitar a concorrência. Perde-se um valor (o da competitividade) sem a contraprestação de outro (o da melhor proposta)</w:t>
      </w:r>
      <w:r w:rsidR="00FA0942" w:rsidRPr="00FF1304">
        <w:rPr>
          <w:sz w:val="22"/>
          <w:szCs w:val="22"/>
        </w:rPr>
        <w:t>”</w:t>
      </w:r>
      <w:r w:rsidRPr="00FF1304">
        <w:rPr>
          <w:sz w:val="22"/>
          <w:szCs w:val="22"/>
        </w:rPr>
        <w:t xml:space="preserve">. Por esses motivos, </w:t>
      </w:r>
      <w:r w:rsidR="00FA0942" w:rsidRPr="00FF1304">
        <w:rPr>
          <w:sz w:val="22"/>
          <w:szCs w:val="22"/>
        </w:rPr>
        <w:t xml:space="preserve">ofereceu proposta de </w:t>
      </w:r>
      <w:r w:rsidRPr="00FF1304">
        <w:rPr>
          <w:sz w:val="22"/>
          <w:szCs w:val="22"/>
        </w:rPr>
        <w:t>determinação à Infraero</w:t>
      </w:r>
      <w:r w:rsidR="00FA0942" w:rsidRPr="00FF1304">
        <w:rPr>
          <w:sz w:val="22"/>
          <w:szCs w:val="22"/>
        </w:rPr>
        <w:t xml:space="preserve">, com intuito de balizar seus procedimentos </w:t>
      </w:r>
      <w:r w:rsidR="00343FC9" w:rsidRPr="00FF1304">
        <w:rPr>
          <w:sz w:val="22"/>
          <w:szCs w:val="22"/>
        </w:rPr>
        <w:t>em</w:t>
      </w:r>
      <w:r w:rsidR="00FA0942" w:rsidRPr="00FF1304">
        <w:rPr>
          <w:sz w:val="22"/>
          <w:szCs w:val="22"/>
        </w:rPr>
        <w:t xml:space="preserve"> situações</w:t>
      </w:r>
      <w:r w:rsidR="00343FC9" w:rsidRPr="00FF1304">
        <w:rPr>
          <w:sz w:val="22"/>
          <w:szCs w:val="22"/>
        </w:rPr>
        <w:t xml:space="preserve"> desse gênero</w:t>
      </w:r>
      <w:r w:rsidR="00FA0942" w:rsidRPr="00FF1304">
        <w:rPr>
          <w:sz w:val="22"/>
          <w:szCs w:val="22"/>
        </w:rPr>
        <w:t xml:space="preserve">. O Plenário do Tribunal, ao acolher o encaminhamento sugerido pelo relator, decidiu determinar à Infraero que: </w:t>
      </w:r>
      <w:r w:rsidRPr="00FF1304">
        <w:rPr>
          <w:sz w:val="22"/>
          <w:szCs w:val="22"/>
        </w:rPr>
        <w:t>“</w:t>
      </w:r>
      <w:r w:rsidRPr="00FF1304">
        <w:rPr>
          <w:i/>
          <w:sz w:val="22"/>
          <w:szCs w:val="22"/>
        </w:rPr>
        <w:t>9.3.2.2. no caso da existência de monopólio ou oligopólio na execução de serviço usualmente subcontratado, com pequeno número de empresas aptas ao fornecimento de determinado equipamento ou domínio da tecnologia construtiva tecnicamente e materialmente relevantes, abstenha-se de solicitar atestados de capacidade técnica relativos à comprovação de experiência para a sua execução</w:t>
      </w:r>
      <w:r w:rsidR="00FA0942" w:rsidRPr="00FF1304">
        <w:rPr>
          <w:sz w:val="22"/>
          <w:szCs w:val="22"/>
        </w:rPr>
        <w:t xml:space="preserve">”. </w:t>
      </w:r>
      <w:r w:rsidR="00FA0942" w:rsidRPr="00FF1304">
        <w:rPr>
          <w:b/>
          <w:i/>
          <w:sz w:val="22"/>
          <w:szCs w:val="22"/>
        </w:rPr>
        <w:t xml:space="preserve">Acórdão </w:t>
      </w:r>
      <w:r w:rsidR="0009649A">
        <w:rPr>
          <w:b/>
          <w:i/>
          <w:sz w:val="22"/>
          <w:szCs w:val="22"/>
        </w:rPr>
        <w:t xml:space="preserve">n.º </w:t>
      </w:r>
      <w:r w:rsidR="00FA0942" w:rsidRPr="00FF1304">
        <w:rPr>
          <w:b/>
          <w:i/>
          <w:sz w:val="22"/>
          <w:szCs w:val="22"/>
        </w:rPr>
        <w:t>2</w:t>
      </w:r>
      <w:r w:rsidR="0043072D">
        <w:rPr>
          <w:b/>
          <w:i/>
          <w:sz w:val="22"/>
          <w:szCs w:val="22"/>
        </w:rPr>
        <w:t>9</w:t>
      </w:r>
      <w:r w:rsidR="00FA0942" w:rsidRPr="00FF1304">
        <w:rPr>
          <w:b/>
          <w:i/>
          <w:sz w:val="22"/>
          <w:szCs w:val="22"/>
        </w:rPr>
        <w:t>92/2011-Plenário, TC-008.543/2011-9, rel. Min. Valmir Campelo, 16.11.2011</w:t>
      </w:r>
      <w:r w:rsidR="00FA0942" w:rsidRPr="00FF1304">
        <w:rPr>
          <w:sz w:val="22"/>
          <w:szCs w:val="22"/>
        </w:rPr>
        <w:t>.</w:t>
      </w:r>
    </w:p>
    <w:p w:rsidR="00EC61C2" w:rsidRPr="00FF1304" w:rsidRDefault="00EC61C2" w:rsidP="00FA0942">
      <w:pPr>
        <w:spacing w:after="0"/>
        <w:ind w:left="0"/>
        <w:rPr>
          <w:sz w:val="22"/>
          <w:szCs w:val="22"/>
        </w:rPr>
      </w:pPr>
    </w:p>
    <w:p w:rsidR="00B25962" w:rsidRPr="00F55337" w:rsidRDefault="00F55337" w:rsidP="00FA0942">
      <w:pPr>
        <w:spacing w:after="0"/>
        <w:ind w:left="0"/>
        <w:rPr>
          <w:b/>
          <w:sz w:val="22"/>
          <w:szCs w:val="22"/>
        </w:rPr>
      </w:pPr>
      <w:r w:rsidRPr="00F55337">
        <w:rPr>
          <w:b/>
          <w:sz w:val="22"/>
          <w:szCs w:val="22"/>
        </w:rPr>
        <w:t xml:space="preserve">No caso de subcontratação de parcela da obra para a qual houve solicitação de atestados de qualificação técnica na licitação, ou na hipótese de não terem sido exigidos atestados por se tratar de serviço usualmente prestado por limitadíssimo número de empresas, a contratada original deve exigir da subcontratada comprovação de </w:t>
      </w:r>
      <w:r w:rsidRPr="001E76DA">
        <w:rPr>
          <w:b/>
          <w:sz w:val="22"/>
          <w:szCs w:val="22"/>
        </w:rPr>
        <w:t>capacidade técnica</w:t>
      </w:r>
      <w:r w:rsidR="001E76DA" w:rsidRPr="001E76DA">
        <w:rPr>
          <w:b/>
          <w:sz w:val="22"/>
          <w:szCs w:val="22"/>
        </w:rPr>
        <w:t>, disposição essa que deve constar, necessariamente, do instrumento convocatório</w:t>
      </w:r>
    </w:p>
    <w:p w:rsidR="00A740EA" w:rsidRDefault="00F0439A" w:rsidP="00F55337">
      <w:pPr>
        <w:spacing w:after="0"/>
        <w:ind w:left="0"/>
        <w:rPr>
          <w:sz w:val="22"/>
          <w:szCs w:val="22"/>
        </w:rPr>
      </w:pPr>
      <w:r w:rsidRPr="00FF1304">
        <w:rPr>
          <w:sz w:val="22"/>
          <w:szCs w:val="22"/>
        </w:rPr>
        <w:t>Nessa mesma representação da Secob</w:t>
      </w:r>
      <w:r w:rsidR="00CA7FB2">
        <w:rPr>
          <w:sz w:val="22"/>
          <w:szCs w:val="22"/>
        </w:rPr>
        <w:t>-1</w:t>
      </w:r>
      <w:r w:rsidRPr="00FF1304">
        <w:rPr>
          <w:sz w:val="22"/>
          <w:szCs w:val="22"/>
        </w:rPr>
        <w:t>,</w:t>
      </w:r>
      <w:r w:rsidR="00C363A9" w:rsidRPr="00FF1304">
        <w:rPr>
          <w:sz w:val="22"/>
          <w:szCs w:val="22"/>
        </w:rPr>
        <w:t xml:space="preserve"> </w:t>
      </w:r>
      <w:r w:rsidR="004E7114" w:rsidRPr="00FF1304">
        <w:rPr>
          <w:sz w:val="22"/>
          <w:szCs w:val="22"/>
        </w:rPr>
        <w:t>o relator, a de</w:t>
      </w:r>
      <w:r w:rsidRPr="00FF1304">
        <w:rPr>
          <w:sz w:val="22"/>
          <w:szCs w:val="22"/>
        </w:rPr>
        <w:t>speito de reconhecer a v</w:t>
      </w:r>
      <w:r w:rsidR="005226D4" w:rsidRPr="00FF1304">
        <w:rPr>
          <w:sz w:val="22"/>
          <w:szCs w:val="22"/>
        </w:rPr>
        <w:t xml:space="preserve">alidade do comando contido no </w:t>
      </w:r>
      <w:r w:rsidR="005226D4" w:rsidRPr="00FF1304">
        <w:rPr>
          <w:rFonts w:eastAsia="Times New Roman"/>
          <w:bCs/>
          <w:iCs/>
          <w:sz w:val="22"/>
          <w:szCs w:val="22"/>
          <w:lang w:eastAsia="pt-BR"/>
        </w:rPr>
        <w:t>art. 126, § 1º, do Regulamento de Licitações e Contratos da Infraero</w:t>
      </w:r>
      <w:r w:rsidR="005226D4" w:rsidRPr="00FF1304">
        <w:rPr>
          <w:bCs/>
          <w:iCs/>
          <w:sz w:val="22"/>
          <w:szCs w:val="22"/>
          <w:lang w:eastAsia="pt-BR"/>
        </w:rPr>
        <w:t xml:space="preserve">, segundo o qual, </w:t>
      </w:r>
      <w:r w:rsidR="005226D4" w:rsidRPr="00FF1304">
        <w:rPr>
          <w:i/>
          <w:color w:val="000000"/>
          <w:sz w:val="22"/>
          <w:szCs w:val="22"/>
        </w:rPr>
        <w:t xml:space="preserve">"§ 1° será vedada a subcontratação: I – sobre parcelas ou </w:t>
      </w:r>
      <w:r w:rsidR="005226D4" w:rsidRPr="00FF1304">
        <w:rPr>
          <w:i/>
          <w:sz w:val="22"/>
          <w:szCs w:val="22"/>
        </w:rPr>
        <w:t>itens</w:t>
      </w:r>
      <w:r w:rsidR="005226D4" w:rsidRPr="00FF1304">
        <w:rPr>
          <w:i/>
          <w:color w:val="000000"/>
          <w:sz w:val="22"/>
          <w:szCs w:val="22"/>
        </w:rPr>
        <w:t xml:space="preserve"> referentes à qualificação técnica exigida para efeito de habilitação da empresa vencedora do certame</w:t>
      </w:r>
      <w:r w:rsidRPr="00FF1304">
        <w:rPr>
          <w:i/>
          <w:color w:val="000000"/>
          <w:sz w:val="22"/>
          <w:szCs w:val="22"/>
        </w:rPr>
        <w:t>;</w:t>
      </w:r>
      <w:r w:rsidR="005226D4" w:rsidRPr="00FF1304">
        <w:rPr>
          <w:color w:val="000000"/>
          <w:sz w:val="22"/>
          <w:szCs w:val="22"/>
        </w:rPr>
        <w:t>"</w:t>
      </w:r>
      <w:r w:rsidRPr="00FF1304">
        <w:rPr>
          <w:color w:val="000000"/>
          <w:sz w:val="22"/>
          <w:szCs w:val="22"/>
        </w:rPr>
        <w:t xml:space="preserve">, </w:t>
      </w:r>
      <w:r w:rsidR="004E7114" w:rsidRPr="00FF1304">
        <w:rPr>
          <w:color w:val="000000"/>
          <w:sz w:val="22"/>
          <w:szCs w:val="22"/>
        </w:rPr>
        <w:t>cogitou a possibilidade de a Infraero alterar esse regramento e passar a admitir a subcontratação de parcelas</w:t>
      </w:r>
      <w:r w:rsidR="00AD3920" w:rsidRPr="00FF1304">
        <w:rPr>
          <w:color w:val="000000"/>
          <w:sz w:val="22"/>
          <w:szCs w:val="22"/>
        </w:rPr>
        <w:t xml:space="preserve"> para as quais tenham sido requeridos </w:t>
      </w:r>
      <w:r w:rsidR="00AD3920" w:rsidRPr="0009649A">
        <w:rPr>
          <w:sz w:val="22"/>
          <w:szCs w:val="22"/>
        </w:rPr>
        <w:t xml:space="preserve">atestados </w:t>
      </w:r>
      <w:r w:rsidR="0009649A" w:rsidRPr="0009649A">
        <w:rPr>
          <w:sz w:val="22"/>
          <w:szCs w:val="22"/>
        </w:rPr>
        <w:t>de</w:t>
      </w:r>
      <w:r w:rsidR="0009649A">
        <w:rPr>
          <w:color w:val="FF0000"/>
          <w:sz w:val="22"/>
          <w:szCs w:val="22"/>
        </w:rPr>
        <w:t xml:space="preserve"> </w:t>
      </w:r>
      <w:r w:rsidR="00AD3920" w:rsidRPr="00FF1304">
        <w:rPr>
          <w:color w:val="000000"/>
          <w:sz w:val="22"/>
          <w:szCs w:val="22"/>
        </w:rPr>
        <w:t>qualificação técnica da empresa</w:t>
      </w:r>
      <w:r w:rsidR="004E7114" w:rsidRPr="00FF1304">
        <w:rPr>
          <w:color w:val="000000"/>
          <w:sz w:val="22"/>
          <w:szCs w:val="22"/>
        </w:rPr>
        <w:t>.</w:t>
      </w:r>
      <w:r w:rsidR="00C0314D" w:rsidRPr="00FF1304">
        <w:rPr>
          <w:color w:val="000000"/>
          <w:sz w:val="22"/>
          <w:szCs w:val="22"/>
        </w:rPr>
        <w:t xml:space="preserve"> </w:t>
      </w:r>
      <w:r w:rsidR="00AD3920" w:rsidRPr="00FF1304">
        <w:rPr>
          <w:color w:val="000000"/>
          <w:sz w:val="22"/>
          <w:szCs w:val="22"/>
        </w:rPr>
        <w:t>Assim sendo, n</w:t>
      </w:r>
      <w:r w:rsidR="00C0314D" w:rsidRPr="00FF1304">
        <w:rPr>
          <w:color w:val="000000"/>
          <w:sz w:val="22"/>
          <w:szCs w:val="22"/>
        </w:rPr>
        <w:t xml:space="preserve">a hipótese de que tal mudança normativa venha a ser implementada, </w:t>
      </w:r>
      <w:r w:rsidR="00C363A9" w:rsidRPr="00FF1304">
        <w:rPr>
          <w:sz w:val="22"/>
          <w:szCs w:val="22"/>
        </w:rPr>
        <w:t>entende</w:t>
      </w:r>
      <w:r w:rsidR="00E27F00" w:rsidRPr="00FF1304">
        <w:rPr>
          <w:sz w:val="22"/>
          <w:szCs w:val="22"/>
        </w:rPr>
        <w:t xml:space="preserve"> o relator </w:t>
      </w:r>
      <w:r w:rsidR="00C363A9" w:rsidRPr="00FF1304">
        <w:rPr>
          <w:sz w:val="22"/>
          <w:szCs w:val="22"/>
        </w:rPr>
        <w:t xml:space="preserve">que </w:t>
      </w:r>
      <w:r w:rsidR="00E27F00" w:rsidRPr="00FF1304">
        <w:rPr>
          <w:sz w:val="22"/>
          <w:szCs w:val="22"/>
        </w:rPr>
        <w:t>a</w:t>
      </w:r>
      <w:r w:rsidR="00C363A9" w:rsidRPr="00FF1304">
        <w:rPr>
          <w:sz w:val="22"/>
          <w:szCs w:val="22"/>
        </w:rPr>
        <w:t>s</w:t>
      </w:r>
      <w:r w:rsidR="00E27F00" w:rsidRPr="00FF1304">
        <w:rPr>
          <w:sz w:val="22"/>
          <w:szCs w:val="22"/>
        </w:rPr>
        <w:t xml:space="preserve"> empresa</w:t>
      </w:r>
      <w:r w:rsidR="00C363A9" w:rsidRPr="00FF1304">
        <w:rPr>
          <w:sz w:val="22"/>
          <w:szCs w:val="22"/>
        </w:rPr>
        <w:t>s</w:t>
      </w:r>
      <w:r w:rsidR="00E27F00" w:rsidRPr="00FF1304">
        <w:rPr>
          <w:sz w:val="22"/>
          <w:szCs w:val="22"/>
        </w:rPr>
        <w:t xml:space="preserve"> contratada</w:t>
      </w:r>
      <w:r w:rsidR="00C363A9" w:rsidRPr="00FF1304">
        <w:rPr>
          <w:sz w:val="22"/>
          <w:szCs w:val="22"/>
        </w:rPr>
        <w:t>s</w:t>
      </w:r>
      <w:r w:rsidR="00E27F00" w:rsidRPr="00FF1304">
        <w:rPr>
          <w:sz w:val="22"/>
          <w:szCs w:val="22"/>
        </w:rPr>
        <w:t xml:space="preserve">, como condicionante de autorização para </w:t>
      </w:r>
      <w:r w:rsidR="00AE6CD9">
        <w:rPr>
          <w:sz w:val="22"/>
          <w:szCs w:val="22"/>
        </w:rPr>
        <w:t xml:space="preserve">a </w:t>
      </w:r>
      <w:r w:rsidR="0009649A">
        <w:rPr>
          <w:sz w:val="22"/>
          <w:szCs w:val="22"/>
        </w:rPr>
        <w:t xml:space="preserve">subcontratação </w:t>
      </w:r>
      <w:r w:rsidR="00E27F00" w:rsidRPr="00FF1304">
        <w:rPr>
          <w:sz w:val="22"/>
          <w:szCs w:val="22"/>
        </w:rPr>
        <w:t>dos</w:t>
      </w:r>
      <w:r w:rsidR="00343FC9" w:rsidRPr="00FF1304">
        <w:rPr>
          <w:sz w:val="22"/>
          <w:szCs w:val="22"/>
        </w:rPr>
        <w:t xml:space="preserve"> respectivos </w:t>
      </w:r>
      <w:r w:rsidR="00E27F00" w:rsidRPr="00FF1304">
        <w:rPr>
          <w:sz w:val="22"/>
          <w:szCs w:val="22"/>
        </w:rPr>
        <w:t xml:space="preserve">serviços, </w:t>
      </w:r>
      <w:r w:rsidR="00C363A9" w:rsidRPr="00FF1304">
        <w:rPr>
          <w:sz w:val="22"/>
          <w:szCs w:val="22"/>
        </w:rPr>
        <w:t xml:space="preserve">devem exigir </w:t>
      </w:r>
      <w:r w:rsidR="00E27F00" w:rsidRPr="00FF1304">
        <w:rPr>
          <w:sz w:val="22"/>
          <w:szCs w:val="22"/>
        </w:rPr>
        <w:t>das subcontratadas</w:t>
      </w:r>
      <w:r w:rsidR="00C363A9" w:rsidRPr="00FF1304">
        <w:rPr>
          <w:sz w:val="22"/>
          <w:szCs w:val="22"/>
        </w:rPr>
        <w:t xml:space="preserve"> a apresentação de atestados de qualificação para </w:t>
      </w:r>
      <w:r w:rsidR="00343FC9" w:rsidRPr="00FF1304">
        <w:rPr>
          <w:sz w:val="22"/>
          <w:szCs w:val="22"/>
        </w:rPr>
        <w:t xml:space="preserve">esses </w:t>
      </w:r>
      <w:r w:rsidR="00C363A9" w:rsidRPr="00FF1304">
        <w:rPr>
          <w:sz w:val="22"/>
          <w:szCs w:val="22"/>
        </w:rPr>
        <w:t>itens.</w:t>
      </w:r>
      <w:r w:rsidR="00E27F00" w:rsidRPr="00FF1304">
        <w:rPr>
          <w:sz w:val="22"/>
          <w:szCs w:val="22"/>
        </w:rPr>
        <w:t xml:space="preserve"> </w:t>
      </w:r>
      <w:r w:rsidR="00343FC9" w:rsidRPr="00FF1304">
        <w:rPr>
          <w:sz w:val="22"/>
          <w:szCs w:val="22"/>
        </w:rPr>
        <w:t>Considerou</w:t>
      </w:r>
      <w:r w:rsidR="00E27F00" w:rsidRPr="00FF1304">
        <w:rPr>
          <w:sz w:val="22"/>
          <w:szCs w:val="22"/>
        </w:rPr>
        <w:t xml:space="preserve"> pertinente, também, estender tal </w:t>
      </w:r>
      <w:r w:rsidR="00343FC9" w:rsidRPr="00FF1304">
        <w:rPr>
          <w:sz w:val="22"/>
          <w:szCs w:val="22"/>
        </w:rPr>
        <w:t>raciocínio</w:t>
      </w:r>
      <w:r w:rsidR="00E27F00" w:rsidRPr="00FF1304">
        <w:rPr>
          <w:sz w:val="22"/>
          <w:szCs w:val="22"/>
        </w:rPr>
        <w:t xml:space="preserve"> às situações em que </w:t>
      </w:r>
      <w:r w:rsidR="005D323E" w:rsidRPr="00FF1304">
        <w:rPr>
          <w:sz w:val="22"/>
          <w:szCs w:val="22"/>
        </w:rPr>
        <w:t xml:space="preserve">se verifica monopólio ou oligopólio de empresas para a prestação de </w:t>
      </w:r>
      <w:r w:rsidR="00343FC9" w:rsidRPr="00FF1304">
        <w:rPr>
          <w:sz w:val="22"/>
          <w:szCs w:val="22"/>
        </w:rPr>
        <w:t xml:space="preserve">serviço </w:t>
      </w:r>
      <w:r w:rsidR="005D323E" w:rsidRPr="00FF1304">
        <w:rPr>
          <w:sz w:val="22"/>
          <w:szCs w:val="22"/>
        </w:rPr>
        <w:t>usualmente subcontratado</w:t>
      </w:r>
      <w:r w:rsidR="00C363A9" w:rsidRPr="00FF1304">
        <w:rPr>
          <w:sz w:val="22"/>
          <w:szCs w:val="22"/>
        </w:rPr>
        <w:t xml:space="preserve">. </w:t>
      </w:r>
      <w:r w:rsidR="008C25D0" w:rsidRPr="00FF1304">
        <w:rPr>
          <w:sz w:val="22"/>
          <w:szCs w:val="22"/>
        </w:rPr>
        <w:t>Ao acolher o encaminhamento proposto pelo relator, o Plenário determinou à Infraero que: “</w:t>
      </w:r>
      <w:r w:rsidR="008C25D0" w:rsidRPr="00FF1304">
        <w:rPr>
          <w:i/>
          <w:sz w:val="22"/>
          <w:szCs w:val="22"/>
        </w:rPr>
        <w:t>9.3.3. exija das contratadas originais, nos casos abrangidos pelo subitem 9.3.2.2</w:t>
      </w:r>
      <w:r w:rsidR="00B25962" w:rsidRPr="00FF1304">
        <w:rPr>
          <w:sz w:val="22"/>
          <w:szCs w:val="22"/>
        </w:rPr>
        <w:t xml:space="preserve"> </w:t>
      </w:r>
      <w:r w:rsidR="008C25D0" w:rsidRPr="00FF1304">
        <w:rPr>
          <w:i/>
          <w:sz w:val="22"/>
          <w:szCs w:val="22"/>
        </w:rPr>
        <w:t xml:space="preserve">desta decisão </w:t>
      </w:r>
      <w:r w:rsidR="00A740EA" w:rsidRPr="00FF1304">
        <w:rPr>
          <w:sz w:val="22"/>
          <w:szCs w:val="22"/>
        </w:rPr>
        <w:t xml:space="preserve">[vide tópico anterior deste informativo] </w:t>
      </w:r>
      <w:r w:rsidR="008C25D0" w:rsidRPr="00FF1304">
        <w:rPr>
          <w:i/>
          <w:sz w:val="22"/>
          <w:szCs w:val="22"/>
        </w:rPr>
        <w:t>ou no caso da subcontratação de parcela da obra para a qual houve solicitação de atestados de qualificação técnica na licitação, como condicionante de autorização para execução dos serviços, a comprovação de experiência das subcontratadas para verificação de sua capacidade técnica, disposição essa que deve constar, necessariamente, do instrumento convocatório;</w:t>
      </w:r>
      <w:r w:rsidR="008C25D0" w:rsidRPr="00FF1304">
        <w:rPr>
          <w:sz w:val="22"/>
          <w:szCs w:val="22"/>
        </w:rPr>
        <w:t>”.</w:t>
      </w:r>
      <w:r w:rsidR="00A740EA" w:rsidRPr="00FF1304">
        <w:rPr>
          <w:sz w:val="22"/>
          <w:szCs w:val="22"/>
        </w:rPr>
        <w:t xml:space="preserve"> </w:t>
      </w:r>
      <w:r w:rsidR="00A740EA" w:rsidRPr="00FF1304">
        <w:rPr>
          <w:b/>
          <w:i/>
          <w:sz w:val="22"/>
          <w:szCs w:val="22"/>
        </w:rPr>
        <w:t xml:space="preserve">Acórdão </w:t>
      </w:r>
      <w:r w:rsidR="005A3789">
        <w:rPr>
          <w:b/>
          <w:i/>
          <w:sz w:val="22"/>
          <w:szCs w:val="22"/>
        </w:rPr>
        <w:t xml:space="preserve">n.º </w:t>
      </w:r>
      <w:r w:rsidR="00A740EA" w:rsidRPr="00FF1304">
        <w:rPr>
          <w:b/>
          <w:i/>
          <w:sz w:val="22"/>
          <w:szCs w:val="22"/>
        </w:rPr>
        <w:t>2</w:t>
      </w:r>
      <w:r w:rsidR="0043072D">
        <w:rPr>
          <w:b/>
          <w:i/>
          <w:sz w:val="22"/>
          <w:szCs w:val="22"/>
        </w:rPr>
        <w:t>9</w:t>
      </w:r>
      <w:r w:rsidR="00A740EA" w:rsidRPr="00FF1304">
        <w:rPr>
          <w:b/>
          <w:i/>
          <w:sz w:val="22"/>
          <w:szCs w:val="22"/>
        </w:rPr>
        <w:t>92/2011-Plenário, TC-008.543/2011-9, rel. Min. Valmir Campelo, 16.11.2011</w:t>
      </w:r>
      <w:r w:rsidR="00A740EA" w:rsidRPr="00FF1304">
        <w:rPr>
          <w:sz w:val="22"/>
          <w:szCs w:val="22"/>
        </w:rPr>
        <w:t>.</w:t>
      </w:r>
    </w:p>
    <w:p w:rsidR="00F55337" w:rsidRDefault="00F55337" w:rsidP="00F55337">
      <w:pPr>
        <w:pStyle w:val="PargrafodaLista"/>
        <w:widowControl w:val="0"/>
        <w:autoSpaceDE w:val="0"/>
        <w:autoSpaceDN w:val="0"/>
        <w:adjustRightInd w:val="0"/>
        <w:ind w:left="0"/>
        <w:jc w:val="both"/>
        <w:rPr>
          <w:b/>
          <w:bCs/>
          <w:iCs/>
          <w:sz w:val="22"/>
          <w:lang w:eastAsia="pt-BR"/>
        </w:rPr>
      </w:pPr>
    </w:p>
    <w:p w:rsidR="001847D6" w:rsidRPr="00F55337" w:rsidRDefault="00F55337" w:rsidP="00F55337">
      <w:pPr>
        <w:pStyle w:val="PargrafodaLista"/>
        <w:widowControl w:val="0"/>
        <w:autoSpaceDE w:val="0"/>
        <w:autoSpaceDN w:val="0"/>
        <w:adjustRightInd w:val="0"/>
        <w:ind w:left="0"/>
        <w:jc w:val="both"/>
        <w:rPr>
          <w:b/>
          <w:bCs/>
          <w:iCs/>
          <w:sz w:val="22"/>
          <w:lang w:eastAsia="pt-BR"/>
        </w:rPr>
      </w:pPr>
      <w:r w:rsidRPr="00F55337">
        <w:rPr>
          <w:b/>
          <w:bCs/>
          <w:iCs/>
          <w:sz w:val="22"/>
          <w:lang w:eastAsia="pt-BR"/>
        </w:rPr>
        <w:t xml:space="preserve">O uso de documentação inidônea com o objetivo de caracterizar a condição de empresa de pequeno porte e obter tratamento favorecido em licitações justifica a inabilitação de empresa para </w:t>
      </w:r>
      <w:r w:rsidRPr="00F55337">
        <w:rPr>
          <w:b/>
          <w:sz w:val="22"/>
        </w:rPr>
        <w:t>participar de licitação na Administração Pública Federal</w:t>
      </w:r>
      <w:r w:rsidR="009236AA" w:rsidRPr="00F55337">
        <w:rPr>
          <w:b/>
          <w:sz w:val="22"/>
        </w:rPr>
        <w:t xml:space="preserve"> </w:t>
      </w:r>
    </w:p>
    <w:p w:rsidR="00392CD3" w:rsidRPr="00FF1304" w:rsidRDefault="001847D6" w:rsidP="00877865">
      <w:pPr>
        <w:spacing w:after="0"/>
        <w:ind w:left="0"/>
        <w:rPr>
          <w:sz w:val="22"/>
          <w:szCs w:val="22"/>
        </w:rPr>
      </w:pPr>
      <w:r w:rsidRPr="00FF1304">
        <w:rPr>
          <w:bCs/>
          <w:iCs/>
          <w:sz w:val="22"/>
          <w:szCs w:val="22"/>
          <w:lang w:eastAsia="pt-BR"/>
        </w:rPr>
        <w:t xml:space="preserve">Representação do Sindicado de </w:t>
      </w:r>
      <w:r w:rsidRPr="00FF1304">
        <w:rPr>
          <w:rFonts w:eastAsia="Times New Roman"/>
          <w:bCs/>
          <w:iCs/>
          <w:sz w:val="22"/>
          <w:szCs w:val="22"/>
          <w:lang w:eastAsia="pt-BR"/>
        </w:rPr>
        <w:t>Empresas de Asseio, Conservação e Serviços Terceirizados do Estado de Santa Catarina – SEAC/SC</w:t>
      </w:r>
      <w:r w:rsidRPr="00FF1304">
        <w:rPr>
          <w:bCs/>
          <w:iCs/>
          <w:sz w:val="22"/>
          <w:szCs w:val="22"/>
          <w:lang w:eastAsia="pt-BR"/>
        </w:rPr>
        <w:t>, efetuada com suporte no</w:t>
      </w:r>
      <w:r w:rsidRPr="00FF1304">
        <w:rPr>
          <w:rFonts w:eastAsia="Times New Roman"/>
          <w:bCs/>
          <w:iCs/>
          <w:sz w:val="22"/>
          <w:szCs w:val="22"/>
          <w:lang w:eastAsia="pt-BR"/>
        </w:rPr>
        <w:t xml:space="preserve"> art. 113, § 1º, da Lei </w:t>
      </w:r>
      <w:r w:rsidR="0009649A">
        <w:rPr>
          <w:rFonts w:eastAsia="Times New Roman"/>
          <w:bCs/>
          <w:iCs/>
          <w:sz w:val="22"/>
          <w:szCs w:val="22"/>
          <w:lang w:eastAsia="pt-BR"/>
        </w:rPr>
        <w:t xml:space="preserve">nº </w:t>
      </w:r>
      <w:r w:rsidRPr="00FF1304">
        <w:rPr>
          <w:rFonts w:eastAsia="Times New Roman"/>
          <w:bCs/>
          <w:iCs/>
          <w:sz w:val="22"/>
          <w:szCs w:val="22"/>
          <w:lang w:eastAsia="pt-BR"/>
        </w:rPr>
        <w:t xml:space="preserve">8.666/1993, </w:t>
      </w:r>
      <w:r w:rsidRPr="00FF1304">
        <w:rPr>
          <w:bCs/>
          <w:iCs/>
          <w:sz w:val="22"/>
          <w:szCs w:val="22"/>
          <w:lang w:eastAsia="pt-BR"/>
        </w:rPr>
        <w:t xml:space="preserve">acusou </w:t>
      </w:r>
      <w:r w:rsidRPr="00FF1304">
        <w:rPr>
          <w:rFonts w:eastAsia="Times New Roman"/>
          <w:bCs/>
          <w:iCs/>
          <w:sz w:val="22"/>
          <w:szCs w:val="22"/>
          <w:lang w:eastAsia="pt-BR"/>
        </w:rPr>
        <w:t>possíve</w:t>
      </w:r>
      <w:r w:rsidRPr="00FF1304">
        <w:rPr>
          <w:bCs/>
          <w:iCs/>
          <w:sz w:val="22"/>
          <w:szCs w:val="22"/>
          <w:lang w:eastAsia="pt-BR"/>
        </w:rPr>
        <w:t>l</w:t>
      </w:r>
      <w:r w:rsidRPr="00FF1304">
        <w:rPr>
          <w:rFonts w:eastAsia="Times New Roman"/>
          <w:bCs/>
          <w:iCs/>
          <w:sz w:val="22"/>
          <w:szCs w:val="22"/>
          <w:lang w:eastAsia="pt-BR"/>
        </w:rPr>
        <w:t xml:space="preserve"> fraude praticada p</w:t>
      </w:r>
      <w:r w:rsidRPr="00FF1304">
        <w:rPr>
          <w:bCs/>
          <w:iCs/>
          <w:sz w:val="22"/>
          <w:szCs w:val="22"/>
          <w:lang w:eastAsia="pt-BR"/>
        </w:rPr>
        <w:t xml:space="preserve">or empresa em licitações públicas. O autor da representação apontou a obtenção de benefício indevido auferido pela empresa representada, que </w:t>
      </w:r>
      <w:r w:rsidRPr="00FF1304">
        <w:rPr>
          <w:rFonts w:eastAsia="Times New Roman"/>
          <w:bCs/>
          <w:iCs/>
          <w:sz w:val="22"/>
          <w:szCs w:val="22"/>
          <w:lang w:eastAsia="pt-BR"/>
        </w:rPr>
        <w:t>obt</w:t>
      </w:r>
      <w:r w:rsidRPr="00FF1304">
        <w:rPr>
          <w:bCs/>
          <w:iCs/>
          <w:sz w:val="22"/>
          <w:szCs w:val="22"/>
          <w:lang w:eastAsia="pt-BR"/>
        </w:rPr>
        <w:t xml:space="preserve">eve </w:t>
      </w:r>
      <w:r w:rsidRPr="00FF1304">
        <w:rPr>
          <w:rFonts w:eastAsia="Times New Roman"/>
          <w:bCs/>
          <w:iCs/>
          <w:sz w:val="22"/>
          <w:szCs w:val="22"/>
          <w:lang w:eastAsia="pt-BR"/>
        </w:rPr>
        <w:t xml:space="preserve">tratamento favorecido ao concorrer como empresa de pequeno porte, </w:t>
      </w:r>
      <w:r w:rsidRPr="00FF1304">
        <w:rPr>
          <w:bCs/>
          <w:iCs/>
          <w:sz w:val="22"/>
          <w:szCs w:val="22"/>
          <w:lang w:eastAsia="pt-BR"/>
        </w:rPr>
        <w:t xml:space="preserve">sem atender </w:t>
      </w:r>
      <w:r w:rsidR="00491B1C" w:rsidRPr="00FF1304">
        <w:rPr>
          <w:bCs/>
          <w:iCs/>
          <w:sz w:val="22"/>
          <w:szCs w:val="22"/>
          <w:lang w:eastAsia="pt-BR"/>
        </w:rPr>
        <w:t>a</w:t>
      </w:r>
      <w:r w:rsidRPr="00FF1304">
        <w:rPr>
          <w:bCs/>
          <w:iCs/>
          <w:sz w:val="22"/>
          <w:szCs w:val="22"/>
          <w:lang w:eastAsia="pt-BR"/>
        </w:rPr>
        <w:t>os requisitos</w:t>
      </w:r>
      <w:r w:rsidR="00987994" w:rsidRPr="00FF1304">
        <w:rPr>
          <w:bCs/>
          <w:iCs/>
          <w:sz w:val="22"/>
          <w:szCs w:val="22"/>
          <w:lang w:eastAsia="pt-BR"/>
        </w:rPr>
        <w:t xml:space="preserve"> exigidos</w:t>
      </w:r>
      <w:r w:rsidRPr="00FF1304">
        <w:rPr>
          <w:bCs/>
          <w:iCs/>
          <w:sz w:val="22"/>
          <w:szCs w:val="22"/>
          <w:lang w:eastAsia="pt-BR"/>
        </w:rPr>
        <w:t xml:space="preserve"> </w:t>
      </w:r>
      <w:r w:rsidR="00987994" w:rsidRPr="00FF1304">
        <w:rPr>
          <w:bCs/>
          <w:iCs/>
          <w:sz w:val="22"/>
          <w:szCs w:val="22"/>
          <w:lang w:eastAsia="pt-BR"/>
        </w:rPr>
        <w:t xml:space="preserve">para tanto. </w:t>
      </w:r>
      <w:r w:rsidR="001E76DA">
        <w:rPr>
          <w:bCs/>
          <w:iCs/>
          <w:sz w:val="22"/>
          <w:szCs w:val="22"/>
          <w:lang w:eastAsia="pt-BR"/>
        </w:rPr>
        <w:t>O Relator, ao examinar essa representação</w:t>
      </w:r>
      <w:r w:rsidR="0043072D">
        <w:rPr>
          <w:bCs/>
          <w:iCs/>
          <w:sz w:val="22"/>
          <w:szCs w:val="22"/>
          <w:lang w:eastAsia="pt-BR"/>
        </w:rPr>
        <w:t>,</w:t>
      </w:r>
      <w:r w:rsidR="001E76DA">
        <w:rPr>
          <w:bCs/>
          <w:iCs/>
          <w:sz w:val="22"/>
          <w:szCs w:val="22"/>
          <w:lang w:eastAsia="pt-BR"/>
        </w:rPr>
        <w:t xml:space="preserve"> observou que o f</w:t>
      </w:r>
      <w:r w:rsidR="00987994" w:rsidRPr="00FF1304">
        <w:rPr>
          <w:bCs/>
          <w:iCs/>
          <w:sz w:val="22"/>
          <w:szCs w:val="22"/>
          <w:lang w:eastAsia="pt-BR"/>
        </w:rPr>
        <w:t>atura</w:t>
      </w:r>
      <w:r w:rsidR="00987994" w:rsidRPr="00FF1304">
        <w:rPr>
          <w:rFonts w:eastAsia="Times New Roman"/>
          <w:bCs/>
          <w:iCs/>
          <w:sz w:val="22"/>
          <w:szCs w:val="22"/>
          <w:lang w:eastAsia="pt-BR"/>
        </w:rPr>
        <w:t xml:space="preserve">mento </w:t>
      </w:r>
      <w:r w:rsidR="001E76DA">
        <w:rPr>
          <w:rFonts w:eastAsia="Times New Roman"/>
          <w:bCs/>
          <w:iCs/>
          <w:sz w:val="22"/>
          <w:szCs w:val="22"/>
          <w:lang w:eastAsia="pt-BR"/>
        </w:rPr>
        <w:t xml:space="preserve">da empresa, </w:t>
      </w:r>
      <w:r w:rsidR="00987994" w:rsidRPr="00FF1304">
        <w:rPr>
          <w:rFonts w:eastAsia="Times New Roman"/>
          <w:bCs/>
          <w:iCs/>
          <w:sz w:val="22"/>
          <w:szCs w:val="22"/>
          <w:lang w:eastAsia="pt-BR"/>
        </w:rPr>
        <w:t>em 2007</w:t>
      </w:r>
      <w:r w:rsidR="00987994" w:rsidRPr="00FF1304">
        <w:rPr>
          <w:bCs/>
          <w:iCs/>
          <w:sz w:val="22"/>
          <w:szCs w:val="22"/>
          <w:lang w:eastAsia="pt-BR"/>
        </w:rPr>
        <w:t xml:space="preserve">, </w:t>
      </w:r>
      <w:r w:rsidR="00987994" w:rsidRPr="00FF1304">
        <w:rPr>
          <w:rFonts w:eastAsia="Times New Roman"/>
          <w:bCs/>
          <w:iCs/>
          <w:sz w:val="22"/>
          <w:szCs w:val="22"/>
          <w:lang w:eastAsia="pt-BR"/>
        </w:rPr>
        <w:t xml:space="preserve">sem </w:t>
      </w:r>
      <w:r w:rsidR="00987994" w:rsidRPr="00FF1304">
        <w:rPr>
          <w:bCs/>
          <w:iCs/>
          <w:sz w:val="22"/>
          <w:szCs w:val="22"/>
          <w:lang w:eastAsia="pt-BR"/>
        </w:rPr>
        <w:t xml:space="preserve">levar em conta eventuais </w:t>
      </w:r>
      <w:r w:rsidR="00987994" w:rsidRPr="00FF1304">
        <w:rPr>
          <w:rFonts w:eastAsia="Times New Roman"/>
          <w:bCs/>
          <w:iCs/>
          <w:sz w:val="22"/>
          <w:szCs w:val="22"/>
          <w:lang w:eastAsia="pt-BR"/>
        </w:rPr>
        <w:t xml:space="preserve">receitas </w:t>
      </w:r>
      <w:r w:rsidR="00987994" w:rsidRPr="00FF1304">
        <w:rPr>
          <w:bCs/>
          <w:iCs/>
          <w:sz w:val="22"/>
          <w:szCs w:val="22"/>
          <w:lang w:eastAsia="pt-BR"/>
        </w:rPr>
        <w:t>oriundas de c</w:t>
      </w:r>
      <w:r w:rsidR="00987994" w:rsidRPr="00FF1304">
        <w:rPr>
          <w:rFonts w:eastAsia="Times New Roman"/>
          <w:bCs/>
          <w:iCs/>
          <w:sz w:val="22"/>
          <w:szCs w:val="22"/>
          <w:lang w:eastAsia="pt-BR"/>
        </w:rPr>
        <w:t>ontratos com órgãos municipais ou empresas privadas</w:t>
      </w:r>
      <w:r w:rsidR="00987994" w:rsidRPr="00FF1304">
        <w:rPr>
          <w:bCs/>
          <w:iCs/>
          <w:sz w:val="22"/>
          <w:szCs w:val="22"/>
          <w:lang w:eastAsia="pt-BR"/>
        </w:rPr>
        <w:t xml:space="preserve">, foi de, pelo menos, </w:t>
      </w:r>
      <w:r w:rsidR="00987994" w:rsidRPr="00FF1304">
        <w:rPr>
          <w:rFonts w:eastAsia="Times New Roman"/>
          <w:bCs/>
          <w:iCs/>
          <w:sz w:val="22"/>
          <w:szCs w:val="22"/>
          <w:lang w:eastAsia="pt-BR"/>
        </w:rPr>
        <w:t>R$ 2.456.945,22</w:t>
      </w:r>
      <w:r w:rsidR="00D46787" w:rsidRPr="00FF1304">
        <w:rPr>
          <w:bCs/>
          <w:iCs/>
          <w:sz w:val="22"/>
          <w:szCs w:val="22"/>
          <w:lang w:eastAsia="pt-BR"/>
        </w:rPr>
        <w:t xml:space="preserve">, conforme levantamentos da unidade técnica. </w:t>
      </w:r>
      <w:r w:rsidR="00142621" w:rsidRPr="00FF1304">
        <w:rPr>
          <w:bCs/>
          <w:iCs/>
          <w:sz w:val="22"/>
          <w:szCs w:val="22"/>
          <w:lang w:eastAsia="pt-BR"/>
        </w:rPr>
        <w:t>Anotou</w:t>
      </w:r>
      <w:r w:rsidR="001E76DA">
        <w:rPr>
          <w:bCs/>
          <w:iCs/>
          <w:sz w:val="22"/>
          <w:szCs w:val="22"/>
          <w:lang w:eastAsia="pt-BR"/>
        </w:rPr>
        <w:t xml:space="preserve">, também, </w:t>
      </w:r>
      <w:r w:rsidR="00987994" w:rsidRPr="00FF1304">
        <w:rPr>
          <w:bCs/>
          <w:iCs/>
          <w:sz w:val="22"/>
          <w:szCs w:val="22"/>
          <w:lang w:eastAsia="pt-BR"/>
        </w:rPr>
        <w:t xml:space="preserve">que, </w:t>
      </w:r>
      <w:r w:rsidR="001005A8" w:rsidRPr="00FF1304">
        <w:rPr>
          <w:bCs/>
          <w:iCs/>
          <w:sz w:val="22"/>
          <w:szCs w:val="22"/>
          <w:lang w:eastAsia="pt-BR"/>
        </w:rPr>
        <w:t xml:space="preserve">segundo o art. 3º da </w:t>
      </w:r>
      <w:r w:rsidR="001005A8" w:rsidRPr="00FF1304">
        <w:rPr>
          <w:rFonts w:eastAsia="Times New Roman"/>
          <w:bCs/>
          <w:iCs/>
          <w:sz w:val="22"/>
          <w:szCs w:val="22"/>
          <w:lang w:eastAsia="pt-BR"/>
        </w:rPr>
        <w:t xml:space="preserve">Lei Complementar </w:t>
      </w:r>
      <w:r w:rsidR="0009649A">
        <w:rPr>
          <w:rFonts w:eastAsia="Times New Roman"/>
          <w:bCs/>
          <w:iCs/>
          <w:sz w:val="22"/>
          <w:szCs w:val="22"/>
          <w:lang w:eastAsia="pt-BR"/>
        </w:rPr>
        <w:t xml:space="preserve">nº </w:t>
      </w:r>
      <w:r w:rsidR="001005A8" w:rsidRPr="00FF1304">
        <w:rPr>
          <w:rFonts w:eastAsia="Times New Roman"/>
          <w:bCs/>
          <w:iCs/>
          <w:sz w:val="22"/>
          <w:szCs w:val="22"/>
          <w:lang w:eastAsia="pt-BR"/>
        </w:rPr>
        <w:t>123</w:t>
      </w:r>
      <w:r w:rsidR="001005A8" w:rsidRPr="00FF1304">
        <w:rPr>
          <w:bCs/>
          <w:iCs/>
          <w:sz w:val="22"/>
          <w:szCs w:val="22"/>
          <w:lang w:eastAsia="pt-BR"/>
        </w:rPr>
        <w:t xml:space="preserve">/2006, </w:t>
      </w:r>
      <w:r w:rsidR="009236AA" w:rsidRPr="00FF1304">
        <w:rPr>
          <w:bCs/>
          <w:iCs/>
          <w:sz w:val="22"/>
          <w:szCs w:val="22"/>
          <w:lang w:eastAsia="pt-BR"/>
        </w:rPr>
        <w:t xml:space="preserve">são </w:t>
      </w:r>
      <w:r w:rsidR="001005A8" w:rsidRPr="00FF1304">
        <w:rPr>
          <w:rFonts w:eastAsia="Times New Roman"/>
          <w:bCs/>
          <w:iCs/>
          <w:sz w:val="22"/>
          <w:szCs w:val="22"/>
          <w:lang w:eastAsia="pt-BR"/>
        </w:rPr>
        <w:t>considera</w:t>
      </w:r>
      <w:r w:rsidR="009236AA" w:rsidRPr="00FF1304">
        <w:rPr>
          <w:rFonts w:eastAsia="Times New Roman"/>
          <w:bCs/>
          <w:iCs/>
          <w:sz w:val="22"/>
          <w:szCs w:val="22"/>
          <w:lang w:eastAsia="pt-BR"/>
        </w:rPr>
        <w:t>das</w:t>
      </w:r>
      <w:r w:rsidR="001005A8" w:rsidRPr="00FF1304">
        <w:rPr>
          <w:bCs/>
          <w:iCs/>
          <w:sz w:val="22"/>
          <w:szCs w:val="22"/>
          <w:lang w:eastAsia="pt-BR"/>
        </w:rPr>
        <w:t xml:space="preserve"> e</w:t>
      </w:r>
      <w:r w:rsidR="001005A8" w:rsidRPr="00FF1304">
        <w:rPr>
          <w:rFonts w:eastAsia="Times New Roman"/>
          <w:bCs/>
          <w:iCs/>
          <w:sz w:val="22"/>
          <w:szCs w:val="22"/>
          <w:lang w:eastAsia="pt-BR"/>
        </w:rPr>
        <w:t>mpresas de pequeno porte</w:t>
      </w:r>
      <w:r w:rsidR="001005A8" w:rsidRPr="00FF1304">
        <w:rPr>
          <w:bCs/>
          <w:iCs/>
          <w:sz w:val="22"/>
          <w:szCs w:val="22"/>
          <w:lang w:eastAsia="pt-BR"/>
        </w:rPr>
        <w:t xml:space="preserve"> aquela</w:t>
      </w:r>
      <w:r w:rsidR="009236AA" w:rsidRPr="00FF1304">
        <w:rPr>
          <w:bCs/>
          <w:iCs/>
          <w:sz w:val="22"/>
          <w:szCs w:val="22"/>
          <w:lang w:eastAsia="pt-BR"/>
        </w:rPr>
        <w:t>s</w:t>
      </w:r>
      <w:r w:rsidR="001005A8" w:rsidRPr="00FF1304">
        <w:rPr>
          <w:bCs/>
          <w:iCs/>
          <w:sz w:val="22"/>
          <w:szCs w:val="22"/>
          <w:lang w:eastAsia="pt-BR"/>
        </w:rPr>
        <w:t xml:space="preserve"> que </w:t>
      </w:r>
      <w:r w:rsidR="001005A8" w:rsidRPr="00FF1304">
        <w:rPr>
          <w:rFonts w:eastAsia="Times New Roman"/>
          <w:bCs/>
          <w:iCs/>
          <w:sz w:val="22"/>
          <w:szCs w:val="22"/>
          <w:lang w:eastAsia="pt-BR"/>
        </w:rPr>
        <w:t>aufira</w:t>
      </w:r>
      <w:r w:rsidR="009236AA" w:rsidRPr="00FF1304">
        <w:rPr>
          <w:rFonts w:eastAsia="Times New Roman"/>
          <w:bCs/>
          <w:iCs/>
          <w:sz w:val="22"/>
          <w:szCs w:val="22"/>
          <w:lang w:eastAsia="pt-BR"/>
        </w:rPr>
        <w:t>m</w:t>
      </w:r>
      <w:r w:rsidR="001005A8" w:rsidRPr="00FF1304">
        <w:rPr>
          <w:rFonts w:eastAsia="Times New Roman"/>
          <w:bCs/>
          <w:iCs/>
          <w:sz w:val="22"/>
          <w:szCs w:val="22"/>
          <w:lang w:eastAsia="pt-BR"/>
        </w:rPr>
        <w:t>, em cada ano-calendário, receita bruta superior a R$ 240.000,00 e igual ou inferior a R$ 2.400.000,00</w:t>
      </w:r>
      <w:r w:rsidR="001005A8" w:rsidRPr="00FF1304">
        <w:rPr>
          <w:bCs/>
          <w:iCs/>
          <w:sz w:val="22"/>
          <w:szCs w:val="22"/>
          <w:lang w:eastAsia="pt-BR"/>
        </w:rPr>
        <w:t xml:space="preserve">. </w:t>
      </w:r>
      <w:r w:rsidR="00142621" w:rsidRPr="00FF1304">
        <w:rPr>
          <w:bCs/>
          <w:iCs/>
          <w:sz w:val="22"/>
          <w:szCs w:val="22"/>
          <w:lang w:eastAsia="pt-BR"/>
        </w:rPr>
        <w:t xml:space="preserve"> Acrescentou que, segundo o </w:t>
      </w:r>
      <w:r w:rsidR="00142621" w:rsidRPr="00FF1304">
        <w:rPr>
          <w:color w:val="000000"/>
          <w:sz w:val="22"/>
          <w:szCs w:val="22"/>
          <w:lang w:eastAsia="pt-BR"/>
        </w:rPr>
        <w:t>§ 9º desse art. 3º, “</w:t>
      </w:r>
      <w:r w:rsidR="00142621" w:rsidRPr="00FF1304">
        <w:rPr>
          <w:i/>
          <w:color w:val="000000"/>
          <w:sz w:val="22"/>
          <w:szCs w:val="22"/>
          <w:lang w:eastAsia="pt-BR"/>
        </w:rPr>
        <w:t xml:space="preserve">A empresa de pequeno porte que, no ano-calendário, exceder o limite de receita bruta anual previsto no inciso II do </w:t>
      </w:r>
      <w:r w:rsidR="00142621" w:rsidRPr="00FF1304">
        <w:rPr>
          <w:b/>
          <w:i/>
          <w:color w:val="000000"/>
          <w:sz w:val="22"/>
          <w:szCs w:val="22"/>
          <w:lang w:eastAsia="pt-BR"/>
        </w:rPr>
        <w:t>caput</w:t>
      </w:r>
      <w:r w:rsidR="00142621" w:rsidRPr="00FF1304">
        <w:rPr>
          <w:i/>
          <w:color w:val="000000"/>
          <w:sz w:val="22"/>
          <w:szCs w:val="22"/>
          <w:lang w:eastAsia="pt-BR"/>
        </w:rPr>
        <w:t xml:space="preserve"> deste artigo fica excluída, no ano-calendário seguinte, do regime diferenciado e favorecido previsto por esta Lei Complementar para todos os efeitos legais</w:t>
      </w:r>
      <w:r w:rsidR="00142621" w:rsidRPr="00FF1304">
        <w:rPr>
          <w:color w:val="000000"/>
          <w:sz w:val="22"/>
          <w:szCs w:val="22"/>
          <w:lang w:eastAsia="pt-BR"/>
        </w:rPr>
        <w:t>”</w:t>
      </w:r>
      <w:r w:rsidR="00D37E78">
        <w:rPr>
          <w:color w:val="000000"/>
          <w:sz w:val="22"/>
          <w:szCs w:val="22"/>
          <w:lang w:eastAsia="pt-BR"/>
        </w:rPr>
        <w:t>.</w:t>
      </w:r>
      <w:r w:rsidR="00FD510B" w:rsidRPr="00FF1304">
        <w:rPr>
          <w:color w:val="000000"/>
          <w:sz w:val="22"/>
          <w:szCs w:val="22"/>
          <w:lang w:eastAsia="pt-BR"/>
        </w:rPr>
        <w:t xml:space="preserve"> </w:t>
      </w:r>
      <w:r w:rsidR="001005A8" w:rsidRPr="00FF1304">
        <w:rPr>
          <w:bCs/>
          <w:iCs/>
          <w:sz w:val="22"/>
          <w:szCs w:val="22"/>
          <w:lang w:eastAsia="pt-BR"/>
        </w:rPr>
        <w:t xml:space="preserve">Após explicitar a sistemática que materializa os benefícios, concedidos a pequenas empresas e </w:t>
      </w:r>
      <w:r w:rsidR="007D4104" w:rsidRPr="00FF1304">
        <w:rPr>
          <w:bCs/>
          <w:iCs/>
          <w:sz w:val="22"/>
          <w:szCs w:val="22"/>
          <w:lang w:eastAsia="pt-BR"/>
        </w:rPr>
        <w:t xml:space="preserve">a </w:t>
      </w:r>
      <w:r w:rsidR="001005A8" w:rsidRPr="00FF1304">
        <w:rPr>
          <w:bCs/>
          <w:iCs/>
          <w:sz w:val="22"/>
          <w:szCs w:val="22"/>
          <w:lang w:eastAsia="pt-BR"/>
        </w:rPr>
        <w:t xml:space="preserve">empresas de pequeno porte, tratada nos arts. 44 e 45 da citada LC 123/2006, </w:t>
      </w:r>
      <w:r w:rsidR="001E76DA">
        <w:rPr>
          <w:bCs/>
          <w:iCs/>
          <w:sz w:val="22"/>
          <w:szCs w:val="22"/>
          <w:lang w:eastAsia="pt-BR"/>
        </w:rPr>
        <w:t xml:space="preserve">o relator </w:t>
      </w:r>
      <w:r w:rsidR="001005A8" w:rsidRPr="00FF1304">
        <w:rPr>
          <w:bCs/>
          <w:iCs/>
          <w:sz w:val="22"/>
          <w:szCs w:val="22"/>
          <w:lang w:eastAsia="pt-BR"/>
        </w:rPr>
        <w:t xml:space="preserve">ressaltou que o </w:t>
      </w:r>
      <w:r w:rsidRPr="00FF1304">
        <w:rPr>
          <w:rFonts w:eastAsia="Times New Roman"/>
          <w:bCs/>
          <w:iCs/>
          <w:sz w:val="22"/>
          <w:szCs w:val="22"/>
          <w:lang w:eastAsia="pt-BR"/>
        </w:rPr>
        <w:t xml:space="preserve">Decreto </w:t>
      </w:r>
      <w:r w:rsidR="0009649A">
        <w:rPr>
          <w:rFonts w:eastAsia="Times New Roman"/>
          <w:bCs/>
          <w:iCs/>
          <w:sz w:val="22"/>
          <w:szCs w:val="22"/>
          <w:lang w:eastAsia="pt-BR"/>
        </w:rPr>
        <w:t xml:space="preserve">nº </w:t>
      </w:r>
      <w:r w:rsidRPr="00FF1304">
        <w:rPr>
          <w:rFonts w:eastAsia="Times New Roman"/>
          <w:bCs/>
          <w:iCs/>
          <w:sz w:val="22"/>
          <w:szCs w:val="22"/>
          <w:lang w:eastAsia="pt-BR"/>
        </w:rPr>
        <w:t>6.204, de 5/9/2007</w:t>
      </w:r>
      <w:r w:rsidR="001005A8" w:rsidRPr="00FF1304">
        <w:rPr>
          <w:bCs/>
          <w:iCs/>
          <w:sz w:val="22"/>
          <w:szCs w:val="22"/>
          <w:lang w:eastAsia="pt-BR"/>
        </w:rPr>
        <w:t xml:space="preserve"> </w:t>
      </w:r>
      <w:r w:rsidRPr="00FF1304">
        <w:rPr>
          <w:rFonts w:eastAsia="Times New Roman"/>
          <w:bCs/>
          <w:iCs/>
          <w:sz w:val="22"/>
          <w:szCs w:val="22"/>
          <w:lang w:eastAsia="pt-BR"/>
        </w:rPr>
        <w:t>estabelece</w:t>
      </w:r>
      <w:r w:rsidR="00DE5BAE" w:rsidRPr="00FF1304">
        <w:rPr>
          <w:rFonts w:eastAsia="Times New Roman"/>
          <w:bCs/>
          <w:iCs/>
          <w:sz w:val="22"/>
          <w:szCs w:val="22"/>
          <w:lang w:eastAsia="pt-BR"/>
        </w:rPr>
        <w:t xml:space="preserve">, </w:t>
      </w:r>
      <w:r w:rsidRPr="00FF1304">
        <w:rPr>
          <w:rFonts w:eastAsia="Times New Roman"/>
          <w:bCs/>
          <w:iCs/>
          <w:sz w:val="22"/>
          <w:szCs w:val="22"/>
          <w:lang w:eastAsia="pt-BR"/>
        </w:rPr>
        <w:t>no seu art. 11</w:t>
      </w:r>
      <w:r w:rsidR="00DE5BAE" w:rsidRPr="00FF1304">
        <w:rPr>
          <w:rFonts w:eastAsia="Times New Roman"/>
          <w:bCs/>
          <w:iCs/>
          <w:sz w:val="22"/>
          <w:szCs w:val="22"/>
          <w:lang w:eastAsia="pt-BR"/>
        </w:rPr>
        <w:t>,</w:t>
      </w:r>
      <w:r w:rsidRPr="00FF1304">
        <w:rPr>
          <w:rFonts w:eastAsia="Times New Roman"/>
          <w:bCs/>
          <w:iCs/>
          <w:sz w:val="22"/>
          <w:szCs w:val="22"/>
          <w:lang w:eastAsia="pt-BR"/>
        </w:rPr>
        <w:t xml:space="preserve"> que o enquadramento como microempresa ou empresa de pequeno porte dar-se-á nas condições estabelecidas pela LC </w:t>
      </w:r>
      <w:r w:rsidR="0009649A">
        <w:rPr>
          <w:rFonts w:eastAsia="Times New Roman"/>
          <w:bCs/>
          <w:iCs/>
          <w:sz w:val="22"/>
          <w:szCs w:val="22"/>
          <w:lang w:eastAsia="pt-BR"/>
        </w:rPr>
        <w:t xml:space="preserve">nº </w:t>
      </w:r>
      <w:r w:rsidRPr="00FF1304">
        <w:rPr>
          <w:rFonts w:eastAsia="Times New Roman"/>
          <w:bCs/>
          <w:iCs/>
          <w:sz w:val="22"/>
          <w:szCs w:val="22"/>
          <w:lang w:eastAsia="pt-BR"/>
        </w:rPr>
        <w:t>123/2006,</w:t>
      </w:r>
      <w:r w:rsidR="007D4104" w:rsidRPr="00FF1304">
        <w:rPr>
          <w:rFonts w:eastAsia="Times New Roman"/>
          <w:bCs/>
          <w:iCs/>
          <w:sz w:val="22"/>
          <w:szCs w:val="22"/>
          <w:lang w:eastAsia="pt-BR"/>
        </w:rPr>
        <w:t xml:space="preserve"> com base em declaração fornecida pela empresa</w:t>
      </w:r>
      <w:r w:rsidRPr="00FF1304">
        <w:rPr>
          <w:rFonts w:eastAsia="Times New Roman"/>
          <w:bCs/>
          <w:iCs/>
          <w:sz w:val="22"/>
          <w:szCs w:val="22"/>
          <w:lang w:eastAsia="pt-BR"/>
        </w:rPr>
        <w:t xml:space="preserve">. </w:t>
      </w:r>
      <w:r w:rsidR="00142621" w:rsidRPr="00FF1304">
        <w:rPr>
          <w:bCs/>
          <w:iCs/>
          <w:sz w:val="22"/>
          <w:szCs w:val="22"/>
          <w:lang w:eastAsia="pt-BR"/>
        </w:rPr>
        <w:t xml:space="preserve">Refutou, </w:t>
      </w:r>
      <w:r w:rsidR="00DE5BAE" w:rsidRPr="00FF1304">
        <w:rPr>
          <w:bCs/>
          <w:iCs/>
          <w:sz w:val="22"/>
          <w:szCs w:val="22"/>
          <w:lang w:eastAsia="pt-BR"/>
        </w:rPr>
        <w:t>ainda</w:t>
      </w:r>
      <w:r w:rsidR="00142621" w:rsidRPr="00FF1304">
        <w:rPr>
          <w:bCs/>
          <w:iCs/>
          <w:sz w:val="22"/>
          <w:szCs w:val="22"/>
          <w:lang w:eastAsia="pt-BR"/>
        </w:rPr>
        <w:t xml:space="preserve">, </w:t>
      </w:r>
      <w:r w:rsidR="00FD510B" w:rsidRPr="00FF1304">
        <w:rPr>
          <w:bCs/>
          <w:iCs/>
          <w:sz w:val="22"/>
          <w:szCs w:val="22"/>
          <w:lang w:eastAsia="pt-BR"/>
        </w:rPr>
        <w:t>o argumento de ter havido mero erro do profissional contratado para organizar a documentação necessária à participação em licitações</w:t>
      </w:r>
      <w:r w:rsidR="007D4104" w:rsidRPr="00FF1304">
        <w:rPr>
          <w:bCs/>
          <w:iCs/>
          <w:sz w:val="22"/>
          <w:szCs w:val="22"/>
          <w:lang w:eastAsia="pt-BR"/>
        </w:rPr>
        <w:t xml:space="preserve"> ao informar o faturamento da empresa</w:t>
      </w:r>
      <w:r w:rsidR="00FD510B" w:rsidRPr="00FF1304">
        <w:rPr>
          <w:bCs/>
          <w:iCs/>
          <w:sz w:val="22"/>
          <w:szCs w:val="22"/>
          <w:lang w:eastAsia="pt-BR"/>
        </w:rPr>
        <w:t xml:space="preserve">. </w:t>
      </w:r>
      <w:r w:rsidR="001316FC" w:rsidRPr="00FF1304">
        <w:rPr>
          <w:bCs/>
          <w:iCs/>
          <w:sz w:val="22"/>
          <w:szCs w:val="22"/>
          <w:lang w:eastAsia="pt-BR"/>
        </w:rPr>
        <w:t xml:space="preserve">Entendeu, </w:t>
      </w:r>
      <w:r w:rsidR="0009649A">
        <w:rPr>
          <w:bCs/>
          <w:iCs/>
          <w:sz w:val="22"/>
          <w:szCs w:val="22"/>
          <w:lang w:eastAsia="pt-BR"/>
        </w:rPr>
        <w:t xml:space="preserve">isto </w:t>
      </w:r>
      <w:r w:rsidR="001316FC" w:rsidRPr="00FF1304">
        <w:rPr>
          <w:bCs/>
          <w:iCs/>
          <w:sz w:val="22"/>
          <w:szCs w:val="22"/>
          <w:lang w:eastAsia="pt-BR"/>
        </w:rPr>
        <w:t>sim</w:t>
      </w:r>
      <w:r w:rsidR="007D4104" w:rsidRPr="00FF1304">
        <w:rPr>
          <w:bCs/>
          <w:iCs/>
          <w:sz w:val="22"/>
          <w:szCs w:val="22"/>
          <w:lang w:eastAsia="pt-BR"/>
        </w:rPr>
        <w:t>,</w:t>
      </w:r>
      <w:r w:rsidR="001316FC" w:rsidRPr="00FF1304">
        <w:rPr>
          <w:bCs/>
          <w:iCs/>
          <w:sz w:val="22"/>
          <w:szCs w:val="22"/>
          <w:lang w:eastAsia="pt-BR"/>
        </w:rPr>
        <w:t xml:space="preserve"> que a</w:t>
      </w:r>
      <w:r w:rsidR="00FD510B" w:rsidRPr="00FF1304">
        <w:rPr>
          <w:bCs/>
          <w:iCs/>
          <w:sz w:val="22"/>
          <w:szCs w:val="22"/>
          <w:lang w:eastAsia="pt-BR"/>
        </w:rPr>
        <w:t xml:space="preserve"> repres</w:t>
      </w:r>
      <w:r w:rsidR="002B4001" w:rsidRPr="00FF1304">
        <w:rPr>
          <w:bCs/>
          <w:iCs/>
          <w:sz w:val="22"/>
          <w:szCs w:val="22"/>
          <w:lang w:eastAsia="pt-BR"/>
        </w:rPr>
        <w:t>e</w:t>
      </w:r>
      <w:r w:rsidR="00FD510B" w:rsidRPr="00FF1304">
        <w:rPr>
          <w:bCs/>
          <w:iCs/>
          <w:sz w:val="22"/>
          <w:szCs w:val="22"/>
          <w:lang w:eastAsia="pt-BR"/>
        </w:rPr>
        <w:t>ntada, “</w:t>
      </w:r>
      <w:r w:rsidR="00FD510B" w:rsidRPr="00FF1304">
        <w:rPr>
          <w:rFonts w:eastAsia="Times New Roman"/>
          <w:bCs/>
          <w:i/>
          <w:iCs/>
          <w:sz w:val="22"/>
          <w:szCs w:val="22"/>
          <w:lang w:eastAsia="pt-BR"/>
        </w:rPr>
        <w:t>valendo-se de documentos falsos, usou a condição de empresa de pequeno porte para obtenção de tratamento favorecido em licitações públicas</w:t>
      </w:r>
      <w:r w:rsidR="00FD510B" w:rsidRPr="00FF1304">
        <w:rPr>
          <w:bCs/>
          <w:iCs/>
          <w:sz w:val="22"/>
          <w:szCs w:val="22"/>
          <w:lang w:eastAsia="pt-BR"/>
        </w:rPr>
        <w:t>”</w:t>
      </w:r>
      <w:r w:rsidR="001316FC" w:rsidRPr="00FF1304">
        <w:rPr>
          <w:bCs/>
          <w:iCs/>
          <w:sz w:val="22"/>
          <w:szCs w:val="22"/>
          <w:lang w:eastAsia="pt-BR"/>
        </w:rPr>
        <w:t xml:space="preserve"> e que t</w:t>
      </w:r>
      <w:r w:rsidR="00FD510B" w:rsidRPr="00FF1304">
        <w:rPr>
          <w:sz w:val="22"/>
          <w:szCs w:val="22"/>
        </w:rPr>
        <w:t>a</w:t>
      </w:r>
      <w:r w:rsidR="001316FC" w:rsidRPr="00FF1304">
        <w:rPr>
          <w:sz w:val="22"/>
          <w:szCs w:val="22"/>
        </w:rPr>
        <w:t>l</w:t>
      </w:r>
      <w:r w:rsidR="00FD510B" w:rsidRPr="00FF1304">
        <w:rPr>
          <w:sz w:val="22"/>
          <w:szCs w:val="22"/>
        </w:rPr>
        <w:t xml:space="preserve"> conduta </w:t>
      </w:r>
      <w:r w:rsidR="00D37E78">
        <w:rPr>
          <w:sz w:val="22"/>
          <w:szCs w:val="22"/>
        </w:rPr>
        <w:t>está</w:t>
      </w:r>
      <w:r w:rsidR="001316FC" w:rsidRPr="00FF1304">
        <w:rPr>
          <w:sz w:val="22"/>
          <w:szCs w:val="22"/>
        </w:rPr>
        <w:t xml:space="preserve"> </w:t>
      </w:r>
      <w:r w:rsidR="00FD510B" w:rsidRPr="00FF1304">
        <w:rPr>
          <w:sz w:val="22"/>
          <w:szCs w:val="22"/>
        </w:rPr>
        <w:t xml:space="preserve">tipificada </w:t>
      </w:r>
      <w:r w:rsidR="00D37E78">
        <w:rPr>
          <w:sz w:val="22"/>
          <w:szCs w:val="22"/>
        </w:rPr>
        <w:t>n</w:t>
      </w:r>
      <w:r w:rsidR="001316FC" w:rsidRPr="00FF1304">
        <w:rPr>
          <w:sz w:val="22"/>
          <w:szCs w:val="22"/>
        </w:rPr>
        <w:t xml:space="preserve">o </w:t>
      </w:r>
      <w:r w:rsidR="00FD510B" w:rsidRPr="00FF1304">
        <w:rPr>
          <w:sz w:val="22"/>
          <w:szCs w:val="22"/>
        </w:rPr>
        <w:t xml:space="preserve">art. 46 da Lei </w:t>
      </w:r>
      <w:r w:rsidR="0009649A">
        <w:rPr>
          <w:sz w:val="22"/>
          <w:szCs w:val="22"/>
        </w:rPr>
        <w:t xml:space="preserve">nº </w:t>
      </w:r>
      <w:r w:rsidR="00FD510B" w:rsidRPr="00FF1304">
        <w:rPr>
          <w:sz w:val="22"/>
          <w:szCs w:val="22"/>
        </w:rPr>
        <w:t>8.443/1992.</w:t>
      </w:r>
      <w:r w:rsidR="002B4001" w:rsidRPr="00FF1304">
        <w:rPr>
          <w:sz w:val="22"/>
          <w:szCs w:val="22"/>
        </w:rPr>
        <w:t xml:space="preserve"> Sugeriu, ao final, </w:t>
      </w:r>
      <w:r w:rsidR="001316FC" w:rsidRPr="00FF1304">
        <w:rPr>
          <w:sz w:val="22"/>
          <w:szCs w:val="22"/>
        </w:rPr>
        <w:t>para que se guarde “</w:t>
      </w:r>
      <w:r w:rsidR="001316FC" w:rsidRPr="00FF1304">
        <w:rPr>
          <w:i/>
          <w:sz w:val="22"/>
          <w:szCs w:val="22"/>
        </w:rPr>
        <w:t>correlação com a grandeza da falta identificada</w:t>
      </w:r>
      <w:r w:rsidR="001316FC" w:rsidRPr="00FF1304">
        <w:rPr>
          <w:sz w:val="22"/>
          <w:szCs w:val="22"/>
        </w:rPr>
        <w:t xml:space="preserve">”, </w:t>
      </w:r>
      <w:r w:rsidR="00B25962" w:rsidRPr="00FF1304">
        <w:rPr>
          <w:sz w:val="22"/>
          <w:szCs w:val="22"/>
        </w:rPr>
        <w:t xml:space="preserve">impor </w:t>
      </w:r>
      <w:r w:rsidR="008D2F21" w:rsidRPr="00FF1304">
        <w:rPr>
          <w:sz w:val="22"/>
          <w:szCs w:val="22"/>
        </w:rPr>
        <w:t xml:space="preserve">à empresa faltosa </w:t>
      </w:r>
      <w:r w:rsidR="00B25962" w:rsidRPr="00FF1304">
        <w:rPr>
          <w:sz w:val="22"/>
          <w:szCs w:val="22"/>
        </w:rPr>
        <w:t>a sanção de</w:t>
      </w:r>
      <w:r w:rsidR="001316FC" w:rsidRPr="00FF1304">
        <w:rPr>
          <w:sz w:val="22"/>
          <w:szCs w:val="22"/>
        </w:rPr>
        <w:t xml:space="preserve"> </w:t>
      </w:r>
      <w:r w:rsidR="002B4001" w:rsidRPr="00FF1304">
        <w:rPr>
          <w:sz w:val="22"/>
          <w:szCs w:val="22"/>
        </w:rPr>
        <w:t>inabilitação</w:t>
      </w:r>
      <w:r w:rsidR="00B25962" w:rsidRPr="00FF1304">
        <w:rPr>
          <w:sz w:val="22"/>
          <w:szCs w:val="22"/>
        </w:rPr>
        <w:t xml:space="preserve"> prevista no anteriormente citado comando normativo, p</w:t>
      </w:r>
      <w:r w:rsidR="008D2F21" w:rsidRPr="00FF1304">
        <w:rPr>
          <w:sz w:val="22"/>
          <w:szCs w:val="22"/>
        </w:rPr>
        <w:t xml:space="preserve">elo período de </w:t>
      </w:r>
      <w:r w:rsidR="00B25962" w:rsidRPr="00FF1304">
        <w:rPr>
          <w:sz w:val="22"/>
          <w:szCs w:val="22"/>
        </w:rPr>
        <w:t>um ano</w:t>
      </w:r>
      <w:r w:rsidR="002B4001" w:rsidRPr="00FF1304">
        <w:rPr>
          <w:sz w:val="22"/>
          <w:szCs w:val="22"/>
        </w:rPr>
        <w:t>.</w:t>
      </w:r>
      <w:r w:rsidR="007D0CD1" w:rsidRPr="00FF1304">
        <w:rPr>
          <w:sz w:val="22"/>
          <w:szCs w:val="22"/>
          <w:lang w:eastAsia="pt-BR"/>
        </w:rPr>
        <w:t xml:space="preserve"> P</w:t>
      </w:r>
      <w:r w:rsidR="002B4001" w:rsidRPr="00FF1304">
        <w:rPr>
          <w:sz w:val="22"/>
          <w:szCs w:val="22"/>
        </w:rPr>
        <w:t>ropôs</w:t>
      </w:r>
      <w:r w:rsidR="007D0CD1" w:rsidRPr="00FF1304">
        <w:rPr>
          <w:sz w:val="22"/>
          <w:szCs w:val="22"/>
        </w:rPr>
        <w:t xml:space="preserve">, </w:t>
      </w:r>
      <w:r w:rsidR="00AD6F4A">
        <w:rPr>
          <w:sz w:val="22"/>
          <w:szCs w:val="22"/>
        </w:rPr>
        <w:t>ainda</w:t>
      </w:r>
      <w:r w:rsidR="007D0CD1" w:rsidRPr="00FF1304">
        <w:rPr>
          <w:sz w:val="22"/>
          <w:szCs w:val="22"/>
        </w:rPr>
        <w:t xml:space="preserve">, a expedição de </w:t>
      </w:r>
      <w:r w:rsidR="002B4001" w:rsidRPr="00FF1304">
        <w:rPr>
          <w:color w:val="000000"/>
          <w:sz w:val="22"/>
          <w:szCs w:val="22"/>
        </w:rPr>
        <w:t xml:space="preserve">determinação </w:t>
      </w:r>
      <w:r w:rsidR="00B25962" w:rsidRPr="00FF1304">
        <w:rPr>
          <w:color w:val="000000"/>
          <w:sz w:val="22"/>
          <w:szCs w:val="22"/>
        </w:rPr>
        <w:t xml:space="preserve">ao </w:t>
      </w:r>
      <w:r w:rsidR="002B4001" w:rsidRPr="00FF1304">
        <w:rPr>
          <w:sz w:val="22"/>
          <w:szCs w:val="22"/>
        </w:rPr>
        <w:t xml:space="preserve">Banco do Brasil e </w:t>
      </w:r>
      <w:r w:rsidR="00B25962" w:rsidRPr="00FF1304">
        <w:rPr>
          <w:sz w:val="22"/>
          <w:szCs w:val="22"/>
        </w:rPr>
        <w:t xml:space="preserve">à </w:t>
      </w:r>
      <w:r w:rsidR="002B4001" w:rsidRPr="00FF1304">
        <w:rPr>
          <w:sz w:val="22"/>
          <w:szCs w:val="22"/>
        </w:rPr>
        <w:t xml:space="preserve">Justiça Federal de 1º Grau/SC </w:t>
      </w:r>
      <w:r w:rsidR="00AD3920" w:rsidRPr="00FF1304">
        <w:rPr>
          <w:sz w:val="22"/>
          <w:szCs w:val="22"/>
        </w:rPr>
        <w:t xml:space="preserve">para que </w:t>
      </w:r>
      <w:r w:rsidR="002B4001" w:rsidRPr="00FF1304">
        <w:rPr>
          <w:sz w:val="22"/>
          <w:szCs w:val="22"/>
        </w:rPr>
        <w:t xml:space="preserve">se abstenham de estender os prazos dos instrumentos firmados com a empresa </w:t>
      </w:r>
      <w:r w:rsidR="007D0CD1" w:rsidRPr="00FF1304">
        <w:rPr>
          <w:sz w:val="22"/>
          <w:szCs w:val="22"/>
        </w:rPr>
        <w:t xml:space="preserve">contratada. </w:t>
      </w:r>
      <w:r w:rsidR="00B25962" w:rsidRPr="00FF1304">
        <w:rPr>
          <w:sz w:val="22"/>
          <w:szCs w:val="22"/>
        </w:rPr>
        <w:t xml:space="preserve">O Plenário do Tribunal ratificou tal proposta de encaminhamento. </w:t>
      </w:r>
      <w:r w:rsidR="00392CD3" w:rsidRPr="00FF1304">
        <w:rPr>
          <w:b/>
          <w:i/>
          <w:sz w:val="22"/>
          <w:szCs w:val="22"/>
        </w:rPr>
        <w:t xml:space="preserve">Acórdão </w:t>
      </w:r>
      <w:r w:rsidR="0009649A">
        <w:rPr>
          <w:b/>
          <w:i/>
          <w:sz w:val="22"/>
          <w:szCs w:val="22"/>
        </w:rPr>
        <w:t xml:space="preserve">n.º </w:t>
      </w:r>
      <w:r w:rsidR="00392CD3" w:rsidRPr="00FF1304">
        <w:rPr>
          <w:b/>
          <w:i/>
          <w:sz w:val="22"/>
          <w:szCs w:val="22"/>
        </w:rPr>
        <w:t>2</w:t>
      </w:r>
      <w:r w:rsidR="0043072D">
        <w:rPr>
          <w:b/>
          <w:i/>
          <w:sz w:val="22"/>
          <w:szCs w:val="22"/>
        </w:rPr>
        <w:t>9</w:t>
      </w:r>
      <w:r w:rsidR="00392CD3" w:rsidRPr="00FF1304">
        <w:rPr>
          <w:b/>
          <w:i/>
          <w:sz w:val="22"/>
          <w:szCs w:val="22"/>
        </w:rPr>
        <w:t>93/2011-Plenário, TC-018.375/2009-1, rel. Min. Valmir Campelo, 16.11.2011</w:t>
      </w:r>
      <w:r w:rsidR="00392CD3" w:rsidRPr="00FF1304">
        <w:rPr>
          <w:sz w:val="22"/>
          <w:szCs w:val="22"/>
        </w:rPr>
        <w:t>.</w:t>
      </w:r>
    </w:p>
    <w:p w:rsidR="002B4001" w:rsidRPr="00FF1304" w:rsidRDefault="002B4001" w:rsidP="00877865">
      <w:pPr>
        <w:pStyle w:val="PargrafodaLista"/>
        <w:widowControl w:val="0"/>
        <w:autoSpaceDE w:val="0"/>
        <w:autoSpaceDN w:val="0"/>
        <w:adjustRightInd w:val="0"/>
        <w:ind w:left="0"/>
        <w:jc w:val="both"/>
        <w:rPr>
          <w:sz w:val="22"/>
        </w:rPr>
      </w:pPr>
    </w:p>
    <w:p w:rsidR="00F55337" w:rsidRPr="00F55337" w:rsidRDefault="00F55337" w:rsidP="00877865">
      <w:pPr>
        <w:pStyle w:val="PargrafodaLista"/>
        <w:widowControl w:val="0"/>
        <w:autoSpaceDE w:val="0"/>
        <w:autoSpaceDN w:val="0"/>
        <w:adjustRightInd w:val="0"/>
        <w:ind w:left="0"/>
        <w:contextualSpacing w:val="0"/>
        <w:jc w:val="both"/>
        <w:rPr>
          <w:b/>
          <w:sz w:val="22"/>
        </w:rPr>
      </w:pPr>
      <w:r w:rsidRPr="00F55337">
        <w:rPr>
          <w:b/>
          <w:sz w:val="22"/>
        </w:rPr>
        <w:t xml:space="preserve">A exigência de que empresa a ser contratada mantenha </w:t>
      </w:r>
      <w:r w:rsidRPr="00F55337">
        <w:rPr>
          <w:b/>
          <w:iCs/>
          <w:sz w:val="22"/>
        </w:rPr>
        <w:t>rede de postos de serviço credenciados em todo o território nacional, para prestação de serviço de</w:t>
      </w:r>
      <w:r w:rsidRPr="00F55337">
        <w:rPr>
          <w:b/>
          <w:sz w:val="22"/>
        </w:rPr>
        <w:t xml:space="preserve"> abastecimento de combustível de frota baseada em dada unidade da federação, configura</w:t>
      </w:r>
      <w:r w:rsidR="00AD6F4A">
        <w:rPr>
          <w:b/>
          <w:sz w:val="22"/>
        </w:rPr>
        <w:t xml:space="preserve">, em cognição sumária, </w:t>
      </w:r>
      <w:r w:rsidRPr="00F55337">
        <w:rPr>
          <w:b/>
          <w:sz w:val="22"/>
        </w:rPr>
        <w:t>restrição ao caráter competitivo de certame licitatório</w:t>
      </w:r>
    </w:p>
    <w:p w:rsidR="002139A2" w:rsidRPr="00FF1304" w:rsidRDefault="00532A23" w:rsidP="002139A2">
      <w:pPr>
        <w:spacing w:after="0"/>
        <w:ind w:left="0"/>
        <w:rPr>
          <w:sz w:val="22"/>
          <w:szCs w:val="22"/>
        </w:rPr>
      </w:pPr>
      <w:r w:rsidRPr="00FF1304">
        <w:rPr>
          <w:sz w:val="22"/>
          <w:szCs w:val="22"/>
        </w:rPr>
        <w:t xml:space="preserve">Representação efetuada por empresa, com suporte no art. 113, § 1º, da Lei </w:t>
      </w:r>
      <w:r w:rsidR="0009649A">
        <w:rPr>
          <w:sz w:val="22"/>
          <w:szCs w:val="22"/>
        </w:rPr>
        <w:t xml:space="preserve">nº </w:t>
      </w:r>
      <w:r w:rsidRPr="00FF1304">
        <w:rPr>
          <w:sz w:val="22"/>
          <w:szCs w:val="22"/>
        </w:rPr>
        <w:t xml:space="preserve">8.666/1993, </w:t>
      </w:r>
      <w:r w:rsidR="002139A2" w:rsidRPr="00FF1304">
        <w:rPr>
          <w:sz w:val="22"/>
          <w:szCs w:val="22"/>
        </w:rPr>
        <w:t xml:space="preserve">com pedido de medida cautelar, </w:t>
      </w:r>
      <w:r w:rsidRPr="00FF1304">
        <w:rPr>
          <w:sz w:val="22"/>
          <w:szCs w:val="22"/>
        </w:rPr>
        <w:t xml:space="preserve">apontou possíveis irregularidades na condução do Pregão Eletrônico </w:t>
      </w:r>
      <w:r w:rsidR="0009649A">
        <w:rPr>
          <w:sz w:val="22"/>
          <w:szCs w:val="22"/>
        </w:rPr>
        <w:t xml:space="preserve">nº </w:t>
      </w:r>
      <w:r w:rsidRPr="00FF1304">
        <w:rPr>
          <w:sz w:val="22"/>
          <w:szCs w:val="22"/>
        </w:rPr>
        <w:t>352/2011-7, promovido pela Superintendência Regional do DNIT no Estado do Rio de Janeiro, que tem por objeto a prestação de serviços de gestão de abastecimento de combustível, com a utilização de cartão magnético. A autora da representação alegou que o edital da licitação possui cláusulas restritivas à competitividade do certame, entre elas a que impõe à contratada a obrigação de “</w:t>
      </w:r>
      <w:r w:rsidRPr="00FF1304">
        <w:rPr>
          <w:i/>
          <w:iCs/>
          <w:sz w:val="22"/>
          <w:szCs w:val="22"/>
        </w:rPr>
        <w:t>6.5-Manter uma rede de postos de serviço credenciados em todo território nacional, com distância entre 60 Km a 200 Km entre eles, de forma a permitir um abastecimento continuado para veículo em viagem e/ou localizado em qualquer Unidade local da SRERJ/DNIT fora do município do Rio de Janeiro</w:t>
      </w:r>
      <w:r w:rsidRPr="00FF1304">
        <w:rPr>
          <w:iCs/>
          <w:sz w:val="22"/>
          <w:szCs w:val="22"/>
        </w:rPr>
        <w:t>”</w:t>
      </w:r>
      <w:r w:rsidRPr="00FF1304">
        <w:rPr>
          <w:i/>
          <w:iCs/>
          <w:sz w:val="22"/>
          <w:szCs w:val="22"/>
        </w:rPr>
        <w:t xml:space="preserve">. </w:t>
      </w:r>
      <w:r w:rsidRPr="00FF1304">
        <w:rPr>
          <w:sz w:val="22"/>
          <w:szCs w:val="22"/>
        </w:rPr>
        <w:t xml:space="preserve">A unidade técnica considerou que a exigência de </w:t>
      </w:r>
      <w:r w:rsidR="002139A2" w:rsidRPr="00FF1304">
        <w:rPr>
          <w:sz w:val="22"/>
          <w:szCs w:val="22"/>
        </w:rPr>
        <w:t xml:space="preserve">que </w:t>
      </w:r>
      <w:r w:rsidRPr="00FF1304">
        <w:rPr>
          <w:sz w:val="22"/>
          <w:szCs w:val="22"/>
        </w:rPr>
        <w:t>a contratada mante</w:t>
      </w:r>
      <w:r w:rsidR="002139A2" w:rsidRPr="00FF1304">
        <w:rPr>
          <w:sz w:val="22"/>
          <w:szCs w:val="22"/>
        </w:rPr>
        <w:t>nha</w:t>
      </w:r>
      <w:r w:rsidRPr="00FF1304">
        <w:rPr>
          <w:sz w:val="22"/>
          <w:szCs w:val="22"/>
        </w:rPr>
        <w:t xml:space="preserve"> rede de âmbito nacional, “</w:t>
      </w:r>
      <w:r w:rsidRPr="00FF1304">
        <w:rPr>
          <w:i/>
          <w:sz w:val="22"/>
          <w:szCs w:val="22"/>
        </w:rPr>
        <w:t>mesmo se tratando de frota pertencente à unidade com jurisdição limitada ao estado do Rio de Janeiro</w:t>
      </w:r>
      <w:r w:rsidRPr="00FF1304">
        <w:rPr>
          <w:sz w:val="22"/>
          <w:szCs w:val="22"/>
        </w:rPr>
        <w:t>”, afrontaria o disposto no inciso I, § 1º do Art. 3º da Lei 8.666/93, “</w:t>
      </w:r>
      <w:r w:rsidRPr="00FF1304">
        <w:rPr>
          <w:i/>
          <w:sz w:val="22"/>
          <w:szCs w:val="22"/>
        </w:rPr>
        <w:t>com evidente prejuízo à competitividade do certame</w:t>
      </w:r>
      <w:r w:rsidRPr="00FF1304">
        <w:rPr>
          <w:sz w:val="22"/>
          <w:szCs w:val="22"/>
        </w:rPr>
        <w:t>”. Consignou, ainda, que apenas duas empresas participaram do certame. O relator, ao</w:t>
      </w:r>
      <w:r w:rsidR="002139A2" w:rsidRPr="00FF1304">
        <w:rPr>
          <w:sz w:val="22"/>
          <w:szCs w:val="22"/>
        </w:rPr>
        <w:t xml:space="preserve"> avaliar a pertinência cautelar requ</w:t>
      </w:r>
      <w:r w:rsidRPr="00FF1304">
        <w:rPr>
          <w:sz w:val="22"/>
          <w:szCs w:val="22"/>
        </w:rPr>
        <w:t>e</w:t>
      </w:r>
      <w:r w:rsidR="002139A2" w:rsidRPr="00FF1304">
        <w:rPr>
          <w:sz w:val="22"/>
          <w:szCs w:val="22"/>
        </w:rPr>
        <w:t xml:space="preserve">rida, </w:t>
      </w:r>
      <w:r w:rsidRPr="00FF1304">
        <w:rPr>
          <w:sz w:val="22"/>
          <w:szCs w:val="22"/>
        </w:rPr>
        <w:t>r</w:t>
      </w:r>
      <w:r w:rsidR="002139A2" w:rsidRPr="00FF1304">
        <w:rPr>
          <w:sz w:val="22"/>
          <w:szCs w:val="22"/>
        </w:rPr>
        <w:t>atificou o entendimento de</w:t>
      </w:r>
      <w:r w:rsidRPr="00FF1304">
        <w:rPr>
          <w:sz w:val="22"/>
          <w:szCs w:val="22"/>
        </w:rPr>
        <w:t xml:space="preserve"> que “</w:t>
      </w:r>
      <w:r w:rsidRPr="00FF1304">
        <w:rPr>
          <w:i/>
          <w:sz w:val="22"/>
          <w:szCs w:val="22"/>
        </w:rPr>
        <w:t>a exigência parece descabida, constituindo possível fator de restrição à competitividade</w:t>
      </w:r>
      <w:r w:rsidRPr="00FF1304">
        <w:rPr>
          <w:sz w:val="22"/>
          <w:szCs w:val="22"/>
        </w:rPr>
        <w:t xml:space="preserve">”, o que revelaria o </w:t>
      </w:r>
      <w:r w:rsidRPr="00FF1304">
        <w:rPr>
          <w:b/>
          <w:bCs/>
          <w:sz w:val="22"/>
          <w:szCs w:val="22"/>
        </w:rPr>
        <w:t xml:space="preserve">fumus boni iuris. </w:t>
      </w:r>
      <w:r w:rsidRPr="00FF1304">
        <w:rPr>
          <w:bCs/>
          <w:sz w:val="22"/>
          <w:szCs w:val="22"/>
        </w:rPr>
        <w:t xml:space="preserve">O </w:t>
      </w:r>
      <w:r w:rsidRPr="00FF1304">
        <w:rPr>
          <w:b/>
          <w:bCs/>
          <w:sz w:val="22"/>
          <w:szCs w:val="22"/>
        </w:rPr>
        <w:t>periculum in mora</w:t>
      </w:r>
      <w:r w:rsidRPr="00FF1304">
        <w:rPr>
          <w:sz w:val="22"/>
          <w:szCs w:val="22"/>
        </w:rPr>
        <w:t xml:space="preserve"> também estaria configurado, visto que já houve adjudicação dos itens do pregão à empresa vencedora, o que indica </w:t>
      </w:r>
      <w:r w:rsidR="002139A2" w:rsidRPr="00FF1304">
        <w:rPr>
          <w:sz w:val="22"/>
          <w:szCs w:val="22"/>
        </w:rPr>
        <w:t>a</w:t>
      </w:r>
      <w:r w:rsidR="00491B1C" w:rsidRPr="00FF1304">
        <w:rPr>
          <w:sz w:val="22"/>
          <w:szCs w:val="22"/>
        </w:rPr>
        <w:t xml:space="preserve"> possibilidade de </w:t>
      </w:r>
      <w:r w:rsidR="002139A2" w:rsidRPr="00FF1304">
        <w:rPr>
          <w:sz w:val="22"/>
          <w:szCs w:val="22"/>
        </w:rPr>
        <w:t xml:space="preserve"> iminente celebração do respectivo contrato</w:t>
      </w:r>
      <w:r w:rsidRPr="00FF1304">
        <w:rPr>
          <w:sz w:val="22"/>
          <w:szCs w:val="22"/>
        </w:rPr>
        <w:t xml:space="preserve">. O relator, </w:t>
      </w:r>
      <w:r w:rsidR="002139A2" w:rsidRPr="00FF1304">
        <w:rPr>
          <w:sz w:val="22"/>
          <w:szCs w:val="22"/>
        </w:rPr>
        <w:t xml:space="preserve">por esses motivos, </w:t>
      </w:r>
      <w:r w:rsidRPr="00FF1304">
        <w:rPr>
          <w:sz w:val="22"/>
          <w:szCs w:val="22"/>
        </w:rPr>
        <w:t xml:space="preserve">em caráter cautelar, determinou à Superintendência Regional do DNIT no Estado do Rio de Janeiro, com fundamento no art. 45 da Lei </w:t>
      </w:r>
      <w:r w:rsidR="0009649A">
        <w:rPr>
          <w:sz w:val="22"/>
          <w:szCs w:val="22"/>
        </w:rPr>
        <w:t xml:space="preserve">nº </w:t>
      </w:r>
      <w:r w:rsidRPr="00FF1304">
        <w:rPr>
          <w:sz w:val="22"/>
          <w:szCs w:val="22"/>
        </w:rPr>
        <w:t>8.443/92, c/c o art. 276 do R</w:t>
      </w:r>
      <w:r w:rsidR="00491B1C" w:rsidRPr="00FF1304">
        <w:rPr>
          <w:sz w:val="22"/>
          <w:szCs w:val="22"/>
        </w:rPr>
        <w:t>I/</w:t>
      </w:r>
      <w:r w:rsidRPr="00FF1304">
        <w:rPr>
          <w:sz w:val="22"/>
          <w:szCs w:val="22"/>
        </w:rPr>
        <w:t>TCU, “</w:t>
      </w:r>
      <w:r w:rsidRPr="00FF1304">
        <w:rPr>
          <w:i/>
          <w:sz w:val="22"/>
          <w:szCs w:val="22"/>
        </w:rPr>
        <w:t>que suspenda, no estágio em que se encontram, todos os atos decorrentes do Pregão Eletrônico nº 352/2011-7, até posterior manifestação deste Tribunal</w:t>
      </w:r>
      <w:r w:rsidRPr="00FF1304">
        <w:rPr>
          <w:sz w:val="22"/>
          <w:szCs w:val="22"/>
        </w:rPr>
        <w:t>”. Promoveu, também, a oitiva de responsáveis para se pronunciarem sobre as possíveis irregularidades identificadas na condução do referido pregão. O Plenário, em seguida, endossou a proposta do relator.</w:t>
      </w:r>
      <w:r w:rsidR="002139A2" w:rsidRPr="00FF1304">
        <w:rPr>
          <w:sz w:val="22"/>
          <w:szCs w:val="22"/>
        </w:rPr>
        <w:t xml:space="preserve"> </w:t>
      </w:r>
      <w:r w:rsidR="002139A2" w:rsidRPr="00FF1304">
        <w:rPr>
          <w:b/>
          <w:i/>
          <w:sz w:val="22"/>
          <w:szCs w:val="22"/>
        </w:rPr>
        <w:t>Comunicação ao Plenário de medida cautelar, TC-033.757/2011-9, rel. Min. José Múcio</w:t>
      </w:r>
      <w:r w:rsidR="002D73BD" w:rsidRPr="00FF1304">
        <w:rPr>
          <w:b/>
          <w:i/>
          <w:sz w:val="22"/>
          <w:szCs w:val="22"/>
        </w:rPr>
        <w:t xml:space="preserve"> Monteiro</w:t>
      </w:r>
      <w:r w:rsidR="002139A2" w:rsidRPr="00FF1304">
        <w:rPr>
          <w:b/>
          <w:i/>
          <w:sz w:val="22"/>
          <w:szCs w:val="22"/>
        </w:rPr>
        <w:t>,</w:t>
      </w:r>
      <w:r w:rsidR="002D73BD" w:rsidRPr="00FF1304">
        <w:rPr>
          <w:b/>
          <w:i/>
          <w:sz w:val="22"/>
          <w:szCs w:val="22"/>
        </w:rPr>
        <w:t xml:space="preserve"> </w:t>
      </w:r>
      <w:r w:rsidR="002139A2" w:rsidRPr="00FF1304">
        <w:rPr>
          <w:b/>
          <w:i/>
          <w:sz w:val="22"/>
          <w:szCs w:val="22"/>
        </w:rPr>
        <w:t>16.11.2011.</w:t>
      </w:r>
    </w:p>
    <w:p w:rsidR="002B4001" w:rsidRPr="00FF1304" w:rsidRDefault="002B4001" w:rsidP="00394C6C">
      <w:pPr>
        <w:pStyle w:val="PargrafodaLista"/>
        <w:widowControl w:val="0"/>
        <w:autoSpaceDE w:val="0"/>
        <w:autoSpaceDN w:val="0"/>
        <w:adjustRightInd w:val="0"/>
        <w:ind w:left="0"/>
        <w:jc w:val="both"/>
        <w:rPr>
          <w:sz w:val="22"/>
        </w:rPr>
      </w:pPr>
    </w:p>
    <w:p w:rsidR="006D3693" w:rsidRPr="00FF1304" w:rsidRDefault="006D3693" w:rsidP="00F64DD3">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FF1304" w:rsidTr="0030360F">
        <w:trPr>
          <w:trHeight w:val="779"/>
          <w:jc w:val="center"/>
        </w:trPr>
        <w:tc>
          <w:tcPr>
            <w:tcW w:w="0" w:type="auto"/>
            <w:vAlign w:val="center"/>
          </w:tcPr>
          <w:p w:rsidR="007334B1" w:rsidRPr="00FF1304" w:rsidRDefault="00C10DD5" w:rsidP="00394C6C">
            <w:pPr>
              <w:pStyle w:val="enter-3pt"/>
              <w:tabs>
                <w:tab w:val="left" w:pos="2590"/>
              </w:tabs>
              <w:spacing w:line="240" w:lineRule="auto"/>
              <w:jc w:val="center"/>
              <w:rPr>
                <w:b/>
                <w:i/>
                <w:sz w:val="22"/>
                <w:szCs w:val="22"/>
              </w:rPr>
            </w:pPr>
            <w:r w:rsidRPr="00FF1304">
              <w:rPr>
                <w:b/>
                <w:i/>
                <w:sz w:val="22"/>
                <w:szCs w:val="22"/>
              </w:rPr>
              <w:t>Elaboração: Secretaria das Sessões</w:t>
            </w:r>
          </w:p>
          <w:p w:rsidR="007334B1" w:rsidRPr="00FF1304" w:rsidRDefault="007334B1" w:rsidP="00394C6C">
            <w:pPr>
              <w:pStyle w:val="enter-3pt"/>
              <w:tabs>
                <w:tab w:val="left" w:pos="2590"/>
              </w:tabs>
              <w:spacing w:line="240" w:lineRule="auto"/>
              <w:jc w:val="center"/>
              <w:rPr>
                <w:b/>
                <w:i/>
                <w:sz w:val="22"/>
                <w:szCs w:val="22"/>
              </w:rPr>
            </w:pPr>
            <w:r w:rsidRPr="00FF1304">
              <w:rPr>
                <w:b/>
                <w:i/>
                <w:sz w:val="22"/>
                <w:szCs w:val="22"/>
              </w:rPr>
              <w:t xml:space="preserve">Contato: </w:t>
            </w:r>
            <w:hyperlink r:id="rId8" w:history="1">
              <w:r w:rsidRPr="00FF1304">
                <w:rPr>
                  <w:rStyle w:val="Hyperlink"/>
                  <w:b/>
                  <w:i/>
                  <w:color w:val="auto"/>
                  <w:sz w:val="22"/>
                  <w:szCs w:val="22"/>
                </w:rPr>
                <w:t>infojuris@tcu.gov.br</w:t>
              </w:r>
            </w:hyperlink>
          </w:p>
        </w:tc>
      </w:tr>
    </w:tbl>
    <w:p w:rsidR="007334B1" w:rsidRPr="00FF1304" w:rsidRDefault="007334B1" w:rsidP="00394C6C">
      <w:pPr>
        <w:pStyle w:val="PargrafodaLista"/>
        <w:widowControl w:val="0"/>
        <w:autoSpaceDE w:val="0"/>
        <w:autoSpaceDN w:val="0"/>
        <w:adjustRightInd w:val="0"/>
        <w:ind w:left="0"/>
        <w:jc w:val="both"/>
        <w:rPr>
          <w:b/>
          <w:color w:val="FF0000"/>
          <w:sz w:val="22"/>
        </w:rPr>
      </w:pPr>
    </w:p>
    <w:sectPr w:rsidR="007334B1" w:rsidRPr="00FF1304"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38" w:rsidRDefault="00C62E38" w:rsidP="008B0547">
      <w:pPr>
        <w:spacing w:after="0"/>
      </w:pPr>
      <w:r>
        <w:separator/>
      </w:r>
    </w:p>
  </w:endnote>
  <w:endnote w:type="continuationSeparator" w:id="0">
    <w:p w:rsidR="00C62E38" w:rsidRDefault="00C62E38"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87758D"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B05AD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38" w:rsidRDefault="00C62E38" w:rsidP="008B0547">
      <w:pPr>
        <w:spacing w:after="0"/>
      </w:pPr>
      <w:r>
        <w:separator/>
      </w:r>
    </w:p>
  </w:footnote>
  <w:footnote w:type="continuationSeparator" w:id="0">
    <w:p w:rsidR="00C62E38" w:rsidRDefault="00C62E38"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938CE"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938CE" w:rsidP="00080148">
    <w:pPr>
      <w:spacing w:after="0"/>
      <w:rPr>
        <w:rFonts w:ascii="Arial" w:hAnsi="Arial" w:cs="Arial"/>
        <w:b/>
      </w:rPr>
    </w:pPr>
    <w:r w:rsidRPr="0087758D">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3411"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Jurisprudência 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8</w:t>
    </w:r>
    <w:r w:rsidR="00C46085">
      <w:rPr>
        <w:rFonts w:ascii="Arial" w:hAnsi="Arial" w:cs="Arial"/>
        <w:noProof/>
        <w:lang w:eastAsia="pt-BR"/>
      </w:rPr>
      <w:t>6</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8"/>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7"/>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327E"/>
    <w:rsid w:val="00023D72"/>
    <w:rsid w:val="000253D1"/>
    <w:rsid w:val="00025450"/>
    <w:rsid w:val="000271FA"/>
    <w:rsid w:val="000300A2"/>
    <w:rsid w:val="00032198"/>
    <w:rsid w:val="00033551"/>
    <w:rsid w:val="00037DCE"/>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E95"/>
    <w:rsid w:val="000675D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172"/>
    <w:rsid w:val="0009133A"/>
    <w:rsid w:val="000916AF"/>
    <w:rsid w:val="00092C2E"/>
    <w:rsid w:val="00094C5B"/>
    <w:rsid w:val="00094EEC"/>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2133"/>
    <w:rsid w:val="000F2D05"/>
    <w:rsid w:val="000F2F92"/>
    <w:rsid w:val="000F6986"/>
    <w:rsid w:val="000F6D85"/>
    <w:rsid w:val="000F7B66"/>
    <w:rsid w:val="000F7CEE"/>
    <w:rsid w:val="000F7D84"/>
    <w:rsid w:val="001005A8"/>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3A7D"/>
    <w:rsid w:val="001847D6"/>
    <w:rsid w:val="00184DD0"/>
    <w:rsid w:val="00192052"/>
    <w:rsid w:val="00195F77"/>
    <w:rsid w:val="001A0B42"/>
    <w:rsid w:val="001A0CC1"/>
    <w:rsid w:val="001A204B"/>
    <w:rsid w:val="001A2A67"/>
    <w:rsid w:val="001A3198"/>
    <w:rsid w:val="001A330B"/>
    <w:rsid w:val="001A58D8"/>
    <w:rsid w:val="001A60A2"/>
    <w:rsid w:val="001A75FE"/>
    <w:rsid w:val="001A79D3"/>
    <w:rsid w:val="001B1669"/>
    <w:rsid w:val="001B19FF"/>
    <w:rsid w:val="001B3729"/>
    <w:rsid w:val="001B3BEF"/>
    <w:rsid w:val="001B3E8E"/>
    <w:rsid w:val="001B4F90"/>
    <w:rsid w:val="001B5333"/>
    <w:rsid w:val="001B5426"/>
    <w:rsid w:val="001B6823"/>
    <w:rsid w:val="001B7F4F"/>
    <w:rsid w:val="001C0575"/>
    <w:rsid w:val="001C1568"/>
    <w:rsid w:val="001C1903"/>
    <w:rsid w:val="001C23B5"/>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6DA"/>
    <w:rsid w:val="001E7C3D"/>
    <w:rsid w:val="001F00DF"/>
    <w:rsid w:val="001F1E8F"/>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D4C"/>
    <w:rsid w:val="002366B7"/>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7326"/>
    <w:rsid w:val="0029043B"/>
    <w:rsid w:val="00290A06"/>
    <w:rsid w:val="00291766"/>
    <w:rsid w:val="0029211E"/>
    <w:rsid w:val="0029450E"/>
    <w:rsid w:val="00297A00"/>
    <w:rsid w:val="002A03ED"/>
    <w:rsid w:val="002A040F"/>
    <w:rsid w:val="002A190F"/>
    <w:rsid w:val="002A2129"/>
    <w:rsid w:val="002A3796"/>
    <w:rsid w:val="002A3B3F"/>
    <w:rsid w:val="002A5A02"/>
    <w:rsid w:val="002A6CE6"/>
    <w:rsid w:val="002B059A"/>
    <w:rsid w:val="002B1043"/>
    <w:rsid w:val="002B1AD6"/>
    <w:rsid w:val="002B2414"/>
    <w:rsid w:val="002B32DD"/>
    <w:rsid w:val="002B4001"/>
    <w:rsid w:val="002B409B"/>
    <w:rsid w:val="002B4392"/>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4C6C"/>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ACE"/>
    <w:rsid w:val="003F1CE1"/>
    <w:rsid w:val="003F2D7E"/>
    <w:rsid w:val="003F413A"/>
    <w:rsid w:val="003F5154"/>
    <w:rsid w:val="003F5249"/>
    <w:rsid w:val="003F54FB"/>
    <w:rsid w:val="003F6572"/>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278"/>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0C52"/>
    <w:rsid w:val="00491438"/>
    <w:rsid w:val="00491B1C"/>
    <w:rsid w:val="00492E3F"/>
    <w:rsid w:val="00493F5C"/>
    <w:rsid w:val="00495DB3"/>
    <w:rsid w:val="00496A94"/>
    <w:rsid w:val="004A171B"/>
    <w:rsid w:val="004A2385"/>
    <w:rsid w:val="004A2D91"/>
    <w:rsid w:val="004A3B95"/>
    <w:rsid w:val="004A7912"/>
    <w:rsid w:val="004B0194"/>
    <w:rsid w:val="004B1113"/>
    <w:rsid w:val="004B1DC3"/>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A27"/>
    <w:rsid w:val="004F3D4A"/>
    <w:rsid w:val="004F401E"/>
    <w:rsid w:val="004F7174"/>
    <w:rsid w:val="004F7E98"/>
    <w:rsid w:val="00500DD0"/>
    <w:rsid w:val="005010BA"/>
    <w:rsid w:val="005012AA"/>
    <w:rsid w:val="005012CF"/>
    <w:rsid w:val="0050355D"/>
    <w:rsid w:val="005055B5"/>
    <w:rsid w:val="00506619"/>
    <w:rsid w:val="00510257"/>
    <w:rsid w:val="00510D1D"/>
    <w:rsid w:val="00511033"/>
    <w:rsid w:val="00511BBF"/>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12D3"/>
    <w:rsid w:val="00551C0E"/>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346F"/>
    <w:rsid w:val="005938CE"/>
    <w:rsid w:val="00594A7B"/>
    <w:rsid w:val="00596C07"/>
    <w:rsid w:val="00597AA7"/>
    <w:rsid w:val="005A1EAB"/>
    <w:rsid w:val="005A2D82"/>
    <w:rsid w:val="005A3789"/>
    <w:rsid w:val="005A3835"/>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7644"/>
    <w:rsid w:val="005C7BF4"/>
    <w:rsid w:val="005D1B66"/>
    <w:rsid w:val="005D1FDF"/>
    <w:rsid w:val="005D2B0F"/>
    <w:rsid w:val="005D323E"/>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2FFB"/>
    <w:rsid w:val="00653133"/>
    <w:rsid w:val="006532C3"/>
    <w:rsid w:val="0065528E"/>
    <w:rsid w:val="0065606D"/>
    <w:rsid w:val="00661BD2"/>
    <w:rsid w:val="00663B35"/>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9BC"/>
    <w:rsid w:val="007A1A35"/>
    <w:rsid w:val="007A2166"/>
    <w:rsid w:val="007A2B7F"/>
    <w:rsid w:val="007A5922"/>
    <w:rsid w:val="007A5969"/>
    <w:rsid w:val="007A7C23"/>
    <w:rsid w:val="007B1ABA"/>
    <w:rsid w:val="007B259B"/>
    <w:rsid w:val="007B3F28"/>
    <w:rsid w:val="007B434A"/>
    <w:rsid w:val="007B471E"/>
    <w:rsid w:val="007B5018"/>
    <w:rsid w:val="007B53E7"/>
    <w:rsid w:val="007B65B3"/>
    <w:rsid w:val="007B6A14"/>
    <w:rsid w:val="007B7287"/>
    <w:rsid w:val="007B7A70"/>
    <w:rsid w:val="007C08AB"/>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58D"/>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5B71"/>
    <w:rsid w:val="008C6D01"/>
    <w:rsid w:val="008D0E23"/>
    <w:rsid w:val="008D2382"/>
    <w:rsid w:val="008D2F21"/>
    <w:rsid w:val="008D3521"/>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41C"/>
    <w:rsid w:val="00904986"/>
    <w:rsid w:val="00904EC5"/>
    <w:rsid w:val="0091406E"/>
    <w:rsid w:val="00914B48"/>
    <w:rsid w:val="0091511B"/>
    <w:rsid w:val="009172D7"/>
    <w:rsid w:val="00917B6F"/>
    <w:rsid w:val="00917E84"/>
    <w:rsid w:val="009236AA"/>
    <w:rsid w:val="009239AA"/>
    <w:rsid w:val="009245B5"/>
    <w:rsid w:val="009245D0"/>
    <w:rsid w:val="00924AB4"/>
    <w:rsid w:val="00925EF2"/>
    <w:rsid w:val="00925F3C"/>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1346"/>
    <w:rsid w:val="009642CA"/>
    <w:rsid w:val="009652B6"/>
    <w:rsid w:val="0096655D"/>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3C2E"/>
    <w:rsid w:val="009946A8"/>
    <w:rsid w:val="00997C8A"/>
    <w:rsid w:val="009A0E89"/>
    <w:rsid w:val="009A1339"/>
    <w:rsid w:val="009A1A95"/>
    <w:rsid w:val="009A2CCC"/>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37BF"/>
    <w:rsid w:val="009F4326"/>
    <w:rsid w:val="009F7078"/>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62A"/>
    <w:rsid w:val="00A2066E"/>
    <w:rsid w:val="00A21E19"/>
    <w:rsid w:val="00A236A1"/>
    <w:rsid w:val="00A239A8"/>
    <w:rsid w:val="00A25B79"/>
    <w:rsid w:val="00A30683"/>
    <w:rsid w:val="00A3115F"/>
    <w:rsid w:val="00A32209"/>
    <w:rsid w:val="00A33030"/>
    <w:rsid w:val="00A35A7A"/>
    <w:rsid w:val="00A378A2"/>
    <w:rsid w:val="00A407B6"/>
    <w:rsid w:val="00A40CDE"/>
    <w:rsid w:val="00A43FBD"/>
    <w:rsid w:val="00A43FD4"/>
    <w:rsid w:val="00A44703"/>
    <w:rsid w:val="00A473D7"/>
    <w:rsid w:val="00A52DA1"/>
    <w:rsid w:val="00A54367"/>
    <w:rsid w:val="00A54CCB"/>
    <w:rsid w:val="00A5757E"/>
    <w:rsid w:val="00A60F52"/>
    <w:rsid w:val="00A61DFE"/>
    <w:rsid w:val="00A62AA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1B11"/>
    <w:rsid w:val="00A82B9E"/>
    <w:rsid w:val="00A84186"/>
    <w:rsid w:val="00A846F1"/>
    <w:rsid w:val="00A857B4"/>
    <w:rsid w:val="00A85B14"/>
    <w:rsid w:val="00A875C0"/>
    <w:rsid w:val="00A87C15"/>
    <w:rsid w:val="00A925D7"/>
    <w:rsid w:val="00A92706"/>
    <w:rsid w:val="00A92CF1"/>
    <w:rsid w:val="00A9704A"/>
    <w:rsid w:val="00A97AD0"/>
    <w:rsid w:val="00AA0C5B"/>
    <w:rsid w:val="00AA1110"/>
    <w:rsid w:val="00AA1377"/>
    <w:rsid w:val="00AA1D1B"/>
    <w:rsid w:val="00AA34B8"/>
    <w:rsid w:val="00AA49AF"/>
    <w:rsid w:val="00AA4F2F"/>
    <w:rsid w:val="00AA57CE"/>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B0025D"/>
    <w:rsid w:val="00B006D8"/>
    <w:rsid w:val="00B02238"/>
    <w:rsid w:val="00B03D35"/>
    <w:rsid w:val="00B05065"/>
    <w:rsid w:val="00B05194"/>
    <w:rsid w:val="00B05AD3"/>
    <w:rsid w:val="00B0688D"/>
    <w:rsid w:val="00B06AA0"/>
    <w:rsid w:val="00B06B45"/>
    <w:rsid w:val="00B06D33"/>
    <w:rsid w:val="00B074B3"/>
    <w:rsid w:val="00B10AD8"/>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47B21"/>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428A"/>
    <w:rsid w:val="00BA5023"/>
    <w:rsid w:val="00BA5365"/>
    <w:rsid w:val="00BA58B6"/>
    <w:rsid w:val="00BA62AD"/>
    <w:rsid w:val="00BA6DBD"/>
    <w:rsid w:val="00BB0267"/>
    <w:rsid w:val="00BB078B"/>
    <w:rsid w:val="00BB0E0C"/>
    <w:rsid w:val="00BB37AF"/>
    <w:rsid w:val="00BB4769"/>
    <w:rsid w:val="00BB4C08"/>
    <w:rsid w:val="00BB61BE"/>
    <w:rsid w:val="00BB6AC3"/>
    <w:rsid w:val="00BB779D"/>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2519"/>
    <w:rsid w:val="00C22F12"/>
    <w:rsid w:val="00C2305C"/>
    <w:rsid w:val="00C233D0"/>
    <w:rsid w:val="00C2380D"/>
    <w:rsid w:val="00C24162"/>
    <w:rsid w:val="00C24E78"/>
    <w:rsid w:val="00C2509D"/>
    <w:rsid w:val="00C2796E"/>
    <w:rsid w:val="00C27A2E"/>
    <w:rsid w:val="00C34ABD"/>
    <w:rsid w:val="00C353CF"/>
    <w:rsid w:val="00C35F43"/>
    <w:rsid w:val="00C363A9"/>
    <w:rsid w:val="00C36C55"/>
    <w:rsid w:val="00C37088"/>
    <w:rsid w:val="00C3715E"/>
    <w:rsid w:val="00C408D5"/>
    <w:rsid w:val="00C40B77"/>
    <w:rsid w:val="00C41D3C"/>
    <w:rsid w:val="00C43801"/>
    <w:rsid w:val="00C44A07"/>
    <w:rsid w:val="00C44BDC"/>
    <w:rsid w:val="00C45BFB"/>
    <w:rsid w:val="00C45DCE"/>
    <w:rsid w:val="00C46085"/>
    <w:rsid w:val="00C46D15"/>
    <w:rsid w:val="00C50C7D"/>
    <w:rsid w:val="00C50FF9"/>
    <w:rsid w:val="00C54B14"/>
    <w:rsid w:val="00C62E38"/>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3818"/>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3037E"/>
    <w:rsid w:val="00D305AC"/>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4B3D"/>
    <w:rsid w:val="00D46787"/>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1FF"/>
    <w:rsid w:val="00DB3ECD"/>
    <w:rsid w:val="00DB4717"/>
    <w:rsid w:val="00DB79D5"/>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45D3"/>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608C"/>
    <w:rsid w:val="00EC61C2"/>
    <w:rsid w:val="00ED0557"/>
    <w:rsid w:val="00ED0CF0"/>
    <w:rsid w:val="00ED34D4"/>
    <w:rsid w:val="00ED3D84"/>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439A"/>
    <w:rsid w:val="00F06479"/>
    <w:rsid w:val="00F076C5"/>
    <w:rsid w:val="00F120D9"/>
    <w:rsid w:val="00F124BE"/>
    <w:rsid w:val="00F125DE"/>
    <w:rsid w:val="00F12A9F"/>
    <w:rsid w:val="00F14C13"/>
    <w:rsid w:val="00F22EDB"/>
    <w:rsid w:val="00F24232"/>
    <w:rsid w:val="00F2526C"/>
    <w:rsid w:val="00F27170"/>
    <w:rsid w:val="00F30016"/>
    <w:rsid w:val="00F3144A"/>
    <w:rsid w:val="00F31C75"/>
    <w:rsid w:val="00F32543"/>
    <w:rsid w:val="00F33277"/>
    <w:rsid w:val="00F339D7"/>
    <w:rsid w:val="00F33CE0"/>
    <w:rsid w:val="00F340CD"/>
    <w:rsid w:val="00F341CC"/>
    <w:rsid w:val="00F36B6C"/>
    <w:rsid w:val="00F36D10"/>
    <w:rsid w:val="00F40CAB"/>
    <w:rsid w:val="00F4352E"/>
    <w:rsid w:val="00F43960"/>
    <w:rsid w:val="00F43C3C"/>
    <w:rsid w:val="00F459C7"/>
    <w:rsid w:val="00F45D8C"/>
    <w:rsid w:val="00F47C5C"/>
    <w:rsid w:val="00F50173"/>
    <w:rsid w:val="00F54856"/>
    <w:rsid w:val="00F55337"/>
    <w:rsid w:val="00F55D35"/>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10B"/>
    <w:rsid w:val="00FD5360"/>
    <w:rsid w:val="00FD54CC"/>
    <w:rsid w:val="00FE06A2"/>
    <w:rsid w:val="00FE0CE6"/>
    <w:rsid w:val="00FE28C8"/>
    <w:rsid w:val="00FE4CFC"/>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B3254F-6FB1-4574-A39F-46FFD686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4F33-DAD2-4B05-9AC6-6EB3499D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3230</Words>
  <Characters>17442</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20631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2011-11-22T17:46:00Z</cp:lastPrinted>
  <dcterms:created xsi:type="dcterms:W3CDTF">2015-05-07T12:42:00Z</dcterms:created>
  <dcterms:modified xsi:type="dcterms:W3CDTF">2015-05-07T12:42:00Z</dcterms:modified>
</cp:coreProperties>
</file>