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097863" w:rsidRDefault="009444E6" w:rsidP="008B4C83">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097863">
        <w:rPr>
          <w:rFonts w:ascii="Times New Roman" w:hAnsi="Times New Roman"/>
          <w:b/>
          <w:i w:val="0"/>
          <w:color w:val="000000"/>
          <w:sz w:val="22"/>
          <w:szCs w:val="22"/>
        </w:rPr>
        <w:t>Sess</w:t>
      </w:r>
      <w:r w:rsidR="008B4C83">
        <w:rPr>
          <w:rFonts w:ascii="Times New Roman" w:hAnsi="Times New Roman"/>
          <w:b/>
          <w:i w:val="0"/>
          <w:color w:val="000000"/>
          <w:sz w:val="22"/>
          <w:szCs w:val="22"/>
        </w:rPr>
        <w:t>ão</w:t>
      </w:r>
      <w:r w:rsidRPr="00097863">
        <w:rPr>
          <w:rFonts w:ascii="Times New Roman" w:hAnsi="Times New Roman"/>
          <w:b/>
          <w:i w:val="0"/>
          <w:color w:val="000000"/>
          <w:sz w:val="22"/>
          <w:szCs w:val="22"/>
        </w:rPr>
        <w:t xml:space="preserve">: </w:t>
      </w:r>
      <w:r w:rsidR="007470D7">
        <w:rPr>
          <w:rFonts w:ascii="Times New Roman" w:hAnsi="Times New Roman"/>
          <w:b/>
          <w:i w:val="0"/>
          <w:color w:val="000000"/>
          <w:sz w:val="22"/>
          <w:szCs w:val="22"/>
        </w:rPr>
        <w:t>25</w:t>
      </w:r>
      <w:r w:rsidR="00AE591D">
        <w:rPr>
          <w:rFonts w:ascii="Times New Roman" w:hAnsi="Times New Roman"/>
          <w:b/>
          <w:i w:val="0"/>
          <w:color w:val="000000"/>
          <w:sz w:val="22"/>
          <w:szCs w:val="22"/>
        </w:rPr>
        <w:t xml:space="preserve"> de </w:t>
      </w:r>
      <w:r w:rsidR="007470D7">
        <w:rPr>
          <w:rFonts w:ascii="Times New Roman" w:hAnsi="Times New Roman"/>
          <w:b/>
          <w:i w:val="0"/>
          <w:color w:val="000000"/>
          <w:sz w:val="22"/>
          <w:szCs w:val="22"/>
        </w:rPr>
        <w:t>outubro</w:t>
      </w:r>
      <w:r w:rsidR="00AE591D">
        <w:rPr>
          <w:rFonts w:ascii="Times New Roman" w:hAnsi="Times New Roman"/>
          <w:b/>
          <w:i w:val="0"/>
          <w:color w:val="000000"/>
          <w:sz w:val="22"/>
          <w:szCs w:val="22"/>
        </w:rPr>
        <w:t xml:space="preserve"> </w:t>
      </w:r>
      <w:r w:rsidRPr="00097863">
        <w:rPr>
          <w:rFonts w:ascii="Times New Roman" w:hAnsi="Times New Roman"/>
          <w:b/>
          <w:i w:val="0"/>
          <w:color w:val="000000"/>
          <w:sz w:val="22"/>
          <w:szCs w:val="22"/>
        </w:rPr>
        <w:t>de 201</w:t>
      </w:r>
      <w:r w:rsidR="00467815" w:rsidRPr="00097863">
        <w:rPr>
          <w:rFonts w:ascii="Times New Roman" w:hAnsi="Times New Roman"/>
          <w:b/>
          <w:i w:val="0"/>
          <w:color w:val="000000"/>
          <w:sz w:val="22"/>
          <w:szCs w:val="22"/>
        </w:rPr>
        <w:t>1</w:t>
      </w:r>
    </w:p>
    <w:p w:rsidR="002D35F5" w:rsidRPr="00097863" w:rsidRDefault="002D35F5" w:rsidP="008B4C83">
      <w:pPr>
        <w:pStyle w:val="Corpodetexto2"/>
        <w:spacing w:after="0" w:line="240" w:lineRule="auto"/>
        <w:ind w:left="0"/>
        <w:rPr>
          <w:sz w:val="22"/>
          <w:szCs w:val="22"/>
        </w:rPr>
      </w:pPr>
      <w:r w:rsidRPr="000978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097863" w:rsidRDefault="00FF7C62" w:rsidP="008B4C83">
      <w:pPr>
        <w:pStyle w:val="Corpodetexto2"/>
        <w:spacing w:after="0" w:line="240" w:lineRule="auto"/>
        <w:ind w:left="0"/>
        <w:rPr>
          <w:sz w:val="22"/>
          <w:szCs w:val="22"/>
        </w:rPr>
      </w:pPr>
    </w:p>
    <w:p w:rsidR="002D35F5" w:rsidRPr="00D53537" w:rsidRDefault="002D35F5" w:rsidP="002D0C07">
      <w:pPr>
        <w:pBdr>
          <w:top w:val="threeDEmboss" w:sz="24" w:space="2" w:color="auto"/>
        </w:pBdr>
        <w:spacing w:before="60" w:after="0"/>
        <w:ind w:left="0"/>
        <w:jc w:val="center"/>
        <w:rPr>
          <w:rFonts w:ascii="Cambria" w:hAnsi="Cambria"/>
          <w:b/>
          <w:bCs/>
          <w:smallCaps/>
          <w:sz w:val="22"/>
          <w:szCs w:val="22"/>
        </w:rPr>
      </w:pPr>
      <w:r w:rsidRPr="00D53537">
        <w:rPr>
          <w:rFonts w:ascii="Cambria" w:hAnsi="Cambria"/>
          <w:b/>
          <w:bCs/>
          <w:smallCaps/>
          <w:sz w:val="22"/>
          <w:szCs w:val="22"/>
        </w:rPr>
        <w:t>S</w:t>
      </w:r>
      <w:r w:rsidR="00FF7C62" w:rsidRPr="00D53537">
        <w:rPr>
          <w:rFonts w:ascii="Cambria" w:hAnsi="Cambria"/>
          <w:b/>
          <w:bCs/>
          <w:smallCaps/>
          <w:sz w:val="22"/>
          <w:szCs w:val="22"/>
        </w:rPr>
        <w:t>UMÁRIO</w:t>
      </w:r>
    </w:p>
    <w:p w:rsidR="009444E6" w:rsidRPr="007737F0" w:rsidRDefault="009444E6" w:rsidP="002D0C07">
      <w:pPr>
        <w:pStyle w:val="tita"/>
        <w:tabs>
          <w:tab w:val="left" w:pos="2590"/>
        </w:tabs>
        <w:spacing w:before="60" w:after="0" w:line="240" w:lineRule="auto"/>
        <w:jc w:val="both"/>
        <w:rPr>
          <w:i w:val="0"/>
          <w:iCs w:val="0"/>
          <w:color w:val="000000"/>
          <w:sz w:val="22"/>
          <w:szCs w:val="22"/>
        </w:rPr>
      </w:pPr>
      <w:r w:rsidRPr="007737F0">
        <w:rPr>
          <w:i w:val="0"/>
          <w:iCs w:val="0"/>
          <w:color w:val="000000"/>
          <w:sz w:val="22"/>
          <w:szCs w:val="22"/>
        </w:rPr>
        <w:t>Plenário</w:t>
      </w:r>
    </w:p>
    <w:p w:rsidR="00F64DD3" w:rsidRPr="007737F0" w:rsidRDefault="00F64DD3" w:rsidP="002D0C07">
      <w:pPr>
        <w:tabs>
          <w:tab w:val="left" w:pos="567"/>
        </w:tabs>
        <w:spacing w:before="60" w:after="0"/>
        <w:ind w:left="0"/>
        <w:rPr>
          <w:sz w:val="22"/>
          <w:szCs w:val="22"/>
        </w:rPr>
      </w:pPr>
      <w:r w:rsidRPr="007737F0">
        <w:rPr>
          <w:sz w:val="22"/>
          <w:szCs w:val="22"/>
        </w:rPr>
        <w:t>Para efeito de observância dos limites de alterações contratuais previstos no art. 65 da Lei nº 8.666/93, o conjunto de reduções e o conjunto de acréscimos devem ser sempre calculados sobre o valor original do contrato, aplicando-se a cada um desses conjuntos, individualmente e sem nenhum tipo de compensação entre eles, os limites de alteração estabelecidos no dispositivo legal.</w:t>
      </w:r>
    </w:p>
    <w:p w:rsidR="001B4703" w:rsidRPr="007737F0" w:rsidRDefault="001B4703" w:rsidP="002D0C07">
      <w:pPr>
        <w:tabs>
          <w:tab w:val="left" w:pos="567"/>
        </w:tabs>
        <w:autoSpaceDE w:val="0"/>
        <w:autoSpaceDN w:val="0"/>
        <w:adjustRightInd w:val="0"/>
        <w:spacing w:before="60" w:after="0"/>
        <w:ind w:left="0"/>
        <w:rPr>
          <w:sz w:val="22"/>
          <w:szCs w:val="22"/>
        </w:rPr>
      </w:pPr>
      <w:r w:rsidRPr="007737F0">
        <w:rPr>
          <w:sz w:val="22"/>
          <w:szCs w:val="22"/>
        </w:rPr>
        <w:t>Contratação de obra pública:</w:t>
      </w:r>
    </w:p>
    <w:p w:rsidR="00E4701F" w:rsidRPr="007737F0" w:rsidRDefault="001B4703" w:rsidP="002D0C07">
      <w:pPr>
        <w:tabs>
          <w:tab w:val="left" w:pos="567"/>
        </w:tabs>
        <w:autoSpaceDE w:val="0"/>
        <w:autoSpaceDN w:val="0"/>
        <w:adjustRightInd w:val="0"/>
        <w:spacing w:before="60" w:after="0"/>
        <w:ind w:left="0"/>
        <w:rPr>
          <w:iCs/>
          <w:sz w:val="22"/>
          <w:szCs w:val="22"/>
          <w:lang w:eastAsia="pt-BR"/>
        </w:rPr>
      </w:pPr>
      <w:r w:rsidRPr="007737F0">
        <w:rPr>
          <w:sz w:val="22"/>
          <w:szCs w:val="22"/>
        </w:rPr>
        <w:tab/>
        <w:t xml:space="preserve">1 - </w:t>
      </w:r>
      <w:r w:rsidR="00E4701F" w:rsidRPr="007737F0">
        <w:rPr>
          <w:sz w:val="22"/>
          <w:szCs w:val="22"/>
        </w:rPr>
        <w:t>O</w:t>
      </w:r>
      <w:r w:rsidR="00E4701F" w:rsidRPr="007737F0">
        <w:rPr>
          <w:iCs/>
          <w:sz w:val="22"/>
          <w:szCs w:val="22"/>
          <w:lang w:eastAsia="pt-BR"/>
        </w:rPr>
        <w:t>s itens administração local, instalação de canteiro e acampamento e mobilização e desmobilização de obra não devem compor o BDI, mas sim constar da planilha orçamentária de forma destacada.</w:t>
      </w:r>
    </w:p>
    <w:p w:rsidR="0086240F" w:rsidRPr="007737F0" w:rsidRDefault="001B4703" w:rsidP="002D0C07">
      <w:pPr>
        <w:pStyle w:val="TCU-RelVoto-demais"/>
        <w:tabs>
          <w:tab w:val="left" w:pos="567"/>
        </w:tabs>
        <w:spacing w:before="60" w:after="0"/>
        <w:rPr>
          <w:iCs/>
          <w:sz w:val="22"/>
          <w:lang w:eastAsia="pt-BR"/>
        </w:rPr>
      </w:pPr>
      <w:r w:rsidRPr="007737F0">
        <w:rPr>
          <w:iCs/>
          <w:sz w:val="22"/>
          <w:lang w:eastAsia="pt-BR"/>
        </w:rPr>
        <w:tab/>
        <w:t xml:space="preserve">2 - </w:t>
      </w:r>
      <w:r w:rsidR="0086240F" w:rsidRPr="007737F0">
        <w:rPr>
          <w:iCs/>
          <w:sz w:val="22"/>
          <w:lang w:eastAsia="pt-BR"/>
        </w:rPr>
        <w:t xml:space="preserve">O fornecimento pela empresa contratada de materiais ordinariamente utilizados na confecção de obras, como ‘Tubo de PVC rígido para esgoto predial de 100 mm’, não demanda a realização de procedimento licitatório autônomo para aquisição desse material, nem a incidência sobre </w:t>
      </w:r>
      <w:r w:rsidR="00140DA3" w:rsidRPr="007737F0">
        <w:rPr>
          <w:iCs/>
          <w:sz w:val="22"/>
          <w:lang w:eastAsia="pt-BR"/>
        </w:rPr>
        <w:t xml:space="preserve">seu respectivo </w:t>
      </w:r>
      <w:r w:rsidR="00C92781" w:rsidRPr="007737F0">
        <w:rPr>
          <w:iCs/>
          <w:sz w:val="22"/>
          <w:lang w:eastAsia="pt-BR"/>
        </w:rPr>
        <w:t>v</w:t>
      </w:r>
      <w:r w:rsidR="0086240F" w:rsidRPr="007737F0">
        <w:rPr>
          <w:iCs/>
          <w:sz w:val="22"/>
          <w:lang w:eastAsia="pt-BR"/>
        </w:rPr>
        <w:t xml:space="preserve">alor de </w:t>
      </w:r>
      <w:r w:rsidR="00140DA3" w:rsidRPr="007737F0">
        <w:rPr>
          <w:iCs/>
          <w:sz w:val="22"/>
          <w:lang w:eastAsia="pt-BR"/>
        </w:rPr>
        <w:t xml:space="preserve">percentual de </w:t>
      </w:r>
      <w:r w:rsidR="0086240F" w:rsidRPr="007737F0">
        <w:rPr>
          <w:iCs/>
          <w:sz w:val="22"/>
          <w:lang w:eastAsia="pt-BR"/>
        </w:rPr>
        <w:t xml:space="preserve">BDI inferior ao do contrato da obra. </w:t>
      </w:r>
    </w:p>
    <w:p w:rsidR="00736308" w:rsidRPr="007737F0" w:rsidRDefault="00D546A8" w:rsidP="002D0C07">
      <w:pPr>
        <w:pStyle w:val="Default"/>
        <w:tabs>
          <w:tab w:val="left" w:pos="567"/>
        </w:tabs>
        <w:spacing w:before="60"/>
        <w:jc w:val="both"/>
        <w:rPr>
          <w:iCs/>
          <w:sz w:val="22"/>
          <w:szCs w:val="22"/>
        </w:rPr>
      </w:pPr>
      <w:r w:rsidRPr="007737F0">
        <w:rPr>
          <w:sz w:val="22"/>
          <w:szCs w:val="22"/>
        </w:rPr>
        <w:t xml:space="preserve">A permuta de terreno pertencente à entidade da Administração Pública por unidades </w:t>
      </w:r>
      <w:r w:rsidR="00C92781" w:rsidRPr="007737F0">
        <w:rPr>
          <w:sz w:val="22"/>
          <w:szCs w:val="22"/>
        </w:rPr>
        <w:t>i</w:t>
      </w:r>
      <w:r w:rsidRPr="007737F0">
        <w:rPr>
          <w:sz w:val="22"/>
          <w:szCs w:val="22"/>
        </w:rPr>
        <w:t xml:space="preserve">mobiliárias a serem nele construídas futuramente não se insere na hipótese de dispensa de licitação </w:t>
      </w:r>
      <w:r w:rsidR="008D73C0" w:rsidRPr="007737F0">
        <w:rPr>
          <w:sz w:val="22"/>
          <w:szCs w:val="22"/>
        </w:rPr>
        <w:t xml:space="preserve">prevista </w:t>
      </w:r>
      <w:r w:rsidRPr="007737F0">
        <w:rPr>
          <w:sz w:val="22"/>
          <w:szCs w:val="22"/>
        </w:rPr>
        <w:t xml:space="preserve">na alínea </w:t>
      </w:r>
      <w:r w:rsidRPr="007737F0">
        <w:rPr>
          <w:b/>
          <w:bCs/>
          <w:i/>
          <w:sz w:val="22"/>
          <w:szCs w:val="22"/>
        </w:rPr>
        <w:t>c</w:t>
      </w:r>
      <w:r w:rsidRPr="007737F0">
        <w:rPr>
          <w:b/>
          <w:bCs/>
          <w:sz w:val="22"/>
          <w:szCs w:val="22"/>
        </w:rPr>
        <w:t xml:space="preserve"> </w:t>
      </w:r>
      <w:r w:rsidRPr="007737F0">
        <w:rPr>
          <w:sz w:val="22"/>
          <w:szCs w:val="22"/>
        </w:rPr>
        <w:t>do inciso I do art. 17 da Lei n. 8.666/1993, devendo ser</w:t>
      </w:r>
      <w:r w:rsidR="00AA7C51" w:rsidRPr="007737F0">
        <w:rPr>
          <w:sz w:val="22"/>
          <w:szCs w:val="22"/>
        </w:rPr>
        <w:t>, portanto,</w:t>
      </w:r>
      <w:r w:rsidRPr="007737F0">
        <w:rPr>
          <w:sz w:val="22"/>
          <w:szCs w:val="22"/>
        </w:rPr>
        <w:t xml:space="preserve"> precedida de procedimento licitatório na modalidade concorrência</w:t>
      </w:r>
      <w:r w:rsidR="00C92781" w:rsidRPr="007737F0">
        <w:rPr>
          <w:sz w:val="22"/>
          <w:szCs w:val="22"/>
        </w:rPr>
        <w:t>.</w:t>
      </w:r>
    </w:p>
    <w:p w:rsidR="0077228C" w:rsidRPr="00B51CB6" w:rsidRDefault="00E74C7D" w:rsidP="008B4C83">
      <w:pPr>
        <w:pStyle w:val="TCU-RelVoto-demais"/>
        <w:tabs>
          <w:tab w:val="left" w:pos="567"/>
        </w:tabs>
        <w:spacing w:after="60"/>
        <w:rPr>
          <w:color w:val="FF0000"/>
          <w:sz w:val="22"/>
        </w:rPr>
      </w:pPr>
      <w:r w:rsidRPr="00521CD5">
        <w:rPr>
          <w:iCs/>
          <w:sz w:val="22"/>
          <w:lang w:eastAsia="pt-BR"/>
        </w:rPr>
        <w:tab/>
      </w:r>
      <w:r w:rsidR="00777A3C" w:rsidRPr="0086240F">
        <w:rPr>
          <w:sz w:val="22"/>
        </w:rPr>
        <w:tab/>
      </w:r>
    </w:p>
    <w:p w:rsidR="003C6DEB" w:rsidRPr="000807D4" w:rsidRDefault="003C6DEB" w:rsidP="008B4C83">
      <w:pPr>
        <w:pBdr>
          <w:top w:val="threeDEmboss" w:sz="24" w:space="0" w:color="auto"/>
        </w:pBdr>
        <w:tabs>
          <w:tab w:val="left" w:pos="284"/>
          <w:tab w:val="left" w:pos="2590"/>
        </w:tabs>
        <w:spacing w:after="0"/>
        <w:ind w:left="0"/>
        <w:jc w:val="center"/>
        <w:rPr>
          <w:rFonts w:ascii="Cambria" w:hAnsi="Cambria"/>
          <w:b/>
          <w:bCs/>
          <w:smallCaps/>
          <w:sz w:val="22"/>
          <w:szCs w:val="22"/>
        </w:rPr>
      </w:pPr>
      <w:r w:rsidRPr="000807D4">
        <w:rPr>
          <w:rFonts w:ascii="Cambria" w:hAnsi="Cambria"/>
          <w:b/>
          <w:bCs/>
          <w:smallCaps/>
          <w:sz w:val="22"/>
          <w:szCs w:val="22"/>
        </w:rPr>
        <w:t>PLENÁRIO</w:t>
      </w:r>
    </w:p>
    <w:p w:rsidR="0032662E" w:rsidRPr="007D3500" w:rsidRDefault="0032662E" w:rsidP="008B4C83">
      <w:pPr>
        <w:pStyle w:val="tita"/>
        <w:tabs>
          <w:tab w:val="left" w:pos="2590"/>
        </w:tabs>
        <w:spacing w:before="0" w:after="0" w:line="240" w:lineRule="auto"/>
        <w:jc w:val="both"/>
        <w:rPr>
          <w:i w:val="0"/>
          <w:iCs w:val="0"/>
          <w:sz w:val="22"/>
          <w:szCs w:val="22"/>
        </w:rPr>
      </w:pPr>
    </w:p>
    <w:p w:rsidR="00314844" w:rsidRPr="001B4703" w:rsidRDefault="00314844" w:rsidP="008B4C83">
      <w:pPr>
        <w:pStyle w:val="TCU-RelVoto-demais"/>
        <w:spacing w:after="0"/>
        <w:rPr>
          <w:b/>
          <w:sz w:val="22"/>
        </w:rPr>
      </w:pPr>
      <w:r w:rsidRPr="001B4703">
        <w:rPr>
          <w:b/>
          <w:sz w:val="22"/>
        </w:rPr>
        <w:t>Para efeito de observância dos limites de alterações contratuais previstos no art. 65 da Lei nº 8.666/93, o conjunto de reduções e o conjunto de acréscimos devem ser sempre calculados sobre o valor original do contrato, aplicando-se a cada um desses conjuntos, individualmente e sem nenhum tipo de compensação entre eles, os limites de alteração estabelecidos no dispositivo legal</w:t>
      </w:r>
    </w:p>
    <w:p w:rsidR="003F47A4" w:rsidRPr="001B4703" w:rsidRDefault="00A00DA2" w:rsidP="008B4C83">
      <w:pPr>
        <w:pStyle w:val="Default"/>
        <w:jc w:val="both"/>
        <w:rPr>
          <w:b/>
          <w:i/>
          <w:color w:val="auto"/>
          <w:sz w:val="22"/>
          <w:szCs w:val="22"/>
        </w:rPr>
      </w:pPr>
      <w:r w:rsidRPr="001B4703">
        <w:rPr>
          <w:sz w:val="22"/>
          <w:szCs w:val="22"/>
        </w:rPr>
        <w:t>O Departamento Nacional de Infraestrutura de Transportes</w:t>
      </w:r>
      <w:r w:rsidR="00AA7C51" w:rsidRPr="001B4703">
        <w:rPr>
          <w:sz w:val="22"/>
          <w:szCs w:val="22"/>
        </w:rPr>
        <w:t xml:space="preserve"> - DNIT</w:t>
      </w:r>
      <w:r w:rsidR="00C478BD" w:rsidRPr="001B4703">
        <w:rPr>
          <w:sz w:val="22"/>
          <w:szCs w:val="22"/>
        </w:rPr>
        <w:t xml:space="preserve">, por meio de pedido de reexame interposto </w:t>
      </w:r>
      <w:r w:rsidRPr="001B4703">
        <w:rPr>
          <w:sz w:val="22"/>
          <w:szCs w:val="22"/>
        </w:rPr>
        <w:t>n</w:t>
      </w:r>
      <w:r w:rsidR="003F2073" w:rsidRPr="001B4703">
        <w:rPr>
          <w:sz w:val="22"/>
          <w:szCs w:val="22"/>
        </w:rPr>
        <w:t>os autos de processo de monitoramento</w:t>
      </w:r>
      <w:r w:rsidRPr="001B4703">
        <w:rPr>
          <w:sz w:val="22"/>
          <w:szCs w:val="22"/>
        </w:rPr>
        <w:t>,</w:t>
      </w:r>
      <w:r w:rsidR="000D3B07" w:rsidRPr="001B4703">
        <w:rPr>
          <w:sz w:val="22"/>
          <w:szCs w:val="22"/>
        </w:rPr>
        <w:t xml:space="preserve"> </w:t>
      </w:r>
      <w:r w:rsidRPr="001B4703">
        <w:rPr>
          <w:sz w:val="22"/>
          <w:szCs w:val="22"/>
        </w:rPr>
        <w:t>pediu a reforma d</w:t>
      </w:r>
      <w:r w:rsidR="00C478BD" w:rsidRPr="001B4703">
        <w:rPr>
          <w:sz w:val="22"/>
          <w:szCs w:val="22"/>
        </w:rPr>
        <w:t>e determinação</w:t>
      </w:r>
      <w:r w:rsidR="001A2451" w:rsidRPr="001B4703">
        <w:rPr>
          <w:sz w:val="22"/>
          <w:szCs w:val="22"/>
        </w:rPr>
        <w:t xml:space="preserve"> </w:t>
      </w:r>
      <w:r w:rsidRPr="001B4703">
        <w:rPr>
          <w:sz w:val="22"/>
          <w:szCs w:val="22"/>
        </w:rPr>
        <w:t>contid</w:t>
      </w:r>
      <w:r w:rsidR="00C478BD" w:rsidRPr="001B4703">
        <w:rPr>
          <w:sz w:val="22"/>
          <w:szCs w:val="22"/>
        </w:rPr>
        <w:t xml:space="preserve">a </w:t>
      </w:r>
      <w:r w:rsidRPr="001B4703">
        <w:rPr>
          <w:sz w:val="22"/>
          <w:szCs w:val="22"/>
        </w:rPr>
        <w:t>no subitem 9.2 do Acórdão nº 749/2010, parcialmente alterado pelo Acórdão nº 591/2011-TCU –</w:t>
      </w:r>
      <w:r w:rsidR="00521CD5" w:rsidRPr="001B4703">
        <w:rPr>
          <w:sz w:val="22"/>
          <w:szCs w:val="22"/>
        </w:rPr>
        <w:t xml:space="preserve"> </w:t>
      </w:r>
      <w:r w:rsidRPr="001B4703">
        <w:rPr>
          <w:sz w:val="22"/>
          <w:szCs w:val="22"/>
        </w:rPr>
        <w:t>Plenário</w:t>
      </w:r>
      <w:r w:rsidR="00C478BD" w:rsidRPr="001B4703">
        <w:rPr>
          <w:sz w:val="22"/>
          <w:szCs w:val="22"/>
        </w:rPr>
        <w:t xml:space="preserve">. Tal deliberação impôs ao DNIT </w:t>
      </w:r>
      <w:r w:rsidR="00713A76" w:rsidRPr="001B4703">
        <w:rPr>
          <w:sz w:val="22"/>
          <w:szCs w:val="22"/>
        </w:rPr>
        <w:t>que: “ ...</w:t>
      </w:r>
      <w:r w:rsidR="00713A76" w:rsidRPr="001B4703">
        <w:rPr>
          <w:i/>
          <w:iCs/>
          <w:sz w:val="22"/>
          <w:szCs w:val="22"/>
        </w:rPr>
        <w:t xml:space="preserve"> para efeito de observância dos limites de alterações contratuais previstos no art. 65 da Lei nº 8.666/1993, passe a considerar as reduções ou supressões de quantitativos de forma isolada, ou seja, o conjunto de reduções e o conjunto de acréscimos devem ser sempre calculados sobre o valor original do contrato, aplicando-se a cada um desses conjuntos, individualmente e sem nenhum tipo de compensação entre eles, os limites de alteração estabelecidos no dispositivo legal"</w:t>
      </w:r>
      <w:r w:rsidR="00713A76" w:rsidRPr="001B4703">
        <w:rPr>
          <w:sz w:val="22"/>
          <w:szCs w:val="22"/>
        </w:rPr>
        <w:t>.</w:t>
      </w:r>
      <w:r w:rsidR="009973FC" w:rsidRPr="001B4703">
        <w:rPr>
          <w:sz w:val="22"/>
          <w:szCs w:val="22"/>
        </w:rPr>
        <w:t xml:space="preserve"> Além de </w:t>
      </w:r>
      <w:r w:rsidRPr="001B4703">
        <w:rPr>
          <w:sz w:val="22"/>
          <w:szCs w:val="22"/>
        </w:rPr>
        <w:t xml:space="preserve">contestar </w:t>
      </w:r>
      <w:r w:rsidR="009973FC" w:rsidRPr="001B4703">
        <w:rPr>
          <w:sz w:val="22"/>
          <w:szCs w:val="22"/>
        </w:rPr>
        <w:t xml:space="preserve">a interpretação conferida pelo Tribunal ao citado comando normativo, ponderou que a implementação da referida deliberação </w:t>
      </w:r>
      <w:r w:rsidRPr="001B4703">
        <w:rPr>
          <w:sz w:val="22"/>
          <w:szCs w:val="22"/>
        </w:rPr>
        <w:t xml:space="preserve">levaria </w:t>
      </w:r>
      <w:r w:rsidR="009973FC" w:rsidRPr="001B4703">
        <w:rPr>
          <w:sz w:val="22"/>
          <w:szCs w:val="22"/>
        </w:rPr>
        <w:t xml:space="preserve">a rescisões prematuras </w:t>
      </w:r>
      <w:r w:rsidR="00194A2B" w:rsidRPr="001B4703">
        <w:rPr>
          <w:sz w:val="22"/>
          <w:szCs w:val="22"/>
        </w:rPr>
        <w:t xml:space="preserve">e indesejáveis </w:t>
      </w:r>
      <w:r w:rsidR="009973FC" w:rsidRPr="001B4703">
        <w:rPr>
          <w:sz w:val="22"/>
          <w:szCs w:val="22"/>
        </w:rPr>
        <w:t xml:space="preserve">de </w:t>
      </w:r>
      <w:r w:rsidR="00194A2B" w:rsidRPr="001B4703">
        <w:rPr>
          <w:sz w:val="22"/>
          <w:szCs w:val="22"/>
        </w:rPr>
        <w:t xml:space="preserve">vários </w:t>
      </w:r>
      <w:r w:rsidR="009973FC" w:rsidRPr="001B4703">
        <w:rPr>
          <w:sz w:val="22"/>
          <w:szCs w:val="22"/>
        </w:rPr>
        <w:t>contratos administrativos que estão em execução. O Relator d</w:t>
      </w:r>
      <w:r w:rsidR="004A6F5C" w:rsidRPr="001B4703">
        <w:rPr>
          <w:sz w:val="22"/>
          <w:szCs w:val="22"/>
        </w:rPr>
        <w:t>o</w:t>
      </w:r>
      <w:r w:rsidR="009973FC" w:rsidRPr="001B4703">
        <w:rPr>
          <w:sz w:val="22"/>
          <w:szCs w:val="22"/>
        </w:rPr>
        <w:t xml:space="preserve"> </w:t>
      </w:r>
      <w:r w:rsidR="004A6F5C" w:rsidRPr="001B4703">
        <w:rPr>
          <w:sz w:val="22"/>
          <w:szCs w:val="22"/>
        </w:rPr>
        <w:t>r</w:t>
      </w:r>
      <w:r w:rsidR="009973FC" w:rsidRPr="001B4703">
        <w:rPr>
          <w:sz w:val="22"/>
          <w:szCs w:val="22"/>
        </w:rPr>
        <w:t xml:space="preserve">ecurso, Min. Walton Alencar Rodrigues, </w:t>
      </w:r>
      <w:r w:rsidR="00CE1F45" w:rsidRPr="001B4703">
        <w:rPr>
          <w:sz w:val="22"/>
          <w:szCs w:val="22"/>
        </w:rPr>
        <w:t>em seu Voto</w:t>
      </w:r>
      <w:r w:rsidR="004A6F5C" w:rsidRPr="001B4703">
        <w:rPr>
          <w:sz w:val="22"/>
          <w:szCs w:val="22"/>
        </w:rPr>
        <w:t>, consignou</w:t>
      </w:r>
      <w:r w:rsidR="00CE1F45" w:rsidRPr="001B4703">
        <w:rPr>
          <w:sz w:val="22"/>
          <w:szCs w:val="22"/>
        </w:rPr>
        <w:t xml:space="preserve"> que “</w:t>
      </w:r>
      <w:r w:rsidR="00CE1F45" w:rsidRPr="001B4703">
        <w:rPr>
          <w:i/>
          <w:sz w:val="22"/>
          <w:szCs w:val="22"/>
        </w:rPr>
        <w:t>não assiste razão ao apelante quando defende que os acréscimos e supressões devam ser considerados de forma conjunta e consolidada, a extrair-lhes apenas o resultado financeiro final de aditivos para observar se houve, efetivamente, a extrapolação dos limites de alteração fixados no art. 65, § 1º, da Lei nº 8.666/1993</w:t>
      </w:r>
      <w:r w:rsidRPr="001B4703">
        <w:rPr>
          <w:sz w:val="22"/>
          <w:szCs w:val="22"/>
        </w:rPr>
        <w:t xml:space="preserve">”. Argumentou que tal interpretação seria </w:t>
      </w:r>
      <w:r w:rsidR="00CE1F45" w:rsidRPr="001B4703">
        <w:rPr>
          <w:sz w:val="22"/>
          <w:szCs w:val="22"/>
        </w:rPr>
        <w:t xml:space="preserve">contrária à finalidade da </w:t>
      </w:r>
      <w:r w:rsidR="00194A2B" w:rsidRPr="001B4703">
        <w:rPr>
          <w:sz w:val="22"/>
          <w:szCs w:val="22"/>
        </w:rPr>
        <w:t>norma,</w:t>
      </w:r>
      <w:r w:rsidR="00194A2B" w:rsidRPr="001B4703">
        <w:rPr>
          <w:i/>
          <w:sz w:val="22"/>
          <w:szCs w:val="22"/>
        </w:rPr>
        <w:t xml:space="preserve"> </w:t>
      </w:r>
      <w:r w:rsidR="00194A2B" w:rsidRPr="001B4703">
        <w:rPr>
          <w:sz w:val="22"/>
          <w:szCs w:val="22"/>
        </w:rPr>
        <w:t>“</w:t>
      </w:r>
      <w:r w:rsidR="00CE1F45" w:rsidRPr="001B4703">
        <w:rPr>
          <w:i/>
          <w:sz w:val="22"/>
          <w:szCs w:val="22"/>
        </w:rPr>
        <w:t>porquanto significaria coonestar com aparência de legalidade verdadeiras alterações de objeto do contrato, pois a nova conformação do ajuste não fora submetida ao crivo do certame licitatório, frustrando, assim, a oportunidade de potenciais interessados ofertarem propostas de prestação de serviço almejado, com que a Administração Pública, certamente, lograria obter condições mais vantajosas</w:t>
      </w:r>
      <w:r w:rsidR="00CE1F45" w:rsidRPr="001B4703">
        <w:rPr>
          <w:sz w:val="22"/>
          <w:szCs w:val="22"/>
        </w:rPr>
        <w:t xml:space="preserve">”. Ressaltou, </w:t>
      </w:r>
      <w:r w:rsidR="000150DC" w:rsidRPr="001B4703">
        <w:rPr>
          <w:sz w:val="22"/>
          <w:szCs w:val="22"/>
        </w:rPr>
        <w:t>ainda</w:t>
      </w:r>
      <w:r w:rsidR="00CE1F45" w:rsidRPr="001B4703">
        <w:rPr>
          <w:sz w:val="22"/>
          <w:szCs w:val="22"/>
        </w:rPr>
        <w:t xml:space="preserve">, </w:t>
      </w:r>
      <w:r w:rsidR="000150DC" w:rsidRPr="001B4703">
        <w:rPr>
          <w:sz w:val="22"/>
          <w:szCs w:val="22"/>
        </w:rPr>
        <w:t>que “</w:t>
      </w:r>
      <w:r w:rsidR="000150DC" w:rsidRPr="001B4703">
        <w:rPr>
          <w:i/>
          <w:sz w:val="22"/>
          <w:szCs w:val="22"/>
        </w:rPr>
        <w:t>não satisfeitas cumulativamente as condições estabelecidas pela Decisão nº 215/1999-Plenário para justificar as alterações excepcionais que extrapolem os limites legais, há de ser observada a regra estabelecida no art. 65, § 1º, do Diploma Legal de Licitações e Contratos, na exata</w:t>
      </w:r>
      <w:r w:rsidR="004A6F5C" w:rsidRPr="001B4703">
        <w:rPr>
          <w:i/>
          <w:sz w:val="22"/>
          <w:szCs w:val="22"/>
        </w:rPr>
        <w:t xml:space="preserve"> </w:t>
      </w:r>
      <w:r w:rsidR="000150DC" w:rsidRPr="001B4703">
        <w:rPr>
          <w:i/>
          <w:sz w:val="22"/>
          <w:szCs w:val="22"/>
        </w:rPr>
        <w:t>dicção da deliberação vergastada</w:t>
      </w:r>
      <w:r w:rsidR="000150DC" w:rsidRPr="001B4703">
        <w:rPr>
          <w:sz w:val="22"/>
          <w:szCs w:val="22"/>
        </w:rPr>
        <w:t xml:space="preserve">”. Anotou também que esse tem sido </w:t>
      </w:r>
      <w:r w:rsidR="004A6F5C" w:rsidRPr="001B4703">
        <w:rPr>
          <w:sz w:val="22"/>
          <w:szCs w:val="22"/>
        </w:rPr>
        <w:t xml:space="preserve">o entendimento </w:t>
      </w:r>
      <w:r w:rsidR="000150DC" w:rsidRPr="001B4703">
        <w:rPr>
          <w:sz w:val="22"/>
          <w:szCs w:val="22"/>
        </w:rPr>
        <w:t>“</w:t>
      </w:r>
      <w:r w:rsidR="000150DC" w:rsidRPr="001B4703">
        <w:rPr>
          <w:i/>
          <w:sz w:val="22"/>
          <w:szCs w:val="22"/>
        </w:rPr>
        <w:t>majoritário do Tribunal, já consubstanciado no Acórdão 1.733/2009 – TCU – Plenário</w:t>
      </w:r>
      <w:r w:rsidR="000150DC" w:rsidRPr="001B4703">
        <w:rPr>
          <w:sz w:val="22"/>
          <w:szCs w:val="22"/>
        </w:rPr>
        <w:t xml:space="preserve">”. A despeito disso, </w:t>
      </w:r>
      <w:r w:rsidR="005F6C5B" w:rsidRPr="001B4703">
        <w:rPr>
          <w:sz w:val="22"/>
          <w:szCs w:val="22"/>
        </w:rPr>
        <w:t>levou em conta o fato de que a implementação da deliberação recorrida implicaria, possivelmente, “</w:t>
      </w:r>
      <w:r w:rsidR="005F6C5B" w:rsidRPr="001B4703">
        <w:rPr>
          <w:i/>
          <w:sz w:val="22"/>
          <w:szCs w:val="22"/>
        </w:rPr>
        <w:t>a imediata paralisação de cerca de 100 obras rodoviárias, haja vista a necessidade de rescindir as avenças administrativos, readequar todos os respectivos projetos básicos e promover novos procedimentos licitatórios</w:t>
      </w:r>
      <w:r w:rsidR="005F6C5B" w:rsidRPr="001B4703">
        <w:rPr>
          <w:sz w:val="22"/>
          <w:szCs w:val="22"/>
        </w:rPr>
        <w:t xml:space="preserve">...”. Em face desse panorama fático e normativo, o Tribunal, ao </w:t>
      </w:r>
      <w:r w:rsidR="00140DA3" w:rsidRPr="001B4703">
        <w:rPr>
          <w:sz w:val="22"/>
          <w:szCs w:val="22"/>
        </w:rPr>
        <w:t>encampar proposta do</w:t>
      </w:r>
      <w:r w:rsidR="005F6C5B" w:rsidRPr="001B4703">
        <w:rPr>
          <w:sz w:val="22"/>
          <w:szCs w:val="22"/>
        </w:rPr>
        <w:t xml:space="preserve"> </w:t>
      </w:r>
      <w:r w:rsidR="00140DA3" w:rsidRPr="001B4703">
        <w:rPr>
          <w:sz w:val="22"/>
          <w:szCs w:val="22"/>
        </w:rPr>
        <w:t>r</w:t>
      </w:r>
      <w:r w:rsidR="005F6C5B" w:rsidRPr="001B4703">
        <w:rPr>
          <w:sz w:val="22"/>
          <w:szCs w:val="22"/>
        </w:rPr>
        <w:t xml:space="preserve">elator, decidiu conceder provimento parcial ao pedido de reexame do DNIT a fim de conferir ao subitem 9.2 do Acórdão nº 749/2010, alterado pelo Acórdão 591/2011 - Plenário, a seguinte redação: </w:t>
      </w:r>
      <w:r w:rsidR="005F6C5B" w:rsidRPr="001B4703">
        <w:rPr>
          <w:i/>
          <w:iCs/>
          <w:sz w:val="22"/>
          <w:szCs w:val="22"/>
        </w:rPr>
        <w:t xml:space="preserve">"determinar ao Departamento Nacional de Infraestrutura de Transportes que, </w:t>
      </w:r>
      <w:r w:rsidR="005F6C5B" w:rsidRPr="001B4703">
        <w:rPr>
          <w:b/>
          <w:i/>
          <w:iCs/>
          <w:sz w:val="22"/>
          <w:szCs w:val="22"/>
        </w:rPr>
        <w:t>nas futuras contratações celebradas a partir da data de publicação deste Acórdão no Diário Oficial da União</w:t>
      </w:r>
      <w:r w:rsidR="005F6C5B" w:rsidRPr="001B4703">
        <w:rPr>
          <w:i/>
          <w:iCs/>
          <w:sz w:val="22"/>
          <w:szCs w:val="22"/>
        </w:rPr>
        <w:t>, passe a considerar, para efeito de observância dos limites de alterações contratuais previstos no art. 65 da Lei nº 8.666/1993, as reduções ou supressões de quantitativos de forma isolada, ou seja, o conjunto de reduções e o conjunto de acréscimos devem ser sempre calculados sobre o valor original do contrato, aplicando-se a cada um desses conjuntos, individualmente e sem nenhum tipo de compensação entre eles, os limites de alteração estabelecidos no dispositivo legal</w:t>
      </w:r>
      <w:r w:rsidR="005F6C5B" w:rsidRPr="001B4703">
        <w:rPr>
          <w:iCs/>
          <w:sz w:val="22"/>
          <w:szCs w:val="22"/>
        </w:rPr>
        <w:t>;”</w:t>
      </w:r>
      <w:r w:rsidR="00194A2B" w:rsidRPr="001B4703">
        <w:rPr>
          <w:iCs/>
          <w:sz w:val="22"/>
          <w:szCs w:val="22"/>
        </w:rPr>
        <w:t xml:space="preserve"> – grifou-se</w:t>
      </w:r>
      <w:r w:rsidR="003D7F18" w:rsidRPr="001B4703">
        <w:rPr>
          <w:iCs/>
          <w:sz w:val="22"/>
          <w:szCs w:val="22"/>
        </w:rPr>
        <w:t>. Ao mesmo tempo</w:t>
      </w:r>
      <w:r w:rsidR="000D3B07" w:rsidRPr="001B4703">
        <w:rPr>
          <w:iCs/>
          <w:sz w:val="22"/>
          <w:szCs w:val="22"/>
        </w:rPr>
        <w:t>,</w:t>
      </w:r>
      <w:r w:rsidR="003D7F18" w:rsidRPr="001B4703">
        <w:rPr>
          <w:iCs/>
          <w:sz w:val="22"/>
          <w:szCs w:val="22"/>
        </w:rPr>
        <w:t xml:space="preserve"> porém, </w:t>
      </w:r>
      <w:r w:rsidR="00140DA3" w:rsidRPr="001B4703">
        <w:rPr>
          <w:iCs/>
          <w:sz w:val="22"/>
          <w:szCs w:val="22"/>
        </w:rPr>
        <w:t xml:space="preserve">impôs </w:t>
      </w:r>
      <w:r w:rsidR="00A57213" w:rsidRPr="001B4703">
        <w:rPr>
          <w:iCs/>
          <w:sz w:val="22"/>
          <w:szCs w:val="22"/>
        </w:rPr>
        <w:t xml:space="preserve">ao </w:t>
      </w:r>
      <w:r w:rsidR="00A57213" w:rsidRPr="001B4703">
        <w:rPr>
          <w:sz w:val="22"/>
          <w:szCs w:val="22"/>
        </w:rPr>
        <w:t>DNIT</w:t>
      </w:r>
      <w:r w:rsidR="003D7F18" w:rsidRPr="001B4703">
        <w:rPr>
          <w:sz w:val="22"/>
          <w:szCs w:val="22"/>
        </w:rPr>
        <w:t xml:space="preserve"> que, </w:t>
      </w:r>
      <w:r w:rsidR="00A57213" w:rsidRPr="001B4703">
        <w:rPr>
          <w:sz w:val="22"/>
          <w:szCs w:val="22"/>
        </w:rPr>
        <w:t xml:space="preserve">“... </w:t>
      </w:r>
      <w:r w:rsidR="003D7F18" w:rsidRPr="001B4703">
        <w:rPr>
          <w:i/>
          <w:sz w:val="22"/>
          <w:szCs w:val="22"/>
        </w:rPr>
        <w:t>em cada caso</w:t>
      </w:r>
      <w:r w:rsidR="00A57213" w:rsidRPr="001B4703">
        <w:rPr>
          <w:i/>
          <w:sz w:val="22"/>
          <w:szCs w:val="22"/>
        </w:rPr>
        <w:t xml:space="preserve"> </w:t>
      </w:r>
      <w:r w:rsidR="003D7F18" w:rsidRPr="001B4703">
        <w:rPr>
          <w:i/>
          <w:sz w:val="22"/>
          <w:szCs w:val="22"/>
        </w:rPr>
        <w:t xml:space="preserve">abrangido por essa solução temporária e intertemporal </w:t>
      </w:r>
      <w:r w:rsidR="00194A2B" w:rsidRPr="001B4703">
        <w:rPr>
          <w:i/>
          <w:sz w:val="22"/>
          <w:szCs w:val="22"/>
        </w:rPr>
        <w:t>(...)</w:t>
      </w:r>
      <w:r w:rsidR="003D7F18" w:rsidRPr="001B4703">
        <w:rPr>
          <w:i/>
          <w:sz w:val="22"/>
          <w:szCs w:val="22"/>
        </w:rPr>
        <w:t>, os</w:t>
      </w:r>
      <w:r w:rsidR="00A57213" w:rsidRPr="001B4703">
        <w:rPr>
          <w:i/>
          <w:sz w:val="22"/>
          <w:szCs w:val="22"/>
        </w:rPr>
        <w:t xml:space="preserve"> </w:t>
      </w:r>
      <w:r w:rsidR="003D7F18" w:rsidRPr="001B4703">
        <w:rPr>
          <w:i/>
          <w:sz w:val="22"/>
          <w:szCs w:val="22"/>
        </w:rPr>
        <w:t>aditivos que vierem a ser celebrados deverão ser justificados quanto à sua pertinência e conformidade</w:t>
      </w:r>
      <w:r w:rsidR="00A57213" w:rsidRPr="001B4703">
        <w:rPr>
          <w:i/>
          <w:sz w:val="22"/>
          <w:szCs w:val="22"/>
        </w:rPr>
        <w:t xml:space="preserve"> </w:t>
      </w:r>
      <w:r w:rsidR="003D7F18" w:rsidRPr="001B4703">
        <w:rPr>
          <w:i/>
          <w:sz w:val="22"/>
          <w:szCs w:val="22"/>
        </w:rPr>
        <w:t>às características e diretrizes fundamentais estabelecidas no projeto básico, devendo ser devidamente</w:t>
      </w:r>
      <w:r w:rsidR="00A57213" w:rsidRPr="001B4703">
        <w:rPr>
          <w:i/>
          <w:sz w:val="22"/>
          <w:szCs w:val="22"/>
        </w:rPr>
        <w:t xml:space="preserve"> </w:t>
      </w:r>
      <w:r w:rsidR="003D7F18" w:rsidRPr="001B4703">
        <w:rPr>
          <w:i/>
          <w:sz w:val="22"/>
          <w:szCs w:val="22"/>
        </w:rPr>
        <w:t>registrados nos respectivos processos administrativos, estando, assim, disponíveis à fiscalização dos</w:t>
      </w:r>
      <w:r w:rsidR="00A57213" w:rsidRPr="001B4703">
        <w:rPr>
          <w:i/>
          <w:sz w:val="22"/>
          <w:szCs w:val="22"/>
        </w:rPr>
        <w:t xml:space="preserve"> </w:t>
      </w:r>
      <w:r w:rsidR="003D7F18" w:rsidRPr="001B4703">
        <w:rPr>
          <w:i/>
          <w:sz w:val="22"/>
          <w:szCs w:val="22"/>
        </w:rPr>
        <w:t>órgãos de controle;</w:t>
      </w:r>
      <w:r w:rsidR="00A57213" w:rsidRPr="001B4703">
        <w:rPr>
          <w:sz w:val="22"/>
          <w:szCs w:val="22"/>
        </w:rPr>
        <w:t>”</w:t>
      </w:r>
      <w:r w:rsidR="00521CD5" w:rsidRPr="001B4703">
        <w:rPr>
          <w:sz w:val="22"/>
          <w:szCs w:val="22"/>
        </w:rPr>
        <w:t>.</w:t>
      </w:r>
      <w:r w:rsidR="00A57213" w:rsidRPr="001B4703">
        <w:rPr>
          <w:sz w:val="22"/>
          <w:szCs w:val="22"/>
        </w:rPr>
        <w:t xml:space="preserve"> </w:t>
      </w:r>
      <w:r w:rsidR="003F47A4" w:rsidRPr="001B4703">
        <w:rPr>
          <w:b/>
          <w:i/>
          <w:color w:val="auto"/>
          <w:sz w:val="22"/>
          <w:szCs w:val="22"/>
        </w:rPr>
        <w:t>Acórdão n.º 2819/2011-Plenário, TC-022.689/2011, rel. Min. Walton Alencar Rodrigues, 25.10.2011.</w:t>
      </w:r>
    </w:p>
    <w:p w:rsidR="003F47A4" w:rsidRPr="001B4703" w:rsidRDefault="003F47A4" w:rsidP="008B4C83">
      <w:pPr>
        <w:pStyle w:val="tita"/>
        <w:tabs>
          <w:tab w:val="left" w:pos="2590"/>
        </w:tabs>
        <w:spacing w:before="0" w:after="0" w:line="240" w:lineRule="auto"/>
        <w:jc w:val="both"/>
        <w:rPr>
          <w:i w:val="0"/>
          <w:iCs w:val="0"/>
          <w:color w:val="FF0000"/>
          <w:sz w:val="22"/>
          <w:szCs w:val="22"/>
        </w:rPr>
      </w:pPr>
    </w:p>
    <w:p w:rsidR="0048657B" w:rsidRPr="001B4703" w:rsidRDefault="001B4703" w:rsidP="008B4C83">
      <w:pPr>
        <w:autoSpaceDE w:val="0"/>
        <w:autoSpaceDN w:val="0"/>
        <w:adjustRightInd w:val="0"/>
        <w:spacing w:after="0"/>
        <w:ind w:left="0"/>
        <w:rPr>
          <w:b/>
          <w:iCs/>
          <w:sz w:val="22"/>
          <w:szCs w:val="22"/>
          <w:lang w:eastAsia="pt-BR"/>
        </w:rPr>
      </w:pPr>
      <w:r w:rsidRPr="001B4703">
        <w:rPr>
          <w:b/>
          <w:sz w:val="22"/>
          <w:szCs w:val="22"/>
        </w:rPr>
        <w:t xml:space="preserve">Contratação de obra pública: 1 - </w:t>
      </w:r>
      <w:r w:rsidR="00140DA3" w:rsidRPr="001B4703">
        <w:rPr>
          <w:b/>
          <w:sz w:val="22"/>
          <w:szCs w:val="22"/>
        </w:rPr>
        <w:t>O</w:t>
      </w:r>
      <w:r w:rsidR="00140DA3" w:rsidRPr="001B4703">
        <w:rPr>
          <w:b/>
          <w:iCs/>
          <w:sz w:val="22"/>
          <w:szCs w:val="22"/>
          <w:lang w:eastAsia="pt-BR"/>
        </w:rPr>
        <w:t xml:space="preserve">s itens administração local, instalação de canteiro e acampamento e mobilização e desmobilização de obra não </w:t>
      </w:r>
      <w:r w:rsidR="00194A2B" w:rsidRPr="001B4703">
        <w:rPr>
          <w:b/>
          <w:iCs/>
          <w:sz w:val="22"/>
          <w:szCs w:val="22"/>
          <w:lang w:eastAsia="pt-BR"/>
        </w:rPr>
        <w:t xml:space="preserve">devem compor </w:t>
      </w:r>
      <w:r w:rsidR="00140DA3" w:rsidRPr="001B4703">
        <w:rPr>
          <w:b/>
          <w:iCs/>
          <w:sz w:val="22"/>
          <w:szCs w:val="22"/>
          <w:lang w:eastAsia="pt-BR"/>
        </w:rPr>
        <w:t>o BDI</w:t>
      </w:r>
      <w:r w:rsidR="00194A2B" w:rsidRPr="001B4703">
        <w:rPr>
          <w:b/>
          <w:iCs/>
          <w:sz w:val="22"/>
          <w:szCs w:val="22"/>
          <w:lang w:eastAsia="pt-BR"/>
        </w:rPr>
        <w:t xml:space="preserve">, mas sim </w:t>
      </w:r>
      <w:r w:rsidR="00140DA3" w:rsidRPr="001B4703">
        <w:rPr>
          <w:b/>
          <w:iCs/>
          <w:sz w:val="22"/>
          <w:szCs w:val="22"/>
          <w:lang w:eastAsia="pt-BR"/>
        </w:rPr>
        <w:t>constar da planilha orçamentária de forma destacada</w:t>
      </w:r>
    </w:p>
    <w:p w:rsidR="00294571" w:rsidRPr="001B4703" w:rsidRDefault="00B1606F" w:rsidP="008B4C83">
      <w:pPr>
        <w:autoSpaceDE w:val="0"/>
        <w:autoSpaceDN w:val="0"/>
        <w:adjustRightInd w:val="0"/>
        <w:spacing w:after="0"/>
        <w:ind w:left="0"/>
        <w:rPr>
          <w:sz w:val="22"/>
          <w:szCs w:val="22"/>
          <w:lang w:eastAsia="pt-BR"/>
        </w:rPr>
      </w:pPr>
      <w:r w:rsidRPr="001B4703">
        <w:rPr>
          <w:sz w:val="22"/>
          <w:szCs w:val="22"/>
          <w:lang w:eastAsia="pt-BR"/>
        </w:rPr>
        <w:t>A</w:t>
      </w:r>
      <w:r w:rsidR="00294571" w:rsidRPr="001B4703">
        <w:rPr>
          <w:sz w:val="22"/>
          <w:szCs w:val="22"/>
          <w:lang w:eastAsia="pt-BR"/>
        </w:rPr>
        <w:t>uditoria realizada no Contrato de Repasse nº 593838/2007</w:t>
      </w:r>
      <w:r w:rsidR="00194A2B" w:rsidRPr="001B4703">
        <w:rPr>
          <w:sz w:val="22"/>
          <w:szCs w:val="22"/>
          <w:lang w:eastAsia="pt-BR"/>
        </w:rPr>
        <w:t>, que tinha por objeto a ampliação do sistema de esgotamento sanitário dos Municípios de Nossa Senhora do Socorro e de Aracaju/SE</w:t>
      </w:r>
      <w:r w:rsidR="00294571" w:rsidRPr="001B4703">
        <w:rPr>
          <w:sz w:val="22"/>
          <w:szCs w:val="22"/>
          <w:lang w:eastAsia="pt-BR"/>
        </w:rPr>
        <w:t>, firmado entre o Ministério das Cidades, por intermédio da Caixa Econômica Federal, e o Estado de Sergipe</w:t>
      </w:r>
      <w:r w:rsidR="00A00DA2" w:rsidRPr="001B4703">
        <w:rPr>
          <w:sz w:val="22"/>
          <w:szCs w:val="22"/>
          <w:lang w:eastAsia="pt-BR"/>
        </w:rPr>
        <w:t xml:space="preserve"> </w:t>
      </w:r>
      <w:r w:rsidR="00C478BD" w:rsidRPr="001B4703">
        <w:rPr>
          <w:sz w:val="22"/>
          <w:szCs w:val="22"/>
          <w:lang w:eastAsia="pt-BR"/>
        </w:rPr>
        <w:t>-</w:t>
      </w:r>
      <w:r w:rsidR="00294571" w:rsidRPr="001B4703">
        <w:rPr>
          <w:sz w:val="22"/>
          <w:szCs w:val="22"/>
          <w:lang w:eastAsia="pt-BR"/>
        </w:rPr>
        <w:t xml:space="preserve"> tendo como interveniente executor a Companhia de Saneamento de Sergipe (Deso)</w:t>
      </w:r>
      <w:r w:rsidR="00C478BD" w:rsidRPr="001B4703">
        <w:rPr>
          <w:sz w:val="22"/>
          <w:szCs w:val="22"/>
          <w:lang w:eastAsia="pt-BR"/>
        </w:rPr>
        <w:t xml:space="preserve"> -</w:t>
      </w:r>
      <w:r w:rsidR="00294571" w:rsidRPr="001B4703">
        <w:rPr>
          <w:sz w:val="22"/>
          <w:szCs w:val="22"/>
          <w:lang w:eastAsia="pt-BR"/>
        </w:rPr>
        <w:t>, identific</w:t>
      </w:r>
      <w:r w:rsidRPr="001B4703">
        <w:rPr>
          <w:sz w:val="22"/>
          <w:szCs w:val="22"/>
          <w:lang w:eastAsia="pt-BR"/>
        </w:rPr>
        <w:t>ou</w:t>
      </w:r>
      <w:r w:rsidR="00294571" w:rsidRPr="001B4703">
        <w:rPr>
          <w:sz w:val="22"/>
          <w:szCs w:val="22"/>
          <w:lang w:eastAsia="pt-BR"/>
        </w:rPr>
        <w:t xml:space="preserve"> indícios de irregularidades que motivaram a realização de audiências de responsáveis. Diversos agentes foram chamados a apresentar raz</w:t>
      </w:r>
      <w:r w:rsidR="00A00DA2" w:rsidRPr="001B4703">
        <w:rPr>
          <w:sz w:val="22"/>
          <w:szCs w:val="22"/>
          <w:lang w:eastAsia="pt-BR"/>
        </w:rPr>
        <w:t xml:space="preserve">ões </w:t>
      </w:r>
      <w:r w:rsidR="00294571" w:rsidRPr="001B4703">
        <w:rPr>
          <w:sz w:val="22"/>
          <w:szCs w:val="22"/>
          <w:lang w:eastAsia="pt-BR"/>
        </w:rPr>
        <w:t>de justificativas acerca de: I) “ ...</w:t>
      </w:r>
      <w:r w:rsidR="00294571" w:rsidRPr="001B4703">
        <w:rPr>
          <w:i/>
          <w:iCs/>
          <w:sz w:val="22"/>
          <w:szCs w:val="22"/>
          <w:lang w:eastAsia="pt-BR"/>
        </w:rPr>
        <w:t xml:space="preserve"> inclusão do item </w:t>
      </w:r>
      <w:r w:rsidR="0048657B" w:rsidRPr="001B4703">
        <w:rPr>
          <w:i/>
          <w:iCs/>
          <w:sz w:val="22"/>
          <w:szCs w:val="22"/>
          <w:lang w:eastAsia="pt-BR"/>
        </w:rPr>
        <w:t>‘</w:t>
      </w:r>
      <w:r w:rsidR="00294571" w:rsidRPr="001B4703">
        <w:rPr>
          <w:i/>
          <w:iCs/>
          <w:sz w:val="22"/>
          <w:szCs w:val="22"/>
          <w:lang w:eastAsia="pt-BR"/>
        </w:rPr>
        <w:t>Administração Local</w:t>
      </w:r>
      <w:r w:rsidR="0048657B" w:rsidRPr="001B4703">
        <w:rPr>
          <w:i/>
          <w:iCs/>
          <w:sz w:val="22"/>
          <w:szCs w:val="22"/>
          <w:lang w:eastAsia="pt-BR"/>
        </w:rPr>
        <w:t>’</w:t>
      </w:r>
      <w:r w:rsidR="00294571" w:rsidRPr="001B4703">
        <w:rPr>
          <w:i/>
          <w:iCs/>
          <w:sz w:val="22"/>
          <w:szCs w:val="22"/>
          <w:lang w:eastAsia="pt-BR"/>
        </w:rPr>
        <w:t xml:space="preserve"> no BDI da empresa FUAD RASSI, vencedora da CONCORRÊNCIA PÚBLICA Nº 020/09; e b) descumprimento do item 5. </w:t>
      </w:r>
      <w:r w:rsidR="0048657B" w:rsidRPr="001B4703">
        <w:rPr>
          <w:i/>
          <w:iCs/>
          <w:sz w:val="22"/>
          <w:szCs w:val="22"/>
          <w:lang w:eastAsia="pt-BR"/>
        </w:rPr>
        <w:t>‘</w:t>
      </w:r>
      <w:r w:rsidR="00294571" w:rsidRPr="001B4703">
        <w:rPr>
          <w:i/>
          <w:iCs/>
          <w:sz w:val="22"/>
          <w:szCs w:val="22"/>
          <w:lang w:eastAsia="pt-BR"/>
        </w:rPr>
        <w:t>Elementos da Proposta</w:t>
      </w:r>
      <w:r w:rsidR="0048657B" w:rsidRPr="001B4703">
        <w:rPr>
          <w:i/>
          <w:iCs/>
          <w:sz w:val="22"/>
          <w:szCs w:val="22"/>
          <w:lang w:eastAsia="pt-BR"/>
        </w:rPr>
        <w:t>’</w:t>
      </w:r>
      <w:r w:rsidR="00294571" w:rsidRPr="001B4703">
        <w:rPr>
          <w:i/>
          <w:iCs/>
          <w:sz w:val="22"/>
          <w:szCs w:val="22"/>
          <w:lang w:eastAsia="pt-BR"/>
        </w:rPr>
        <w:t xml:space="preserve">, alínea c) das </w:t>
      </w:r>
      <w:r w:rsidR="0048657B" w:rsidRPr="001B4703">
        <w:rPr>
          <w:i/>
          <w:iCs/>
          <w:sz w:val="22"/>
          <w:szCs w:val="22"/>
          <w:lang w:eastAsia="pt-BR"/>
        </w:rPr>
        <w:t>‘</w:t>
      </w:r>
      <w:r w:rsidR="00294571" w:rsidRPr="001B4703">
        <w:rPr>
          <w:i/>
          <w:iCs/>
          <w:sz w:val="22"/>
          <w:szCs w:val="22"/>
          <w:lang w:eastAsia="pt-BR"/>
        </w:rPr>
        <w:t>Especificações Técnicas para Execução das Obras Civis</w:t>
      </w:r>
      <w:r w:rsidR="0048657B" w:rsidRPr="001B4703">
        <w:rPr>
          <w:i/>
          <w:iCs/>
          <w:sz w:val="22"/>
          <w:szCs w:val="22"/>
          <w:lang w:eastAsia="pt-BR"/>
        </w:rPr>
        <w:t>’</w:t>
      </w:r>
      <w:r w:rsidR="00294571" w:rsidRPr="001B4703">
        <w:rPr>
          <w:i/>
          <w:iCs/>
          <w:sz w:val="22"/>
          <w:szCs w:val="22"/>
          <w:lang w:eastAsia="pt-BR"/>
        </w:rPr>
        <w:t xml:space="preserve">, do art. 40, inciso XIII da Lei nº 8666/1993, bem como do Acórdão 325/2007-TCU-Plenário, permitindo a inclusão dos itens </w:t>
      </w:r>
      <w:r w:rsidR="0048657B" w:rsidRPr="001B4703">
        <w:rPr>
          <w:i/>
          <w:iCs/>
          <w:sz w:val="22"/>
          <w:szCs w:val="22"/>
          <w:lang w:eastAsia="pt-BR"/>
        </w:rPr>
        <w:t>‘</w:t>
      </w:r>
      <w:r w:rsidR="00294571" w:rsidRPr="001B4703">
        <w:rPr>
          <w:i/>
          <w:iCs/>
          <w:sz w:val="22"/>
          <w:szCs w:val="22"/>
          <w:lang w:eastAsia="pt-BR"/>
        </w:rPr>
        <w:t>Instalação de Canteiro</w:t>
      </w:r>
      <w:r w:rsidR="0048657B" w:rsidRPr="001B4703">
        <w:rPr>
          <w:i/>
          <w:iCs/>
          <w:sz w:val="22"/>
          <w:szCs w:val="22"/>
          <w:lang w:eastAsia="pt-BR"/>
        </w:rPr>
        <w:t>’</w:t>
      </w:r>
      <w:r w:rsidR="00294571" w:rsidRPr="001B4703">
        <w:rPr>
          <w:i/>
          <w:iCs/>
          <w:sz w:val="22"/>
          <w:szCs w:val="22"/>
          <w:lang w:eastAsia="pt-BR"/>
        </w:rPr>
        <w:t xml:space="preserve"> e </w:t>
      </w:r>
      <w:r w:rsidR="0048657B" w:rsidRPr="001B4703">
        <w:rPr>
          <w:i/>
          <w:iCs/>
          <w:sz w:val="22"/>
          <w:szCs w:val="22"/>
          <w:lang w:eastAsia="pt-BR"/>
        </w:rPr>
        <w:t>‘</w:t>
      </w:r>
      <w:r w:rsidR="00294571" w:rsidRPr="001B4703">
        <w:rPr>
          <w:i/>
          <w:iCs/>
          <w:sz w:val="22"/>
          <w:szCs w:val="22"/>
          <w:lang w:eastAsia="pt-BR"/>
        </w:rPr>
        <w:t>Mobilização e Desmobilização do Equipamento</w:t>
      </w:r>
      <w:r w:rsidR="0048657B" w:rsidRPr="001B4703">
        <w:rPr>
          <w:i/>
          <w:iCs/>
          <w:sz w:val="22"/>
          <w:szCs w:val="22"/>
          <w:lang w:eastAsia="pt-BR"/>
        </w:rPr>
        <w:t>’</w:t>
      </w:r>
      <w:r w:rsidR="00294571" w:rsidRPr="001B4703">
        <w:rPr>
          <w:i/>
          <w:iCs/>
          <w:sz w:val="22"/>
          <w:szCs w:val="22"/>
          <w:lang w:eastAsia="pt-BR"/>
        </w:rPr>
        <w:t xml:space="preserve"> no BDI da empresa FUAD RASSI, vencedora da  CONCORRÊNCIA PÚBLICA Nº 020/09</w:t>
      </w:r>
      <w:r w:rsidR="00294571" w:rsidRPr="001B4703">
        <w:rPr>
          <w:iCs/>
          <w:sz w:val="22"/>
          <w:szCs w:val="22"/>
          <w:lang w:eastAsia="pt-BR"/>
        </w:rPr>
        <w:t xml:space="preserve">”. Em resposta, às audiências realizadas, os responsáveis informaram que </w:t>
      </w:r>
      <w:r w:rsidR="00294571" w:rsidRPr="001B4703">
        <w:rPr>
          <w:sz w:val="22"/>
          <w:szCs w:val="22"/>
          <w:lang w:eastAsia="pt-BR"/>
        </w:rPr>
        <w:t xml:space="preserve">a Deso teria negociado junto à contratada a redução do BDI original de 22,97% para 18,34%, em razão de </w:t>
      </w:r>
      <w:r w:rsidR="00A00DA2" w:rsidRPr="001B4703">
        <w:rPr>
          <w:sz w:val="22"/>
          <w:szCs w:val="22"/>
          <w:lang w:eastAsia="pt-BR"/>
        </w:rPr>
        <w:t>supressão</w:t>
      </w:r>
      <w:r w:rsidR="00294571" w:rsidRPr="001B4703">
        <w:rPr>
          <w:sz w:val="22"/>
          <w:szCs w:val="22"/>
          <w:lang w:eastAsia="pt-BR"/>
        </w:rPr>
        <w:t xml:space="preserve"> dos itens “</w:t>
      </w:r>
      <w:r w:rsidR="00294571" w:rsidRPr="001B4703">
        <w:rPr>
          <w:i/>
          <w:sz w:val="22"/>
          <w:szCs w:val="22"/>
          <w:lang w:eastAsia="pt-BR"/>
        </w:rPr>
        <w:t>Administração Local</w:t>
      </w:r>
      <w:r w:rsidR="00294571" w:rsidRPr="001B4703">
        <w:rPr>
          <w:sz w:val="22"/>
          <w:szCs w:val="22"/>
          <w:lang w:eastAsia="pt-BR"/>
        </w:rPr>
        <w:t>”, “</w:t>
      </w:r>
      <w:r w:rsidR="00294571" w:rsidRPr="001B4703">
        <w:rPr>
          <w:i/>
          <w:sz w:val="22"/>
          <w:szCs w:val="22"/>
          <w:lang w:eastAsia="pt-BR"/>
        </w:rPr>
        <w:t>Instalação de Canteiro</w:t>
      </w:r>
      <w:r w:rsidR="00294571" w:rsidRPr="001B4703">
        <w:rPr>
          <w:sz w:val="22"/>
          <w:szCs w:val="22"/>
          <w:lang w:eastAsia="pt-BR"/>
        </w:rPr>
        <w:t>” e “</w:t>
      </w:r>
      <w:r w:rsidR="00294571" w:rsidRPr="001B4703">
        <w:rPr>
          <w:i/>
          <w:sz w:val="22"/>
          <w:szCs w:val="22"/>
          <w:lang w:eastAsia="pt-BR"/>
        </w:rPr>
        <w:t>Mobilização e Desmobilização do Equipamento</w:t>
      </w:r>
      <w:r w:rsidR="00294571" w:rsidRPr="001B4703">
        <w:rPr>
          <w:sz w:val="22"/>
          <w:szCs w:val="22"/>
          <w:lang w:eastAsia="pt-BR"/>
        </w:rPr>
        <w:t>”</w:t>
      </w:r>
      <w:r w:rsidR="00A00DA2" w:rsidRPr="001B4703">
        <w:rPr>
          <w:sz w:val="22"/>
          <w:szCs w:val="22"/>
          <w:lang w:eastAsia="pt-BR"/>
        </w:rPr>
        <w:t>.</w:t>
      </w:r>
      <w:r w:rsidR="00294571" w:rsidRPr="001B4703">
        <w:rPr>
          <w:sz w:val="22"/>
          <w:szCs w:val="22"/>
          <w:lang w:eastAsia="pt-BR"/>
        </w:rPr>
        <w:t xml:space="preserve"> De acordo com a própria Deso, a quem foi dirigida diligência, os serviços até então executados teriam sido pagos </w:t>
      </w:r>
      <w:r w:rsidR="00294571" w:rsidRPr="001B4703">
        <w:rPr>
          <w:i/>
          <w:iCs/>
          <w:sz w:val="22"/>
          <w:szCs w:val="22"/>
          <w:lang w:eastAsia="pt-BR"/>
        </w:rPr>
        <w:t>“com a retenção do BDI impugnado pela auditoria. Foram efetuadas medições no valor total de R$ 483.313,74, que sofreram retenção de R$ 27.341,58 pela redução do BDI.”</w:t>
      </w:r>
      <w:r w:rsidR="00294571" w:rsidRPr="001B4703">
        <w:rPr>
          <w:sz w:val="22"/>
          <w:szCs w:val="22"/>
          <w:lang w:eastAsia="pt-BR"/>
        </w:rPr>
        <w:t>. O relator do feito, Ministro José Jorge,</w:t>
      </w:r>
      <w:r w:rsidR="00140DA3" w:rsidRPr="001B4703">
        <w:rPr>
          <w:sz w:val="22"/>
          <w:szCs w:val="22"/>
          <w:lang w:eastAsia="pt-BR"/>
        </w:rPr>
        <w:t xml:space="preserve"> ao examinar tais razões de justificativas, </w:t>
      </w:r>
      <w:r w:rsidR="00904BEA" w:rsidRPr="001B4703">
        <w:rPr>
          <w:sz w:val="22"/>
          <w:szCs w:val="22"/>
          <w:lang w:eastAsia="pt-BR"/>
        </w:rPr>
        <w:t xml:space="preserve">reafirmou o entendimento de ser </w:t>
      </w:r>
      <w:r w:rsidR="00294571" w:rsidRPr="001B4703">
        <w:rPr>
          <w:sz w:val="22"/>
          <w:szCs w:val="22"/>
          <w:lang w:eastAsia="pt-BR"/>
        </w:rPr>
        <w:t xml:space="preserve">indevida </w:t>
      </w:r>
      <w:r w:rsidR="00B51CB6" w:rsidRPr="001B4703">
        <w:rPr>
          <w:sz w:val="22"/>
          <w:szCs w:val="22"/>
          <w:lang w:eastAsia="pt-BR"/>
        </w:rPr>
        <w:t xml:space="preserve">a inclusão dos citados itens na conformação do BDI. Anotou que </w:t>
      </w:r>
      <w:r w:rsidR="00294571" w:rsidRPr="001B4703">
        <w:rPr>
          <w:sz w:val="22"/>
          <w:szCs w:val="22"/>
          <w:lang w:eastAsia="pt-BR"/>
        </w:rPr>
        <w:t>a orientação contida no subitem 9.1.2 do citado Acórdão nº 325/2007-Plenário, dirigida à</w:t>
      </w:r>
      <w:r w:rsidRPr="001B4703">
        <w:rPr>
          <w:sz w:val="22"/>
          <w:szCs w:val="22"/>
          <w:lang w:eastAsia="pt-BR"/>
        </w:rPr>
        <w:t>s</w:t>
      </w:r>
      <w:r w:rsidR="00294571" w:rsidRPr="001B4703">
        <w:rPr>
          <w:sz w:val="22"/>
          <w:szCs w:val="22"/>
          <w:lang w:eastAsia="pt-BR"/>
        </w:rPr>
        <w:t xml:space="preserve"> unidade</w:t>
      </w:r>
      <w:r w:rsidRPr="001B4703">
        <w:rPr>
          <w:sz w:val="22"/>
          <w:szCs w:val="22"/>
          <w:lang w:eastAsia="pt-BR"/>
        </w:rPr>
        <w:t>s</w:t>
      </w:r>
      <w:r w:rsidR="00294571" w:rsidRPr="001B4703">
        <w:rPr>
          <w:sz w:val="22"/>
          <w:szCs w:val="22"/>
          <w:lang w:eastAsia="pt-BR"/>
        </w:rPr>
        <w:t xml:space="preserve"> técnicas do TCU, </w:t>
      </w:r>
      <w:r w:rsidR="00B51CB6" w:rsidRPr="001B4703">
        <w:rPr>
          <w:sz w:val="22"/>
          <w:szCs w:val="22"/>
          <w:lang w:eastAsia="pt-BR"/>
        </w:rPr>
        <w:t>é clara, n</w:t>
      </w:r>
      <w:r w:rsidR="00294571" w:rsidRPr="001B4703">
        <w:rPr>
          <w:sz w:val="22"/>
          <w:szCs w:val="22"/>
          <w:lang w:eastAsia="pt-BR"/>
        </w:rPr>
        <w:t xml:space="preserve">o </w:t>
      </w:r>
      <w:r w:rsidR="00904BEA" w:rsidRPr="001B4703">
        <w:rPr>
          <w:sz w:val="22"/>
          <w:szCs w:val="22"/>
          <w:lang w:eastAsia="pt-BR"/>
        </w:rPr>
        <w:t>sentido</w:t>
      </w:r>
      <w:r w:rsidR="00140DA3" w:rsidRPr="001B4703">
        <w:rPr>
          <w:sz w:val="22"/>
          <w:szCs w:val="22"/>
          <w:lang w:eastAsia="pt-BR"/>
        </w:rPr>
        <w:t xml:space="preserve"> de que</w:t>
      </w:r>
      <w:r w:rsidR="00904BEA" w:rsidRPr="001B4703">
        <w:rPr>
          <w:sz w:val="22"/>
          <w:szCs w:val="22"/>
          <w:lang w:eastAsia="pt-BR"/>
        </w:rPr>
        <w:t>:</w:t>
      </w:r>
      <w:r w:rsidR="00294571" w:rsidRPr="001B4703">
        <w:rPr>
          <w:sz w:val="22"/>
          <w:szCs w:val="22"/>
          <w:lang w:eastAsia="pt-BR"/>
        </w:rPr>
        <w:t xml:space="preserve"> </w:t>
      </w:r>
      <w:r w:rsidR="00B51CB6" w:rsidRPr="001B4703">
        <w:rPr>
          <w:sz w:val="22"/>
          <w:szCs w:val="22"/>
          <w:lang w:eastAsia="pt-BR"/>
        </w:rPr>
        <w:t>“</w:t>
      </w:r>
      <w:r w:rsidR="00294571" w:rsidRPr="001B4703">
        <w:rPr>
          <w:i/>
          <w:iCs/>
          <w:sz w:val="22"/>
          <w:szCs w:val="22"/>
          <w:lang w:eastAsia="pt-BR"/>
        </w:rPr>
        <w:t>9.1.2. os itens Administração Local, Instalação de Canteiro e Acampamento e Mobilização e Desmobilização, visando a maior transparência, devem constar na planilha orçamentária e não no LDI</w:t>
      </w:r>
      <w:r w:rsidR="00294571" w:rsidRPr="001B4703">
        <w:rPr>
          <w:iCs/>
          <w:sz w:val="22"/>
          <w:szCs w:val="22"/>
          <w:lang w:eastAsia="pt-BR"/>
        </w:rPr>
        <w:t xml:space="preserve">”. Tendo em vista, porém, a sinalização de que a inconsistência anotada teria sido corrigida, manifestou o Relator anuência à </w:t>
      </w:r>
      <w:r w:rsidR="00904BEA" w:rsidRPr="001B4703">
        <w:rPr>
          <w:iCs/>
          <w:sz w:val="22"/>
          <w:szCs w:val="22"/>
          <w:lang w:eastAsia="pt-BR"/>
        </w:rPr>
        <w:t xml:space="preserve">sugestão </w:t>
      </w:r>
      <w:r w:rsidR="00294571" w:rsidRPr="001B4703">
        <w:rPr>
          <w:sz w:val="22"/>
          <w:szCs w:val="22"/>
          <w:lang w:eastAsia="pt-BR"/>
        </w:rPr>
        <w:t>d</w:t>
      </w:r>
      <w:r w:rsidR="00904BEA" w:rsidRPr="001B4703">
        <w:rPr>
          <w:sz w:val="22"/>
          <w:szCs w:val="22"/>
          <w:lang w:eastAsia="pt-BR"/>
        </w:rPr>
        <w:t xml:space="preserve">a </w:t>
      </w:r>
      <w:r w:rsidR="00140DA3" w:rsidRPr="001B4703">
        <w:rPr>
          <w:sz w:val="22"/>
          <w:szCs w:val="22"/>
          <w:lang w:eastAsia="pt-BR"/>
        </w:rPr>
        <w:t>u</w:t>
      </w:r>
      <w:r w:rsidR="00904BEA" w:rsidRPr="001B4703">
        <w:rPr>
          <w:sz w:val="22"/>
          <w:szCs w:val="22"/>
          <w:lang w:eastAsia="pt-BR"/>
        </w:rPr>
        <w:t xml:space="preserve">nidade </w:t>
      </w:r>
      <w:r w:rsidR="00140DA3" w:rsidRPr="001B4703">
        <w:rPr>
          <w:sz w:val="22"/>
          <w:szCs w:val="22"/>
          <w:lang w:eastAsia="pt-BR"/>
        </w:rPr>
        <w:t>t</w:t>
      </w:r>
      <w:r w:rsidR="00904BEA" w:rsidRPr="001B4703">
        <w:rPr>
          <w:sz w:val="22"/>
          <w:szCs w:val="22"/>
          <w:lang w:eastAsia="pt-BR"/>
        </w:rPr>
        <w:t>écnica</w:t>
      </w:r>
      <w:r w:rsidR="00294571" w:rsidRPr="001B4703">
        <w:rPr>
          <w:sz w:val="22"/>
          <w:szCs w:val="22"/>
          <w:lang w:eastAsia="pt-BR"/>
        </w:rPr>
        <w:t xml:space="preserve"> </w:t>
      </w:r>
      <w:r w:rsidR="00904BEA" w:rsidRPr="001B4703">
        <w:rPr>
          <w:sz w:val="22"/>
          <w:szCs w:val="22"/>
          <w:lang w:eastAsia="pt-BR"/>
        </w:rPr>
        <w:t xml:space="preserve">de </w:t>
      </w:r>
      <w:r w:rsidR="00294571" w:rsidRPr="001B4703">
        <w:rPr>
          <w:sz w:val="22"/>
          <w:szCs w:val="22"/>
          <w:lang w:eastAsia="pt-BR"/>
        </w:rPr>
        <w:t>acolher as razões de justificativas do presidente da comissão de licitação da Deso</w:t>
      </w:r>
      <w:r w:rsidR="00904BEA" w:rsidRPr="001B4703">
        <w:rPr>
          <w:sz w:val="22"/>
          <w:szCs w:val="22"/>
          <w:lang w:eastAsia="pt-BR"/>
        </w:rPr>
        <w:t>.</w:t>
      </w:r>
      <w:r w:rsidR="00294571" w:rsidRPr="001B4703">
        <w:rPr>
          <w:sz w:val="22"/>
          <w:szCs w:val="22"/>
          <w:lang w:eastAsia="pt-BR"/>
        </w:rPr>
        <w:t xml:space="preserve"> Ressaltou, porém, a necessidade de que, no prazo de trinta dias, a contar da notificação, </w:t>
      </w:r>
      <w:r w:rsidR="0095361D" w:rsidRPr="001B4703">
        <w:rPr>
          <w:sz w:val="22"/>
          <w:szCs w:val="22"/>
          <w:lang w:eastAsia="pt-BR"/>
        </w:rPr>
        <w:t>aquela empresa de saneamento</w:t>
      </w:r>
      <w:r w:rsidR="00294571" w:rsidRPr="001B4703">
        <w:rPr>
          <w:sz w:val="22"/>
          <w:szCs w:val="22"/>
          <w:lang w:eastAsia="pt-BR"/>
        </w:rPr>
        <w:t xml:space="preserve"> “</w:t>
      </w:r>
      <w:r w:rsidR="00294571" w:rsidRPr="001B4703">
        <w:rPr>
          <w:i/>
          <w:sz w:val="22"/>
          <w:szCs w:val="22"/>
          <w:lang w:eastAsia="pt-BR"/>
        </w:rPr>
        <w:t>apresente a este Tribunal cópia do ‘Termo de Rerratificação’ do contrato celebrado com a empresa FUAD RASSI, contendo a alteração do BDI original para 18,34%, bem como quaisquer outras alterações efetivadas</w:t>
      </w:r>
      <w:r w:rsidR="00294571" w:rsidRPr="001B4703">
        <w:rPr>
          <w:sz w:val="22"/>
          <w:szCs w:val="22"/>
          <w:lang w:eastAsia="pt-BR"/>
        </w:rPr>
        <w:t xml:space="preserve">”. O Tribunal, então, </w:t>
      </w:r>
      <w:r w:rsidR="00904BEA" w:rsidRPr="001B4703">
        <w:rPr>
          <w:sz w:val="22"/>
          <w:szCs w:val="22"/>
          <w:lang w:eastAsia="pt-BR"/>
        </w:rPr>
        <w:t>endossou a solução propugnada pelo relator.</w:t>
      </w:r>
      <w:r w:rsidR="003F47A4" w:rsidRPr="001B4703">
        <w:rPr>
          <w:sz w:val="22"/>
          <w:szCs w:val="22"/>
          <w:lang w:eastAsia="pt-BR"/>
        </w:rPr>
        <w:t xml:space="preserve"> </w:t>
      </w:r>
      <w:r w:rsidR="003F47A4" w:rsidRPr="001B4703">
        <w:rPr>
          <w:b/>
          <w:i/>
          <w:sz w:val="22"/>
          <w:szCs w:val="22"/>
        </w:rPr>
        <w:t>Acórdão n.º 2842/2011-Plenário, TC-028.235/201</w:t>
      </w:r>
      <w:r w:rsidR="008D73C0" w:rsidRPr="001B4703">
        <w:rPr>
          <w:b/>
          <w:i/>
          <w:sz w:val="22"/>
          <w:szCs w:val="22"/>
        </w:rPr>
        <w:t>0-0</w:t>
      </w:r>
      <w:r w:rsidR="003F47A4" w:rsidRPr="001B4703">
        <w:rPr>
          <w:b/>
          <w:i/>
          <w:sz w:val="22"/>
          <w:szCs w:val="22"/>
        </w:rPr>
        <w:t>, rel. Min. José Jorge, 25.10.2011.</w:t>
      </w:r>
      <w:r w:rsidR="00904BEA" w:rsidRPr="001B4703">
        <w:rPr>
          <w:sz w:val="22"/>
          <w:szCs w:val="22"/>
          <w:lang w:eastAsia="pt-BR"/>
        </w:rPr>
        <w:t xml:space="preserve"> </w:t>
      </w:r>
    </w:p>
    <w:p w:rsidR="00294571" w:rsidRPr="001B4703" w:rsidRDefault="00294571" w:rsidP="008B4C83">
      <w:pPr>
        <w:autoSpaceDE w:val="0"/>
        <w:autoSpaceDN w:val="0"/>
        <w:adjustRightInd w:val="0"/>
        <w:spacing w:after="0"/>
        <w:ind w:left="0"/>
        <w:rPr>
          <w:sz w:val="22"/>
          <w:szCs w:val="22"/>
          <w:lang w:eastAsia="pt-BR"/>
        </w:rPr>
      </w:pPr>
    </w:p>
    <w:p w:rsidR="0048657B" w:rsidRPr="001B4703" w:rsidRDefault="001B4703" w:rsidP="008B4C83">
      <w:pPr>
        <w:autoSpaceDE w:val="0"/>
        <w:autoSpaceDN w:val="0"/>
        <w:adjustRightInd w:val="0"/>
        <w:spacing w:after="0"/>
        <w:ind w:left="0"/>
        <w:rPr>
          <w:b/>
          <w:iCs/>
          <w:sz w:val="22"/>
          <w:szCs w:val="22"/>
          <w:lang w:eastAsia="pt-BR"/>
        </w:rPr>
      </w:pPr>
      <w:r w:rsidRPr="001B4703">
        <w:rPr>
          <w:b/>
          <w:sz w:val="22"/>
          <w:szCs w:val="22"/>
        </w:rPr>
        <w:t xml:space="preserve">Contratação de obra pública: 2 - </w:t>
      </w:r>
      <w:r w:rsidR="00071F40" w:rsidRPr="001B4703">
        <w:rPr>
          <w:b/>
          <w:sz w:val="22"/>
          <w:szCs w:val="22"/>
          <w:lang w:eastAsia="pt-BR"/>
        </w:rPr>
        <w:t xml:space="preserve">O fornecimento pela empresa contratada de materiais ordinariamente utilizados na confecção de obras, como </w:t>
      </w:r>
      <w:r w:rsidR="0086240F" w:rsidRPr="001B4703">
        <w:rPr>
          <w:b/>
          <w:sz w:val="22"/>
          <w:szCs w:val="22"/>
          <w:lang w:eastAsia="pt-BR"/>
        </w:rPr>
        <w:t>‘</w:t>
      </w:r>
      <w:r w:rsidR="0086240F" w:rsidRPr="001B4703">
        <w:rPr>
          <w:b/>
          <w:iCs/>
          <w:sz w:val="22"/>
          <w:szCs w:val="22"/>
          <w:lang w:eastAsia="pt-BR"/>
        </w:rPr>
        <w:t>Tubo de PVC rígido para esgoto predial de 100 mm’, não demanda realização de procedimento licitatório autônomo para aquisição desse material, nem a incidência sobre o valor d</w:t>
      </w:r>
      <w:r w:rsidR="00DD0B57" w:rsidRPr="001B4703">
        <w:rPr>
          <w:b/>
          <w:iCs/>
          <w:sz w:val="22"/>
          <w:szCs w:val="22"/>
          <w:lang w:eastAsia="pt-BR"/>
        </w:rPr>
        <w:t xml:space="preserve">o item </w:t>
      </w:r>
      <w:r w:rsidR="0086240F" w:rsidRPr="001B4703">
        <w:rPr>
          <w:b/>
          <w:iCs/>
          <w:sz w:val="22"/>
          <w:szCs w:val="22"/>
          <w:lang w:eastAsia="pt-BR"/>
        </w:rPr>
        <w:t xml:space="preserve">de BDI inferior ao do contrato da obra </w:t>
      </w:r>
    </w:p>
    <w:p w:rsidR="003F47A4" w:rsidRPr="001B4703" w:rsidRDefault="00294571" w:rsidP="008B4C83">
      <w:pPr>
        <w:autoSpaceDE w:val="0"/>
        <w:autoSpaceDN w:val="0"/>
        <w:adjustRightInd w:val="0"/>
        <w:spacing w:after="0"/>
        <w:ind w:left="0"/>
        <w:rPr>
          <w:sz w:val="22"/>
          <w:szCs w:val="22"/>
          <w:lang w:eastAsia="pt-BR"/>
        </w:rPr>
      </w:pPr>
      <w:r w:rsidRPr="001B4703">
        <w:rPr>
          <w:sz w:val="22"/>
          <w:szCs w:val="22"/>
          <w:lang w:eastAsia="pt-BR"/>
        </w:rPr>
        <w:t xml:space="preserve">Na auditoria realizada no </w:t>
      </w:r>
      <w:r w:rsidR="00DD0B57" w:rsidRPr="001B4703">
        <w:rPr>
          <w:sz w:val="22"/>
          <w:szCs w:val="22"/>
          <w:lang w:eastAsia="pt-BR"/>
        </w:rPr>
        <w:t>a</w:t>
      </w:r>
      <w:r w:rsidR="003F47A4" w:rsidRPr="001B4703">
        <w:rPr>
          <w:sz w:val="22"/>
          <w:szCs w:val="22"/>
          <w:lang w:eastAsia="pt-BR"/>
        </w:rPr>
        <w:t xml:space="preserve">cima </w:t>
      </w:r>
      <w:r w:rsidR="00DD0B57" w:rsidRPr="001B4703">
        <w:rPr>
          <w:sz w:val="22"/>
          <w:szCs w:val="22"/>
          <w:lang w:eastAsia="pt-BR"/>
        </w:rPr>
        <w:t xml:space="preserve">citado </w:t>
      </w:r>
      <w:r w:rsidR="003F47A4" w:rsidRPr="001B4703">
        <w:rPr>
          <w:sz w:val="22"/>
          <w:szCs w:val="22"/>
          <w:lang w:eastAsia="pt-BR"/>
        </w:rPr>
        <w:t>c</w:t>
      </w:r>
      <w:r w:rsidRPr="001B4703">
        <w:rPr>
          <w:sz w:val="22"/>
          <w:szCs w:val="22"/>
          <w:lang w:eastAsia="pt-BR"/>
        </w:rPr>
        <w:t xml:space="preserve">ontrato de </w:t>
      </w:r>
      <w:r w:rsidR="003F47A4" w:rsidRPr="001B4703">
        <w:rPr>
          <w:sz w:val="22"/>
          <w:szCs w:val="22"/>
          <w:lang w:eastAsia="pt-BR"/>
        </w:rPr>
        <w:t>r</w:t>
      </w:r>
      <w:r w:rsidRPr="001B4703">
        <w:rPr>
          <w:sz w:val="22"/>
          <w:szCs w:val="22"/>
          <w:lang w:eastAsia="pt-BR"/>
        </w:rPr>
        <w:t>epasse</w:t>
      </w:r>
      <w:r w:rsidR="00DD0B57" w:rsidRPr="001B4703">
        <w:rPr>
          <w:sz w:val="22"/>
          <w:szCs w:val="22"/>
          <w:lang w:eastAsia="pt-BR"/>
        </w:rPr>
        <w:t>,</w:t>
      </w:r>
      <w:r w:rsidRPr="001B4703">
        <w:rPr>
          <w:sz w:val="22"/>
          <w:szCs w:val="22"/>
          <w:lang w:eastAsia="pt-BR"/>
        </w:rPr>
        <w:t xml:space="preserve"> também foi </w:t>
      </w:r>
      <w:r w:rsidR="008D73C0" w:rsidRPr="001B4703">
        <w:rPr>
          <w:sz w:val="22"/>
          <w:szCs w:val="22"/>
          <w:lang w:eastAsia="pt-BR"/>
        </w:rPr>
        <w:t>promovida</w:t>
      </w:r>
      <w:r w:rsidRPr="001B4703">
        <w:rPr>
          <w:sz w:val="22"/>
          <w:szCs w:val="22"/>
          <w:lang w:eastAsia="pt-BR"/>
        </w:rPr>
        <w:t xml:space="preserve"> audiência do Diretor Técnico de Engenharia da Deso, em razão de “</w:t>
      </w:r>
      <w:r w:rsidRPr="001B4703">
        <w:rPr>
          <w:i/>
          <w:iCs/>
          <w:sz w:val="22"/>
          <w:szCs w:val="22"/>
          <w:lang w:eastAsia="pt-BR"/>
        </w:rPr>
        <w:t xml:space="preserve">não adoção de BDI diferenciado, bem como pela não aquisição por meio de Pregão de Tubo de PVC rígido para esgoto predial de 100 mm incluídos nas composições </w:t>
      </w:r>
      <w:r w:rsidR="0048657B" w:rsidRPr="001B4703">
        <w:rPr>
          <w:i/>
          <w:iCs/>
          <w:sz w:val="22"/>
          <w:szCs w:val="22"/>
          <w:lang w:eastAsia="pt-BR"/>
        </w:rPr>
        <w:t>‘</w:t>
      </w:r>
      <w:r w:rsidRPr="001B4703">
        <w:rPr>
          <w:i/>
          <w:iCs/>
          <w:sz w:val="22"/>
          <w:szCs w:val="22"/>
          <w:lang w:eastAsia="pt-BR"/>
        </w:rPr>
        <w:t>Ligação Tipo II em piso cimentado</w:t>
      </w:r>
      <w:r w:rsidR="0048657B" w:rsidRPr="001B4703">
        <w:rPr>
          <w:i/>
          <w:iCs/>
          <w:sz w:val="22"/>
          <w:szCs w:val="22"/>
          <w:lang w:eastAsia="pt-BR"/>
        </w:rPr>
        <w:t>’,</w:t>
      </w:r>
      <w:r w:rsidRPr="001B4703">
        <w:rPr>
          <w:i/>
          <w:iCs/>
          <w:sz w:val="22"/>
          <w:szCs w:val="22"/>
          <w:lang w:eastAsia="pt-BR"/>
        </w:rPr>
        <w:t xml:space="preserve"> </w:t>
      </w:r>
      <w:r w:rsidR="0048657B" w:rsidRPr="001B4703">
        <w:rPr>
          <w:i/>
          <w:iCs/>
          <w:sz w:val="22"/>
          <w:szCs w:val="22"/>
          <w:lang w:eastAsia="pt-BR"/>
        </w:rPr>
        <w:t>‘</w:t>
      </w:r>
      <w:r w:rsidRPr="001B4703">
        <w:rPr>
          <w:i/>
          <w:iCs/>
          <w:sz w:val="22"/>
          <w:szCs w:val="22"/>
          <w:lang w:eastAsia="pt-BR"/>
        </w:rPr>
        <w:t>Ligação Tipo II em piso de ladrilho</w:t>
      </w:r>
      <w:r w:rsidR="0048657B" w:rsidRPr="001B4703">
        <w:rPr>
          <w:i/>
          <w:iCs/>
          <w:sz w:val="22"/>
          <w:szCs w:val="22"/>
          <w:lang w:eastAsia="pt-BR"/>
        </w:rPr>
        <w:t>’</w:t>
      </w:r>
      <w:r w:rsidRPr="001B4703">
        <w:rPr>
          <w:i/>
          <w:iCs/>
          <w:sz w:val="22"/>
          <w:szCs w:val="22"/>
          <w:lang w:eastAsia="pt-BR"/>
        </w:rPr>
        <w:t>,</w:t>
      </w:r>
      <w:r w:rsidR="0048657B" w:rsidRPr="001B4703">
        <w:rPr>
          <w:i/>
          <w:iCs/>
          <w:sz w:val="22"/>
          <w:szCs w:val="22"/>
          <w:lang w:eastAsia="pt-BR"/>
        </w:rPr>
        <w:t xml:space="preserve"> ‘</w:t>
      </w:r>
      <w:r w:rsidRPr="001B4703">
        <w:rPr>
          <w:i/>
          <w:iCs/>
          <w:sz w:val="22"/>
          <w:szCs w:val="22"/>
          <w:lang w:eastAsia="pt-BR"/>
        </w:rPr>
        <w:t>Ligação do Tipo III em piso cimentado</w:t>
      </w:r>
      <w:r w:rsidR="0048657B" w:rsidRPr="001B4703">
        <w:rPr>
          <w:i/>
          <w:iCs/>
          <w:sz w:val="22"/>
          <w:szCs w:val="22"/>
          <w:lang w:eastAsia="pt-BR"/>
        </w:rPr>
        <w:t>’</w:t>
      </w:r>
      <w:r w:rsidRPr="001B4703">
        <w:rPr>
          <w:i/>
          <w:iCs/>
          <w:sz w:val="22"/>
          <w:szCs w:val="22"/>
          <w:lang w:eastAsia="pt-BR"/>
        </w:rPr>
        <w:t xml:space="preserve"> e </w:t>
      </w:r>
      <w:r w:rsidR="0048657B" w:rsidRPr="001B4703">
        <w:rPr>
          <w:i/>
          <w:iCs/>
          <w:sz w:val="22"/>
          <w:szCs w:val="22"/>
          <w:lang w:eastAsia="pt-BR"/>
        </w:rPr>
        <w:t>‘</w:t>
      </w:r>
      <w:r w:rsidRPr="001B4703">
        <w:rPr>
          <w:i/>
          <w:iCs/>
          <w:sz w:val="22"/>
          <w:szCs w:val="22"/>
          <w:lang w:eastAsia="pt-BR"/>
        </w:rPr>
        <w:t>Ligação Tipo III em piso de ladrilho</w:t>
      </w:r>
      <w:r w:rsidR="0048657B" w:rsidRPr="001B4703">
        <w:rPr>
          <w:i/>
          <w:iCs/>
          <w:sz w:val="22"/>
          <w:szCs w:val="22"/>
          <w:lang w:eastAsia="pt-BR"/>
        </w:rPr>
        <w:t>’</w:t>
      </w:r>
      <w:r w:rsidRPr="001B4703">
        <w:rPr>
          <w:i/>
          <w:iCs/>
          <w:sz w:val="22"/>
          <w:szCs w:val="22"/>
          <w:lang w:eastAsia="pt-BR"/>
        </w:rPr>
        <w:t xml:space="preserve"> dos Contratos nºs 42/2010 e 59/2010</w:t>
      </w:r>
      <w:r w:rsidRPr="001B4703">
        <w:rPr>
          <w:iCs/>
          <w:sz w:val="22"/>
          <w:szCs w:val="22"/>
          <w:lang w:eastAsia="pt-BR"/>
        </w:rPr>
        <w:t>”.</w:t>
      </w:r>
      <w:r w:rsidRPr="001B4703">
        <w:rPr>
          <w:i/>
          <w:iCs/>
          <w:sz w:val="22"/>
          <w:szCs w:val="22"/>
          <w:lang w:eastAsia="pt-BR"/>
        </w:rPr>
        <w:t xml:space="preserve"> </w:t>
      </w:r>
      <w:r w:rsidRPr="001B4703">
        <w:rPr>
          <w:iCs/>
          <w:sz w:val="22"/>
          <w:szCs w:val="22"/>
          <w:lang w:eastAsia="pt-BR"/>
        </w:rPr>
        <w:t xml:space="preserve">O </w:t>
      </w:r>
      <w:r w:rsidR="00B51CB6" w:rsidRPr="001B4703">
        <w:rPr>
          <w:iCs/>
          <w:sz w:val="22"/>
          <w:szCs w:val="22"/>
          <w:lang w:eastAsia="pt-BR"/>
        </w:rPr>
        <w:t>r</w:t>
      </w:r>
      <w:r w:rsidRPr="001B4703">
        <w:rPr>
          <w:iCs/>
          <w:sz w:val="22"/>
          <w:szCs w:val="22"/>
          <w:lang w:eastAsia="pt-BR"/>
        </w:rPr>
        <w:t xml:space="preserve">eferido responsável, </w:t>
      </w:r>
      <w:r w:rsidR="008D73C0" w:rsidRPr="001B4703">
        <w:rPr>
          <w:iCs/>
          <w:sz w:val="22"/>
          <w:szCs w:val="22"/>
          <w:lang w:eastAsia="pt-BR"/>
        </w:rPr>
        <w:t>a despeito disso</w:t>
      </w:r>
      <w:r w:rsidRPr="001B4703">
        <w:rPr>
          <w:iCs/>
          <w:sz w:val="22"/>
          <w:szCs w:val="22"/>
          <w:lang w:eastAsia="pt-BR"/>
        </w:rPr>
        <w:t>, deixou de apresentar razões de justificativas a respeito dessa</w:t>
      </w:r>
      <w:r w:rsidR="0095361D" w:rsidRPr="001B4703">
        <w:rPr>
          <w:iCs/>
          <w:sz w:val="22"/>
          <w:szCs w:val="22"/>
          <w:lang w:eastAsia="pt-BR"/>
        </w:rPr>
        <w:t>s</w:t>
      </w:r>
      <w:r w:rsidRPr="001B4703">
        <w:rPr>
          <w:iCs/>
          <w:sz w:val="22"/>
          <w:szCs w:val="22"/>
          <w:lang w:eastAsia="pt-BR"/>
        </w:rPr>
        <w:t xml:space="preserve"> ocorrência</w:t>
      </w:r>
      <w:r w:rsidR="0095361D" w:rsidRPr="001B4703">
        <w:rPr>
          <w:iCs/>
          <w:sz w:val="22"/>
          <w:szCs w:val="22"/>
          <w:lang w:eastAsia="pt-BR"/>
        </w:rPr>
        <w:t>s</w:t>
      </w:r>
      <w:r w:rsidRPr="001B4703">
        <w:rPr>
          <w:iCs/>
          <w:sz w:val="22"/>
          <w:szCs w:val="22"/>
          <w:lang w:eastAsia="pt-BR"/>
        </w:rPr>
        <w:t xml:space="preserve">. A unidade técnica considerou que </w:t>
      </w:r>
      <w:r w:rsidRPr="001B4703">
        <w:rPr>
          <w:sz w:val="22"/>
          <w:szCs w:val="22"/>
          <w:lang w:eastAsia="pt-BR"/>
        </w:rPr>
        <w:t>a adoção do BDI diferenciado</w:t>
      </w:r>
      <w:r w:rsidR="00071F40" w:rsidRPr="001B4703">
        <w:rPr>
          <w:sz w:val="22"/>
          <w:szCs w:val="22"/>
          <w:lang w:eastAsia="pt-BR"/>
        </w:rPr>
        <w:t>,</w:t>
      </w:r>
      <w:r w:rsidRPr="001B4703">
        <w:rPr>
          <w:sz w:val="22"/>
          <w:szCs w:val="22"/>
          <w:lang w:eastAsia="pt-BR"/>
        </w:rPr>
        <w:t xml:space="preserve"> de 10%</w:t>
      </w:r>
      <w:r w:rsidR="00071F40" w:rsidRPr="001B4703">
        <w:rPr>
          <w:sz w:val="22"/>
          <w:szCs w:val="22"/>
          <w:lang w:eastAsia="pt-BR"/>
        </w:rPr>
        <w:t>,</w:t>
      </w:r>
      <w:r w:rsidRPr="001B4703">
        <w:rPr>
          <w:sz w:val="22"/>
          <w:szCs w:val="22"/>
          <w:lang w:eastAsia="pt-BR"/>
        </w:rPr>
        <w:t xml:space="preserve"> </w:t>
      </w:r>
      <w:r w:rsidR="00071F40" w:rsidRPr="001B4703">
        <w:rPr>
          <w:sz w:val="22"/>
          <w:szCs w:val="22"/>
          <w:lang w:eastAsia="pt-BR"/>
        </w:rPr>
        <w:t xml:space="preserve">implicaria </w:t>
      </w:r>
      <w:r w:rsidRPr="001B4703">
        <w:rPr>
          <w:sz w:val="22"/>
          <w:szCs w:val="22"/>
          <w:lang w:eastAsia="pt-BR"/>
        </w:rPr>
        <w:t>economia de 0,35% do valor total do contrato</w:t>
      </w:r>
      <w:r w:rsidR="00071F40" w:rsidRPr="001B4703">
        <w:rPr>
          <w:sz w:val="22"/>
          <w:szCs w:val="22"/>
          <w:lang w:eastAsia="pt-BR"/>
        </w:rPr>
        <w:t xml:space="preserve">, o que </w:t>
      </w:r>
      <w:r w:rsidRPr="001B4703">
        <w:rPr>
          <w:sz w:val="22"/>
          <w:szCs w:val="22"/>
          <w:lang w:eastAsia="pt-BR"/>
        </w:rPr>
        <w:t>corresponderia a R$ 57.565,13</w:t>
      </w:r>
      <w:r w:rsidR="00B51CB6" w:rsidRPr="001B4703">
        <w:rPr>
          <w:sz w:val="22"/>
          <w:szCs w:val="22"/>
          <w:lang w:eastAsia="pt-BR"/>
        </w:rPr>
        <w:t>,</w:t>
      </w:r>
      <w:r w:rsidRPr="001B4703">
        <w:rPr>
          <w:sz w:val="22"/>
          <w:szCs w:val="22"/>
          <w:lang w:eastAsia="pt-BR"/>
        </w:rPr>
        <w:t xml:space="preserve"> frente a um valor total contratado de R$ 16.343.576,52. </w:t>
      </w:r>
      <w:r w:rsidR="00071F40" w:rsidRPr="001B4703">
        <w:rPr>
          <w:sz w:val="22"/>
          <w:szCs w:val="22"/>
          <w:lang w:eastAsia="pt-BR"/>
        </w:rPr>
        <w:t>Por considerar pouco significativo o suposto dano verificado, d</w:t>
      </w:r>
      <w:r w:rsidRPr="001B4703">
        <w:rPr>
          <w:sz w:val="22"/>
          <w:szCs w:val="22"/>
          <w:lang w:eastAsia="pt-BR"/>
        </w:rPr>
        <w:t xml:space="preserve">eixou de sugerir a apenação do responsável. Considerou, entretanto, necessário dar ciência à Companhia acerca do fato, para que fossem adotadas providências corretivas, na </w:t>
      </w:r>
      <w:r w:rsidRPr="001B4703">
        <w:rPr>
          <w:i/>
          <w:iCs/>
          <w:sz w:val="22"/>
          <w:szCs w:val="22"/>
          <w:lang w:eastAsia="pt-BR"/>
        </w:rPr>
        <w:t>“hipótese de aditamento ao contrato em vigor em que os quantitativos dos produtos sejam majorados”</w:t>
      </w:r>
      <w:r w:rsidRPr="001B4703">
        <w:rPr>
          <w:sz w:val="22"/>
          <w:szCs w:val="22"/>
          <w:lang w:eastAsia="pt-BR"/>
        </w:rPr>
        <w:t xml:space="preserve">. O Relator do feito </w:t>
      </w:r>
      <w:r w:rsidR="00DD0B57" w:rsidRPr="001B4703">
        <w:rPr>
          <w:sz w:val="22"/>
          <w:szCs w:val="22"/>
          <w:lang w:eastAsia="pt-BR"/>
        </w:rPr>
        <w:t>entendeu</w:t>
      </w:r>
      <w:r w:rsidRPr="001B4703">
        <w:rPr>
          <w:sz w:val="22"/>
          <w:szCs w:val="22"/>
          <w:lang w:eastAsia="pt-BR"/>
        </w:rPr>
        <w:t xml:space="preserve">, porém, que </w:t>
      </w:r>
      <w:r w:rsidR="0095361D" w:rsidRPr="001B4703">
        <w:rPr>
          <w:sz w:val="22"/>
          <w:szCs w:val="22"/>
          <w:lang w:eastAsia="pt-BR"/>
        </w:rPr>
        <w:t xml:space="preserve">os </w:t>
      </w:r>
      <w:r w:rsidR="00AA4907" w:rsidRPr="001B4703">
        <w:rPr>
          <w:sz w:val="22"/>
          <w:szCs w:val="22"/>
          <w:lang w:eastAsia="pt-BR"/>
        </w:rPr>
        <w:t xml:space="preserve">atos impugnados </w:t>
      </w:r>
      <w:r w:rsidRPr="001B4703">
        <w:rPr>
          <w:sz w:val="22"/>
          <w:szCs w:val="22"/>
          <w:lang w:eastAsia="pt-BR"/>
        </w:rPr>
        <w:t>não configur</w:t>
      </w:r>
      <w:r w:rsidR="00AA4907" w:rsidRPr="001B4703">
        <w:rPr>
          <w:sz w:val="22"/>
          <w:szCs w:val="22"/>
          <w:lang w:eastAsia="pt-BR"/>
        </w:rPr>
        <w:t>aram</w:t>
      </w:r>
      <w:r w:rsidRPr="001B4703">
        <w:rPr>
          <w:sz w:val="22"/>
          <w:szCs w:val="22"/>
          <w:lang w:eastAsia="pt-BR"/>
        </w:rPr>
        <w:t xml:space="preserve"> ilicitude de nenhuma ordem. Com o intuito de demonstrar essa conclusão </w:t>
      </w:r>
      <w:r w:rsidR="00B51CB6" w:rsidRPr="001B4703">
        <w:rPr>
          <w:sz w:val="22"/>
          <w:szCs w:val="22"/>
          <w:lang w:eastAsia="pt-BR"/>
        </w:rPr>
        <w:t>fez menção a</w:t>
      </w:r>
      <w:r w:rsidRPr="001B4703">
        <w:rPr>
          <w:sz w:val="22"/>
          <w:szCs w:val="22"/>
          <w:lang w:eastAsia="pt-BR"/>
        </w:rPr>
        <w:t>o teor da Súmula nº 253 do TCU</w:t>
      </w:r>
      <w:r w:rsidR="00071F40" w:rsidRPr="001B4703">
        <w:rPr>
          <w:sz w:val="22"/>
          <w:szCs w:val="22"/>
          <w:lang w:eastAsia="pt-BR"/>
        </w:rPr>
        <w:t>:</w:t>
      </w:r>
      <w:r w:rsidR="00B51CB6" w:rsidRPr="001B4703">
        <w:rPr>
          <w:rFonts w:ascii="Times New Roman,Italic" w:hAnsi="Times New Roman,Italic" w:cs="Times New Roman,Italic"/>
          <w:i/>
          <w:iCs/>
          <w:sz w:val="22"/>
          <w:szCs w:val="22"/>
          <w:lang w:eastAsia="pt-BR"/>
        </w:rPr>
        <w:t xml:space="preserve"> </w:t>
      </w:r>
      <w:r w:rsidR="00B51CB6" w:rsidRPr="001B4703">
        <w:rPr>
          <w:i/>
          <w:iCs/>
          <w:sz w:val="22"/>
          <w:szCs w:val="22"/>
          <w:lang w:eastAsia="pt-BR"/>
        </w:rPr>
        <w:t xml:space="preserve">“Comprovada a inviabilidade técnico-econômica de parcelamento do objeto da licitação, nos termos da legislação em vigor, os </w:t>
      </w:r>
      <w:r w:rsidR="00B51CB6" w:rsidRPr="001B4703">
        <w:rPr>
          <w:b/>
          <w:bCs/>
          <w:i/>
          <w:iCs/>
          <w:sz w:val="22"/>
          <w:szCs w:val="22"/>
          <w:lang w:eastAsia="pt-BR"/>
        </w:rPr>
        <w:t xml:space="preserve">itens de fornecimento de materiais </w:t>
      </w:r>
      <w:r w:rsidR="00B51CB6" w:rsidRPr="001B4703">
        <w:rPr>
          <w:i/>
          <w:iCs/>
          <w:sz w:val="22"/>
          <w:szCs w:val="22"/>
          <w:lang w:eastAsia="pt-BR"/>
        </w:rPr>
        <w:t xml:space="preserve">e equipamentos </w:t>
      </w:r>
      <w:r w:rsidR="00B51CB6" w:rsidRPr="001B4703">
        <w:rPr>
          <w:b/>
          <w:bCs/>
          <w:i/>
          <w:iCs/>
          <w:sz w:val="22"/>
          <w:szCs w:val="22"/>
          <w:lang w:eastAsia="pt-BR"/>
        </w:rPr>
        <w:t xml:space="preserve">de natureza específica </w:t>
      </w:r>
      <w:r w:rsidR="00B51CB6" w:rsidRPr="001B4703">
        <w:rPr>
          <w:i/>
          <w:iCs/>
          <w:sz w:val="22"/>
          <w:szCs w:val="22"/>
          <w:lang w:eastAsia="pt-BR"/>
        </w:rPr>
        <w:t xml:space="preserve">que possam ser </w:t>
      </w:r>
      <w:r w:rsidR="00B51CB6" w:rsidRPr="001B4703">
        <w:rPr>
          <w:b/>
          <w:bCs/>
          <w:i/>
          <w:iCs/>
          <w:sz w:val="22"/>
          <w:szCs w:val="22"/>
          <w:lang w:eastAsia="pt-BR"/>
        </w:rPr>
        <w:t xml:space="preserve">fornecidos por empresas com especialidades próprias e diversas </w:t>
      </w:r>
      <w:r w:rsidR="00B51CB6" w:rsidRPr="001B4703">
        <w:rPr>
          <w:i/>
          <w:iCs/>
          <w:sz w:val="22"/>
          <w:szCs w:val="22"/>
          <w:lang w:eastAsia="pt-BR"/>
        </w:rPr>
        <w:t xml:space="preserve">e que </w:t>
      </w:r>
      <w:r w:rsidR="00B51CB6" w:rsidRPr="001B4703">
        <w:rPr>
          <w:b/>
          <w:bCs/>
          <w:i/>
          <w:iCs/>
          <w:sz w:val="22"/>
          <w:szCs w:val="22"/>
          <w:lang w:eastAsia="pt-BR"/>
        </w:rPr>
        <w:t xml:space="preserve">representem percentual significativo do preço global da obra </w:t>
      </w:r>
      <w:r w:rsidR="00B51CB6" w:rsidRPr="001B4703">
        <w:rPr>
          <w:i/>
          <w:iCs/>
          <w:sz w:val="22"/>
          <w:szCs w:val="22"/>
          <w:lang w:eastAsia="pt-BR"/>
        </w:rPr>
        <w:t xml:space="preserve">devem apresentar </w:t>
      </w:r>
      <w:r w:rsidR="00B51CB6" w:rsidRPr="001B4703">
        <w:rPr>
          <w:b/>
          <w:bCs/>
          <w:i/>
          <w:iCs/>
          <w:sz w:val="22"/>
          <w:szCs w:val="22"/>
          <w:lang w:eastAsia="pt-BR"/>
        </w:rPr>
        <w:t xml:space="preserve">incidência de taxa de Bonificação e Despesas Indiretas - BDI reduzida </w:t>
      </w:r>
      <w:r w:rsidR="00B51CB6" w:rsidRPr="001B4703">
        <w:rPr>
          <w:i/>
          <w:iCs/>
          <w:sz w:val="22"/>
          <w:szCs w:val="22"/>
          <w:lang w:eastAsia="pt-BR"/>
        </w:rPr>
        <w:t>em relação à taxa aplicável aos demais itens.”</w:t>
      </w:r>
      <w:r w:rsidR="00B51CB6" w:rsidRPr="001B4703">
        <w:rPr>
          <w:iCs/>
          <w:sz w:val="22"/>
          <w:szCs w:val="22"/>
          <w:lang w:eastAsia="pt-BR"/>
        </w:rPr>
        <w:t xml:space="preserve"> – </w:t>
      </w:r>
      <w:r w:rsidR="00B51CB6" w:rsidRPr="001B4703">
        <w:rPr>
          <w:sz w:val="22"/>
          <w:szCs w:val="22"/>
          <w:lang w:eastAsia="pt-BR"/>
        </w:rPr>
        <w:t>grifos do relator</w:t>
      </w:r>
      <w:r w:rsidRPr="001B4703">
        <w:rPr>
          <w:sz w:val="22"/>
          <w:szCs w:val="22"/>
          <w:lang w:eastAsia="pt-BR"/>
        </w:rPr>
        <w:t xml:space="preserve">. </w:t>
      </w:r>
      <w:r w:rsidR="00071F40" w:rsidRPr="001B4703">
        <w:rPr>
          <w:sz w:val="22"/>
          <w:szCs w:val="22"/>
          <w:lang w:eastAsia="pt-BR"/>
        </w:rPr>
        <w:t>Invocou,</w:t>
      </w:r>
      <w:r w:rsidRPr="001B4703">
        <w:rPr>
          <w:sz w:val="22"/>
          <w:szCs w:val="22"/>
          <w:lang w:eastAsia="pt-BR"/>
        </w:rPr>
        <w:t xml:space="preserve"> ainda, </w:t>
      </w:r>
      <w:r w:rsidRPr="001B4703">
        <w:rPr>
          <w:bCs/>
          <w:iCs/>
          <w:sz w:val="22"/>
          <w:szCs w:val="22"/>
          <w:lang w:eastAsia="pt-BR"/>
        </w:rPr>
        <w:t xml:space="preserve">declaração de Voto do Min. Walton Alencar Rodrigues, </w:t>
      </w:r>
      <w:r w:rsidR="002D67A8" w:rsidRPr="001B4703">
        <w:rPr>
          <w:bCs/>
          <w:iCs/>
          <w:sz w:val="22"/>
          <w:szCs w:val="22"/>
          <w:lang w:eastAsia="pt-BR"/>
        </w:rPr>
        <w:t>ac</w:t>
      </w:r>
      <w:r w:rsidRPr="001B4703">
        <w:rPr>
          <w:iCs/>
          <w:sz w:val="22"/>
          <w:szCs w:val="22"/>
          <w:lang w:eastAsia="pt-BR"/>
        </w:rPr>
        <w:t>olhida pelo Plenário</w:t>
      </w:r>
      <w:r w:rsidR="00071F40" w:rsidRPr="001B4703">
        <w:rPr>
          <w:iCs/>
          <w:sz w:val="22"/>
          <w:szCs w:val="22"/>
          <w:lang w:eastAsia="pt-BR"/>
        </w:rPr>
        <w:t xml:space="preserve"> em precedente</w:t>
      </w:r>
      <w:r w:rsidRPr="001B4703">
        <w:rPr>
          <w:iCs/>
          <w:sz w:val="22"/>
          <w:szCs w:val="22"/>
          <w:lang w:eastAsia="pt-BR"/>
        </w:rPr>
        <w:t xml:space="preserve"> que conduziu o Tribunal a proferi</w:t>
      </w:r>
      <w:r w:rsidR="00B51CB6" w:rsidRPr="001B4703">
        <w:rPr>
          <w:iCs/>
          <w:sz w:val="22"/>
          <w:szCs w:val="22"/>
          <w:lang w:eastAsia="pt-BR"/>
        </w:rPr>
        <w:t>r</w:t>
      </w:r>
      <w:r w:rsidRPr="001B4703">
        <w:rPr>
          <w:iCs/>
          <w:sz w:val="22"/>
          <w:szCs w:val="22"/>
          <w:lang w:eastAsia="pt-BR"/>
        </w:rPr>
        <w:t xml:space="preserve"> o A</w:t>
      </w:r>
      <w:r w:rsidRPr="001B4703">
        <w:rPr>
          <w:bCs/>
          <w:iCs/>
          <w:sz w:val="22"/>
          <w:szCs w:val="22"/>
          <w:lang w:eastAsia="pt-BR"/>
        </w:rPr>
        <w:t>córdão 1.785/2009</w:t>
      </w:r>
      <w:r w:rsidR="002D67A8" w:rsidRPr="001B4703">
        <w:rPr>
          <w:bCs/>
          <w:iCs/>
          <w:sz w:val="22"/>
          <w:szCs w:val="22"/>
          <w:lang w:eastAsia="pt-BR"/>
        </w:rPr>
        <w:t>,</w:t>
      </w:r>
      <w:r w:rsidR="00B51CB6" w:rsidRPr="001B4703">
        <w:rPr>
          <w:bCs/>
          <w:iCs/>
          <w:sz w:val="22"/>
          <w:szCs w:val="22"/>
          <w:lang w:eastAsia="pt-BR"/>
        </w:rPr>
        <w:t xml:space="preserve"> e que também norteou a edição da referida Súmula</w:t>
      </w:r>
      <w:r w:rsidR="00071F40" w:rsidRPr="001B4703">
        <w:rPr>
          <w:bCs/>
          <w:iCs/>
          <w:sz w:val="22"/>
          <w:szCs w:val="22"/>
          <w:lang w:eastAsia="pt-BR"/>
        </w:rPr>
        <w:t>, segundo a qual</w:t>
      </w:r>
      <w:r w:rsidRPr="001B4703">
        <w:rPr>
          <w:iCs/>
          <w:sz w:val="22"/>
          <w:szCs w:val="22"/>
          <w:lang w:eastAsia="pt-BR"/>
        </w:rPr>
        <w:t>:</w:t>
      </w:r>
      <w:r w:rsidRPr="001B4703">
        <w:rPr>
          <w:i/>
          <w:iCs/>
          <w:sz w:val="22"/>
          <w:szCs w:val="22"/>
          <w:lang w:eastAsia="pt-BR"/>
        </w:rPr>
        <w:t>”.</w:t>
      </w:r>
      <w:r w:rsidR="00B51CB6" w:rsidRPr="001B4703">
        <w:rPr>
          <w:i/>
          <w:iCs/>
          <w:sz w:val="22"/>
          <w:szCs w:val="22"/>
          <w:lang w:eastAsia="pt-BR"/>
        </w:rPr>
        <w:t>..</w:t>
      </w:r>
      <w:r w:rsidR="00F01A76">
        <w:rPr>
          <w:i/>
          <w:iCs/>
          <w:sz w:val="22"/>
          <w:szCs w:val="22"/>
          <w:lang w:eastAsia="pt-BR"/>
        </w:rPr>
        <w:t xml:space="preserve"> </w:t>
      </w:r>
      <w:r w:rsidR="00B51CB6" w:rsidRPr="001B4703">
        <w:rPr>
          <w:i/>
          <w:iCs/>
          <w:sz w:val="22"/>
          <w:szCs w:val="22"/>
          <w:lang w:eastAsia="pt-BR"/>
        </w:rPr>
        <w:t>O</w:t>
      </w:r>
      <w:r w:rsidRPr="001B4703">
        <w:rPr>
          <w:i/>
          <w:iCs/>
          <w:sz w:val="22"/>
          <w:szCs w:val="22"/>
          <w:lang w:eastAsia="pt-BR"/>
        </w:rPr>
        <w:t xml:space="preserve"> </w:t>
      </w:r>
      <w:r w:rsidRPr="001B4703">
        <w:rPr>
          <w:b/>
          <w:bCs/>
          <w:i/>
          <w:iCs/>
          <w:sz w:val="22"/>
          <w:szCs w:val="22"/>
          <w:lang w:eastAsia="pt-BR"/>
        </w:rPr>
        <w:t xml:space="preserve">fornecimento dos materiais </w:t>
      </w:r>
      <w:r w:rsidRPr="001B4703">
        <w:rPr>
          <w:i/>
          <w:iCs/>
          <w:sz w:val="22"/>
          <w:szCs w:val="22"/>
          <w:lang w:eastAsia="pt-BR"/>
        </w:rPr>
        <w:t xml:space="preserve">elencados pela Secex/MG, que </w:t>
      </w:r>
      <w:r w:rsidRPr="001B4703">
        <w:rPr>
          <w:b/>
          <w:bCs/>
          <w:i/>
          <w:iCs/>
          <w:sz w:val="22"/>
          <w:szCs w:val="22"/>
          <w:lang w:eastAsia="pt-BR"/>
        </w:rPr>
        <w:t xml:space="preserve">correspondem a cerca de 76% do custo da obra de edificação </w:t>
      </w:r>
      <w:r w:rsidRPr="001B4703">
        <w:rPr>
          <w:i/>
          <w:iCs/>
          <w:sz w:val="22"/>
          <w:szCs w:val="22"/>
          <w:lang w:eastAsia="pt-BR"/>
        </w:rPr>
        <w:t xml:space="preserve">da biblioteca - </w:t>
      </w:r>
      <w:r w:rsidRPr="001B4703">
        <w:rPr>
          <w:b/>
          <w:bCs/>
          <w:i/>
          <w:iCs/>
          <w:sz w:val="22"/>
          <w:szCs w:val="22"/>
          <w:lang w:eastAsia="pt-BR"/>
        </w:rPr>
        <w:t xml:space="preserve">pisos de granito e cerâmica, instalações hidrossanitárias e elétricas, esquadrias de alumínio e metálicas </w:t>
      </w:r>
      <w:r w:rsidRPr="001B4703">
        <w:rPr>
          <w:i/>
          <w:iCs/>
          <w:sz w:val="22"/>
          <w:szCs w:val="22"/>
          <w:lang w:eastAsia="pt-BR"/>
        </w:rPr>
        <w:t xml:space="preserve">–, por certo, </w:t>
      </w:r>
      <w:r w:rsidRPr="001B4703">
        <w:rPr>
          <w:b/>
          <w:bCs/>
          <w:i/>
          <w:iCs/>
          <w:sz w:val="22"/>
          <w:szCs w:val="22"/>
          <w:lang w:eastAsia="pt-BR"/>
        </w:rPr>
        <w:t xml:space="preserve">não pode ser considerada atividade acessória a obra de edificação (...). </w:t>
      </w:r>
      <w:r w:rsidRPr="001B4703">
        <w:rPr>
          <w:i/>
          <w:iCs/>
          <w:sz w:val="22"/>
          <w:szCs w:val="22"/>
          <w:lang w:eastAsia="pt-BR"/>
        </w:rPr>
        <w:t>Nada mais típico à atividade de construção civil que o fornecimento e instalação desses materiais</w:t>
      </w:r>
      <w:r w:rsidRPr="001B4703">
        <w:rPr>
          <w:iCs/>
          <w:sz w:val="22"/>
          <w:szCs w:val="22"/>
          <w:lang w:eastAsia="pt-BR"/>
        </w:rPr>
        <w:t>”.</w:t>
      </w:r>
      <w:r w:rsidR="00071F40" w:rsidRPr="001B4703">
        <w:rPr>
          <w:iCs/>
          <w:sz w:val="22"/>
          <w:szCs w:val="22"/>
          <w:lang w:eastAsia="pt-BR"/>
        </w:rPr>
        <w:t xml:space="preserve"> </w:t>
      </w:r>
      <w:r w:rsidRPr="001B4703">
        <w:rPr>
          <w:sz w:val="22"/>
          <w:szCs w:val="22"/>
          <w:lang w:eastAsia="pt-BR"/>
        </w:rPr>
        <w:t xml:space="preserve">Ressaltou, em seguida, </w:t>
      </w:r>
      <w:r w:rsidR="00B51CB6" w:rsidRPr="001B4703">
        <w:rPr>
          <w:sz w:val="22"/>
          <w:szCs w:val="22"/>
          <w:lang w:eastAsia="pt-BR"/>
        </w:rPr>
        <w:t xml:space="preserve">que </w:t>
      </w:r>
      <w:r w:rsidRPr="001B4703">
        <w:rPr>
          <w:sz w:val="22"/>
          <w:szCs w:val="22"/>
          <w:lang w:eastAsia="pt-BR"/>
        </w:rPr>
        <w:t>a situação sob exame não se enquadra na hipótese delineada</w:t>
      </w:r>
      <w:r w:rsidR="00A205AD" w:rsidRPr="001B4703">
        <w:rPr>
          <w:sz w:val="22"/>
          <w:szCs w:val="22"/>
          <w:lang w:eastAsia="pt-BR"/>
        </w:rPr>
        <w:t xml:space="preserve"> </w:t>
      </w:r>
      <w:r w:rsidR="00DD0B57" w:rsidRPr="001B4703">
        <w:rPr>
          <w:sz w:val="22"/>
          <w:szCs w:val="22"/>
          <w:lang w:eastAsia="pt-BR"/>
        </w:rPr>
        <w:t>na citada Súmula</w:t>
      </w:r>
      <w:r w:rsidRPr="001B4703">
        <w:rPr>
          <w:sz w:val="22"/>
          <w:szCs w:val="22"/>
          <w:lang w:eastAsia="pt-BR"/>
        </w:rPr>
        <w:t xml:space="preserve">, </w:t>
      </w:r>
      <w:r w:rsidR="00B51CB6" w:rsidRPr="001B4703">
        <w:rPr>
          <w:sz w:val="22"/>
          <w:szCs w:val="22"/>
          <w:lang w:eastAsia="pt-BR"/>
        </w:rPr>
        <w:t xml:space="preserve">visto que </w:t>
      </w:r>
      <w:r w:rsidR="008D73C0" w:rsidRPr="001B4703">
        <w:rPr>
          <w:sz w:val="22"/>
          <w:szCs w:val="22"/>
          <w:lang w:eastAsia="pt-BR"/>
        </w:rPr>
        <w:t>“</w:t>
      </w:r>
      <w:r w:rsidRPr="001B4703">
        <w:rPr>
          <w:i/>
          <w:sz w:val="22"/>
          <w:szCs w:val="22"/>
          <w:lang w:eastAsia="pt-BR"/>
        </w:rPr>
        <w:t>Tubo de PVC rígido para esgoto predial de 100mm</w:t>
      </w:r>
      <w:r w:rsidRPr="001B4703">
        <w:rPr>
          <w:sz w:val="22"/>
          <w:szCs w:val="22"/>
          <w:lang w:eastAsia="pt-BR"/>
        </w:rPr>
        <w:t xml:space="preserve">” não se </w:t>
      </w:r>
      <w:r w:rsidR="002D67A8" w:rsidRPr="001B4703">
        <w:rPr>
          <w:sz w:val="22"/>
          <w:szCs w:val="22"/>
          <w:lang w:eastAsia="pt-BR"/>
        </w:rPr>
        <w:t xml:space="preserve">caracteriza </w:t>
      </w:r>
      <w:r w:rsidR="00A205AD" w:rsidRPr="001B4703">
        <w:rPr>
          <w:sz w:val="22"/>
          <w:szCs w:val="22"/>
          <w:lang w:eastAsia="pt-BR"/>
        </w:rPr>
        <w:t xml:space="preserve">como </w:t>
      </w:r>
      <w:r w:rsidRPr="001B4703">
        <w:rPr>
          <w:sz w:val="22"/>
          <w:szCs w:val="22"/>
          <w:lang w:eastAsia="pt-BR"/>
        </w:rPr>
        <w:t>materia</w:t>
      </w:r>
      <w:r w:rsidR="00A205AD" w:rsidRPr="001B4703">
        <w:rPr>
          <w:sz w:val="22"/>
          <w:szCs w:val="22"/>
          <w:lang w:eastAsia="pt-BR"/>
        </w:rPr>
        <w:t>l</w:t>
      </w:r>
      <w:r w:rsidR="00A205AD" w:rsidRPr="001B4703">
        <w:rPr>
          <w:i/>
          <w:sz w:val="22"/>
          <w:szCs w:val="22"/>
          <w:lang w:eastAsia="pt-BR"/>
        </w:rPr>
        <w:t xml:space="preserve"> </w:t>
      </w:r>
      <w:r w:rsidR="000C6501" w:rsidRPr="001B4703">
        <w:rPr>
          <w:sz w:val="22"/>
          <w:szCs w:val="22"/>
          <w:lang w:eastAsia="pt-BR"/>
        </w:rPr>
        <w:t>“</w:t>
      </w:r>
      <w:r w:rsidRPr="001B4703">
        <w:rPr>
          <w:i/>
          <w:sz w:val="22"/>
          <w:szCs w:val="22"/>
          <w:lang w:eastAsia="pt-BR"/>
        </w:rPr>
        <w:t>de natureza específica</w:t>
      </w:r>
      <w:r w:rsidR="000C6501" w:rsidRPr="001B4703">
        <w:rPr>
          <w:sz w:val="22"/>
          <w:szCs w:val="22"/>
          <w:lang w:eastAsia="pt-BR"/>
        </w:rPr>
        <w:t>”</w:t>
      </w:r>
      <w:r w:rsidRPr="001B4703">
        <w:rPr>
          <w:i/>
          <w:sz w:val="22"/>
          <w:szCs w:val="22"/>
          <w:lang w:eastAsia="pt-BR"/>
        </w:rPr>
        <w:t xml:space="preserve"> </w:t>
      </w:r>
      <w:r w:rsidRPr="001B4703">
        <w:rPr>
          <w:sz w:val="22"/>
          <w:szCs w:val="22"/>
          <w:lang w:eastAsia="pt-BR"/>
        </w:rPr>
        <w:t>que possa ser fornecido por</w:t>
      </w:r>
      <w:r w:rsidRPr="001B4703">
        <w:rPr>
          <w:i/>
          <w:sz w:val="22"/>
          <w:szCs w:val="22"/>
          <w:lang w:eastAsia="pt-BR"/>
        </w:rPr>
        <w:t xml:space="preserve"> </w:t>
      </w:r>
      <w:r w:rsidR="000C6501" w:rsidRPr="001B4703">
        <w:rPr>
          <w:sz w:val="22"/>
          <w:szCs w:val="22"/>
          <w:lang w:eastAsia="pt-BR"/>
        </w:rPr>
        <w:t>“</w:t>
      </w:r>
      <w:r w:rsidRPr="001B4703">
        <w:rPr>
          <w:i/>
          <w:sz w:val="22"/>
          <w:szCs w:val="22"/>
          <w:lang w:eastAsia="pt-BR"/>
        </w:rPr>
        <w:t>empresas com especialidades próprias e diversas</w:t>
      </w:r>
      <w:r w:rsidRPr="001B4703">
        <w:rPr>
          <w:sz w:val="22"/>
          <w:szCs w:val="22"/>
          <w:lang w:eastAsia="pt-BR"/>
        </w:rPr>
        <w:t>”</w:t>
      </w:r>
      <w:r w:rsidR="000C6501" w:rsidRPr="001B4703">
        <w:rPr>
          <w:sz w:val="22"/>
          <w:szCs w:val="22"/>
          <w:lang w:eastAsia="pt-BR"/>
        </w:rPr>
        <w:t xml:space="preserve">. O fornecimento desse material não </w:t>
      </w:r>
      <w:r w:rsidR="002D67A8" w:rsidRPr="001B4703">
        <w:rPr>
          <w:sz w:val="22"/>
          <w:szCs w:val="22"/>
          <w:lang w:eastAsia="pt-BR"/>
        </w:rPr>
        <w:t>configura</w:t>
      </w:r>
      <w:r w:rsidR="000C6501" w:rsidRPr="001B4703">
        <w:rPr>
          <w:sz w:val="22"/>
          <w:szCs w:val="22"/>
          <w:lang w:eastAsia="pt-BR"/>
        </w:rPr>
        <w:t xml:space="preserve"> </w:t>
      </w:r>
      <w:r w:rsidRPr="001B4703">
        <w:rPr>
          <w:sz w:val="22"/>
          <w:szCs w:val="22"/>
          <w:lang w:eastAsia="pt-BR"/>
        </w:rPr>
        <w:t xml:space="preserve">atividade residual da contratada. </w:t>
      </w:r>
      <w:r w:rsidR="000C6501" w:rsidRPr="001B4703">
        <w:rPr>
          <w:sz w:val="22"/>
          <w:szCs w:val="22"/>
          <w:lang w:eastAsia="pt-BR"/>
        </w:rPr>
        <w:t>Entendeu</w:t>
      </w:r>
      <w:r w:rsidR="00B51CB6" w:rsidRPr="001B4703">
        <w:rPr>
          <w:sz w:val="22"/>
          <w:szCs w:val="22"/>
          <w:lang w:eastAsia="pt-BR"/>
        </w:rPr>
        <w:t xml:space="preserve">, isto sim, que se trata de </w:t>
      </w:r>
      <w:r w:rsidRPr="001B4703">
        <w:rPr>
          <w:sz w:val="22"/>
          <w:szCs w:val="22"/>
          <w:lang w:eastAsia="pt-BR"/>
        </w:rPr>
        <w:t>materia</w:t>
      </w:r>
      <w:r w:rsidR="00AA4907" w:rsidRPr="001B4703">
        <w:rPr>
          <w:sz w:val="22"/>
          <w:szCs w:val="22"/>
          <w:lang w:eastAsia="pt-BR"/>
        </w:rPr>
        <w:t>l</w:t>
      </w:r>
      <w:r w:rsidRPr="001B4703">
        <w:rPr>
          <w:sz w:val="22"/>
          <w:szCs w:val="22"/>
          <w:lang w:eastAsia="pt-BR"/>
        </w:rPr>
        <w:t xml:space="preserve"> </w:t>
      </w:r>
      <w:r w:rsidR="00AA4907" w:rsidRPr="001B4703">
        <w:rPr>
          <w:sz w:val="22"/>
          <w:szCs w:val="22"/>
          <w:lang w:eastAsia="pt-BR"/>
        </w:rPr>
        <w:t>ordinário de</w:t>
      </w:r>
      <w:r w:rsidRPr="001B4703">
        <w:rPr>
          <w:sz w:val="22"/>
          <w:szCs w:val="22"/>
          <w:lang w:eastAsia="pt-BR"/>
        </w:rPr>
        <w:t xml:space="preserve"> construção, </w:t>
      </w:r>
      <w:r w:rsidR="000C6501" w:rsidRPr="001B4703">
        <w:rPr>
          <w:sz w:val="22"/>
          <w:szCs w:val="22"/>
          <w:lang w:eastAsia="pt-BR"/>
        </w:rPr>
        <w:t>o que dispensa “</w:t>
      </w:r>
      <w:r w:rsidRPr="001B4703">
        <w:rPr>
          <w:i/>
          <w:sz w:val="22"/>
          <w:szCs w:val="22"/>
          <w:lang w:eastAsia="pt-BR"/>
        </w:rPr>
        <w:t>a utilização de BDI diferenciado em relação aos demais itens constantes da planilha de custos e formação de preços</w:t>
      </w:r>
      <w:r w:rsidRPr="001B4703">
        <w:rPr>
          <w:sz w:val="22"/>
          <w:szCs w:val="22"/>
          <w:lang w:eastAsia="pt-BR"/>
        </w:rPr>
        <w:t>”</w:t>
      </w:r>
      <w:r w:rsidR="00B51CB6" w:rsidRPr="001B4703">
        <w:rPr>
          <w:sz w:val="22"/>
          <w:szCs w:val="22"/>
          <w:lang w:eastAsia="pt-BR"/>
        </w:rPr>
        <w:t>. O Tribunal, então, endossou a proposição oferecida pelo relator do feito</w:t>
      </w:r>
      <w:r w:rsidR="008D73C0" w:rsidRPr="001B4703">
        <w:rPr>
          <w:sz w:val="22"/>
          <w:szCs w:val="22"/>
          <w:lang w:eastAsia="pt-BR"/>
        </w:rPr>
        <w:t xml:space="preserve"> e não efetuou determinação corretiva a esse respeito</w:t>
      </w:r>
      <w:r w:rsidR="003F47A4" w:rsidRPr="001B4703">
        <w:rPr>
          <w:sz w:val="22"/>
          <w:szCs w:val="22"/>
          <w:lang w:eastAsia="pt-BR"/>
        </w:rPr>
        <w:t>.</w:t>
      </w:r>
      <w:r w:rsidR="003F47A4" w:rsidRPr="001B4703">
        <w:rPr>
          <w:b/>
          <w:i/>
          <w:sz w:val="22"/>
          <w:szCs w:val="22"/>
        </w:rPr>
        <w:t xml:space="preserve"> Acórdão n.º 2842/2011-Plenário, TC-028.235/201</w:t>
      </w:r>
      <w:r w:rsidR="008D73C0" w:rsidRPr="001B4703">
        <w:rPr>
          <w:b/>
          <w:i/>
          <w:sz w:val="22"/>
          <w:szCs w:val="22"/>
        </w:rPr>
        <w:t>0-0</w:t>
      </w:r>
      <w:r w:rsidR="003F47A4" w:rsidRPr="001B4703">
        <w:rPr>
          <w:b/>
          <w:i/>
          <w:sz w:val="22"/>
          <w:szCs w:val="22"/>
        </w:rPr>
        <w:t>, rel. Min. José Jorge, 25.10.2011.</w:t>
      </w:r>
    </w:p>
    <w:p w:rsidR="00B51CB6" w:rsidRPr="001B4703" w:rsidRDefault="00B51CB6" w:rsidP="008B4C83">
      <w:pPr>
        <w:autoSpaceDE w:val="0"/>
        <w:autoSpaceDN w:val="0"/>
        <w:adjustRightInd w:val="0"/>
        <w:spacing w:after="0"/>
        <w:ind w:left="0"/>
        <w:rPr>
          <w:sz w:val="22"/>
          <w:szCs w:val="22"/>
          <w:lang w:eastAsia="pt-BR"/>
        </w:rPr>
      </w:pPr>
    </w:p>
    <w:p w:rsidR="008D73C0" w:rsidRPr="001B4703" w:rsidRDefault="008D73C0" w:rsidP="008B4C83">
      <w:pPr>
        <w:autoSpaceDE w:val="0"/>
        <w:autoSpaceDN w:val="0"/>
        <w:adjustRightInd w:val="0"/>
        <w:spacing w:after="0"/>
        <w:ind w:left="0"/>
        <w:rPr>
          <w:b/>
          <w:sz w:val="22"/>
          <w:szCs w:val="22"/>
          <w:lang w:eastAsia="pt-BR"/>
        </w:rPr>
      </w:pPr>
      <w:r w:rsidRPr="001B4703">
        <w:rPr>
          <w:b/>
          <w:sz w:val="22"/>
          <w:szCs w:val="22"/>
        </w:rPr>
        <w:t xml:space="preserve">A permuta de terreno pertencente à entidade da Administração Pública por unidades imobiliárias a serem nele construídas futuramente não se insere na hipótese de dispensa de licitação prevista na alínea </w:t>
      </w:r>
      <w:r w:rsidRPr="001B4703">
        <w:rPr>
          <w:b/>
          <w:bCs/>
          <w:i/>
          <w:sz w:val="22"/>
          <w:szCs w:val="22"/>
        </w:rPr>
        <w:t>c</w:t>
      </w:r>
      <w:r w:rsidRPr="001B4703">
        <w:rPr>
          <w:b/>
          <w:bCs/>
          <w:sz w:val="22"/>
          <w:szCs w:val="22"/>
        </w:rPr>
        <w:t xml:space="preserve"> </w:t>
      </w:r>
      <w:r w:rsidRPr="001B4703">
        <w:rPr>
          <w:b/>
          <w:sz w:val="22"/>
          <w:szCs w:val="22"/>
        </w:rPr>
        <w:t>do inciso I do art. 17 da Lei n. 8.666/1993, devendo ser precedida</w:t>
      </w:r>
      <w:r w:rsidR="002D67A8" w:rsidRPr="001B4703">
        <w:rPr>
          <w:b/>
          <w:sz w:val="22"/>
          <w:szCs w:val="22"/>
        </w:rPr>
        <w:t>, portanto,</w:t>
      </w:r>
      <w:r w:rsidRPr="001B4703">
        <w:rPr>
          <w:b/>
          <w:sz w:val="22"/>
          <w:szCs w:val="22"/>
        </w:rPr>
        <w:t xml:space="preserve"> de procedimento licitatório na modalidade concorrência</w:t>
      </w:r>
    </w:p>
    <w:p w:rsidR="00736308" w:rsidRPr="001B4703" w:rsidRDefault="00736308" w:rsidP="008B4C83">
      <w:pPr>
        <w:pStyle w:val="Default"/>
        <w:jc w:val="both"/>
        <w:rPr>
          <w:b/>
          <w:i/>
          <w:sz w:val="22"/>
          <w:szCs w:val="22"/>
        </w:rPr>
      </w:pPr>
      <w:r w:rsidRPr="001B4703">
        <w:rPr>
          <w:sz w:val="22"/>
          <w:szCs w:val="22"/>
        </w:rPr>
        <w:t xml:space="preserve">Representação encaminhada pela Ouvidoria deste Tribunal noticiou a edição </w:t>
      </w:r>
      <w:r w:rsidR="00CC1C24" w:rsidRPr="001B4703">
        <w:rPr>
          <w:sz w:val="22"/>
          <w:szCs w:val="22"/>
        </w:rPr>
        <w:t xml:space="preserve">pelo Conselho Regional de Engenharia, Arquitetura e Agronomia do Espírito Santo – Crea/ES </w:t>
      </w:r>
      <w:r w:rsidRPr="001B4703">
        <w:rPr>
          <w:sz w:val="22"/>
          <w:szCs w:val="22"/>
        </w:rPr>
        <w:t>de ato de dispensa de licitação</w:t>
      </w:r>
      <w:r w:rsidR="00CC1C24" w:rsidRPr="001B4703">
        <w:rPr>
          <w:sz w:val="22"/>
          <w:szCs w:val="22"/>
        </w:rPr>
        <w:t>,</w:t>
      </w:r>
      <w:r w:rsidRPr="001B4703">
        <w:rPr>
          <w:sz w:val="22"/>
          <w:szCs w:val="22"/>
        </w:rPr>
        <w:t xml:space="preserve"> publicado no DOU de 08/02/2011, </w:t>
      </w:r>
      <w:r w:rsidR="00CC1C24" w:rsidRPr="001B4703">
        <w:rPr>
          <w:sz w:val="22"/>
          <w:szCs w:val="22"/>
        </w:rPr>
        <w:t>que viabilizaria</w:t>
      </w:r>
      <w:r w:rsidRPr="001B4703">
        <w:rPr>
          <w:sz w:val="22"/>
          <w:szCs w:val="22"/>
        </w:rPr>
        <w:t xml:space="preserve"> permuta de terreno de propriedade d</w:t>
      </w:r>
      <w:r w:rsidR="00CC1C24" w:rsidRPr="001B4703">
        <w:rPr>
          <w:sz w:val="22"/>
          <w:szCs w:val="22"/>
        </w:rPr>
        <w:t xml:space="preserve">essa entidade </w:t>
      </w:r>
      <w:r w:rsidRPr="001B4703">
        <w:rPr>
          <w:sz w:val="22"/>
          <w:szCs w:val="22"/>
        </w:rPr>
        <w:t xml:space="preserve">por unidades de edifício que seria nele construído pela empresa contratada, Galwan Construtora e Incorporadora S.A. Tais unidades seriam destinadas à instalação da nova sede do </w:t>
      </w:r>
      <w:r w:rsidR="00CC1C24" w:rsidRPr="001B4703">
        <w:rPr>
          <w:sz w:val="22"/>
          <w:szCs w:val="22"/>
        </w:rPr>
        <w:t>Crea/ES</w:t>
      </w:r>
      <w:r w:rsidRPr="001B4703">
        <w:rPr>
          <w:sz w:val="22"/>
          <w:szCs w:val="22"/>
        </w:rPr>
        <w:t>. Após examinar respostas a oitivas do Presidente do Crea/ES e da Galwan Construtora e Incorporadora S. A., o relator do feito, Ministro Marcos Bemquerer Costa, decidiu conceder medida cautelar suspendendo os efeitos do referido ato, em razão de não ter sido apresentado estudo demonstrativo das demandas da entidade e, também, em face da “</w:t>
      </w:r>
      <w:r w:rsidRPr="001B4703">
        <w:rPr>
          <w:i/>
          <w:sz w:val="22"/>
          <w:szCs w:val="22"/>
        </w:rPr>
        <w:t xml:space="preserve">ausência de comprovação das necessidades de instalação e localização que condicionem a escolha do imóvel a ser erguido no terreno de propriedade da entidade para a construção da nova sede, requisito essencial para a pretendida dispensa de licitação para a celebração do contrato de incorporação, com base no art. 17, inciso I, alínea </w:t>
      </w:r>
      <w:r w:rsidRPr="001B4703">
        <w:rPr>
          <w:b/>
          <w:bCs/>
          <w:i/>
          <w:sz w:val="22"/>
          <w:szCs w:val="22"/>
        </w:rPr>
        <w:t>c</w:t>
      </w:r>
      <w:r w:rsidRPr="001B4703">
        <w:rPr>
          <w:i/>
          <w:sz w:val="22"/>
          <w:szCs w:val="22"/>
        </w:rPr>
        <w:t>, c/c art. 24, inciso X, da Lei n. 8.666/1993</w:t>
      </w:r>
      <w:r w:rsidRPr="001B4703">
        <w:rPr>
          <w:sz w:val="22"/>
          <w:szCs w:val="22"/>
        </w:rPr>
        <w:t xml:space="preserve">”. Em seguida, promoveu a audiência de responsáveis do Crea/ES acerca dessa ocorrência. Após examinar as razões de justificativas apresentadas, ponderou que </w:t>
      </w:r>
      <w:r w:rsidRPr="001B4703">
        <w:rPr>
          <w:color w:val="auto"/>
          <w:sz w:val="22"/>
          <w:szCs w:val="22"/>
        </w:rPr>
        <w:t>a dispensa de licitação ancorada nos acima mencionados comandos normativos “</w:t>
      </w:r>
      <w:r w:rsidRPr="001B4703">
        <w:rPr>
          <w:i/>
          <w:color w:val="auto"/>
          <w:sz w:val="22"/>
          <w:szCs w:val="22"/>
        </w:rPr>
        <w:t>pressupõe que as características do imóvel adquirido (tais como localização, dimensão, edificação, destinação etc.) devem ser essenciais para atingir a finalidade precípua da Administração à qual ele será destinado, de tal modo que condicionem a sua escolha, inviabilizando a competição entre particulares</w:t>
      </w:r>
      <w:r w:rsidRPr="001B4703">
        <w:rPr>
          <w:color w:val="auto"/>
          <w:sz w:val="22"/>
          <w:szCs w:val="22"/>
        </w:rPr>
        <w:t>”. Anotou, porém, que “</w:t>
      </w:r>
      <w:r w:rsidRPr="001B4703">
        <w:rPr>
          <w:i/>
          <w:color w:val="auto"/>
          <w:sz w:val="22"/>
          <w:szCs w:val="22"/>
        </w:rPr>
        <w:t>o imóvel demandado pelo Crea/ES sequer foi construído e será edificado num terreno que já pertence à entidade, de modo que as suas especificidades, inclusive quanto à localização, independem da empresa que será contratada, e, portanto, não condicionam a sua escolha nem inviabilizam a competição entre particulares</w:t>
      </w:r>
      <w:r w:rsidRPr="001B4703">
        <w:rPr>
          <w:color w:val="auto"/>
          <w:sz w:val="22"/>
          <w:szCs w:val="22"/>
        </w:rPr>
        <w:t xml:space="preserve">”. Tendo em vista, pois, que não se está a falar de imóvel específico que atenda </w:t>
      </w:r>
      <w:r w:rsidR="007463CA" w:rsidRPr="001B4703">
        <w:rPr>
          <w:color w:val="auto"/>
          <w:sz w:val="22"/>
          <w:szCs w:val="22"/>
        </w:rPr>
        <w:t>à</w:t>
      </w:r>
      <w:r w:rsidRPr="001B4703">
        <w:rPr>
          <w:color w:val="auto"/>
          <w:sz w:val="22"/>
          <w:szCs w:val="22"/>
        </w:rPr>
        <w:t>s necessidades da Administração, a permuta de terreno de propriedade da autarquia por unidades imobiliárias a serem confeccionadas por empresa de construção civil pressupõe, segundo o relator, a realização de procedimento licitatório. Dessa forma, garante-se “</w:t>
      </w:r>
      <w:r w:rsidRPr="001B4703">
        <w:rPr>
          <w:i/>
          <w:color w:val="auto"/>
          <w:sz w:val="22"/>
          <w:szCs w:val="22"/>
        </w:rPr>
        <w:t>concretude aos princípios da isonomia e da seleção da proposta mais vantajosa</w:t>
      </w:r>
      <w:r w:rsidRPr="001B4703">
        <w:rPr>
          <w:color w:val="auto"/>
          <w:sz w:val="22"/>
          <w:szCs w:val="22"/>
        </w:rPr>
        <w:t xml:space="preserve">”.  Ao final, por considerar que o referido ato de dispensa de licitação não cumpriu os requisitos do art. 17, inciso I, alínea </w:t>
      </w:r>
      <w:r w:rsidRPr="001B4703">
        <w:rPr>
          <w:b/>
          <w:bCs/>
          <w:color w:val="auto"/>
          <w:sz w:val="22"/>
          <w:szCs w:val="22"/>
        </w:rPr>
        <w:t>c</w:t>
      </w:r>
      <w:r w:rsidRPr="001B4703">
        <w:rPr>
          <w:color w:val="auto"/>
          <w:sz w:val="22"/>
          <w:szCs w:val="22"/>
        </w:rPr>
        <w:t xml:space="preserve">, combinado com o art. 24, inciso X, da Lei n. 8.666/1993, o relator do feito formulou proposta de deliberação no sentido de fixar prazo para que o Crea/ES adote as providencias cabíveis com vistas à anulação do referido ato. O Tribunal, então, endossou essa solução. Precedente citado: </w:t>
      </w:r>
      <w:r w:rsidRPr="001B4703">
        <w:rPr>
          <w:sz w:val="22"/>
          <w:szCs w:val="22"/>
        </w:rPr>
        <w:t>Acórdão n. 453/2008</w:t>
      </w:r>
      <w:r w:rsidR="007463CA" w:rsidRPr="001B4703">
        <w:rPr>
          <w:sz w:val="22"/>
          <w:szCs w:val="22"/>
        </w:rPr>
        <w:t xml:space="preserve"> -</w:t>
      </w:r>
      <w:r w:rsidRPr="001B4703">
        <w:rPr>
          <w:sz w:val="22"/>
          <w:szCs w:val="22"/>
        </w:rPr>
        <w:t xml:space="preserve"> Plenário, proferido nos autos do TC-031.021/2007-3. </w:t>
      </w:r>
      <w:r w:rsidRPr="001B4703">
        <w:rPr>
          <w:b/>
          <w:i/>
          <w:sz w:val="22"/>
          <w:szCs w:val="22"/>
        </w:rPr>
        <w:t>Acórdão n.º 2853/2011 - Plenário, T</w:t>
      </w:r>
      <w:r w:rsidR="005C21D8" w:rsidRPr="001B4703">
        <w:rPr>
          <w:b/>
          <w:i/>
          <w:sz w:val="22"/>
          <w:szCs w:val="22"/>
        </w:rPr>
        <w:t>C-</w:t>
      </w:r>
      <w:r w:rsidRPr="001B4703">
        <w:rPr>
          <w:b/>
          <w:i/>
          <w:sz w:val="22"/>
          <w:szCs w:val="22"/>
        </w:rPr>
        <w:t>003.857/2011-5, rel. Min. Marcos Bemquerer, 25.10.2011.</w:t>
      </w:r>
    </w:p>
    <w:p w:rsidR="006D3693" w:rsidRPr="002B32DD" w:rsidRDefault="00713A76" w:rsidP="008B4C83">
      <w:pPr>
        <w:tabs>
          <w:tab w:val="left" w:pos="1134"/>
        </w:tabs>
        <w:spacing w:after="0"/>
        <w:ind w:left="0"/>
        <w:rPr>
          <w:sz w:val="22"/>
          <w:szCs w:val="22"/>
        </w:rPr>
      </w:pPr>
      <w:r>
        <w:rPr>
          <w:lang w:eastAsia="pt-BR"/>
        </w:rPr>
        <w:t xml:space="preserve"> </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tblGrid>
      <w:tr w:rsidR="007334B1" w:rsidRPr="00805659" w:rsidTr="00B50CEE">
        <w:trPr>
          <w:trHeight w:val="779"/>
        </w:trPr>
        <w:tc>
          <w:tcPr>
            <w:tcW w:w="3082" w:type="dxa"/>
            <w:vAlign w:val="center"/>
          </w:tcPr>
          <w:p w:rsidR="007334B1" w:rsidRPr="002E6712" w:rsidRDefault="00C10DD5" w:rsidP="008B4C83">
            <w:pPr>
              <w:pStyle w:val="enter-3pt"/>
              <w:tabs>
                <w:tab w:val="left" w:pos="2590"/>
              </w:tabs>
              <w:spacing w:line="240" w:lineRule="auto"/>
              <w:jc w:val="center"/>
              <w:rPr>
                <w:b/>
                <w:i/>
                <w:sz w:val="18"/>
                <w:szCs w:val="18"/>
              </w:rPr>
            </w:pPr>
            <w:r w:rsidRPr="002E6712">
              <w:rPr>
                <w:b/>
                <w:i/>
                <w:sz w:val="18"/>
                <w:szCs w:val="18"/>
              </w:rPr>
              <w:t>Elaboração: Secretaria das Sessões</w:t>
            </w:r>
          </w:p>
          <w:p w:rsidR="007334B1" w:rsidRPr="002E6712" w:rsidRDefault="007334B1" w:rsidP="008B4C83">
            <w:pPr>
              <w:pStyle w:val="enter-3pt"/>
              <w:tabs>
                <w:tab w:val="left" w:pos="736"/>
              </w:tabs>
              <w:spacing w:line="240" w:lineRule="auto"/>
              <w:jc w:val="center"/>
              <w:rPr>
                <w:b/>
                <w:i/>
                <w:sz w:val="22"/>
                <w:szCs w:val="22"/>
              </w:rPr>
            </w:pPr>
            <w:r w:rsidRPr="002E6712">
              <w:rPr>
                <w:b/>
                <w:i/>
                <w:sz w:val="18"/>
                <w:szCs w:val="18"/>
              </w:rPr>
              <w:t xml:space="preserve">Contato: </w:t>
            </w:r>
            <w:hyperlink r:id="rId8" w:history="1">
              <w:r w:rsidRPr="002E6712">
                <w:rPr>
                  <w:rStyle w:val="Hyperlink"/>
                  <w:b/>
                  <w:i/>
                  <w:color w:val="auto"/>
                  <w:sz w:val="18"/>
                  <w:szCs w:val="18"/>
                </w:rPr>
                <w:t>infojuris@tcu.gov.br</w:t>
              </w:r>
            </w:hyperlink>
          </w:p>
        </w:tc>
      </w:tr>
    </w:tbl>
    <w:p w:rsidR="007334B1" w:rsidRPr="00805659" w:rsidRDefault="007334B1" w:rsidP="008B4C83">
      <w:pPr>
        <w:pStyle w:val="enter-3pt"/>
        <w:tabs>
          <w:tab w:val="left" w:pos="2590"/>
        </w:tabs>
        <w:spacing w:line="240" w:lineRule="auto"/>
        <w:rPr>
          <w:b/>
          <w:color w:val="FF0000"/>
          <w:sz w:val="22"/>
          <w:szCs w:val="22"/>
        </w:rPr>
      </w:pPr>
    </w:p>
    <w:sectPr w:rsidR="007334B1" w:rsidRPr="00805659" w:rsidSect="00035A7A">
      <w:headerReference w:type="default" r:id="rId9"/>
      <w:footerReference w:type="default" r:id="rId10"/>
      <w:pgSz w:w="11906" w:h="16838" w:code="9"/>
      <w:pgMar w:top="1418"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C66" w:rsidRDefault="00D52C66" w:rsidP="008B0547">
      <w:pPr>
        <w:spacing w:after="0"/>
      </w:pPr>
      <w:r>
        <w:separator/>
      </w:r>
    </w:p>
  </w:endnote>
  <w:endnote w:type="continuationSeparator" w:id="0">
    <w:p w:rsidR="00D52C66" w:rsidRDefault="00D52C66"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18" w:rsidRPr="00C906CD" w:rsidRDefault="00B64DEF" w:rsidP="004E357A">
    <w:pPr>
      <w:pStyle w:val="Rodap"/>
      <w:jc w:val="right"/>
      <w:rPr>
        <w:sz w:val="20"/>
        <w:szCs w:val="20"/>
      </w:rPr>
    </w:pPr>
    <w:r w:rsidRPr="00C906CD">
      <w:rPr>
        <w:sz w:val="20"/>
        <w:szCs w:val="20"/>
      </w:rPr>
      <w:fldChar w:fldCharType="begin"/>
    </w:r>
    <w:r w:rsidR="003D7F18" w:rsidRPr="00C906CD">
      <w:rPr>
        <w:sz w:val="20"/>
        <w:szCs w:val="20"/>
      </w:rPr>
      <w:instrText xml:space="preserve"> PAGE   \* MERGEFORMAT </w:instrText>
    </w:r>
    <w:r w:rsidRPr="00C906CD">
      <w:rPr>
        <w:sz w:val="20"/>
        <w:szCs w:val="20"/>
      </w:rPr>
      <w:fldChar w:fldCharType="separate"/>
    </w:r>
    <w:r w:rsidR="001A5D9F">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C66" w:rsidRDefault="00D52C66" w:rsidP="008B0547">
      <w:pPr>
        <w:spacing w:after="0"/>
      </w:pPr>
      <w:r>
        <w:separator/>
      </w:r>
    </w:p>
  </w:footnote>
  <w:footnote w:type="continuationSeparator" w:id="0">
    <w:p w:rsidR="00D52C66" w:rsidRDefault="00D52C66"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F18" w:rsidRDefault="00EE5529"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3"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D7F18">
      <w:rPr>
        <w:rFonts w:ascii="Arial" w:hAnsi="Arial" w:cs="Arial"/>
        <w:b/>
      </w:rPr>
      <w:t>TRIBUNAL DE CONTAS DA UNIÃO</w:t>
    </w:r>
  </w:p>
  <w:p w:rsidR="003D7F18" w:rsidRPr="00515E7B" w:rsidRDefault="00EE5529" w:rsidP="00080148">
    <w:pPr>
      <w:spacing w:after="0"/>
      <w:rPr>
        <w:rFonts w:ascii="Arial" w:hAnsi="Arial" w:cs="Arial"/>
        <w:b/>
      </w:rPr>
    </w:pPr>
    <w:r w:rsidRPr="00B64DEF">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24E6B"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3D7F18" w:rsidRPr="00515E7B">
      <w:rPr>
        <w:rFonts w:ascii="Arial" w:hAnsi="Arial" w:cs="Arial"/>
        <w:noProof/>
        <w:lang w:eastAsia="pt-BR"/>
      </w:rPr>
      <w:t>Info</w:t>
    </w:r>
    <w:r w:rsidR="003D7F18">
      <w:rPr>
        <w:rFonts w:ascii="Arial" w:hAnsi="Arial" w:cs="Arial"/>
        <w:noProof/>
        <w:lang w:eastAsia="pt-BR"/>
      </w:rPr>
      <w:t>rmativo de Jurisprudência sobre L</w:t>
    </w:r>
    <w:r w:rsidR="003D7F18" w:rsidRPr="00515E7B">
      <w:rPr>
        <w:rFonts w:ascii="Arial" w:hAnsi="Arial" w:cs="Arial"/>
        <w:noProof/>
        <w:lang w:eastAsia="pt-BR"/>
      </w:rPr>
      <w:t xml:space="preserve">icitações e </w:t>
    </w:r>
    <w:r w:rsidR="003D7F18">
      <w:rPr>
        <w:rFonts w:ascii="Arial" w:hAnsi="Arial" w:cs="Arial"/>
        <w:noProof/>
        <w:lang w:eastAsia="pt-BR"/>
      </w:rPr>
      <w:t>C</w:t>
    </w:r>
    <w:r w:rsidR="003D7F18" w:rsidRPr="00515E7B">
      <w:rPr>
        <w:rFonts w:ascii="Arial" w:hAnsi="Arial" w:cs="Arial"/>
        <w:noProof/>
        <w:lang w:eastAsia="pt-BR"/>
      </w:rPr>
      <w:t>ontratos</w:t>
    </w:r>
    <w:r w:rsidR="003D7F18">
      <w:rPr>
        <w:rFonts w:ascii="Arial" w:hAnsi="Arial" w:cs="Arial"/>
        <w:noProof/>
        <w:lang w:eastAsia="pt-BR"/>
      </w:rPr>
      <w:t xml:space="preserve"> nº </w:t>
    </w:r>
    <w:r w:rsidR="00ED0399">
      <w:rPr>
        <w:rFonts w:ascii="Arial" w:hAnsi="Arial" w:cs="Arial"/>
        <w:noProof/>
        <w:lang w:eastAsia="pt-BR"/>
      </w:rPr>
      <w:t>84</w:t>
    </w:r>
  </w:p>
  <w:p w:rsidR="003D7F18" w:rsidRDefault="003D7F1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0">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2">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3">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4">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5">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6">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4">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7">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1"/>
  </w:num>
  <w:num w:numId="2">
    <w:abstractNumId w:val="18"/>
  </w:num>
  <w:num w:numId="3">
    <w:abstractNumId w:val="8"/>
  </w:num>
  <w:num w:numId="4">
    <w:abstractNumId w:val="0"/>
  </w:num>
  <w:num w:numId="5">
    <w:abstractNumId w:val="10"/>
  </w:num>
  <w:num w:numId="6">
    <w:abstractNumId w:val="17"/>
  </w:num>
  <w:num w:numId="7">
    <w:abstractNumId w:val="25"/>
  </w:num>
  <w:num w:numId="8">
    <w:abstractNumId w:val="22"/>
  </w:num>
  <w:num w:numId="9">
    <w:abstractNumId w:val="19"/>
  </w:num>
  <w:num w:numId="10">
    <w:abstractNumId w:val="6"/>
  </w:num>
  <w:num w:numId="11">
    <w:abstractNumId w:val="27"/>
  </w:num>
  <w:num w:numId="12">
    <w:abstractNumId w:val="4"/>
  </w:num>
  <w:num w:numId="13">
    <w:abstractNumId w:val="16"/>
  </w:num>
  <w:num w:numId="14">
    <w:abstractNumId w:val="24"/>
  </w:num>
  <w:num w:numId="15">
    <w:abstractNumId w:val="14"/>
  </w:num>
  <w:num w:numId="16">
    <w:abstractNumId w:val="2"/>
  </w:num>
  <w:num w:numId="17">
    <w:abstractNumId w:val="12"/>
  </w:num>
  <w:num w:numId="18">
    <w:abstractNumId w:val="26"/>
    <w:lvlOverride w:ilvl="0">
      <w:startOverride w:val="1"/>
    </w:lvlOverride>
  </w:num>
  <w:num w:numId="19">
    <w:abstractNumId w:val="20"/>
  </w:num>
  <w:num w:numId="20">
    <w:abstractNumId w:val="11"/>
  </w:num>
  <w:num w:numId="21">
    <w:abstractNumId w:val="7"/>
  </w:num>
  <w:num w:numId="22">
    <w:abstractNumId w:val="9"/>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3"/>
  </w:num>
  <w:num w:numId="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CEA"/>
    <w:rsid w:val="00004614"/>
    <w:rsid w:val="00005435"/>
    <w:rsid w:val="00005E1E"/>
    <w:rsid w:val="000118BC"/>
    <w:rsid w:val="000118CC"/>
    <w:rsid w:val="00011D5A"/>
    <w:rsid w:val="00012468"/>
    <w:rsid w:val="00013851"/>
    <w:rsid w:val="000150DC"/>
    <w:rsid w:val="000161F7"/>
    <w:rsid w:val="0001636D"/>
    <w:rsid w:val="00020C27"/>
    <w:rsid w:val="00020C75"/>
    <w:rsid w:val="00020FC8"/>
    <w:rsid w:val="0002327E"/>
    <w:rsid w:val="00023D72"/>
    <w:rsid w:val="000253D1"/>
    <w:rsid w:val="00025450"/>
    <w:rsid w:val="000271FA"/>
    <w:rsid w:val="000300A2"/>
    <w:rsid w:val="00032198"/>
    <w:rsid w:val="00033551"/>
    <w:rsid w:val="00035A7A"/>
    <w:rsid w:val="00036912"/>
    <w:rsid w:val="00037DCE"/>
    <w:rsid w:val="00040319"/>
    <w:rsid w:val="00041450"/>
    <w:rsid w:val="000438FC"/>
    <w:rsid w:val="00045A6E"/>
    <w:rsid w:val="000460E4"/>
    <w:rsid w:val="0004660A"/>
    <w:rsid w:val="0005133B"/>
    <w:rsid w:val="0005205F"/>
    <w:rsid w:val="00052B15"/>
    <w:rsid w:val="0005356E"/>
    <w:rsid w:val="000540FC"/>
    <w:rsid w:val="0005412B"/>
    <w:rsid w:val="00054432"/>
    <w:rsid w:val="00054FBE"/>
    <w:rsid w:val="000562CD"/>
    <w:rsid w:val="00056A5A"/>
    <w:rsid w:val="00056D51"/>
    <w:rsid w:val="0006028E"/>
    <w:rsid w:val="00060CE3"/>
    <w:rsid w:val="00061C2E"/>
    <w:rsid w:val="000622E0"/>
    <w:rsid w:val="00065E95"/>
    <w:rsid w:val="000675D5"/>
    <w:rsid w:val="00070785"/>
    <w:rsid w:val="00071F40"/>
    <w:rsid w:val="0007259B"/>
    <w:rsid w:val="00074384"/>
    <w:rsid w:val="00074AC5"/>
    <w:rsid w:val="00077A56"/>
    <w:rsid w:val="00080148"/>
    <w:rsid w:val="000807D4"/>
    <w:rsid w:val="00081DFB"/>
    <w:rsid w:val="000835D8"/>
    <w:rsid w:val="00084282"/>
    <w:rsid w:val="00084727"/>
    <w:rsid w:val="00086A39"/>
    <w:rsid w:val="00086BAA"/>
    <w:rsid w:val="00087006"/>
    <w:rsid w:val="0009133A"/>
    <w:rsid w:val="000916AF"/>
    <w:rsid w:val="00092C2E"/>
    <w:rsid w:val="00094C5B"/>
    <w:rsid w:val="00094EEC"/>
    <w:rsid w:val="0009542C"/>
    <w:rsid w:val="00095D98"/>
    <w:rsid w:val="0009748C"/>
    <w:rsid w:val="00097863"/>
    <w:rsid w:val="00097ABD"/>
    <w:rsid w:val="00097BF6"/>
    <w:rsid w:val="000A0EF8"/>
    <w:rsid w:val="000A152A"/>
    <w:rsid w:val="000A1EBD"/>
    <w:rsid w:val="000A2C56"/>
    <w:rsid w:val="000A4177"/>
    <w:rsid w:val="000A47EA"/>
    <w:rsid w:val="000A57DA"/>
    <w:rsid w:val="000A599E"/>
    <w:rsid w:val="000A6269"/>
    <w:rsid w:val="000A62BD"/>
    <w:rsid w:val="000B0ECB"/>
    <w:rsid w:val="000B0FEA"/>
    <w:rsid w:val="000B2AFA"/>
    <w:rsid w:val="000B5DB2"/>
    <w:rsid w:val="000B639F"/>
    <w:rsid w:val="000B6BC1"/>
    <w:rsid w:val="000C02AD"/>
    <w:rsid w:val="000C22C0"/>
    <w:rsid w:val="000C3DAB"/>
    <w:rsid w:val="000C4A10"/>
    <w:rsid w:val="000C6501"/>
    <w:rsid w:val="000C7D11"/>
    <w:rsid w:val="000D1878"/>
    <w:rsid w:val="000D1B91"/>
    <w:rsid w:val="000D1EF5"/>
    <w:rsid w:val="000D1FD7"/>
    <w:rsid w:val="000D3B07"/>
    <w:rsid w:val="000D6388"/>
    <w:rsid w:val="000D6418"/>
    <w:rsid w:val="000D7DB6"/>
    <w:rsid w:val="000D7DED"/>
    <w:rsid w:val="000E020F"/>
    <w:rsid w:val="000E12F7"/>
    <w:rsid w:val="000E2D47"/>
    <w:rsid w:val="000E3B31"/>
    <w:rsid w:val="000E3C6D"/>
    <w:rsid w:val="000E504D"/>
    <w:rsid w:val="000E7FD4"/>
    <w:rsid w:val="000F2133"/>
    <w:rsid w:val="000F2D05"/>
    <w:rsid w:val="000F2F92"/>
    <w:rsid w:val="000F6D85"/>
    <w:rsid w:val="000F7CEE"/>
    <w:rsid w:val="000F7D84"/>
    <w:rsid w:val="00102D37"/>
    <w:rsid w:val="001041ED"/>
    <w:rsid w:val="001104BA"/>
    <w:rsid w:val="001125A2"/>
    <w:rsid w:val="00112676"/>
    <w:rsid w:val="00112A5F"/>
    <w:rsid w:val="001134AC"/>
    <w:rsid w:val="0011373A"/>
    <w:rsid w:val="00113A1F"/>
    <w:rsid w:val="00114511"/>
    <w:rsid w:val="00115911"/>
    <w:rsid w:val="00116BAB"/>
    <w:rsid w:val="001203BE"/>
    <w:rsid w:val="00122F63"/>
    <w:rsid w:val="00125F9A"/>
    <w:rsid w:val="00126026"/>
    <w:rsid w:val="00130A0C"/>
    <w:rsid w:val="00133EA9"/>
    <w:rsid w:val="00137B22"/>
    <w:rsid w:val="00137FE3"/>
    <w:rsid w:val="00140DA3"/>
    <w:rsid w:val="00140FED"/>
    <w:rsid w:val="00141D7A"/>
    <w:rsid w:val="001420D1"/>
    <w:rsid w:val="00142C16"/>
    <w:rsid w:val="001444A2"/>
    <w:rsid w:val="00144987"/>
    <w:rsid w:val="00151F92"/>
    <w:rsid w:val="0015258E"/>
    <w:rsid w:val="00152ECC"/>
    <w:rsid w:val="001532E4"/>
    <w:rsid w:val="00156A48"/>
    <w:rsid w:val="00156C90"/>
    <w:rsid w:val="00156DDB"/>
    <w:rsid w:val="00157614"/>
    <w:rsid w:val="00157AFE"/>
    <w:rsid w:val="00157C0F"/>
    <w:rsid w:val="001612C0"/>
    <w:rsid w:val="001665B9"/>
    <w:rsid w:val="00171E89"/>
    <w:rsid w:val="001737F7"/>
    <w:rsid w:val="001744E7"/>
    <w:rsid w:val="00176375"/>
    <w:rsid w:val="001766A9"/>
    <w:rsid w:val="00181339"/>
    <w:rsid w:val="00192052"/>
    <w:rsid w:val="00194A2B"/>
    <w:rsid w:val="00195F77"/>
    <w:rsid w:val="001A0B42"/>
    <w:rsid w:val="001A0CC1"/>
    <w:rsid w:val="001A2451"/>
    <w:rsid w:val="001A330B"/>
    <w:rsid w:val="001A58D8"/>
    <w:rsid w:val="001A5D9F"/>
    <w:rsid w:val="001A60A2"/>
    <w:rsid w:val="001A75FE"/>
    <w:rsid w:val="001A79D3"/>
    <w:rsid w:val="001B1669"/>
    <w:rsid w:val="001B19FF"/>
    <w:rsid w:val="001B3BEF"/>
    <w:rsid w:val="001B3E8E"/>
    <w:rsid w:val="001B4703"/>
    <w:rsid w:val="001B4F90"/>
    <w:rsid w:val="001B5333"/>
    <w:rsid w:val="001B5426"/>
    <w:rsid w:val="001B6823"/>
    <w:rsid w:val="001B7F4F"/>
    <w:rsid w:val="001C0575"/>
    <w:rsid w:val="001C1568"/>
    <w:rsid w:val="001C437E"/>
    <w:rsid w:val="001C5C51"/>
    <w:rsid w:val="001C71E3"/>
    <w:rsid w:val="001C72D6"/>
    <w:rsid w:val="001D03C7"/>
    <w:rsid w:val="001D0FAF"/>
    <w:rsid w:val="001D1478"/>
    <w:rsid w:val="001D1E52"/>
    <w:rsid w:val="001D35B4"/>
    <w:rsid w:val="001D56C3"/>
    <w:rsid w:val="001D74CE"/>
    <w:rsid w:val="001E0BF1"/>
    <w:rsid w:val="001E1E28"/>
    <w:rsid w:val="001E2620"/>
    <w:rsid w:val="001E4147"/>
    <w:rsid w:val="001E7019"/>
    <w:rsid w:val="001E71F9"/>
    <w:rsid w:val="001E747D"/>
    <w:rsid w:val="001E7C3D"/>
    <w:rsid w:val="001F00DF"/>
    <w:rsid w:val="001F1E8F"/>
    <w:rsid w:val="001F27E3"/>
    <w:rsid w:val="001F553C"/>
    <w:rsid w:val="00200260"/>
    <w:rsid w:val="002002CE"/>
    <w:rsid w:val="0020066F"/>
    <w:rsid w:val="0020107A"/>
    <w:rsid w:val="0020135D"/>
    <w:rsid w:val="00201FED"/>
    <w:rsid w:val="00202EAD"/>
    <w:rsid w:val="00203A6F"/>
    <w:rsid w:val="00211816"/>
    <w:rsid w:val="00213CF8"/>
    <w:rsid w:val="00217B1B"/>
    <w:rsid w:val="00223BB9"/>
    <w:rsid w:val="002253C0"/>
    <w:rsid w:val="00225D42"/>
    <w:rsid w:val="00226AEF"/>
    <w:rsid w:val="00226D9D"/>
    <w:rsid w:val="00227776"/>
    <w:rsid w:val="002277A9"/>
    <w:rsid w:val="00232158"/>
    <w:rsid w:val="002328F9"/>
    <w:rsid w:val="0023395B"/>
    <w:rsid w:val="00233CE3"/>
    <w:rsid w:val="002343BF"/>
    <w:rsid w:val="00234556"/>
    <w:rsid w:val="0023535F"/>
    <w:rsid w:val="00235D4C"/>
    <w:rsid w:val="00236DEA"/>
    <w:rsid w:val="00236F05"/>
    <w:rsid w:val="002415A6"/>
    <w:rsid w:val="00242061"/>
    <w:rsid w:val="002435FC"/>
    <w:rsid w:val="002442D9"/>
    <w:rsid w:val="00244BA7"/>
    <w:rsid w:val="00245432"/>
    <w:rsid w:val="0024593F"/>
    <w:rsid w:val="002476B6"/>
    <w:rsid w:val="00247E76"/>
    <w:rsid w:val="002510D5"/>
    <w:rsid w:val="00253242"/>
    <w:rsid w:val="00254590"/>
    <w:rsid w:val="002549FC"/>
    <w:rsid w:val="00257D8A"/>
    <w:rsid w:val="00261488"/>
    <w:rsid w:val="0026222C"/>
    <w:rsid w:val="00262359"/>
    <w:rsid w:val="0026362E"/>
    <w:rsid w:val="002639CA"/>
    <w:rsid w:val="002649A7"/>
    <w:rsid w:val="00264E0C"/>
    <w:rsid w:val="00264FC3"/>
    <w:rsid w:val="002663B7"/>
    <w:rsid w:val="002666C5"/>
    <w:rsid w:val="00271CD7"/>
    <w:rsid w:val="00271CF2"/>
    <w:rsid w:val="00271D81"/>
    <w:rsid w:val="0027213F"/>
    <w:rsid w:val="0027267D"/>
    <w:rsid w:val="00273058"/>
    <w:rsid w:val="00273E72"/>
    <w:rsid w:val="00274068"/>
    <w:rsid w:val="0027498E"/>
    <w:rsid w:val="0027686D"/>
    <w:rsid w:val="00276B43"/>
    <w:rsid w:val="00276DC0"/>
    <w:rsid w:val="00277F47"/>
    <w:rsid w:val="00280F3D"/>
    <w:rsid w:val="002810D9"/>
    <w:rsid w:val="00281830"/>
    <w:rsid w:val="002830F6"/>
    <w:rsid w:val="00287326"/>
    <w:rsid w:val="0029043B"/>
    <w:rsid w:val="00290A06"/>
    <w:rsid w:val="0029211E"/>
    <w:rsid w:val="0029450E"/>
    <w:rsid w:val="00294571"/>
    <w:rsid w:val="00297A00"/>
    <w:rsid w:val="002A03ED"/>
    <w:rsid w:val="002A040F"/>
    <w:rsid w:val="002A190F"/>
    <w:rsid w:val="002A2129"/>
    <w:rsid w:val="002A3796"/>
    <w:rsid w:val="002A3B3F"/>
    <w:rsid w:val="002A5A02"/>
    <w:rsid w:val="002A6CE6"/>
    <w:rsid w:val="002B059A"/>
    <w:rsid w:val="002B1AD6"/>
    <w:rsid w:val="002B2414"/>
    <w:rsid w:val="002B32DD"/>
    <w:rsid w:val="002B409B"/>
    <w:rsid w:val="002B4392"/>
    <w:rsid w:val="002B56C3"/>
    <w:rsid w:val="002B5AD5"/>
    <w:rsid w:val="002B5C5A"/>
    <w:rsid w:val="002B6422"/>
    <w:rsid w:val="002B71BA"/>
    <w:rsid w:val="002B7B4D"/>
    <w:rsid w:val="002C208E"/>
    <w:rsid w:val="002C4633"/>
    <w:rsid w:val="002C506F"/>
    <w:rsid w:val="002C662D"/>
    <w:rsid w:val="002C7B61"/>
    <w:rsid w:val="002C7B6D"/>
    <w:rsid w:val="002D0B7C"/>
    <w:rsid w:val="002D0C07"/>
    <w:rsid w:val="002D0D1A"/>
    <w:rsid w:val="002D155C"/>
    <w:rsid w:val="002D1637"/>
    <w:rsid w:val="002D1688"/>
    <w:rsid w:val="002D1B69"/>
    <w:rsid w:val="002D1BA5"/>
    <w:rsid w:val="002D3043"/>
    <w:rsid w:val="002D35F5"/>
    <w:rsid w:val="002D47FE"/>
    <w:rsid w:val="002D532D"/>
    <w:rsid w:val="002D67A8"/>
    <w:rsid w:val="002D739A"/>
    <w:rsid w:val="002D76AB"/>
    <w:rsid w:val="002D786D"/>
    <w:rsid w:val="002E1545"/>
    <w:rsid w:val="002E1910"/>
    <w:rsid w:val="002E2433"/>
    <w:rsid w:val="002E28BA"/>
    <w:rsid w:val="002E361C"/>
    <w:rsid w:val="002E3943"/>
    <w:rsid w:val="002E3F7C"/>
    <w:rsid w:val="002E4254"/>
    <w:rsid w:val="002E4F13"/>
    <w:rsid w:val="002E4FB7"/>
    <w:rsid w:val="002E6712"/>
    <w:rsid w:val="002E6FDB"/>
    <w:rsid w:val="002F104B"/>
    <w:rsid w:val="002F1C09"/>
    <w:rsid w:val="002F1E70"/>
    <w:rsid w:val="002F4696"/>
    <w:rsid w:val="002F5F3B"/>
    <w:rsid w:val="002F693C"/>
    <w:rsid w:val="002F7C6D"/>
    <w:rsid w:val="003020F4"/>
    <w:rsid w:val="003023A1"/>
    <w:rsid w:val="003025C7"/>
    <w:rsid w:val="0030360F"/>
    <w:rsid w:val="00303790"/>
    <w:rsid w:val="00303984"/>
    <w:rsid w:val="00304A73"/>
    <w:rsid w:val="00304DFD"/>
    <w:rsid w:val="003057F7"/>
    <w:rsid w:val="00306864"/>
    <w:rsid w:val="003069F9"/>
    <w:rsid w:val="00310208"/>
    <w:rsid w:val="0031058F"/>
    <w:rsid w:val="0031089E"/>
    <w:rsid w:val="00310D69"/>
    <w:rsid w:val="00313389"/>
    <w:rsid w:val="003147B7"/>
    <w:rsid w:val="00314844"/>
    <w:rsid w:val="003149A9"/>
    <w:rsid w:val="0031528D"/>
    <w:rsid w:val="00317E59"/>
    <w:rsid w:val="00320465"/>
    <w:rsid w:val="00322AE7"/>
    <w:rsid w:val="00325246"/>
    <w:rsid w:val="00325D35"/>
    <w:rsid w:val="00326448"/>
    <w:rsid w:val="0032650F"/>
    <w:rsid w:val="0032662E"/>
    <w:rsid w:val="003275E4"/>
    <w:rsid w:val="00330069"/>
    <w:rsid w:val="00330144"/>
    <w:rsid w:val="0033244F"/>
    <w:rsid w:val="00332EF9"/>
    <w:rsid w:val="00335707"/>
    <w:rsid w:val="00337E16"/>
    <w:rsid w:val="00340E66"/>
    <w:rsid w:val="00340F10"/>
    <w:rsid w:val="00341D56"/>
    <w:rsid w:val="00342A44"/>
    <w:rsid w:val="0034486B"/>
    <w:rsid w:val="00344D92"/>
    <w:rsid w:val="003455A2"/>
    <w:rsid w:val="00345760"/>
    <w:rsid w:val="00345BD4"/>
    <w:rsid w:val="003506E7"/>
    <w:rsid w:val="00350E87"/>
    <w:rsid w:val="00353B7C"/>
    <w:rsid w:val="0035438E"/>
    <w:rsid w:val="00355828"/>
    <w:rsid w:val="00356418"/>
    <w:rsid w:val="00356E38"/>
    <w:rsid w:val="00357CBE"/>
    <w:rsid w:val="00361487"/>
    <w:rsid w:val="00361661"/>
    <w:rsid w:val="00370BC7"/>
    <w:rsid w:val="00371D1B"/>
    <w:rsid w:val="00372E83"/>
    <w:rsid w:val="00375080"/>
    <w:rsid w:val="00377407"/>
    <w:rsid w:val="00380026"/>
    <w:rsid w:val="00381780"/>
    <w:rsid w:val="003824E4"/>
    <w:rsid w:val="00383CFE"/>
    <w:rsid w:val="00384BEF"/>
    <w:rsid w:val="003853FF"/>
    <w:rsid w:val="00385609"/>
    <w:rsid w:val="003856A4"/>
    <w:rsid w:val="00385DAB"/>
    <w:rsid w:val="0038696B"/>
    <w:rsid w:val="00387CBD"/>
    <w:rsid w:val="003900C7"/>
    <w:rsid w:val="0039039F"/>
    <w:rsid w:val="00390ED6"/>
    <w:rsid w:val="00391B5C"/>
    <w:rsid w:val="00392509"/>
    <w:rsid w:val="003925E5"/>
    <w:rsid w:val="00393FCC"/>
    <w:rsid w:val="003943E5"/>
    <w:rsid w:val="00397D8E"/>
    <w:rsid w:val="003A105C"/>
    <w:rsid w:val="003A2222"/>
    <w:rsid w:val="003A3262"/>
    <w:rsid w:val="003A34E7"/>
    <w:rsid w:val="003A5479"/>
    <w:rsid w:val="003A5C1B"/>
    <w:rsid w:val="003A7C7F"/>
    <w:rsid w:val="003B023B"/>
    <w:rsid w:val="003B0304"/>
    <w:rsid w:val="003B043F"/>
    <w:rsid w:val="003B155C"/>
    <w:rsid w:val="003B1E19"/>
    <w:rsid w:val="003B2E10"/>
    <w:rsid w:val="003B33CE"/>
    <w:rsid w:val="003B343D"/>
    <w:rsid w:val="003B391B"/>
    <w:rsid w:val="003B4936"/>
    <w:rsid w:val="003B56D7"/>
    <w:rsid w:val="003C1911"/>
    <w:rsid w:val="003C1B4F"/>
    <w:rsid w:val="003C2288"/>
    <w:rsid w:val="003C331C"/>
    <w:rsid w:val="003C3336"/>
    <w:rsid w:val="003C39E6"/>
    <w:rsid w:val="003C526E"/>
    <w:rsid w:val="003C6DEB"/>
    <w:rsid w:val="003C7585"/>
    <w:rsid w:val="003C7834"/>
    <w:rsid w:val="003C7A5C"/>
    <w:rsid w:val="003D660C"/>
    <w:rsid w:val="003D73BD"/>
    <w:rsid w:val="003D7CCE"/>
    <w:rsid w:val="003D7F18"/>
    <w:rsid w:val="003E0D8C"/>
    <w:rsid w:val="003E154A"/>
    <w:rsid w:val="003E1B68"/>
    <w:rsid w:val="003E65D7"/>
    <w:rsid w:val="003E7483"/>
    <w:rsid w:val="003F0515"/>
    <w:rsid w:val="003F1ACE"/>
    <w:rsid w:val="003F1CE1"/>
    <w:rsid w:val="003F2073"/>
    <w:rsid w:val="003F2D7E"/>
    <w:rsid w:val="003F413A"/>
    <w:rsid w:val="003F47A4"/>
    <w:rsid w:val="003F5249"/>
    <w:rsid w:val="003F54FB"/>
    <w:rsid w:val="003F6D1F"/>
    <w:rsid w:val="00400F7F"/>
    <w:rsid w:val="00401C7B"/>
    <w:rsid w:val="004036AF"/>
    <w:rsid w:val="00405316"/>
    <w:rsid w:val="0041153E"/>
    <w:rsid w:val="00412CEF"/>
    <w:rsid w:val="004141A8"/>
    <w:rsid w:val="004169D8"/>
    <w:rsid w:val="00420098"/>
    <w:rsid w:val="004201AF"/>
    <w:rsid w:val="00425FF9"/>
    <w:rsid w:val="00426328"/>
    <w:rsid w:val="00427B3B"/>
    <w:rsid w:val="00427EBF"/>
    <w:rsid w:val="00431085"/>
    <w:rsid w:val="00432278"/>
    <w:rsid w:val="00435269"/>
    <w:rsid w:val="004362AB"/>
    <w:rsid w:val="00441101"/>
    <w:rsid w:val="004415FB"/>
    <w:rsid w:val="00441CE3"/>
    <w:rsid w:val="00441E36"/>
    <w:rsid w:val="004421F5"/>
    <w:rsid w:val="0044284D"/>
    <w:rsid w:val="00443050"/>
    <w:rsid w:val="0044434A"/>
    <w:rsid w:val="0044437F"/>
    <w:rsid w:val="00445E76"/>
    <w:rsid w:val="00446606"/>
    <w:rsid w:val="004471BC"/>
    <w:rsid w:val="00447217"/>
    <w:rsid w:val="00451471"/>
    <w:rsid w:val="00452C60"/>
    <w:rsid w:val="0045665B"/>
    <w:rsid w:val="00457F93"/>
    <w:rsid w:val="004617A9"/>
    <w:rsid w:val="0046384E"/>
    <w:rsid w:val="00464CF4"/>
    <w:rsid w:val="00466E73"/>
    <w:rsid w:val="0046706B"/>
    <w:rsid w:val="00467815"/>
    <w:rsid w:val="00471284"/>
    <w:rsid w:val="00472FB0"/>
    <w:rsid w:val="00473696"/>
    <w:rsid w:val="00473721"/>
    <w:rsid w:val="00473A4B"/>
    <w:rsid w:val="0047491E"/>
    <w:rsid w:val="00474A6A"/>
    <w:rsid w:val="0047658E"/>
    <w:rsid w:val="004836D8"/>
    <w:rsid w:val="004837C6"/>
    <w:rsid w:val="00483998"/>
    <w:rsid w:val="00484250"/>
    <w:rsid w:val="00484E4C"/>
    <w:rsid w:val="0048657B"/>
    <w:rsid w:val="00487638"/>
    <w:rsid w:val="004878ED"/>
    <w:rsid w:val="00491438"/>
    <w:rsid w:val="00492E3F"/>
    <w:rsid w:val="00493F5C"/>
    <w:rsid w:val="00495DB3"/>
    <w:rsid w:val="00496B17"/>
    <w:rsid w:val="004A171B"/>
    <w:rsid w:val="004A2385"/>
    <w:rsid w:val="004A2D91"/>
    <w:rsid w:val="004A3B95"/>
    <w:rsid w:val="004A6F5C"/>
    <w:rsid w:val="004A7912"/>
    <w:rsid w:val="004B0194"/>
    <w:rsid w:val="004B1113"/>
    <w:rsid w:val="004B1DC3"/>
    <w:rsid w:val="004B326B"/>
    <w:rsid w:val="004B36AE"/>
    <w:rsid w:val="004B58F5"/>
    <w:rsid w:val="004B67A4"/>
    <w:rsid w:val="004C289A"/>
    <w:rsid w:val="004C61A3"/>
    <w:rsid w:val="004C6E03"/>
    <w:rsid w:val="004C780C"/>
    <w:rsid w:val="004D03BA"/>
    <w:rsid w:val="004D3100"/>
    <w:rsid w:val="004D3441"/>
    <w:rsid w:val="004D6A38"/>
    <w:rsid w:val="004D6C65"/>
    <w:rsid w:val="004D708E"/>
    <w:rsid w:val="004D760C"/>
    <w:rsid w:val="004D7C91"/>
    <w:rsid w:val="004E26E4"/>
    <w:rsid w:val="004E357A"/>
    <w:rsid w:val="004E3861"/>
    <w:rsid w:val="004E5000"/>
    <w:rsid w:val="004E65EB"/>
    <w:rsid w:val="004F0A27"/>
    <w:rsid w:val="004F3D4A"/>
    <w:rsid w:val="004F7174"/>
    <w:rsid w:val="004F7E98"/>
    <w:rsid w:val="00500DD0"/>
    <w:rsid w:val="005010BA"/>
    <w:rsid w:val="005010F3"/>
    <w:rsid w:val="005012AA"/>
    <w:rsid w:val="005012CF"/>
    <w:rsid w:val="0050355D"/>
    <w:rsid w:val="005055B5"/>
    <w:rsid w:val="00506619"/>
    <w:rsid w:val="00510257"/>
    <w:rsid w:val="00510D1D"/>
    <w:rsid w:val="00511033"/>
    <w:rsid w:val="00511BBF"/>
    <w:rsid w:val="00515E7B"/>
    <w:rsid w:val="00520894"/>
    <w:rsid w:val="005217F8"/>
    <w:rsid w:val="00521CD5"/>
    <w:rsid w:val="0052267A"/>
    <w:rsid w:val="005239DD"/>
    <w:rsid w:val="00523CA1"/>
    <w:rsid w:val="00524A9C"/>
    <w:rsid w:val="005266F4"/>
    <w:rsid w:val="0052675C"/>
    <w:rsid w:val="005303B5"/>
    <w:rsid w:val="00531143"/>
    <w:rsid w:val="005340EA"/>
    <w:rsid w:val="00534A44"/>
    <w:rsid w:val="00536332"/>
    <w:rsid w:val="00542821"/>
    <w:rsid w:val="00543514"/>
    <w:rsid w:val="005438A1"/>
    <w:rsid w:val="00543B81"/>
    <w:rsid w:val="00543C00"/>
    <w:rsid w:val="00543EB8"/>
    <w:rsid w:val="00543F41"/>
    <w:rsid w:val="00544550"/>
    <w:rsid w:val="00544FCF"/>
    <w:rsid w:val="005450DC"/>
    <w:rsid w:val="00545A47"/>
    <w:rsid w:val="00545FC7"/>
    <w:rsid w:val="0054634E"/>
    <w:rsid w:val="00546B67"/>
    <w:rsid w:val="005512D3"/>
    <w:rsid w:val="00551C0E"/>
    <w:rsid w:val="00554A33"/>
    <w:rsid w:val="0055716D"/>
    <w:rsid w:val="005571A6"/>
    <w:rsid w:val="00557953"/>
    <w:rsid w:val="00560BCD"/>
    <w:rsid w:val="00560E55"/>
    <w:rsid w:val="00562E8F"/>
    <w:rsid w:val="0056301A"/>
    <w:rsid w:val="005635AD"/>
    <w:rsid w:val="005636B0"/>
    <w:rsid w:val="005640E1"/>
    <w:rsid w:val="00564EA1"/>
    <w:rsid w:val="0056534C"/>
    <w:rsid w:val="00566E81"/>
    <w:rsid w:val="00567CEE"/>
    <w:rsid w:val="005713F4"/>
    <w:rsid w:val="00571A10"/>
    <w:rsid w:val="00571E64"/>
    <w:rsid w:val="00573D3B"/>
    <w:rsid w:val="00575CC3"/>
    <w:rsid w:val="00575D10"/>
    <w:rsid w:val="00576018"/>
    <w:rsid w:val="005808CA"/>
    <w:rsid w:val="00580F26"/>
    <w:rsid w:val="00581A7C"/>
    <w:rsid w:val="0058427E"/>
    <w:rsid w:val="005864FA"/>
    <w:rsid w:val="00590750"/>
    <w:rsid w:val="00590907"/>
    <w:rsid w:val="00590FCF"/>
    <w:rsid w:val="00592498"/>
    <w:rsid w:val="00593111"/>
    <w:rsid w:val="0059346F"/>
    <w:rsid w:val="00594A7B"/>
    <w:rsid w:val="00596C07"/>
    <w:rsid w:val="00597AA7"/>
    <w:rsid w:val="00597D16"/>
    <w:rsid w:val="005A1EAB"/>
    <w:rsid w:val="005A2D82"/>
    <w:rsid w:val="005A3835"/>
    <w:rsid w:val="005A3AEC"/>
    <w:rsid w:val="005A6858"/>
    <w:rsid w:val="005A72F2"/>
    <w:rsid w:val="005B2194"/>
    <w:rsid w:val="005B2BC3"/>
    <w:rsid w:val="005B4CFA"/>
    <w:rsid w:val="005B5B3D"/>
    <w:rsid w:val="005B68B2"/>
    <w:rsid w:val="005B7112"/>
    <w:rsid w:val="005B7166"/>
    <w:rsid w:val="005B74D2"/>
    <w:rsid w:val="005C18EE"/>
    <w:rsid w:val="005C1A79"/>
    <w:rsid w:val="005C21D8"/>
    <w:rsid w:val="005C2F32"/>
    <w:rsid w:val="005C4397"/>
    <w:rsid w:val="005C7644"/>
    <w:rsid w:val="005C7BF4"/>
    <w:rsid w:val="005D1B66"/>
    <w:rsid w:val="005D1FDF"/>
    <w:rsid w:val="005D2B0F"/>
    <w:rsid w:val="005D3352"/>
    <w:rsid w:val="005D3D1E"/>
    <w:rsid w:val="005E111B"/>
    <w:rsid w:val="005E12DD"/>
    <w:rsid w:val="005E269C"/>
    <w:rsid w:val="005E2812"/>
    <w:rsid w:val="005E3586"/>
    <w:rsid w:val="005E386D"/>
    <w:rsid w:val="005E3EC0"/>
    <w:rsid w:val="005E4DEE"/>
    <w:rsid w:val="005E5FF1"/>
    <w:rsid w:val="005E72FB"/>
    <w:rsid w:val="005F01CE"/>
    <w:rsid w:val="005F135B"/>
    <w:rsid w:val="005F40CB"/>
    <w:rsid w:val="005F4E54"/>
    <w:rsid w:val="005F6C5B"/>
    <w:rsid w:val="005F70B6"/>
    <w:rsid w:val="005F7A87"/>
    <w:rsid w:val="006011A3"/>
    <w:rsid w:val="006017DF"/>
    <w:rsid w:val="00601F0A"/>
    <w:rsid w:val="00604DBE"/>
    <w:rsid w:val="006063E1"/>
    <w:rsid w:val="006065E4"/>
    <w:rsid w:val="00606F56"/>
    <w:rsid w:val="00607D48"/>
    <w:rsid w:val="00610039"/>
    <w:rsid w:val="00610381"/>
    <w:rsid w:val="006116CE"/>
    <w:rsid w:val="00611B68"/>
    <w:rsid w:val="00611C07"/>
    <w:rsid w:val="00611E07"/>
    <w:rsid w:val="00612045"/>
    <w:rsid w:val="00612F12"/>
    <w:rsid w:val="00613AC9"/>
    <w:rsid w:val="00615808"/>
    <w:rsid w:val="00620E86"/>
    <w:rsid w:val="006219DD"/>
    <w:rsid w:val="00621D63"/>
    <w:rsid w:val="00623DAF"/>
    <w:rsid w:val="006242BF"/>
    <w:rsid w:val="00631FE7"/>
    <w:rsid w:val="00632ACC"/>
    <w:rsid w:val="006345C1"/>
    <w:rsid w:val="00634F76"/>
    <w:rsid w:val="00637FDD"/>
    <w:rsid w:val="00641E57"/>
    <w:rsid w:val="0064260D"/>
    <w:rsid w:val="00643CED"/>
    <w:rsid w:val="006478E6"/>
    <w:rsid w:val="006503A5"/>
    <w:rsid w:val="00650463"/>
    <w:rsid w:val="00651660"/>
    <w:rsid w:val="00651C0A"/>
    <w:rsid w:val="00652171"/>
    <w:rsid w:val="00653133"/>
    <w:rsid w:val="006532C3"/>
    <w:rsid w:val="0065528E"/>
    <w:rsid w:val="0065606D"/>
    <w:rsid w:val="00661BD2"/>
    <w:rsid w:val="00663B35"/>
    <w:rsid w:val="00666285"/>
    <w:rsid w:val="00670BE7"/>
    <w:rsid w:val="00670FEA"/>
    <w:rsid w:val="00671DC9"/>
    <w:rsid w:val="0067252D"/>
    <w:rsid w:val="006734AA"/>
    <w:rsid w:val="006734B3"/>
    <w:rsid w:val="0067353C"/>
    <w:rsid w:val="00676163"/>
    <w:rsid w:val="006764C4"/>
    <w:rsid w:val="006777E4"/>
    <w:rsid w:val="00677C22"/>
    <w:rsid w:val="006808CC"/>
    <w:rsid w:val="00682F4C"/>
    <w:rsid w:val="00685899"/>
    <w:rsid w:val="00691611"/>
    <w:rsid w:val="00692D30"/>
    <w:rsid w:val="00695597"/>
    <w:rsid w:val="00696013"/>
    <w:rsid w:val="00696A89"/>
    <w:rsid w:val="00696F75"/>
    <w:rsid w:val="00696FEC"/>
    <w:rsid w:val="00697477"/>
    <w:rsid w:val="006A037E"/>
    <w:rsid w:val="006A2019"/>
    <w:rsid w:val="006A21CC"/>
    <w:rsid w:val="006A3D41"/>
    <w:rsid w:val="006A7796"/>
    <w:rsid w:val="006B0495"/>
    <w:rsid w:val="006B0DCB"/>
    <w:rsid w:val="006B2223"/>
    <w:rsid w:val="006B2408"/>
    <w:rsid w:val="006B2930"/>
    <w:rsid w:val="006B3AF9"/>
    <w:rsid w:val="006B414C"/>
    <w:rsid w:val="006B4B0F"/>
    <w:rsid w:val="006C32CF"/>
    <w:rsid w:val="006C335E"/>
    <w:rsid w:val="006C3A1F"/>
    <w:rsid w:val="006C54BB"/>
    <w:rsid w:val="006C5C6C"/>
    <w:rsid w:val="006C63EB"/>
    <w:rsid w:val="006C7DE0"/>
    <w:rsid w:val="006D16CA"/>
    <w:rsid w:val="006D3693"/>
    <w:rsid w:val="006D3DC7"/>
    <w:rsid w:val="006D4245"/>
    <w:rsid w:val="006D5843"/>
    <w:rsid w:val="006E0A93"/>
    <w:rsid w:val="006E4064"/>
    <w:rsid w:val="006E58EA"/>
    <w:rsid w:val="006E5BF8"/>
    <w:rsid w:val="006F0036"/>
    <w:rsid w:val="006F2F67"/>
    <w:rsid w:val="006F3CA4"/>
    <w:rsid w:val="006F4DE0"/>
    <w:rsid w:val="006F4FB2"/>
    <w:rsid w:val="006F5E2D"/>
    <w:rsid w:val="006F62AF"/>
    <w:rsid w:val="006F6483"/>
    <w:rsid w:val="006F6EEB"/>
    <w:rsid w:val="006F7332"/>
    <w:rsid w:val="007025BA"/>
    <w:rsid w:val="0070385B"/>
    <w:rsid w:val="0070407E"/>
    <w:rsid w:val="0070494F"/>
    <w:rsid w:val="00705758"/>
    <w:rsid w:val="0070717A"/>
    <w:rsid w:val="00707244"/>
    <w:rsid w:val="00707289"/>
    <w:rsid w:val="00712CCC"/>
    <w:rsid w:val="007136E9"/>
    <w:rsid w:val="00713A76"/>
    <w:rsid w:val="00713DE5"/>
    <w:rsid w:val="007157A0"/>
    <w:rsid w:val="007174DA"/>
    <w:rsid w:val="00720910"/>
    <w:rsid w:val="00720F29"/>
    <w:rsid w:val="007224C2"/>
    <w:rsid w:val="00731117"/>
    <w:rsid w:val="00731409"/>
    <w:rsid w:val="0073204F"/>
    <w:rsid w:val="007334B1"/>
    <w:rsid w:val="007339F3"/>
    <w:rsid w:val="00733EB2"/>
    <w:rsid w:val="00736308"/>
    <w:rsid w:val="00737FEC"/>
    <w:rsid w:val="00740292"/>
    <w:rsid w:val="007424E5"/>
    <w:rsid w:val="00742B07"/>
    <w:rsid w:val="00744619"/>
    <w:rsid w:val="007463CA"/>
    <w:rsid w:val="007470D7"/>
    <w:rsid w:val="0075064C"/>
    <w:rsid w:val="00752E39"/>
    <w:rsid w:val="00755956"/>
    <w:rsid w:val="00756AA0"/>
    <w:rsid w:val="00757CE6"/>
    <w:rsid w:val="00763097"/>
    <w:rsid w:val="00764CB0"/>
    <w:rsid w:val="007666D8"/>
    <w:rsid w:val="00766D03"/>
    <w:rsid w:val="007671B6"/>
    <w:rsid w:val="007671DA"/>
    <w:rsid w:val="00767C28"/>
    <w:rsid w:val="00770C72"/>
    <w:rsid w:val="007719A8"/>
    <w:rsid w:val="0077228C"/>
    <w:rsid w:val="00772FA8"/>
    <w:rsid w:val="007737F0"/>
    <w:rsid w:val="00773CAE"/>
    <w:rsid w:val="00774593"/>
    <w:rsid w:val="00774C88"/>
    <w:rsid w:val="00776EDA"/>
    <w:rsid w:val="00777599"/>
    <w:rsid w:val="00777A3C"/>
    <w:rsid w:val="00785646"/>
    <w:rsid w:val="00785CF8"/>
    <w:rsid w:val="0079435F"/>
    <w:rsid w:val="00796068"/>
    <w:rsid w:val="00796CC0"/>
    <w:rsid w:val="00796CF1"/>
    <w:rsid w:val="007979EA"/>
    <w:rsid w:val="00797A74"/>
    <w:rsid w:val="007A0BF9"/>
    <w:rsid w:val="007A1A35"/>
    <w:rsid w:val="007A1B52"/>
    <w:rsid w:val="007A2166"/>
    <w:rsid w:val="007A2B7F"/>
    <w:rsid w:val="007A4869"/>
    <w:rsid w:val="007A5922"/>
    <w:rsid w:val="007A5969"/>
    <w:rsid w:val="007A7C23"/>
    <w:rsid w:val="007B1ABA"/>
    <w:rsid w:val="007B259B"/>
    <w:rsid w:val="007B3F28"/>
    <w:rsid w:val="007B471E"/>
    <w:rsid w:val="007B5018"/>
    <w:rsid w:val="007B53E7"/>
    <w:rsid w:val="007B65B3"/>
    <w:rsid w:val="007B7287"/>
    <w:rsid w:val="007B7A70"/>
    <w:rsid w:val="007C08AB"/>
    <w:rsid w:val="007C31F0"/>
    <w:rsid w:val="007C4E99"/>
    <w:rsid w:val="007C5151"/>
    <w:rsid w:val="007C546B"/>
    <w:rsid w:val="007C5B8D"/>
    <w:rsid w:val="007C670D"/>
    <w:rsid w:val="007C7359"/>
    <w:rsid w:val="007D0ED0"/>
    <w:rsid w:val="007D1F01"/>
    <w:rsid w:val="007D250D"/>
    <w:rsid w:val="007D3500"/>
    <w:rsid w:val="007D3868"/>
    <w:rsid w:val="007D3E0E"/>
    <w:rsid w:val="007D48CF"/>
    <w:rsid w:val="007D4A4A"/>
    <w:rsid w:val="007E0B69"/>
    <w:rsid w:val="007E0C58"/>
    <w:rsid w:val="007E0E05"/>
    <w:rsid w:val="007E1DD3"/>
    <w:rsid w:val="007E209F"/>
    <w:rsid w:val="007E23C8"/>
    <w:rsid w:val="007E2878"/>
    <w:rsid w:val="007E4655"/>
    <w:rsid w:val="007E50E4"/>
    <w:rsid w:val="007E55E0"/>
    <w:rsid w:val="007E5C50"/>
    <w:rsid w:val="007E5DED"/>
    <w:rsid w:val="007F0546"/>
    <w:rsid w:val="007F1DEB"/>
    <w:rsid w:val="007F22A5"/>
    <w:rsid w:val="007F421D"/>
    <w:rsid w:val="007F5688"/>
    <w:rsid w:val="007F588F"/>
    <w:rsid w:val="007F66A5"/>
    <w:rsid w:val="0080038A"/>
    <w:rsid w:val="0080065F"/>
    <w:rsid w:val="00802DA0"/>
    <w:rsid w:val="008051DE"/>
    <w:rsid w:val="00805659"/>
    <w:rsid w:val="0080733E"/>
    <w:rsid w:val="00810CC2"/>
    <w:rsid w:val="0081324B"/>
    <w:rsid w:val="0081440E"/>
    <w:rsid w:val="00816193"/>
    <w:rsid w:val="008165E4"/>
    <w:rsid w:val="008234BD"/>
    <w:rsid w:val="00824A8C"/>
    <w:rsid w:val="00825155"/>
    <w:rsid w:val="00825EB9"/>
    <w:rsid w:val="008301B7"/>
    <w:rsid w:val="008303E2"/>
    <w:rsid w:val="00833A8F"/>
    <w:rsid w:val="008341F8"/>
    <w:rsid w:val="008359F3"/>
    <w:rsid w:val="00835DB6"/>
    <w:rsid w:val="00836AC2"/>
    <w:rsid w:val="00837D13"/>
    <w:rsid w:val="008406D5"/>
    <w:rsid w:val="00843BED"/>
    <w:rsid w:val="008447C8"/>
    <w:rsid w:val="00844C5B"/>
    <w:rsid w:val="008452F6"/>
    <w:rsid w:val="00847B37"/>
    <w:rsid w:val="008501A4"/>
    <w:rsid w:val="008505A1"/>
    <w:rsid w:val="00850817"/>
    <w:rsid w:val="00851D16"/>
    <w:rsid w:val="00851E54"/>
    <w:rsid w:val="0085433A"/>
    <w:rsid w:val="00854B32"/>
    <w:rsid w:val="00855F2B"/>
    <w:rsid w:val="00856252"/>
    <w:rsid w:val="00857634"/>
    <w:rsid w:val="0086124E"/>
    <w:rsid w:val="00861B74"/>
    <w:rsid w:val="0086240F"/>
    <w:rsid w:val="00864A10"/>
    <w:rsid w:val="008652C9"/>
    <w:rsid w:val="00866992"/>
    <w:rsid w:val="00866CA9"/>
    <w:rsid w:val="00867E32"/>
    <w:rsid w:val="00872942"/>
    <w:rsid w:val="00875991"/>
    <w:rsid w:val="00875BB5"/>
    <w:rsid w:val="008771B6"/>
    <w:rsid w:val="00877FDD"/>
    <w:rsid w:val="00880FED"/>
    <w:rsid w:val="0088186D"/>
    <w:rsid w:val="008841C8"/>
    <w:rsid w:val="00885367"/>
    <w:rsid w:val="008855A4"/>
    <w:rsid w:val="00887082"/>
    <w:rsid w:val="00887C8D"/>
    <w:rsid w:val="00887DC7"/>
    <w:rsid w:val="00890C30"/>
    <w:rsid w:val="00891FCC"/>
    <w:rsid w:val="00892BB8"/>
    <w:rsid w:val="00893014"/>
    <w:rsid w:val="008940C7"/>
    <w:rsid w:val="0089513A"/>
    <w:rsid w:val="00896755"/>
    <w:rsid w:val="008A2417"/>
    <w:rsid w:val="008A5D49"/>
    <w:rsid w:val="008A6952"/>
    <w:rsid w:val="008A751E"/>
    <w:rsid w:val="008A756C"/>
    <w:rsid w:val="008B0547"/>
    <w:rsid w:val="008B11A3"/>
    <w:rsid w:val="008B1FE5"/>
    <w:rsid w:val="008B2AD7"/>
    <w:rsid w:val="008B3A74"/>
    <w:rsid w:val="008B3D72"/>
    <w:rsid w:val="008B434A"/>
    <w:rsid w:val="008B4C83"/>
    <w:rsid w:val="008B5DA7"/>
    <w:rsid w:val="008B7B55"/>
    <w:rsid w:val="008C3A5B"/>
    <w:rsid w:val="008C3D50"/>
    <w:rsid w:val="008C5B71"/>
    <w:rsid w:val="008D0E23"/>
    <w:rsid w:val="008D2382"/>
    <w:rsid w:val="008D3521"/>
    <w:rsid w:val="008D5667"/>
    <w:rsid w:val="008D6F5D"/>
    <w:rsid w:val="008D73C0"/>
    <w:rsid w:val="008E003A"/>
    <w:rsid w:val="008E15E3"/>
    <w:rsid w:val="008E2045"/>
    <w:rsid w:val="008E4C62"/>
    <w:rsid w:val="008E727E"/>
    <w:rsid w:val="008F0B17"/>
    <w:rsid w:val="008F2902"/>
    <w:rsid w:val="008F4047"/>
    <w:rsid w:val="008F4111"/>
    <w:rsid w:val="008F4593"/>
    <w:rsid w:val="008F660B"/>
    <w:rsid w:val="008F695F"/>
    <w:rsid w:val="009005CE"/>
    <w:rsid w:val="00901376"/>
    <w:rsid w:val="0090188B"/>
    <w:rsid w:val="009021A4"/>
    <w:rsid w:val="00903309"/>
    <w:rsid w:val="00904305"/>
    <w:rsid w:val="0090441C"/>
    <w:rsid w:val="00904BEA"/>
    <w:rsid w:val="00904EC5"/>
    <w:rsid w:val="00907E1D"/>
    <w:rsid w:val="0091406E"/>
    <w:rsid w:val="00914B48"/>
    <w:rsid w:val="0091511B"/>
    <w:rsid w:val="009172D7"/>
    <w:rsid w:val="00917B6F"/>
    <w:rsid w:val="00921B5C"/>
    <w:rsid w:val="009239AA"/>
    <w:rsid w:val="009245B5"/>
    <w:rsid w:val="009245D0"/>
    <w:rsid w:val="00924AB4"/>
    <w:rsid w:val="00925EF2"/>
    <w:rsid w:val="00935C40"/>
    <w:rsid w:val="00935F4D"/>
    <w:rsid w:val="0093795C"/>
    <w:rsid w:val="00937DCB"/>
    <w:rsid w:val="00937F7E"/>
    <w:rsid w:val="00940B32"/>
    <w:rsid w:val="009440DE"/>
    <w:rsid w:val="009444E6"/>
    <w:rsid w:val="00944A8E"/>
    <w:rsid w:val="009455E6"/>
    <w:rsid w:val="0094589B"/>
    <w:rsid w:val="00946CEA"/>
    <w:rsid w:val="00950775"/>
    <w:rsid w:val="009509C0"/>
    <w:rsid w:val="00952B9C"/>
    <w:rsid w:val="0095361D"/>
    <w:rsid w:val="00953B70"/>
    <w:rsid w:val="00955415"/>
    <w:rsid w:val="00956330"/>
    <w:rsid w:val="00956348"/>
    <w:rsid w:val="00956BA7"/>
    <w:rsid w:val="00956FD8"/>
    <w:rsid w:val="009575F7"/>
    <w:rsid w:val="00957E4B"/>
    <w:rsid w:val="0096021A"/>
    <w:rsid w:val="00960F73"/>
    <w:rsid w:val="009642CA"/>
    <w:rsid w:val="009652B6"/>
    <w:rsid w:val="0096655D"/>
    <w:rsid w:val="00966941"/>
    <w:rsid w:val="00967272"/>
    <w:rsid w:val="00971139"/>
    <w:rsid w:val="00971F5D"/>
    <w:rsid w:val="00972B10"/>
    <w:rsid w:val="0097401F"/>
    <w:rsid w:val="00975E28"/>
    <w:rsid w:val="00981FA0"/>
    <w:rsid w:val="0098263A"/>
    <w:rsid w:val="00983541"/>
    <w:rsid w:val="00984366"/>
    <w:rsid w:val="00984E80"/>
    <w:rsid w:val="0098690F"/>
    <w:rsid w:val="00987EE5"/>
    <w:rsid w:val="00991CD8"/>
    <w:rsid w:val="00991EBE"/>
    <w:rsid w:val="009928B3"/>
    <w:rsid w:val="00992B6B"/>
    <w:rsid w:val="00993C2E"/>
    <w:rsid w:val="00993C55"/>
    <w:rsid w:val="009973FC"/>
    <w:rsid w:val="00997C8A"/>
    <w:rsid w:val="009A0E89"/>
    <w:rsid w:val="009A1339"/>
    <w:rsid w:val="009A1A95"/>
    <w:rsid w:val="009A3006"/>
    <w:rsid w:val="009A3994"/>
    <w:rsid w:val="009B2FB9"/>
    <w:rsid w:val="009B5D6F"/>
    <w:rsid w:val="009B62AF"/>
    <w:rsid w:val="009B6745"/>
    <w:rsid w:val="009B68AF"/>
    <w:rsid w:val="009B74EA"/>
    <w:rsid w:val="009B7AB9"/>
    <w:rsid w:val="009C33CA"/>
    <w:rsid w:val="009C4B6D"/>
    <w:rsid w:val="009D0928"/>
    <w:rsid w:val="009D1B99"/>
    <w:rsid w:val="009D2884"/>
    <w:rsid w:val="009D5393"/>
    <w:rsid w:val="009D5445"/>
    <w:rsid w:val="009D565F"/>
    <w:rsid w:val="009D6026"/>
    <w:rsid w:val="009D65B9"/>
    <w:rsid w:val="009D70EE"/>
    <w:rsid w:val="009D733B"/>
    <w:rsid w:val="009E04DC"/>
    <w:rsid w:val="009E0FB3"/>
    <w:rsid w:val="009E1499"/>
    <w:rsid w:val="009E3B5A"/>
    <w:rsid w:val="009E5105"/>
    <w:rsid w:val="009E59A1"/>
    <w:rsid w:val="009E66EE"/>
    <w:rsid w:val="009F015D"/>
    <w:rsid w:val="009F126D"/>
    <w:rsid w:val="009F4326"/>
    <w:rsid w:val="009F7FA6"/>
    <w:rsid w:val="00A0082F"/>
    <w:rsid w:val="00A00AE7"/>
    <w:rsid w:val="00A00DA2"/>
    <w:rsid w:val="00A0244C"/>
    <w:rsid w:val="00A033FF"/>
    <w:rsid w:val="00A0409E"/>
    <w:rsid w:val="00A046C7"/>
    <w:rsid w:val="00A04EDA"/>
    <w:rsid w:val="00A06137"/>
    <w:rsid w:val="00A063FE"/>
    <w:rsid w:val="00A06EDB"/>
    <w:rsid w:val="00A07ACC"/>
    <w:rsid w:val="00A11259"/>
    <w:rsid w:val="00A1329C"/>
    <w:rsid w:val="00A14503"/>
    <w:rsid w:val="00A14E25"/>
    <w:rsid w:val="00A14E81"/>
    <w:rsid w:val="00A16A60"/>
    <w:rsid w:val="00A17A3D"/>
    <w:rsid w:val="00A205AD"/>
    <w:rsid w:val="00A2062A"/>
    <w:rsid w:val="00A2066E"/>
    <w:rsid w:val="00A21E19"/>
    <w:rsid w:val="00A236A1"/>
    <w:rsid w:val="00A239A8"/>
    <w:rsid w:val="00A25B79"/>
    <w:rsid w:val="00A30683"/>
    <w:rsid w:val="00A3115F"/>
    <w:rsid w:val="00A32209"/>
    <w:rsid w:val="00A33030"/>
    <w:rsid w:val="00A378A2"/>
    <w:rsid w:val="00A407B6"/>
    <w:rsid w:val="00A40CDE"/>
    <w:rsid w:val="00A43FBD"/>
    <w:rsid w:val="00A43FD4"/>
    <w:rsid w:val="00A44703"/>
    <w:rsid w:val="00A473D7"/>
    <w:rsid w:val="00A52DA1"/>
    <w:rsid w:val="00A54CCB"/>
    <w:rsid w:val="00A57213"/>
    <w:rsid w:val="00A5757E"/>
    <w:rsid w:val="00A60F52"/>
    <w:rsid w:val="00A61DFE"/>
    <w:rsid w:val="00A62AA8"/>
    <w:rsid w:val="00A63B4C"/>
    <w:rsid w:val="00A6526F"/>
    <w:rsid w:val="00A6604B"/>
    <w:rsid w:val="00A664AD"/>
    <w:rsid w:val="00A664E7"/>
    <w:rsid w:val="00A66E7F"/>
    <w:rsid w:val="00A67917"/>
    <w:rsid w:val="00A67DFA"/>
    <w:rsid w:val="00A70904"/>
    <w:rsid w:val="00A709BB"/>
    <w:rsid w:val="00A75C52"/>
    <w:rsid w:val="00A767B2"/>
    <w:rsid w:val="00A7717C"/>
    <w:rsid w:val="00A81B11"/>
    <w:rsid w:val="00A82B9E"/>
    <w:rsid w:val="00A84186"/>
    <w:rsid w:val="00A846F1"/>
    <w:rsid w:val="00A857B4"/>
    <w:rsid w:val="00A85B14"/>
    <w:rsid w:val="00A875C0"/>
    <w:rsid w:val="00A87C15"/>
    <w:rsid w:val="00A92706"/>
    <w:rsid w:val="00A9704A"/>
    <w:rsid w:val="00A97AD0"/>
    <w:rsid w:val="00AA0C5B"/>
    <w:rsid w:val="00AA1377"/>
    <w:rsid w:val="00AA1D1B"/>
    <w:rsid w:val="00AA4907"/>
    <w:rsid w:val="00AA49AF"/>
    <w:rsid w:val="00AA4F2F"/>
    <w:rsid w:val="00AA57CE"/>
    <w:rsid w:val="00AA5E45"/>
    <w:rsid w:val="00AA6127"/>
    <w:rsid w:val="00AA7211"/>
    <w:rsid w:val="00AA7540"/>
    <w:rsid w:val="00AA7C51"/>
    <w:rsid w:val="00AB0B9C"/>
    <w:rsid w:val="00AB3E6B"/>
    <w:rsid w:val="00AB4D0B"/>
    <w:rsid w:val="00AB51C8"/>
    <w:rsid w:val="00AB5586"/>
    <w:rsid w:val="00AB7B25"/>
    <w:rsid w:val="00AC0BAE"/>
    <w:rsid w:val="00AC126F"/>
    <w:rsid w:val="00AC13F7"/>
    <w:rsid w:val="00AC3256"/>
    <w:rsid w:val="00AC43D2"/>
    <w:rsid w:val="00AC4A94"/>
    <w:rsid w:val="00AC4B34"/>
    <w:rsid w:val="00AC6DE2"/>
    <w:rsid w:val="00AC737D"/>
    <w:rsid w:val="00AD05A6"/>
    <w:rsid w:val="00AD283D"/>
    <w:rsid w:val="00AD5922"/>
    <w:rsid w:val="00AD5F80"/>
    <w:rsid w:val="00AD6555"/>
    <w:rsid w:val="00AD7C34"/>
    <w:rsid w:val="00AE05EA"/>
    <w:rsid w:val="00AE0EDF"/>
    <w:rsid w:val="00AE1128"/>
    <w:rsid w:val="00AE14F4"/>
    <w:rsid w:val="00AE1AB0"/>
    <w:rsid w:val="00AE2609"/>
    <w:rsid w:val="00AE29A8"/>
    <w:rsid w:val="00AE3960"/>
    <w:rsid w:val="00AE4074"/>
    <w:rsid w:val="00AE439A"/>
    <w:rsid w:val="00AE591D"/>
    <w:rsid w:val="00AE617A"/>
    <w:rsid w:val="00AE713F"/>
    <w:rsid w:val="00AF01CB"/>
    <w:rsid w:val="00AF09C7"/>
    <w:rsid w:val="00AF1474"/>
    <w:rsid w:val="00AF1A40"/>
    <w:rsid w:val="00AF37F7"/>
    <w:rsid w:val="00AF4763"/>
    <w:rsid w:val="00AF4BF4"/>
    <w:rsid w:val="00B0025D"/>
    <w:rsid w:val="00B006D8"/>
    <w:rsid w:val="00B02238"/>
    <w:rsid w:val="00B03D35"/>
    <w:rsid w:val="00B05065"/>
    <w:rsid w:val="00B05194"/>
    <w:rsid w:val="00B0688D"/>
    <w:rsid w:val="00B06B45"/>
    <w:rsid w:val="00B06D33"/>
    <w:rsid w:val="00B074B3"/>
    <w:rsid w:val="00B104BD"/>
    <w:rsid w:val="00B10AD8"/>
    <w:rsid w:val="00B154B5"/>
    <w:rsid w:val="00B1606F"/>
    <w:rsid w:val="00B17303"/>
    <w:rsid w:val="00B1744E"/>
    <w:rsid w:val="00B21343"/>
    <w:rsid w:val="00B219AA"/>
    <w:rsid w:val="00B21A5B"/>
    <w:rsid w:val="00B221C7"/>
    <w:rsid w:val="00B25143"/>
    <w:rsid w:val="00B2585D"/>
    <w:rsid w:val="00B266FA"/>
    <w:rsid w:val="00B26C40"/>
    <w:rsid w:val="00B26D2E"/>
    <w:rsid w:val="00B26D82"/>
    <w:rsid w:val="00B27359"/>
    <w:rsid w:val="00B33FC2"/>
    <w:rsid w:val="00B3423E"/>
    <w:rsid w:val="00B347F1"/>
    <w:rsid w:val="00B34A99"/>
    <w:rsid w:val="00B3502B"/>
    <w:rsid w:val="00B35755"/>
    <w:rsid w:val="00B35774"/>
    <w:rsid w:val="00B3599F"/>
    <w:rsid w:val="00B35C3E"/>
    <w:rsid w:val="00B36473"/>
    <w:rsid w:val="00B408FD"/>
    <w:rsid w:val="00B40BEA"/>
    <w:rsid w:val="00B41D9D"/>
    <w:rsid w:val="00B41FE4"/>
    <w:rsid w:val="00B43F91"/>
    <w:rsid w:val="00B44029"/>
    <w:rsid w:val="00B44FFA"/>
    <w:rsid w:val="00B45428"/>
    <w:rsid w:val="00B47943"/>
    <w:rsid w:val="00B50446"/>
    <w:rsid w:val="00B50A6E"/>
    <w:rsid w:val="00B50CEE"/>
    <w:rsid w:val="00B512D2"/>
    <w:rsid w:val="00B51CB6"/>
    <w:rsid w:val="00B527BF"/>
    <w:rsid w:val="00B52DC6"/>
    <w:rsid w:val="00B530FD"/>
    <w:rsid w:val="00B53920"/>
    <w:rsid w:val="00B53C03"/>
    <w:rsid w:val="00B53C9C"/>
    <w:rsid w:val="00B558FE"/>
    <w:rsid w:val="00B55B06"/>
    <w:rsid w:val="00B56396"/>
    <w:rsid w:val="00B5639B"/>
    <w:rsid w:val="00B60C3E"/>
    <w:rsid w:val="00B615CB"/>
    <w:rsid w:val="00B63E30"/>
    <w:rsid w:val="00B645FA"/>
    <w:rsid w:val="00B64775"/>
    <w:rsid w:val="00B64DEF"/>
    <w:rsid w:val="00B657AB"/>
    <w:rsid w:val="00B65AF9"/>
    <w:rsid w:val="00B663CD"/>
    <w:rsid w:val="00B67B4F"/>
    <w:rsid w:val="00B702CD"/>
    <w:rsid w:val="00B76D66"/>
    <w:rsid w:val="00B77BB8"/>
    <w:rsid w:val="00B81718"/>
    <w:rsid w:val="00B85A97"/>
    <w:rsid w:val="00B86AF6"/>
    <w:rsid w:val="00B86E2A"/>
    <w:rsid w:val="00B877AA"/>
    <w:rsid w:val="00B9389E"/>
    <w:rsid w:val="00B94EB5"/>
    <w:rsid w:val="00B94FB6"/>
    <w:rsid w:val="00B96EA4"/>
    <w:rsid w:val="00B97282"/>
    <w:rsid w:val="00B97A3E"/>
    <w:rsid w:val="00BA2F02"/>
    <w:rsid w:val="00BA2FFD"/>
    <w:rsid w:val="00BA428A"/>
    <w:rsid w:val="00BA5365"/>
    <w:rsid w:val="00BA58B6"/>
    <w:rsid w:val="00BA629C"/>
    <w:rsid w:val="00BA62AD"/>
    <w:rsid w:val="00BA6DBD"/>
    <w:rsid w:val="00BB0267"/>
    <w:rsid w:val="00BB078B"/>
    <w:rsid w:val="00BB0E0C"/>
    <w:rsid w:val="00BB33BF"/>
    <w:rsid w:val="00BB37AF"/>
    <w:rsid w:val="00BB4769"/>
    <w:rsid w:val="00BB4C08"/>
    <w:rsid w:val="00BB61BE"/>
    <w:rsid w:val="00BB6AC3"/>
    <w:rsid w:val="00BB779D"/>
    <w:rsid w:val="00BC1B4C"/>
    <w:rsid w:val="00BC1DBD"/>
    <w:rsid w:val="00BC2414"/>
    <w:rsid w:val="00BC526B"/>
    <w:rsid w:val="00BC5737"/>
    <w:rsid w:val="00BD1747"/>
    <w:rsid w:val="00BD3C68"/>
    <w:rsid w:val="00BD421D"/>
    <w:rsid w:val="00BD4493"/>
    <w:rsid w:val="00BD6B87"/>
    <w:rsid w:val="00BD73FC"/>
    <w:rsid w:val="00BD79B1"/>
    <w:rsid w:val="00BE04D9"/>
    <w:rsid w:val="00BE08EF"/>
    <w:rsid w:val="00BE0BCC"/>
    <w:rsid w:val="00BE4614"/>
    <w:rsid w:val="00BE4E6F"/>
    <w:rsid w:val="00BE5100"/>
    <w:rsid w:val="00BE529D"/>
    <w:rsid w:val="00BE53DD"/>
    <w:rsid w:val="00BE573E"/>
    <w:rsid w:val="00BE6584"/>
    <w:rsid w:val="00BE6637"/>
    <w:rsid w:val="00BF10E8"/>
    <w:rsid w:val="00BF2033"/>
    <w:rsid w:val="00BF3158"/>
    <w:rsid w:val="00BF3169"/>
    <w:rsid w:val="00BF51B7"/>
    <w:rsid w:val="00C00953"/>
    <w:rsid w:val="00C00F38"/>
    <w:rsid w:val="00C03312"/>
    <w:rsid w:val="00C039A5"/>
    <w:rsid w:val="00C03A04"/>
    <w:rsid w:val="00C03C67"/>
    <w:rsid w:val="00C046F7"/>
    <w:rsid w:val="00C064FE"/>
    <w:rsid w:val="00C066AB"/>
    <w:rsid w:val="00C06EA1"/>
    <w:rsid w:val="00C10C0B"/>
    <w:rsid w:val="00C10DD5"/>
    <w:rsid w:val="00C11F76"/>
    <w:rsid w:val="00C13622"/>
    <w:rsid w:val="00C14D9F"/>
    <w:rsid w:val="00C15A27"/>
    <w:rsid w:val="00C15FEF"/>
    <w:rsid w:val="00C165A1"/>
    <w:rsid w:val="00C1776A"/>
    <w:rsid w:val="00C20301"/>
    <w:rsid w:val="00C209AC"/>
    <w:rsid w:val="00C22519"/>
    <w:rsid w:val="00C22F12"/>
    <w:rsid w:val="00C2305C"/>
    <w:rsid w:val="00C233D0"/>
    <w:rsid w:val="00C2380D"/>
    <w:rsid w:val="00C24162"/>
    <w:rsid w:val="00C24E78"/>
    <w:rsid w:val="00C2509D"/>
    <w:rsid w:val="00C2796E"/>
    <w:rsid w:val="00C27A2E"/>
    <w:rsid w:val="00C34ABD"/>
    <w:rsid w:val="00C353CF"/>
    <w:rsid w:val="00C35F43"/>
    <w:rsid w:val="00C36C55"/>
    <w:rsid w:val="00C37088"/>
    <w:rsid w:val="00C3715E"/>
    <w:rsid w:val="00C408D5"/>
    <w:rsid w:val="00C40B77"/>
    <w:rsid w:val="00C41D3C"/>
    <w:rsid w:val="00C43801"/>
    <w:rsid w:val="00C44A07"/>
    <w:rsid w:val="00C44BDC"/>
    <w:rsid w:val="00C45BFB"/>
    <w:rsid w:val="00C45DCE"/>
    <w:rsid w:val="00C46D15"/>
    <w:rsid w:val="00C478BD"/>
    <w:rsid w:val="00C50C5F"/>
    <w:rsid w:val="00C50C7D"/>
    <w:rsid w:val="00C50FF9"/>
    <w:rsid w:val="00C54B14"/>
    <w:rsid w:val="00C6352A"/>
    <w:rsid w:val="00C65B2D"/>
    <w:rsid w:val="00C65C5D"/>
    <w:rsid w:val="00C65DA0"/>
    <w:rsid w:val="00C6656A"/>
    <w:rsid w:val="00C66C03"/>
    <w:rsid w:val="00C711E5"/>
    <w:rsid w:val="00C730CB"/>
    <w:rsid w:val="00C731FC"/>
    <w:rsid w:val="00C73782"/>
    <w:rsid w:val="00C74107"/>
    <w:rsid w:val="00C80879"/>
    <w:rsid w:val="00C80D90"/>
    <w:rsid w:val="00C81B05"/>
    <w:rsid w:val="00C83AEE"/>
    <w:rsid w:val="00C85531"/>
    <w:rsid w:val="00C85563"/>
    <w:rsid w:val="00C85AC7"/>
    <w:rsid w:val="00C85B0B"/>
    <w:rsid w:val="00C87B0E"/>
    <w:rsid w:val="00C87F13"/>
    <w:rsid w:val="00C9045E"/>
    <w:rsid w:val="00C90466"/>
    <w:rsid w:val="00C906CD"/>
    <w:rsid w:val="00C90F10"/>
    <w:rsid w:val="00C9133D"/>
    <w:rsid w:val="00C92781"/>
    <w:rsid w:val="00C929B9"/>
    <w:rsid w:val="00C934E0"/>
    <w:rsid w:val="00C961CA"/>
    <w:rsid w:val="00C96454"/>
    <w:rsid w:val="00CA0FB8"/>
    <w:rsid w:val="00CA15F3"/>
    <w:rsid w:val="00CA2680"/>
    <w:rsid w:val="00CA4D23"/>
    <w:rsid w:val="00CA522F"/>
    <w:rsid w:val="00CA5A4E"/>
    <w:rsid w:val="00CA6716"/>
    <w:rsid w:val="00CB036A"/>
    <w:rsid w:val="00CB0501"/>
    <w:rsid w:val="00CB0D34"/>
    <w:rsid w:val="00CB2E27"/>
    <w:rsid w:val="00CB79F7"/>
    <w:rsid w:val="00CC0C2E"/>
    <w:rsid w:val="00CC18C0"/>
    <w:rsid w:val="00CC1939"/>
    <w:rsid w:val="00CC1C24"/>
    <w:rsid w:val="00CC23EB"/>
    <w:rsid w:val="00CC42D4"/>
    <w:rsid w:val="00CC4364"/>
    <w:rsid w:val="00CC64E3"/>
    <w:rsid w:val="00CC7712"/>
    <w:rsid w:val="00CC774A"/>
    <w:rsid w:val="00CD179A"/>
    <w:rsid w:val="00CD2030"/>
    <w:rsid w:val="00CD2536"/>
    <w:rsid w:val="00CD407F"/>
    <w:rsid w:val="00CD5740"/>
    <w:rsid w:val="00CD7420"/>
    <w:rsid w:val="00CE0BA7"/>
    <w:rsid w:val="00CE1F45"/>
    <w:rsid w:val="00CE2FAA"/>
    <w:rsid w:val="00CE36EF"/>
    <w:rsid w:val="00CE3FC3"/>
    <w:rsid w:val="00CE552B"/>
    <w:rsid w:val="00CE6ACB"/>
    <w:rsid w:val="00CE6D09"/>
    <w:rsid w:val="00CF0E4D"/>
    <w:rsid w:val="00CF19C6"/>
    <w:rsid w:val="00CF230D"/>
    <w:rsid w:val="00CF5489"/>
    <w:rsid w:val="00CF7615"/>
    <w:rsid w:val="00CF7823"/>
    <w:rsid w:val="00D003F8"/>
    <w:rsid w:val="00D0052C"/>
    <w:rsid w:val="00D01540"/>
    <w:rsid w:val="00D01AFE"/>
    <w:rsid w:val="00D02757"/>
    <w:rsid w:val="00D02FB7"/>
    <w:rsid w:val="00D04613"/>
    <w:rsid w:val="00D05C77"/>
    <w:rsid w:val="00D07739"/>
    <w:rsid w:val="00D10769"/>
    <w:rsid w:val="00D11642"/>
    <w:rsid w:val="00D116C7"/>
    <w:rsid w:val="00D13AC5"/>
    <w:rsid w:val="00D14E5F"/>
    <w:rsid w:val="00D14EA2"/>
    <w:rsid w:val="00D14FB2"/>
    <w:rsid w:val="00D16754"/>
    <w:rsid w:val="00D17548"/>
    <w:rsid w:val="00D17CC6"/>
    <w:rsid w:val="00D2041E"/>
    <w:rsid w:val="00D20454"/>
    <w:rsid w:val="00D20D10"/>
    <w:rsid w:val="00D23801"/>
    <w:rsid w:val="00D25662"/>
    <w:rsid w:val="00D25AEC"/>
    <w:rsid w:val="00D25B2F"/>
    <w:rsid w:val="00D305AC"/>
    <w:rsid w:val="00D32376"/>
    <w:rsid w:val="00D326DD"/>
    <w:rsid w:val="00D341C9"/>
    <w:rsid w:val="00D3447D"/>
    <w:rsid w:val="00D3488B"/>
    <w:rsid w:val="00D35F32"/>
    <w:rsid w:val="00D361DE"/>
    <w:rsid w:val="00D37427"/>
    <w:rsid w:val="00D3793E"/>
    <w:rsid w:val="00D37FB2"/>
    <w:rsid w:val="00D41A6A"/>
    <w:rsid w:val="00D4233A"/>
    <w:rsid w:val="00D44B3D"/>
    <w:rsid w:val="00D46C4C"/>
    <w:rsid w:val="00D518D9"/>
    <w:rsid w:val="00D51F18"/>
    <w:rsid w:val="00D52C66"/>
    <w:rsid w:val="00D52DA3"/>
    <w:rsid w:val="00D52E5A"/>
    <w:rsid w:val="00D53537"/>
    <w:rsid w:val="00D546A8"/>
    <w:rsid w:val="00D54E9E"/>
    <w:rsid w:val="00D551C8"/>
    <w:rsid w:val="00D55972"/>
    <w:rsid w:val="00D564BB"/>
    <w:rsid w:val="00D565FA"/>
    <w:rsid w:val="00D5674B"/>
    <w:rsid w:val="00D568ED"/>
    <w:rsid w:val="00D56BF9"/>
    <w:rsid w:val="00D56E3F"/>
    <w:rsid w:val="00D6014E"/>
    <w:rsid w:val="00D630E7"/>
    <w:rsid w:val="00D640BA"/>
    <w:rsid w:val="00D66F17"/>
    <w:rsid w:val="00D700E5"/>
    <w:rsid w:val="00D70900"/>
    <w:rsid w:val="00D71B77"/>
    <w:rsid w:val="00D74A87"/>
    <w:rsid w:val="00D76186"/>
    <w:rsid w:val="00D771E9"/>
    <w:rsid w:val="00D817F1"/>
    <w:rsid w:val="00D86C20"/>
    <w:rsid w:val="00D86DD4"/>
    <w:rsid w:val="00D909BB"/>
    <w:rsid w:val="00D92529"/>
    <w:rsid w:val="00DA1613"/>
    <w:rsid w:val="00DA330A"/>
    <w:rsid w:val="00DA5AAB"/>
    <w:rsid w:val="00DA671A"/>
    <w:rsid w:val="00DA6858"/>
    <w:rsid w:val="00DA7CBB"/>
    <w:rsid w:val="00DB08FA"/>
    <w:rsid w:val="00DB1CD7"/>
    <w:rsid w:val="00DB2651"/>
    <w:rsid w:val="00DB30B1"/>
    <w:rsid w:val="00DB3ECD"/>
    <w:rsid w:val="00DB4717"/>
    <w:rsid w:val="00DB6710"/>
    <w:rsid w:val="00DB79D5"/>
    <w:rsid w:val="00DC12C8"/>
    <w:rsid w:val="00DC6AB5"/>
    <w:rsid w:val="00DC6F31"/>
    <w:rsid w:val="00DC7004"/>
    <w:rsid w:val="00DC7FFD"/>
    <w:rsid w:val="00DD0277"/>
    <w:rsid w:val="00DD0B57"/>
    <w:rsid w:val="00DD1B11"/>
    <w:rsid w:val="00DD1B33"/>
    <w:rsid w:val="00DD66A8"/>
    <w:rsid w:val="00DD6D82"/>
    <w:rsid w:val="00DE045E"/>
    <w:rsid w:val="00DE1157"/>
    <w:rsid w:val="00DE1240"/>
    <w:rsid w:val="00DE1AA5"/>
    <w:rsid w:val="00DE231A"/>
    <w:rsid w:val="00DE23D6"/>
    <w:rsid w:val="00DE2825"/>
    <w:rsid w:val="00DE29B9"/>
    <w:rsid w:val="00DE2CB6"/>
    <w:rsid w:val="00DE2DDE"/>
    <w:rsid w:val="00DE395F"/>
    <w:rsid w:val="00DE5414"/>
    <w:rsid w:val="00DE7E46"/>
    <w:rsid w:val="00DF066D"/>
    <w:rsid w:val="00DF0C37"/>
    <w:rsid w:val="00DF24FD"/>
    <w:rsid w:val="00DF2506"/>
    <w:rsid w:val="00DF2F26"/>
    <w:rsid w:val="00DF301A"/>
    <w:rsid w:val="00DF3469"/>
    <w:rsid w:val="00DF3BE2"/>
    <w:rsid w:val="00DF4E2C"/>
    <w:rsid w:val="00DF4E34"/>
    <w:rsid w:val="00DF5ACC"/>
    <w:rsid w:val="00DF75EC"/>
    <w:rsid w:val="00E0133D"/>
    <w:rsid w:val="00E019ED"/>
    <w:rsid w:val="00E02392"/>
    <w:rsid w:val="00E0312F"/>
    <w:rsid w:val="00E04C48"/>
    <w:rsid w:val="00E05C97"/>
    <w:rsid w:val="00E05DA6"/>
    <w:rsid w:val="00E06065"/>
    <w:rsid w:val="00E07901"/>
    <w:rsid w:val="00E079C6"/>
    <w:rsid w:val="00E1273C"/>
    <w:rsid w:val="00E1434A"/>
    <w:rsid w:val="00E146CF"/>
    <w:rsid w:val="00E14BED"/>
    <w:rsid w:val="00E17711"/>
    <w:rsid w:val="00E23C05"/>
    <w:rsid w:val="00E2425F"/>
    <w:rsid w:val="00E242F0"/>
    <w:rsid w:val="00E245B0"/>
    <w:rsid w:val="00E2461C"/>
    <w:rsid w:val="00E247E2"/>
    <w:rsid w:val="00E30431"/>
    <w:rsid w:val="00E304EB"/>
    <w:rsid w:val="00E329D0"/>
    <w:rsid w:val="00E330AD"/>
    <w:rsid w:val="00E33746"/>
    <w:rsid w:val="00E342B3"/>
    <w:rsid w:val="00E3451F"/>
    <w:rsid w:val="00E34B80"/>
    <w:rsid w:val="00E36ADF"/>
    <w:rsid w:val="00E36B53"/>
    <w:rsid w:val="00E37585"/>
    <w:rsid w:val="00E41B64"/>
    <w:rsid w:val="00E42C35"/>
    <w:rsid w:val="00E469D5"/>
    <w:rsid w:val="00E46CD5"/>
    <w:rsid w:val="00E4701F"/>
    <w:rsid w:val="00E500B7"/>
    <w:rsid w:val="00E500D9"/>
    <w:rsid w:val="00E51AB5"/>
    <w:rsid w:val="00E51DFD"/>
    <w:rsid w:val="00E52345"/>
    <w:rsid w:val="00E52763"/>
    <w:rsid w:val="00E563AE"/>
    <w:rsid w:val="00E638B2"/>
    <w:rsid w:val="00E65B70"/>
    <w:rsid w:val="00E662CD"/>
    <w:rsid w:val="00E67427"/>
    <w:rsid w:val="00E676F1"/>
    <w:rsid w:val="00E73271"/>
    <w:rsid w:val="00E735DA"/>
    <w:rsid w:val="00E74214"/>
    <w:rsid w:val="00E74762"/>
    <w:rsid w:val="00E74C7D"/>
    <w:rsid w:val="00E74D52"/>
    <w:rsid w:val="00E75855"/>
    <w:rsid w:val="00E7609C"/>
    <w:rsid w:val="00E82556"/>
    <w:rsid w:val="00E85CBE"/>
    <w:rsid w:val="00E86566"/>
    <w:rsid w:val="00E875F5"/>
    <w:rsid w:val="00E92527"/>
    <w:rsid w:val="00E92A93"/>
    <w:rsid w:val="00E93620"/>
    <w:rsid w:val="00E97045"/>
    <w:rsid w:val="00E97DA3"/>
    <w:rsid w:val="00EA270C"/>
    <w:rsid w:val="00EA3185"/>
    <w:rsid w:val="00EA36EA"/>
    <w:rsid w:val="00EA466B"/>
    <w:rsid w:val="00EA5CB5"/>
    <w:rsid w:val="00EA5CF4"/>
    <w:rsid w:val="00EB09B9"/>
    <w:rsid w:val="00EB3C52"/>
    <w:rsid w:val="00EB76F7"/>
    <w:rsid w:val="00EB7CB1"/>
    <w:rsid w:val="00EC0569"/>
    <w:rsid w:val="00EC0C7B"/>
    <w:rsid w:val="00EC1C35"/>
    <w:rsid w:val="00EC1F63"/>
    <w:rsid w:val="00EC5E45"/>
    <w:rsid w:val="00ED0399"/>
    <w:rsid w:val="00ED0557"/>
    <w:rsid w:val="00ED0CF0"/>
    <w:rsid w:val="00ED34D4"/>
    <w:rsid w:val="00ED3D84"/>
    <w:rsid w:val="00ED766C"/>
    <w:rsid w:val="00ED76FB"/>
    <w:rsid w:val="00EE05C2"/>
    <w:rsid w:val="00EE0D01"/>
    <w:rsid w:val="00EE30EE"/>
    <w:rsid w:val="00EE3C6D"/>
    <w:rsid w:val="00EE4C6E"/>
    <w:rsid w:val="00EE5135"/>
    <w:rsid w:val="00EE5529"/>
    <w:rsid w:val="00EE558C"/>
    <w:rsid w:val="00EE61BE"/>
    <w:rsid w:val="00EE6DE6"/>
    <w:rsid w:val="00EF057C"/>
    <w:rsid w:val="00EF1D14"/>
    <w:rsid w:val="00EF4FEE"/>
    <w:rsid w:val="00EF6873"/>
    <w:rsid w:val="00EF6F24"/>
    <w:rsid w:val="00EF7143"/>
    <w:rsid w:val="00F0080B"/>
    <w:rsid w:val="00F00BE1"/>
    <w:rsid w:val="00F01A76"/>
    <w:rsid w:val="00F01B31"/>
    <w:rsid w:val="00F03AB9"/>
    <w:rsid w:val="00F03F4E"/>
    <w:rsid w:val="00F06479"/>
    <w:rsid w:val="00F076C5"/>
    <w:rsid w:val="00F120D9"/>
    <w:rsid w:val="00F124BE"/>
    <w:rsid w:val="00F125DE"/>
    <w:rsid w:val="00F14C13"/>
    <w:rsid w:val="00F24232"/>
    <w:rsid w:val="00F2526C"/>
    <w:rsid w:val="00F27170"/>
    <w:rsid w:val="00F30016"/>
    <w:rsid w:val="00F3144A"/>
    <w:rsid w:val="00F31C75"/>
    <w:rsid w:val="00F32543"/>
    <w:rsid w:val="00F33277"/>
    <w:rsid w:val="00F340CD"/>
    <w:rsid w:val="00F341CC"/>
    <w:rsid w:val="00F36B6C"/>
    <w:rsid w:val="00F36D10"/>
    <w:rsid w:val="00F40CAB"/>
    <w:rsid w:val="00F43960"/>
    <w:rsid w:val="00F43C3C"/>
    <w:rsid w:val="00F459C7"/>
    <w:rsid w:val="00F4663B"/>
    <w:rsid w:val="00F47C5C"/>
    <w:rsid w:val="00F54856"/>
    <w:rsid w:val="00F55D35"/>
    <w:rsid w:val="00F56CB9"/>
    <w:rsid w:val="00F57650"/>
    <w:rsid w:val="00F579FC"/>
    <w:rsid w:val="00F60C74"/>
    <w:rsid w:val="00F61841"/>
    <w:rsid w:val="00F62773"/>
    <w:rsid w:val="00F62FE5"/>
    <w:rsid w:val="00F64DD3"/>
    <w:rsid w:val="00F64F51"/>
    <w:rsid w:val="00F66122"/>
    <w:rsid w:val="00F666FD"/>
    <w:rsid w:val="00F67099"/>
    <w:rsid w:val="00F67A35"/>
    <w:rsid w:val="00F72620"/>
    <w:rsid w:val="00F759AD"/>
    <w:rsid w:val="00F765E8"/>
    <w:rsid w:val="00F8200C"/>
    <w:rsid w:val="00F82E04"/>
    <w:rsid w:val="00F85D77"/>
    <w:rsid w:val="00F86D88"/>
    <w:rsid w:val="00F87FA7"/>
    <w:rsid w:val="00F90898"/>
    <w:rsid w:val="00F914C8"/>
    <w:rsid w:val="00F92EAE"/>
    <w:rsid w:val="00F9473C"/>
    <w:rsid w:val="00F95AF6"/>
    <w:rsid w:val="00FA40A3"/>
    <w:rsid w:val="00FA45CD"/>
    <w:rsid w:val="00FA4757"/>
    <w:rsid w:val="00FA5975"/>
    <w:rsid w:val="00FA5B17"/>
    <w:rsid w:val="00FB33FA"/>
    <w:rsid w:val="00FB3BA6"/>
    <w:rsid w:val="00FB4D65"/>
    <w:rsid w:val="00FB594D"/>
    <w:rsid w:val="00FB5954"/>
    <w:rsid w:val="00FB6695"/>
    <w:rsid w:val="00FC0253"/>
    <w:rsid w:val="00FC0CDF"/>
    <w:rsid w:val="00FC0D7C"/>
    <w:rsid w:val="00FC163A"/>
    <w:rsid w:val="00FC183A"/>
    <w:rsid w:val="00FC19F5"/>
    <w:rsid w:val="00FC3D1C"/>
    <w:rsid w:val="00FC64F3"/>
    <w:rsid w:val="00FD08A7"/>
    <w:rsid w:val="00FD1295"/>
    <w:rsid w:val="00FD2E55"/>
    <w:rsid w:val="00FD2FA9"/>
    <w:rsid w:val="00FD3572"/>
    <w:rsid w:val="00FD5360"/>
    <w:rsid w:val="00FD5364"/>
    <w:rsid w:val="00FD54CC"/>
    <w:rsid w:val="00FE06A2"/>
    <w:rsid w:val="00FE0CE6"/>
    <w:rsid w:val="00FE28C8"/>
    <w:rsid w:val="00FE3E27"/>
    <w:rsid w:val="00FE79EF"/>
    <w:rsid w:val="00FF025A"/>
    <w:rsid w:val="00FF088B"/>
    <w:rsid w:val="00FF0AC4"/>
    <w:rsid w:val="00FF10AF"/>
    <w:rsid w:val="00FF1A1F"/>
    <w:rsid w:val="00FF23FB"/>
    <w:rsid w:val="00FF283D"/>
    <w:rsid w:val="00FF334E"/>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B38FB27-223A-4A22-8958-04DBFF0C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character" w:customStyle="1" w:styleId="apple-style-span">
    <w:name w:val="apple-style-span"/>
    <w:basedOn w:val="Fontepargpadro"/>
    <w:rsid w:val="00592498"/>
  </w:style>
  <w:style w:type="paragraph" w:styleId="PargrafodaLista">
    <w:name w:val="List Paragraph"/>
    <w:basedOn w:val="Normal"/>
    <w:uiPriority w:val="34"/>
    <w:qFormat/>
    <w:rsid w:val="001B47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B3F08-F2ED-4B7F-80E9-58727D91D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2656</Words>
  <Characters>14343</Characters>
  <Application>Microsoft Office Word</Application>
  <DocSecurity>4</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16966</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2011-11-16T19:25:00Z</cp:lastPrinted>
  <dcterms:created xsi:type="dcterms:W3CDTF">2015-05-07T12:42:00Z</dcterms:created>
  <dcterms:modified xsi:type="dcterms:W3CDTF">2015-05-07T12:42:00Z</dcterms:modified>
</cp:coreProperties>
</file>