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B408FD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091EAB">
        <w:rPr>
          <w:rFonts w:ascii="Times New Roman" w:hAnsi="Times New Roman"/>
          <w:b/>
          <w:i w:val="0"/>
          <w:color w:val="000000"/>
          <w:sz w:val="22"/>
          <w:szCs w:val="22"/>
        </w:rPr>
        <w:t>18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952B9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091EAB">
        <w:rPr>
          <w:rFonts w:ascii="Times New Roman" w:hAnsi="Times New Roman"/>
          <w:b/>
          <w:i w:val="0"/>
          <w:color w:val="000000"/>
          <w:sz w:val="22"/>
          <w:szCs w:val="22"/>
        </w:rPr>
        <w:t>19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831B7E">
        <w:rPr>
          <w:rFonts w:ascii="Times New Roman" w:hAnsi="Times New Roman"/>
          <w:b/>
          <w:i w:val="0"/>
          <w:color w:val="000000"/>
          <w:sz w:val="22"/>
          <w:szCs w:val="22"/>
        </w:rPr>
        <w:t>outu</w:t>
      </w:r>
      <w:r w:rsidR="002B7B4D">
        <w:rPr>
          <w:rFonts w:ascii="Times New Roman" w:hAnsi="Times New Roman"/>
          <w:b/>
          <w:i w:val="0"/>
          <w:color w:val="000000"/>
          <w:sz w:val="22"/>
          <w:szCs w:val="22"/>
        </w:rPr>
        <w:t>br</w:t>
      </w:r>
      <w:r w:rsidR="00AE591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o 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B408FD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B408FD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2752F5">
      <w:pPr>
        <w:pBdr>
          <w:top w:val="threeDEmboss" w:sz="24" w:space="2" w:color="auto"/>
        </w:pBdr>
        <w:tabs>
          <w:tab w:val="left" w:pos="284"/>
        </w:tabs>
        <w:spacing w:before="60"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896F38" w:rsidRDefault="009444E6" w:rsidP="002752F5">
      <w:pPr>
        <w:pStyle w:val="tita"/>
        <w:tabs>
          <w:tab w:val="left" w:pos="2590"/>
        </w:tabs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 w:rsidRPr="00896F38">
        <w:rPr>
          <w:i w:val="0"/>
          <w:iCs w:val="0"/>
          <w:sz w:val="22"/>
          <w:szCs w:val="22"/>
        </w:rPr>
        <w:t>Plenário</w:t>
      </w:r>
    </w:p>
    <w:p w:rsidR="009B7146" w:rsidRPr="008A2029" w:rsidRDefault="009B7146" w:rsidP="002752F5">
      <w:pPr>
        <w:spacing w:before="60" w:after="0"/>
        <w:ind w:left="0"/>
        <w:rPr>
          <w:sz w:val="22"/>
          <w:szCs w:val="22"/>
        </w:rPr>
      </w:pPr>
      <w:r w:rsidRPr="008A2029">
        <w:rPr>
          <w:sz w:val="22"/>
          <w:szCs w:val="22"/>
        </w:rPr>
        <w:t>É regra geral a utilização do pregão eletrônico para aquisição de bens e serviços comuns por parte de instituições públicas, nelas inclusas agências reguladoras, sendo o uso do pregão presencial hipótese de exceção, a ser justificada no processo licitatório.</w:t>
      </w:r>
    </w:p>
    <w:p w:rsidR="008A2029" w:rsidRPr="008A2029" w:rsidRDefault="008A2029" w:rsidP="002752F5">
      <w:pPr>
        <w:pStyle w:val="NormalWeb"/>
        <w:spacing w:before="60" w:line="240" w:lineRule="auto"/>
        <w:ind w:firstLine="0"/>
        <w:jc w:val="both"/>
        <w:rPr>
          <w:rFonts w:ascii="Times" w:hAnsi="Times"/>
          <w:color w:val="000000"/>
          <w:sz w:val="22"/>
          <w:szCs w:val="22"/>
        </w:rPr>
      </w:pPr>
      <w:r w:rsidRPr="008A2029">
        <w:rPr>
          <w:rFonts w:ascii="Times" w:hAnsi="Times"/>
          <w:color w:val="000000"/>
          <w:sz w:val="22"/>
          <w:szCs w:val="22"/>
        </w:rPr>
        <w:t>A participação em processo licitatório expressamente reservado a microempresas e a empresas de pequeno porte, por sociedade que não se enquadre na definição legal reservada a essas categorias e que apresentou declaração com informações inverídicas a respeito de sua situação jurídica leva à aplicação da sanção de declaração de inidoneidade.</w:t>
      </w:r>
    </w:p>
    <w:p w:rsidR="008A2029" w:rsidRPr="008A2029" w:rsidRDefault="008A2029" w:rsidP="002752F5">
      <w:pPr>
        <w:pStyle w:val="Recuodecorpodetexto"/>
        <w:tabs>
          <w:tab w:val="left" w:pos="-851"/>
        </w:tabs>
        <w:spacing w:before="60"/>
        <w:ind w:firstLine="0"/>
        <w:jc w:val="both"/>
        <w:rPr>
          <w:sz w:val="22"/>
          <w:szCs w:val="22"/>
        </w:rPr>
      </w:pPr>
      <w:r w:rsidRPr="008A2029">
        <w:rPr>
          <w:sz w:val="22"/>
          <w:szCs w:val="22"/>
        </w:rPr>
        <w:t xml:space="preserve">É indevida a desclassificação, fundada em interpretação extremamente restritiva do edital, de proposta mais vantajosa para a Administração, que contém um único item, correspondente a uma pequena parcela do objeto licitado, com valor acima do limite estabelecido pela entidade. </w:t>
      </w:r>
    </w:p>
    <w:p w:rsidR="008A2029" w:rsidRPr="008A2029" w:rsidRDefault="008A2029" w:rsidP="002752F5">
      <w:pPr>
        <w:tabs>
          <w:tab w:val="left" w:pos="1134"/>
        </w:tabs>
        <w:spacing w:before="60" w:after="0"/>
        <w:ind w:left="0"/>
        <w:rPr>
          <w:sz w:val="22"/>
          <w:szCs w:val="22"/>
        </w:rPr>
      </w:pPr>
      <w:r w:rsidRPr="008A2029">
        <w:rPr>
          <w:sz w:val="22"/>
          <w:szCs w:val="22"/>
        </w:rPr>
        <w:t>Não pode haver o aproveitamento de registro de preços por instituição pública quando as especificações do objeto forem exclusivas para a instituição que realiza a contratação.</w:t>
      </w:r>
    </w:p>
    <w:p w:rsidR="00EF1136" w:rsidRPr="00500E7E" w:rsidRDefault="00EF1136" w:rsidP="002752F5">
      <w:pPr>
        <w:pStyle w:val="tita"/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Inovação Legislativa</w:t>
      </w:r>
    </w:p>
    <w:p w:rsidR="00EF1136" w:rsidRDefault="00EF1136" w:rsidP="002752F5">
      <w:pPr>
        <w:pStyle w:val="indice"/>
        <w:spacing w:before="60" w:line="240" w:lineRule="auto"/>
        <w:rPr>
          <w:bCs/>
          <w:color w:val="282526"/>
        </w:rPr>
      </w:pPr>
      <w:r>
        <w:rPr>
          <w:bCs/>
          <w:color w:val="282526"/>
        </w:rPr>
        <w:t xml:space="preserve">Decreto </w:t>
      </w:r>
      <w:r w:rsidRPr="00796A34">
        <w:rPr>
          <w:bCs/>
          <w:color w:val="282526"/>
        </w:rPr>
        <w:t xml:space="preserve">nº </w:t>
      </w:r>
      <w:r>
        <w:rPr>
          <w:bCs/>
          <w:color w:val="282526"/>
        </w:rPr>
        <w:t>7.581</w:t>
      </w:r>
      <w:r w:rsidRPr="00796A34">
        <w:rPr>
          <w:bCs/>
          <w:color w:val="282526"/>
        </w:rPr>
        <w:t>, de 1</w:t>
      </w:r>
      <w:r>
        <w:rPr>
          <w:bCs/>
          <w:color w:val="282526"/>
        </w:rPr>
        <w:t>1</w:t>
      </w:r>
      <w:r w:rsidRPr="00796A34">
        <w:rPr>
          <w:bCs/>
          <w:color w:val="282526"/>
        </w:rPr>
        <w:t xml:space="preserve"> de </w:t>
      </w:r>
      <w:r>
        <w:rPr>
          <w:bCs/>
          <w:color w:val="282526"/>
        </w:rPr>
        <w:t>outubro</w:t>
      </w:r>
      <w:r w:rsidRPr="00796A34">
        <w:rPr>
          <w:bCs/>
          <w:color w:val="282526"/>
        </w:rPr>
        <w:t xml:space="preserve"> de 201</w:t>
      </w:r>
      <w:r>
        <w:rPr>
          <w:bCs/>
          <w:color w:val="282526"/>
        </w:rPr>
        <w:t>1.</w:t>
      </w:r>
    </w:p>
    <w:p w:rsidR="00EF1136" w:rsidRPr="00796A34" w:rsidRDefault="00EF1136" w:rsidP="008A2029">
      <w:pPr>
        <w:pStyle w:val="indice"/>
        <w:spacing w:before="60" w:after="60" w:line="240" w:lineRule="auto"/>
        <w:rPr>
          <w:bCs/>
          <w:color w:val="282526"/>
        </w:rPr>
      </w:pPr>
    </w:p>
    <w:p w:rsidR="003C6DEB" w:rsidRPr="00917E84" w:rsidRDefault="003C6DEB" w:rsidP="00B408FD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917E84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Default="003C6DEB" w:rsidP="00917E84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9B7146" w:rsidRPr="00B31DDF" w:rsidRDefault="009B7146" w:rsidP="00917E84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9B7146" w:rsidRPr="008A2029" w:rsidRDefault="009B7146" w:rsidP="009B7146">
      <w:pPr>
        <w:spacing w:after="0"/>
        <w:ind w:left="0"/>
        <w:rPr>
          <w:b/>
          <w:sz w:val="22"/>
          <w:szCs w:val="22"/>
        </w:rPr>
      </w:pPr>
      <w:r w:rsidRPr="008A2029">
        <w:rPr>
          <w:b/>
          <w:sz w:val="22"/>
          <w:szCs w:val="22"/>
        </w:rPr>
        <w:t>É regra geral a utilização do pregão eletrônico para aquisição de bens e serviços comuns por parte de instituições públicas, nelas inclusas agências reguladoras, sendo o uso do pregão presencial hipótese de exceção, a ser justificada no processo licitatório</w:t>
      </w:r>
    </w:p>
    <w:p w:rsidR="009B7146" w:rsidRPr="008A2029" w:rsidRDefault="009B7146" w:rsidP="009B7146">
      <w:pPr>
        <w:pStyle w:val="TCU-RelVoto-1"/>
        <w:spacing w:after="0"/>
        <w:ind w:firstLine="0"/>
        <w:rPr>
          <w:sz w:val="22"/>
        </w:rPr>
      </w:pPr>
      <w:r w:rsidRPr="008A2029">
        <w:rPr>
          <w:sz w:val="22"/>
        </w:rPr>
        <w:t>Mediante representação, apontaram-se possíveis irregularidades no regulamento próprio de licitações da Agência Nacional de Telecomunicações – (Anatel), evidenciando a resistência da entidade em adotar a modalidade pregão, em sua forma eletrônica, nas licitações de bens e serviços comuns por ela promovidas. No processo, diversos responsáveis da Anatel foram ouvidos acerca do entendimento de que as disposições da Lei nº 10.520/2002 e do Decreto nº 5.450/2005 não são aplicáveis no âmbito da Agência</w:t>
      </w:r>
      <w:r w:rsidRPr="008A2029">
        <w:rPr>
          <w:i/>
          <w:sz w:val="22"/>
        </w:rPr>
        <w:t xml:space="preserve">. </w:t>
      </w:r>
      <w:r w:rsidRPr="008A2029">
        <w:rPr>
          <w:sz w:val="22"/>
        </w:rPr>
        <w:t>Para o Tribunal</w:t>
      </w:r>
      <w:r w:rsidRPr="008A2029">
        <w:rPr>
          <w:i/>
          <w:sz w:val="22"/>
        </w:rPr>
        <w:t xml:space="preserve">, </w:t>
      </w:r>
      <w:r>
        <w:rPr>
          <w:sz w:val="22"/>
        </w:rPr>
        <w:t>essa compreensão</w:t>
      </w:r>
      <w:r w:rsidRPr="008A2029">
        <w:rPr>
          <w:sz w:val="22"/>
        </w:rPr>
        <w:t xml:space="preserve"> implicaria oposição à decisão liminar do Supremo Tribunal Federal proferida no âmbito da Ação Direta de Inconstitucionalidade – (ADIn) nº 1.668-5, bem como ao item 8.2.3 da Decisão nº 497/1999-TCU/Plenário e à orientação da Advocacia-Geral da União. Ao examinar o feito, o relator consignou que, conforme o entendimento mantido pelo STF na ADIn nº 1.668-5, </w:t>
      </w:r>
      <w:r w:rsidRPr="008A2029">
        <w:rPr>
          <w:i/>
          <w:sz w:val="22"/>
        </w:rPr>
        <w:t>“a competência do Conselho Diretor da Anatel fica submetida às normas gerais e específicas de licitação e contratação previstas nas respectivas leis de regência”</w:t>
      </w:r>
      <w:r w:rsidRPr="008A2029">
        <w:rPr>
          <w:sz w:val="22"/>
        </w:rPr>
        <w:t>. Todavia, para os responsáveis da Anatel, a Lei 9.472/1997, Lei Geral de Telecomunicações – (LGT), seria norma geral de licitações e contratos, a veicular comandos para a entidade reguladora, com o que discordou o relator, para o qual a LGT, no que tange às licitações realizadas pela Anatel, “</w:t>
      </w:r>
      <w:r w:rsidRPr="008A2029">
        <w:rPr>
          <w:i/>
          <w:sz w:val="22"/>
        </w:rPr>
        <w:t>não é norma geral, pois somente se aplica a esta autarquia federal</w:t>
      </w:r>
      <w:r w:rsidRPr="008A2029">
        <w:rPr>
          <w:sz w:val="22"/>
        </w:rPr>
        <w:t>”, sendo que, na espécie,</w:t>
      </w:r>
      <w:r w:rsidRPr="008A2029">
        <w:rPr>
          <w:i/>
          <w:sz w:val="22"/>
        </w:rPr>
        <w:t xml:space="preserve"> “a Lei nº 10.520/2002 é a norma geral que disciplina o pregão, para a contratação de bens e serviços comuns, no âmbito de todos os entes da Federação</w:t>
      </w:r>
      <w:r w:rsidRPr="008A2029">
        <w:rPr>
          <w:sz w:val="22"/>
        </w:rPr>
        <w:t>”, e, por isso</w:t>
      </w:r>
      <w:r w:rsidRPr="008A2029">
        <w:rPr>
          <w:i/>
          <w:sz w:val="22"/>
        </w:rPr>
        <w:t>, “resta incontroverso que o Conselho Diretor da Anatel, depois da edição da Lei do Pregão, passou a ter suas atribuições normativas jungidas às diretrizes que emanam desta lei geral e dos decretos federais que a regulamentam</w:t>
      </w:r>
      <w:r w:rsidRPr="008A2029">
        <w:rPr>
          <w:sz w:val="22"/>
        </w:rPr>
        <w:t xml:space="preserve">”. Portanto, a Anatel, no entender do relator, estaria obrigada a seguir, como regra, a modalidade pregão, em sua forma eletrônica, para a contratação de bens e serviços comuns, utilizando o pregão presencial exclusivamente quando inquestionável a excepcionalidade prevista no art. 4º, § 1º, do Decreto nº 5.450/2005, devidamente justificada nos autos do processo licitatório, sendo a competência do Conselho Diretor da entidade para aprovar normas próprias adstrita às disposições previstas na referida Lei 10.520/2002 e no Decreto 5.450/2005, permanecendo, entretanto, sua competência supletiva para regulamentação interna de matérias que não confrontem com os referidos normativos. Todavia, considerando que, atualmente, a entidade reguladora já promovera a sua adequação à realidade jurídica a ela imposta, deixou o relator de propor qualquer sanção aos potenciais responsáveis, acolhendo as justificativas por eles apresentadas, no que contou com a anuência do Plenário. </w:t>
      </w:r>
      <w:r w:rsidRPr="008A2029">
        <w:rPr>
          <w:b/>
          <w:i/>
          <w:sz w:val="22"/>
        </w:rPr>
        <w:t>Acórdão n.º 2753/2011-Plenário, TC-025.251/2010-4, rel. Min. José Jorge, 19.10.2011.</w:t>
      </w:r>
    </w:p>
    <w:p w:rsidR="009B7146" w:rsidRDefault="009B7146" w:rsidP="008A2029">
      <w:pPr>
        <w:pStyle w:val="NormalWeb"/>
        <w:spacing w:line="240" w:lineRule="auto"/>
        <w:ind w:firstLine="0"/>
        <w:jc w:val="both"/>
        <w:rPr>
          <w:rFonts w:ascii="Times" w:hAnsi="Times"/>
          <w:b/>
          <w:color w:val="000000"/>
          <w:sz w:val="22"/>
          <w:szCs w:val="22"/>
        </w:rPr>
      </w:pPr>
    </w:p>
    <w:p w:rsidR="009B7146" w:rsidRDefault="009B7146" w:rsidP="008A2029">
      <w:pPr>
        <w:pStyle w:val="NormalWeb"/>
        <w:spacing w:line="240" w:lineRule="auto"/>
        <w:ind w:firstLine="0"/>
        <w:jc w:val="both"/>
        <w:rPr>
          <w:rFonts w:ascii="Times" w:hAnsi="Times"/>
          <w:b/>
          <w:color w:val="000000"/>
          <w:sz w:val="22"/>
          <w:szCs w:val="22"/>
        </w:rPr>
      </w:pPr>
    </w:p>
    <w:p w:rsidR="00167366" w:rsidRPr="008A2029" w:rsidRDefault="00167366" w:rsidP="008A2029">
      <w:pPr>
        <w:pStyle w:val="NormalWeb"/>
        <w:spacing w:line="240" w:lineRule="auto"/>
        <w:ind w:firstLine="0"/>
        <w:jc w:val="both"/>
        <w:rPr>
          <w:rFonts w:ascii="Times" w:hAnsi="Times"/>
          <w:b/>
          <w:color w:val="000000"/>
          <w:sz w:val="22"/>
          <w:szCs w:val="22"/>
        </w:rPr>
      </w:pPr>
      <w:r w:rsidRPr="008A2029">
        <w:rPr>
          <w:rFonts w:ascii="Times" w:hAnsi="Times"/>
          <w:b/>
          <w:color w:val="000000"/>
          <w:sz w:val="22"/>
          <w:szCs w:val="22"/>
        </w:rPr>
        <w:t xml:space="preserve">A participação em </w:t>
      </w:r>
      <w:r w:rsidR="00EC5EE9" w:rsidRPr="008A2029">
        <w:rPr>
          <w:rFonts w:ascii="Times" w:hAnsi="Times"/>
          <w:b/>
          <w:color w:val="000000"/>
          <w:sz w:val="22"/>
          <w:szCs w:val="22"/>
        </w:rPr>
        <w:t xml:space="preserve">processo </w:t>
      </w:r>
      <w:r w:rsidRPr="008A2029">
        <w:rPr>
          <w:rFonts w:ascii="Times" w:hAnsi="Times"/>
          <w:b/>
          <w:color w:val="000000"/>
          <w:sz w:val="22"/>
          <w:szCs w:val="22"/>
        </w:rPr>
        <w:t>licita</w:t>
      </w:r>
      <w:r w:rsidR="00EC5EE9" w:rsidRPr="008A2029">
        <w:rPr>
          <w:rFonts w:ascii="Times" w:hAnsi="Times"/>
          <w:b/>
          <w:color w:val="000000"/>
          <w:sz w:val="22"/>
          <w:szCs w:val="22"/>
        </w:rPr>
        <w:t>tório</w:t>
      </w:r>
      <w:r w:rsidRPr="008A2029">
        <w:rPr>
          <w:rFonts w:ascii="Times" w:hAnsi="Times"/>
          <w:b/>
          <w:color w:val="000000"/>
          <w:sz w:val="22"/>
          <w:szCs w:val="22"/>
        </w:rPr>
        <w:t xml:space="preserve"> expressamente reservad</w:t>
      </w:r>
      <w:r w:rsidR="00EC5EE9" w:rsidRPr="008A2029">
        <w:rPr>
          <w:rFonts w:ascii="Times" w:hAnsi="Times"/>
          <w:b/>
          <w:color w:val="000000"/>
          <w:sz w:val="22"/>
          <w:szCs w:val="22"/>
        </w:rPr>
        <w:t>o</w:t>
      </w:r>
      <w:r w:rsidRPr="008A2029">
        <w:rPr>
          <w:rFonts w:ascii="Times" w:hAnsi="Times"/>
          <w:b/>
          <w:color w:val="000000"/>
          <w:sz w:val="22"/>
          <w:szCs w:val="22"/>
        </w:rPr>
        <w:t xml:space="preserve"> a microempresas e a empresas de pequeno porte, por sociedade que não se enquadre na definição legal reservada a essas categorias e que apresentou declaração com informações inverídicas a respeito de sua situação jurídica leva à aplicação </w:t>
      </w:r>
      <w:r w:rsidR="00EC5EE9" w:rsidRPr="008A2029">
        <w:rPr>
          <w:rFonts w:ascii="Times" w:hAnsi="Times"/>
          <w:b/>
          <w:color w:val="000000"/>
          <w:sz w:val="22"/>
          <w:szCs w:val="22"/>
        </w:rPr>
        <w:t>da sanção de declaração de inidoneidade</w:t>
      </w:r>
    </w:p>
    <w:p w:rsidR="00C03532" w:rsidRPr="008A2029" w:rsidRDefault="0064618E" w:rsidP="008A2029">
      <w:pPr>
        <w:pStyle w:val="NormalWeb"/>
        <w:spacing w:line="240" w:lineRule="auto"/>
        <w:ind w:firstLine="0"/>
        <w:jc w:val="both"/>
        <w:rPr>
          <w:b/>
          <w:i/>
          <w:sz w:val="22"/>
          <w:szCs w:val="22"/>
        </w:rPr>
      </w:pPr>
      <w:r w:rsidRPr="008A2029">
        <w:rPr>
          <w:rFonts w:ascii="Times" w:hAnsi="Times"/>
          <w:sz w:val="22"/>
          <w:szCs w:val="22"/>
        </w:rPr>
        <w:t>Pedido de reexame interposto por</w:t>
      </w:r>
      <w:r w:rsidR="0067348B" w:rsidRPr="008A2029">
        <w:rPr>
          <w:rFonts w:ascii="Times" w:hAnsi="Times"/>
          <w:sz w:val="22"/>
          <w:szCs w:val="22"/>
        </w:rPr>
        <w:t xml:space="preserve"> empresa </w:t>
      </w:r>
      <w:r w:rsidRPr="008A2029">
        <w:rPr>
          <w:rFonts w:ascii="Times" w:hAnsi="Times"/>
          <w:sz w:val="22"/>
          <w:szCs w:val="22"/>
        </w:rPr>
        <w:t xml:space="preserve">privada </w:t>
      </w:r>
      <w:r w:rsidR="0067348B" w:rsidRPr="008A2029">
        <w:rPr>
          <w:rFonts w:ascii="Times" w:hAnsi="Times"/>
          <w:sz w:val="22"/>
          <w:szCs w:val="22"/>
        </w:rPr>
        <w:t>contra o Acórdão 2.846/2010 – Plenário, por meio do qual</w:t>
      </w:r>
      <w:r w:rsidR="0067348B" w:rsidRPr="008A2029">
        <w:rPr>
          <w:sz w:val="22"/>
          <w:szCs w:val="22"/>
        </w:rPr>
        <w:t xml:space="preserve"> </w:t>
      </w:r>
      <w:r w:rsidRPr="008A2029">
        <w:rPr>
          <w:sz w:val="22"/>
          <w:szCs w:val="22"/>
        </w:rPr>
        <w:t>o Tribunal</w:t>
      </w:r>
      <w:r w:rsidR="0067348B" w:rsidRPr="008A2029">
        <w:rPr>
          <w:sz w:val="22"/>
          <w:szCs w:val="22"/>
        </w:rPr>
        <w:t xml:space="preserve"> declarou a recorrente inidônea para licitar e contratar com a Administração Pública pelo período de seis meses, </w:t>
      </w:r>
      <w:r w:rsidRPr="008A2029">
        <w:rPr>
          <w:sz w:val="22"/>
          <w:szCs w:val="22"/>
        </w:rPr>
        <w:t xml:space="preserve">em razão de </w:t>
      </w:r>
      <w:r w:rsidR="0067348B" w:rsidRPr="008A2029">
        <w:rPr>
          <w:sz w:val="22"/>
          <w:szCs w:val="22"/>
        </w:rPr>
        <w:t xml:space="preserve">ter vencido licitações destinadas exclusivamente à participação de microempresas </w:t>
      </w:r>
      <w:r w:rsidR="00167366" w:rsidRPr="008A2029">
        <w:rPr>
          <w:sz w:val="22"/>
          <w:szCs w:val="22"/>
        </w:rPr>
        <w:t xml:space="preserve">(ME) </w:t>
      </w:r>
      <w:r w:rsidR="0067348B" w:rsidRPr="008A2029">
        <w:rPr>
          <w:sz w:val="22"/>
          <w:szCs w:val="22"/>
        </w:rPr>
        <w:t>e empresas de pequeno porte</w:t>
      </w:r>
      <w:r w:rsidR="00167366" w:rsidRPr="008A2029">
        <w:rPr>
          <w:sz w:val="22"/>
          <w:szCs w:val="22"/>
        </w:rPr>
        <w:t xml:space="preserve"> (EPP)</w:t>
      </w:r>
      <w:r w:rsidR="0067348B" w:rsidRPr="008A2029">
        <w:rPr>
          <w:sz w:val="22"/>
          <w:szCs w:val="22"/>
        </w:rPr>
        <w:t>, não obstante ostentar faturamento bruto superior ao limite previsto no art. 3º da Lei Complementar 123/2006</w:t>
      </w:r>
      <w:r w:rsidRPr="008A2029">
        <w:rPr>
          <w:sz w:val="22"/>
          <w:szCs w:val="22"/>
        </w:rPr>
        <w:t xml:space="preserve"> (até R$ 2.400.000,00/ano)</w:t>
      </w:r>
      <w:r w:rsidR="0067348B" w:rsidRPr="008A2029">
        <w:rPr>
          <w:sz w:val="22"/>
          <w:szCs w:val="22"/>
        </w:rPr>
        <w:t>.</w:t>
      </w:r>
      <w:r w:rsidRPr="008A2029">
        <w:rPr>
          <w:sz w:val="22"/>
          <w:szCs w:val="22"/>
        </w:rPr>
        <w:t xml:space="preserve"> Para a unidade técnica, não teriam sido apresentados elementos capazes de reformar a deliberação recorrida, já que, na espécie, a recorrente, no ano de 2008, venceu três certames licitatórios dos quais particip</w:t>
      </w:r>
      <w:r w:rsidR="0074676E" w:rsidRPr="008A2029">
        <w:rPr>
          <w:sz w:val="22"/>
          <w:szCs w:val="22"/>
        </w:rPr>
        <w:t>ara</w:t>
      </w:r>
      <w:r w:rsidRPr="008A2029">
        <w:rPr>
          <w:sz w:val="22"/>
          <w:szCs w:val="22"/>
        </w:rPr>
        <w:t xml:space="preserve"> irregularmente, na medida em que eram restritos a </w:t>
      </w:r>
      <w:r w:rsidR="00167366" w:rsidRPr="008A2029">
        <w:rPr>
          <w:sz w:val="22"/>
          <w:szCs w:val="22"/>
        </w:rPr>
        <w:t>ME</w:t>
      </w:r>
      <w:r w:rsidRPr="008A2029">
        <w:rPr>
          <w:sz w:val="22"/>
          <w:szCs w:val="22"/>
        </w:rPr>
        <w:t xml:space="preserve"> e </w:t>
      </w:r>
      <w:r w:rsidR="00167366" w:rsidRPr="008A2029">
        <w:rPr>
          <w:sz w:val="22"/>
          <w:szCs w:val="22"/>
        </w:rPr>
        <w:t>EPP</w:t>
      </w:r>
      <w:r w:rsidRPr="008A2029">
        <w:rPr>
          <w:sz w:val="22"/>
          <w:szCs w:val="22"/>
        </w:rPr>
        <w:t xml:space="preserve">. Para tal participação, a recorrente teria apresentado declarações inverídicas de que era cumpridora dos limites previstos na Lei Complementar 123/2006 e de que estava, por conseguinte, apta a usufruir do tratamento favorecido previsto na referida norma legal. Ao examinar os argumentos apresentados, o relator, reiterando os exames feitos pelo relator </w:t>
      </w:r>
      <w:r w:rsidRPr="008A2029">
        <w:rPr>
          <w:b/>
          <w:sz w:val="22"/>
          <w:szCs w:val="22"/>
        </w:rPr>
        <w:t>a quo</w:t>
      </w:r>
      <w:r w:rsidRPr="008A2029">
        <w:rPr>
          <w:sz w:val="22"/>
          <w:szCs w:val="22"/>
        </w:rPr>
        <w:t>, consignou</w:t>
      </w:r>
      <w:r w:rsidR="0074676E" w:rsidRPr="008A2029">
        <w:rPr>
          <w:sz w:val="22"/>
          <w:szCs w:val="22"/>
        </w:rPr>
        <w:t>, com relação à recorrente,</w:t>
      </w:r>
      <w:r w:rsidRPr="008A2029">
        <w:rPr>
          <w:sz w:val="22"/>
          <w:szCs w:val="22"/>
        </w:rPr>
        <w:t xml:space="preserve"> </w:t>
      </w:r>
      <w:r w:rsidR="0074676E" w:rsidRPr="008A2029">
        <w:rPr>
          <w:sz w:val="22"/>
          <w:szCs w:val="22"/>
        </w:rPr>
        <w:t xml:space="preserve">que, </w:t>
      </w:r>
      <w:r w:rsidRPr="008A2029">
        <w:rPr>
          <w:sz w:val="22"/>
          <w:szCs w:val="22"/>
        </w:rPr>
        <w:t>“</w:t>
      </w:r>
      <w:r w:rsidR="0074676E" w:rsidRPr="008A2029">
        <w:rPr>
          <w:i/>
          <w:sz w:val="22"/>
          <w:szCs w:val="22"/>
        </w:rPr>
        <w:t>c</w:t>
      </w:r>
      <w:r w:rsidRPr="008A2029">
        <w:rPr>
          <w:i/>
          <w:sz w:val="22"/>
          <w:szCs w:val="22"/>
        </w:rPr>
        <w:t>omprovou-se que seu faturamento bruto era superior ao limite estabelecido para o enquadramento como pequena empresa, que a empresa não solicitou a alteração de seu enquadramento e, por fim, que participou de procedimento licitatório exclusivo para micros e pequenas empresas, vencendo o certame e beneficiando-se de sua própria omissão. Ao não declarar a mudança de enquadramento legal, a organização descumpriu o art. 3º, § 9, da Lei Complementar nº 123/2006, o art. 11 do Decreto nº 6.204/2007 e o art. 1º da Instrução Normativa do Departamento Nacional de Registro do Comércio nº 103/2007. Essa omissão possibilitou à empresa benefícios indevidos específicos de ME ou EPP e a obtenção, na Junta Comercial, da ‘Certidão Simplificada’, documento que viabilizou sua participação em licitações públicas exclusivas para ME ou EPP</w:t>
      </w:r>
      <w:r w:rsidR="004E0078" w:rsidRPr="008A2029">
        <w:rPr>
          <w:i/>
          <w:sz w:val="22"/>
          <w:szCs w:val="22"/>
        </w:rPr>
        <w:t>”</w:t>
      </w:r>
      <w:r w:rsidRPr="008A2029">
        <w:rPr>
          <w:sz w:val="22"/>
          <w:szCs w:val="22"/>
        </w:rPr>
        <w:t xml:space="preserve">. </w:t>
      </w:r>
      <w:r w:rsidR="004E0078" w:rsidRPr="008A2029">
        <w:rPr>
          <w:sz w:val="22"/>
          <w:szCs w:val="22"/>
        </w:rPr>
        <w:t>Por consequência disso, ao entender adequada a</w:t>
      </w:r>
      <w:r w:rsidRPr="008A2029">
        <w:rPr>
          <w:sz w:val="22"/>
          <w:szCs w:val="22"/>
        </w:rPr>
        <w:t xml:space="preserve"> sanção de declaração de inidoneidade da empresa para licitar e contratar com a Administração, </w:t>
      </w:r>
      <w:r w:rsidR="004E0078" w:rsidRPr="008A2029">
        <w:rPr>
          <w:sz w:val="22"/>
          <w:szCs w:val="22"/>
        </w:rPr>
        <w:t xml:space="preserve">votou por que se negasse provimento ao recurso manejado, no que foi acompanhado pelo </w:t>
      </w:r>
      <w:r w:rsidR="0074676E" w:rsidRPr="008A2029">
        <w:rPr>
          <w:sz w:val="22"/>
          <w:szCs w:val="22"/>
        </w:rPr>
        <w:t>Plenário</w:t>
      </w:r>
      <w:r w:rsidR="004E0078" w:rsidRPr="008A2029">
        <w:rPr>
          <w:sz w:val="22"/>
          <w:szCs w:val="22"/>
        </w:rPr>
        <w:t>.</w:t>
      </w:r>
      <w:r w:rsidR="0074676E" w:rsidRPr="008A2029">
        <w:rPr>
          <w:sz w:val="22"/>
          <w:szCs w:val="22"/>
        </w:rPr>
        <w:t xml:space="preserve"> Precedentes citados:</w:t>
      </w:r>
      <w:r w:rsidRPr="008A2029">
        <w:rPr>
          <w:sz w:val="22"/>
          <w:szCs w:val="22"/>
        </w:rPr>
        <w:t xml:space="preserve"> Acórdãos 1028/2010, 1972/2010 e 2578/2010</w:t>
      </w:r>
      <w:r w:rsidR="0074676E" w:rsidRPr="008A2029">
        <w:rPr>
          <w:sz w:val="22"/>
          <w:szCs w:val="22"/>
        </w:rPr>
        <w:t xml:space="preserve">, todos do Plenário. </w:t>
      </w:r>
      <w:r w:rsidR="00C03532" w:rsidRPr="008A2029">
        <w:rPr>
          <w:b/>
          <w:i/>
          <w:sz w:val="22"/>
          <w:szCs w:val="22"/>
        </w:rPr>
        <w:t>Acórdão n.º 2</w:t>
      </w:r>
      <w:r w:rsidR="005D0F9B" w:rsidRPr="008A2029">
        <w:rPr>
          <w:b/>
          <w:i/>
          <w:sz w:val="22"/>
          <w:szCs w:val="22"/>
        </w:rPr>
        <w:t>75</w:t>
      </w:r>
      <w:r w:rsidR="009F7078" w:rsidRPr="008A2029">
        <w:rPr>
          <w:b/>
          <w:i/>
          <w:sz w:val="22"/>
          <w:szCs w:val="22"/>
        </w:rPr>
        <w:t>6</w:t>
      </w:r>
      <w:r w:rsidR="00C03532" w:rsidRPr="008A2029">
        <w:rPr>
          <w:b/>
          <w:i/>
          <w:sz w:val="22"/>
          <w:szCs w:val="22"/>
        </w:rPr>
        <w:t>/2011-Plenário, TC-0</w:t>
      </w:r>
      <w:r w:rsidR="005D0F9B" w:rsidRPr="008A2029">
        <w:rPr>
          <w:b/>
          <w:i/>
          <w:sz w:val="22"/>
          <w:szCs w:val="22"/>
        </w:rPr>
        <w:t>08</w:t>
      </w:r>
      <w:r w:rsidR="00C03532" w:rsidRPr="008A2029">
        <w:rPr>
          <w:b/>
          <w:i/>
          <w:sz w:val="22"/>
          <w:szCs w:val="22"/>
        </w:rPr>
        <w:t>.</w:t>
      </w:r>
      <w:r w:rsidR="005D0F9B" w:rsidRPr="008A2029">
        <w:rPr>
          <w:b/>
          <w:i/>
          <w:sz w:val="22"/>
          <w:szCs w:val="22"/>
        </w:rPr>
        <w:t>552</w:t>
      </w:r>
      <w:r w:rsidR="00C03532" w:rsidRPr="008A2029">
        <w:rPr>
          <w:b/>
          <w:i/>
          <w:sz w:val="22"/>
          <w:szCs w:val="22"/>
        </w:rPr>
        <w:t>/201</w:t>
      </w:r>
      <w:r w:rsidR="005D0F9B" w:rsidRPr="008A2029">
        <w:rPr>
          <w:b/>
          <w:i/>
          <w:sz w:val="22"/>
          <w:szCs w:val="22"/>
        </w:rPr>
        <w:t>0</w:t>
      </w:r>
      <w:r w:rsidR="00C03532" w:rsidRPr="008A2029">
        <w:rPr>
          <w:b/>
          <w:i/>
          <w:sz w:val="22"/>
          <w:szCs w:val="22"/>
        </w:rPr>
        <w:t>-</w:t>
      </w:r>
      <w:r w:rsidR="005D0F9B" w:rsidRPr="008A2029">
        <w:rPr>
          <w:b/>
          <w:i/>
          <w:sz w:val="22"/>
          <w:szCs w:val="22"/>
        </w:rPr>
        <w:t>0</w:t>
      </w:r>
      <w:r w:rsidR="00C03532" w:rsidRPr="008A2029">
        <w:rPr>
          <w:b/>
          <w:i/>
          <w:sz w:val="22"/>
          <w:szCs w:val="22"/>
        </w:rPr>
        <w:t xml:space="preserve">, rel. Min. </w:t>
      </w:r>
      <w:r w:rsidR="005D0F9B" w:rsidRPr="008A2029">
        <w:rPr>
          <w:b/>
          <w:i/>
          <w:sz w:val="22"/>
          <w:szCs w:val="22"/>
        </w:rPr>
        <w:t>José Múcio Monteiro</w:t>
      </w:r>
      <w:r w:rsidR="009F7078" w:rsidRPr="008A2029">
        <w:rPr>
          <w:b/>
          <w:i/>
          <w:sz w:val="22"/>
          <w:szCs w:val="22"/>
        </w:rPr>
        <w:t xml:space="preserve">, </w:t>
      </w:r>
      <w:r w:rsidR="005D0F9B" w:rsidRPr="008A2029">
        <w:rPr>
          <w:b/>
          <w:i/>
          <w:sz w:val="22"/>
          <w:szCs w:val="22"/>
        </w:rPr>
        <w:t>19</w:t>
      </w:r>
      <w:r w:rsidR="00C03532" w:rsidRPr="008A2029">
        <w:rPr>
          <w:b/>
          <w:i/>
          <w:sz w:val="22"/>
          <w:szCs w:val="22"/>
        </w:rPr>
        <w:t>.</w:t>
      </w:r>
      <w:r w:rsidR="009F7078" w:rsidRPr="008A2029">
        <w:rPr>
          <w:b/>
          <w:i/>
          <w:sz w:val="22"/>
          <w:szCs w:val="22"/>
        </w:rPr>
        <w:t>1</w:t>
      </w:r>
      <w:r w:rsidR="00C03532" w:rsidRPr="008A2029">
        <w:rPr>
          <w:b/>
          <w:i/>
          <w:sz w:val="22"/>
          <w:szCs w:val="22"/>
        </w:rPr>
        <w:t>0.2011.</w:t>
      </w:r>
    </w:p>
    <w:p w:rsidR="00C03532" w:rsidRPr="008A2029" w:rsidRDefault="00C03532" w:rsidP="008A2029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490C52" w:rsidRPr="008A2029" w:rsidRDefault="00490C52" w:rsidP="008A2029">
      <w:pPr>
        <w:pStyle w:val="tita"/>
        <w:tabs>
          <w:tab w:val="left" w:pos="2590"/>
        </w:tabs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9F2E0B" w:rsidRPr="008A2029" w:rsidRDefault="009F2E0B" w:rsidP="008A2029">
      <w:pPr>
        <w:pStyle w:val="Recuodecorpodetexto"/>
        <w:tabs>
          <w:tab w:val="left" w:pos="-851"/>
        </w:tabs>
        <w:ind w:firstLine="0"/>
        <w:jc w:val="both"/>
        <w:rPr>
          <w:b/>
          <w:sz w:val="22"/>
          <w:szCs w:val="22"/>
        </w:rPr>
      </w:pPr>
      <w:r w:rsidRPr="008A2029">
        <w:rPr>
          <w:b/>
          <w:sz w:val="22"/>
          <w:szCs w:val="22"/>
        </w:rPr>
        <w:t xml:space="preserve">É indevida a desclassificação, fundada em interpretação extremamente restritiva do edital, de proposta mais vantajosa para a Administração, que contém um único item, correspondente a uma pequena parcela do objeto licitado, com valor acima do limite estabelecido pela entidade </w:t>
      </w:r>
    </w:p>
    <w:p w:rsidR="00AE4074" w:rsidRPr="008A2029" w:rsidRDefault="00EF1136" w:rsidP="008A2029">
      <w:pPr>
        <w:pStyle w:val="Recuodecorpodetexto"/>
        <w:tabs>
          <w:tab w:val="left" w:pos="-851"/>
        </w:tabs>
        <w:ind w:firstLine="0"/>
        <w:jc w:val="both"/>
        <w:rPr>
          <w:b/>
          <w:i/>
          <w:sz w:val="22"/>
          <w:szCs w:val="22"/>
        </w:rPr>
      </w:pPr>
      <w:r w:rsidRPr="008A2029">
        <w:rPr>
          <w:sz w:val="22"/>
          <w:szCs w:val="22"/>
        </w:rPr>
        <w:t xml:space="preserve">Com esse entendimento, o Tribunal </w:t>
      </w:r>
      <w:r w:rsidR="00C43994" w:rsidRPr="008A2029">
        <w:rPr>
          <w:sz w:val="22"/>
          <w:szCs w:val="22"/>
        </w:rPr>
        <w:t xml:space="preserve">julgou procedente representação formulada em face de possíveis irregularidades na desclassificação de proposta de licitante, referente ao primeiro lote da Concorrência Pública n. 416/2010, realizada pelo Departamento Nacional de Infraestrutura de Transportes – </w:t>
      </w:r>
      <w:r w:rsidR="003F5DFC" w:rsidRPr="008A2029">
        <w:rPr>
          <w:sz w:val="22"/>
          <w:szCs w:val="22"/>
        </w:rPr>
        <w:t>(</w:t>
      </w:r>
      <w:r w:rsidR="00C43994" w:rsidRPr="008A2029">
        <w:rPr>
          <w:sz w:val="22"/>
          <w:szCs w:val="22"/>
        </w:rPr>
        <w:t>D</w:t>
      </w:r>
      <w:r w:rsidR="003F5DFC" w:rsidRPr="008A2029">
        <w:rPr>
          <w:sz w:val="22"/>
          <w:szCs w:val="22"/>
        </w:rPr>
        <w:t>NIT)</w:t>
      </w:r>
      <w:r w:rsidR="00C43994" w:rsidRPr="008A2029">
        <w:rPr>
          <w:sz w:val="22"/>
          <w:szCs w:val="22"/>
        </w:rPr>
        <w:t>,</w:t>
      </w:r>
      <w:r w:rsidR="009F2E0B" w:rsidRPr="008A2029">
        <w:rPr>
          <w:sz w:val="22"/>
          <w:szCs w:val="22"/>
        </w:rPr>
        <w:t xml:space="preserve"> a</w:t>
      </w:r>
      <w:r w:rsidR="00C43994" w:rsidRPr="008A2029">
        <w:rPr>
          <w:sz w:val="22"/>
          <w:szCs w:val="22"/>
        </w:rPr>
        <w:t xml:space="preserve"> qual te</w:t>
      </w:r>
      <w:r w:rsidR="003F5DFC" w:rsidRPr="008A2029">
        <w:rPr>
          <w:sz w:val="22"/>
          <w:szCs w:val="22"/>
        </w:rPr>
        <w:t>ve</w:t>
      </w:r>
      <w:r w:rsidR="00C43994" w:rsidRPr="008A2029">
        <w:rPr>
          <w:sz w:val="22"/>
          <w:szCs w:val="22"/>
        </w:rPr>
        <w:t xml:space="preserve"> por objeto a seleção de empresa especializada para execução das obras de construção da ponte sobre o Canal das Laranjeiras, duplicação e restauração dos acessos à ponte na Rodovia BR-101/SC. </w:t>
      </w:r>
      <w:r w:rsidR="003F5DFC" w:rsidRPr="008A2029">
        <w:rPr>
          <w:sz w:val="22"/>
          <w:szCs w:val="22"/>
        </w:rPr>
        <w:t xml:space="preserve">Após a oitiva do DNIT e do Consórcio vencedor da licitação, o relator apontou que a representante, apesar de ter apresentado proposta de preços inferior </w:t>
      </w:r>
      <w:r w:rsidR="00CF1617" w:rsidRPr="008A2029">
        <w:rPr>
          <w:sz w:val="22"/>
          <w:szCs w:val="22"/>
        </w:rPr>
        <w:t xml:space="preserve">à do primeiro colocado, fora desclassificada, por ter orçado </w:t>
      </w:r>
      <w:r w:rsidR="009F2E0B" w:rsidRPr="008A2029">
        <w:rPr>
          <w:sz w:val="22"/>
          <w:szCs w:val="22"/>
        </w:rPr>
        <w:t xml:space="preserve">um único item </w:t>
      </w:r>
      <w:r w:rsidR="00CF1617" w:rsidRPr="008A2029">
        <w:rPr>
          <w:sz w:val="22"/>
          <w:szCs w:val="22"/>
        </w:rPr>
        <w:t>preço unitário acima do limite estabelecido pelo DNIT</w:t>
      </w:r>
      <w:r w:rsidR="009F2E0B" w:rsidRPr="008A2029">
        <w:rPr>
          <w:sz w:val="22"/>
          <w:szCs w:val="22"/>
        </w:rPr>
        <w:t xml:space="preserve"> </w:t>
      </w:r>
      <w:r w:rsidR="00CF1617" w:rsidRPr="008A2029">
        <w:rPr>
          <w:sz w:val="22"/>
          <w:szCs w:val="22"/>
        </w:rPr>
        <w:t>– Lâmpada de Multivapor Metálico elipsoidal, base E-40, potência de 400W, com fluxo luminoso entre 31.000 e 35.000 lumens, IRC de 69 a 100%, temperatura de Cor entre 4.300 e 5.900 K e vida útil de 15.000 horas – o qual correspondeu à 0,01% do orçamento base da licitação. E isso ocorrera em razão do disposto no edital norteador do certame, o qual, em seu o item 17.1, estabelecera que as propostas que apresentassem valores unitários e/ou global, superiores ao limite estabelecido no orçamento estimativo do serviço deveriam ser desclassificadas. Para o relator, a exigência estaria em consonância com a jurisprudência do Tribunal, “</w:t>
      </w:r>
      <w:r w:rsidR="00CF1617" w:rsidRPr="008A2029">
        <w:rPr>
          <w:i/>
          <w:sz w:val="22"/>
          <w:szCs w:val="22"/>
        </w:rPr>
        <w:t>que tem considerado necessária a fixação de critérios de aceitabilidade de preços unitários e a previsão da desclassificação de licitantes que ofertarem valores acima do limite estabelecido, com vistas a evitar a prática do chamado ‘jogo de planilha’</w:t>
      </w:r>
      <w:r w:rsidR="00CF1617" w:rsidRPr="008A2029">
        <w:rPr>
          <w:sz w:val="22"/>
          <w:szCs w:val="22"/>
        </w:rPr>
        <w:t>”.</w:t>
      </w:r>
      <w:r w:rsidR="002B54EB" w:rsidRPr="008A2029">
        <w:rPr>
          <w:sz w:val="22"/>
          <w:szCs w:val="22"/>
        </w:rPr>
        <w:t xml:space="preserve"> Todavia, não obstante a previsão do edital – de desclassificar a proposta que apresentasse preços unitários superiores aos limites estabelecidos – estivesse na linha da jurisprudência do Tribunal, ainda para o relator, “</w:t>
      </w:r>
      <w:r w:rsidR="002B54EB" w:rsidRPr="008A2029">
        <w:rPr>
          <w:i/>
          <w:sz w:val="22"/>
          <w:szCs w:val="22"/>
        </w:rPr>
        <w:t>essa cláusula deve ser interpretada à luz dos princípios da razoabilidade e da proporcionalidade, em conjunto com os outros dispositivos do instrumento convocatório e com a Lei n. 8.666/1993</w:t>
      </w:r>
      <w:r w:rsidR="002B54EB" w:rsidRPr="008A2029">
        <w:rPr>
          <w:sz w:val="22"/>
          <w:szCs w:val="22"/>
        </w:rPr>
        <w:t xml:space="preserve">”. </w:t>
      </w:r>
      <w:r w:rsidR="00FA67B2" w:rsidRPr="008A2029">
        <w:rPr>
          <w:sz w:val="22"/>
          <w:szCs w:val="22"/>
        </w:rPr>
        <w:t>A d</w:t>
      </w:r>
      <w:r w:rsidR="0005360C" w:rsidRPr="008A2029">
        <w:rPr>
          <w:sz w:val="22"/>
          <w:szCs w:val="22"/>
        </w:rPr>
        <w:t>esclassificação</w:t>
      </w:r>
      <w:r w:rsidR="00FA67B2" w:rsidRPr="008A2029">
        <w:rPr>
          <w:sz w:val="22"/>
          <w:szCs w:val="22"/>
        </w:rPr>
        <w:t xml:space="preserve"> da proposta, então, não </w:t>
      </w:r>
      <w:r w:rsidR="0005360C" w:rsidRPr="008A2029">
        <w:rPr>
          <w:sz w:val="22"/>
          <w:szCs w:val="22"/>
        </w:rPr>
        <w:t>deve</w:t>
      </w:r>
      <w:r w:rsidR="00FA67B2" w:rsidRPr="008A2029">
        <w:rPr>
          <w:sz w:val="22"/>
          <w:szCs w:val="22"/>
        </w:rPr>
        <w:t>ria</w:t>
      </w:r>
      <w:r w:rsidR="0005360C" w:rsidRPr="008A2029">
        <w:rPr>
          <w:sz w:val="22"/>
          <w:szCs w:val="22"/>
        </w:rPr>
        <w:t xml:space="preserve"> </w:t>
      </w:r>
      <w:r w:rsidR="00FA67B2" w:rsidRPr="008A2029">
        <w:rPr>
          <w:sz w:val="22"/>
          <w:szCs w:val="22"/>
        </w:rPr>
        <w:t>t</w:t>
      </w:r>
      <w:r w:rsidR="0005360C" w:rsidRPr="008A2029">
        <w:rPr>
          <w:sz w:val="22"/>
          <w:szCs w:val="22"/>
        </w:rPr>
        <w:t xml:space="preserve">er </w:t>
      </w:r>
      <w:r w:rsidR="00FA67B2" w:rsidRPr="008A2029">
        <w:rPr>
          <w:sz w:val="22"/>
          <w:szCs w:val="22"/>
        </w:rPr>
        <w:t xml:space="preserve">sido </w:t>
      </w:r>
      <w:r w:rsidR="0005360C" w:rsidRPr="008A2029">
        <w:rPr>
          <w:sz w:val="22"/>
          <w:szCs w:val="22"/>
        </w:rPr>
        <w:t>automática</w:t>
      </w:r>
      <w:r w:rsidR="00FA67B2" w:rsidRPr="008A2029">
        <w:rPr>
          <w:sz w:val="22"/>
          <w:szCs w:val="22"/>
        </w:rPr>
        <w:t xml:space="preserve">, </w:t>
      </w:r>
      <w:r w:rsidR="009B7146">
        <w:rPr>
          <w:sz w:val="22"/>
          <w:szCs w:val="22"/>
        </w:rPr>
        <w:t>especialmente</w:t>
      </w:r>
      <w:r w:rsidR="00FA67B2" w:rsidRPr="008A2029">
        <w:rPr>
          <w:sz w:val="22"/>
          <w:szCs w:val="22"/>
        </w:rPr>
        <w:t xml:space="preserve"> porque, ainda conforme o relator do processo, o próprio edital do certame previa a possibilidade de a comissão de licitação adotar medidas para corrigir o preço do item ofertado acima do limite estabelecido pela autarquia como o critério de aceitabilidade das propostas, devendo a empresa ser desclassificada caso se recusasse a aceitar as correções. O procedimento cabível, portanto, seria a correção do valor do item que dera ensejo à desclassificação da proposta da representante, o que importaria no melhor atendimento do interesse público, por selecionar a proposta mais vantajosa para a Administração, sem desrespeitar a obrigatoriedade de vinculação ao instrumento convocatório. Por conseguinte, por entender que a desclassificação da ora representante foi indevida, por ter, com base em interpretação extremamente restritiva do edital, contrariado os princípios da razoabilidade e da proporcionalidade, resultando na seleção de uma proposta </w:t>
      </w:r>
      <w:r w:rsidR="009B7146">
        <w:rPr>
          <w:sz w:val="22"/>
          <w:szCs w:val="22"/>
        </w:rPr>
        <w:t>menos vantajosa</w:t>
      </w:r>
      <w:r w:rsidR="00FA67B2" w:rsidRPr="008A2029">
        <w:rPr>
          <w:sz w:val="22"/>
          <w:szCs w:val="22"/>
        </w:rPr>
        <w:t xml:space="preserve"> para a Administração, votou o relator </w:t>
      </w:r>
      <w:r w:rsidR="009F2E0B" w:rsidRPr="008A2029">
        <w:rPr>
          <w:sz w:val="22"/>
          <w:szCs w:val="22"/>
        </w:rPr>
        <w:t xml:space="preserve">por que o Tribunal determinasse ao Dnit a adoção de providências no sentido de tornar sem efeito a desclassificação da representante no âmbito da Concorrência Pública n. 416/2010, e, posteriormente, desse prosseguimento ao certame a partir dessa etapa, atentando para as correções a serem feitas nas composições dos preços unitários apresentados pela referida empresa, o que foi aprovado pelo Plenário. </w:t>
      </w:r>
      <w:r w:rsidR="00FA67B2" w:rsidRPr="008A2029">
        <w:rPr>
          <w:sz w:val="22"/>
          <w:szCs w:val="22"/>
        </w:rPr>
        <w:t xml:space="preserve">Precedente citado: </w:t>
      </w:r>
      <w:r w:rsidR="009F2E0B" w:rsidRPr="008A2029">
        <w:rPr>
          <w:sz w:val="22"/>
          <w:szCs w:val="22"/>
        </w:rPr>
        <w:t>Acórdão 159/2003, do Plenário</w:t>
      </w:r>
      <w:r w:rsidR="00B1664E" w:rsidRPr="008A2029">
        <w:rPr>
          <w:sz w:val="22"/>
          <w:szCs w:val="22"/>
        </w:rPr>
        <w:t xml:space="preserve">. </w:t>
      </w:r>
      <w:r w:rsidR="00AE4074" w:rsidRPr="008A2029">
        <w:rPr>
          <w:b/>
          <w:i/>
          <w:sz w:val="22"/>
          <w:szCs w:val="22"/>
        </w:rPr>
        <w:t>Acórdão n.º 2</w:t>
      </w:r>
      <w:r w:rsidRPr="008A2029">
        <w:rPr>
          <w:b/>
          <w:i/>
          <w:sz w:val="22"/>
          <w:szCs w:val="22"/>
        </w:rPr>
        <w:t>767</w:t>
      </w:r>
      <w:r w:rsidR="00AE4074" w:rsidRPr="008A2029">
        <w:rPr>
          <w:b/>
          <w:i/>
          <w:sz w:val="22"/>
          <w:szCs w:val="22"/>
        </w:rPr>
        <w:t>/2011</w:t>
      </w:r>
      <w:r w:rsidR="008D0E23" w:rsidRPr="008A2029">
        <w:rPr>
          <w:b/>
          <w:i/>
          <w:sz w:val="22"/>
          <w:szCs w:val="22"/>
        </w:rPr>
        <w:t>-Plenário</w:t>
      </w:r>
      <w:r w:rsidR="00AE4074" w:rsidRPr="008A2029">
        <w:rPr>
          <w:b/>
          <w:i/>
          <w:sz w:val="22"/>
          <w:szCs w:val="22"/>
        </w:rPr>
        <w:t>, TC-0</w:t>
      </w:r>
      <w:r w:rsidRPr="008A2029">
        <w:rPr>
          <w:b/>
          <w:i/>
          <w:sz w:val="22"/>
          <w:szCs w:val="22"/>
        </w:rPr>
        <w:t>25</w:t>
      </w:r>
      <w:r w:rsidR="00AE4074" w:rsidRPr="008A2029">
        <w:rPr>
          <w:b/>
          <w:i/>
          <w:sz w:val="22"/>
          <w:szCs w:val="22"/>
        </w:rPr>
        <w:t>.</w:t>
      </w:r>
      <w:r w:rsidRPr="008A2029">
        <w:rPr>
          <w:b/>
          <w:i/>
          <w:sz w:val="22"/>
          <w:szCs w:val="22"/>
        </w:rPr>
        <w:t>560</w:t>
      </w:r>
      <w:r w:rsidR="00AE4074" w:rsidRPr="008A2029">
        <w:rPr>
          <w:b/>
          <w:i/>
          <w:sz w:val="22"/>
          <w:szCs w:val="22"/>
        </w:rPr>
        <w:t>/</w:t>
      </w:r>
      <w:r w:rsidR="003C331C" w:rsidRPr="008A2029">
        <w:rPr>
          <w:b/>
          <w:i/>
          <w:sz w:val="22"/>
          <w:szCs w:val="22"/>
        </w:rPr>
        <w:t>2</w:t>
      </w:r>
      <w:r w:rsidR="00AE4074" w:rsidRPr="008A2029">
        <w:rPr>
          <w:b/>
          <w:i/>
          <w:sz w:val="22"/>
          <w:szCs w:val="22"/>
        </w:rPr>
        <w:t>01</w:t>
      </w:r>
      <w:r w:rsidRPr="008A2029">
        <w:rPr>
          <w:b/>
          <w:i/>
          <w:sz w:val="22"/>
          <w:szCs w:val="22"/>
        </w:rPr>
        <w:t>1</w:t>
      </w:r>
      <w:r w:rsidR="00223BB9" w:rsidRPr="008A2029">
        <w:rPr>
          <w:b/>
          <w:i/>
          <w:sz w:val="22"/>
          <w:szCs w:val="22"/>
        </w:rPr>
        <w:t>-</w:t>
      </w:r>
      <w:r w:rsidRPr="008A2029">
        <w:rPr>
          <w:b/>
          <w:i/>
          <w:sz w:val="22"/>
          <w:szCs w:val="22"/>
        </w:rPr>
        <w:t>5</w:t>
      </w:r>
      <w:r w:rsidR="00AE4074" w:rsidRPr="008A2029">
        <w:rPr>
          <w:b/>
          <w:i/>
          <w:sz w:val="22"/>
          <w:szCs w:val="22"/>
        </w:rPr>
        <w:t xml:space="preserve">, rel. Min.-Subst. </w:t>
      </w:r>
      <w:r w:rsidRPr="008A2029">
        <w:rPr>
          <w:b/>
          <w:i/>
          <w:sz w:val="22"/>
          <w:szCs w:val="22"/>
        </w:rPr>
        <w:t>Marcos Bemquerer Costa</w:t>
      </w:r>
      <w:r w:rsidR="00AE4074" w:rsidRPr="008A2029">
        <w:rPr>
          <w:b/>
          <w:i/>
          <w:sz w:val="22"/>
          <w:szCs w:val="22"/>
        </w:rPr>
        <w:t>,</w:t>
      </w:r>
      <w:r w:rsidR="00D32376" w:rsidRPr="008A2029">
        <w:rPr>
          <w:b/>
          <w:i/>
          <w:sz w:val="22"/>
          <w:szCs w:val="22"/>
        </w:rPr>
        <w:t xml:space="preserve"> </w:t>
      </w:r>
      <w:r w:rsidRPr="008A2029">
        <w:rPr>
          <w:b/>
          <w:i/>
          <w:sz w:val="22"/>
          <w:szCs w:val="22"/>
        </w:rPr>
        <w:t>19</w:t>
      </w:r>
      <w:r w:rsidR="00AE4074" w:rsidRPr="008A2029">
        <w:rPr>
          <w:b/>
          <w:i/>
          <w:sz w:val="22"/>
          <w:szCs w:val="22"/>
        </w:rPr>
        <w:t>.</w:t>
      </w:r>
      <w:r w:rsidR="003E15A3" w:rsidRPr="008A2029">
        <w:rPr>
          <w:b/>
          <w:i/>
          <w:sz w:val="22"/>
          <w:szCs w:val="22"/>
        </w:rPr>
        <w:t>1</w:t>
      </w:r>
      <w:r w:rsidR="00AE4074" w:rsidRPr="008A2029">
        <w:rPr>
          <w:b/>
          <w:i/>
          <w:sz w:val="22"/>
          <w:szCs w:val="22"/>
        </w:rPr>
        <w:t>0.2011.</w:t>
      </w:r>
    </w:p>
    <w:p w:rsidR="009B7146" w:rsidRDefault="009B7146" w:rsidP="008A2029">
      <w:pPr>
        <w:tabs>
          <w:tab w:val="left" w:pos="1134"/>
        </w:tabs>
        <w:spacing w:after="0"/>
        <w:ind w:left="0"/>
        <w:rPr>
          <w:b/>
          <w:sz w:val="22"/>
          <w:szCs w:val="22"/>
        </w:rPr>
      </w:pPr>
    </w:p>
    <w:p w:rsidR="00B37629" w:rsidRPr="008A2029" w:rsidRDefault="00BC4F1B" w:rsidP="008A2029">
      <w:pPr>
        <w:tabs>
          <w:tab w:val="left" w:pos="1134"/>
        </w:tabs>
        <w:spacing w:after="0"/>
        <w:ind w:left="0"/>
        <w:rPr>
          <w:b/>
          <w:sz w:val="22"/>
          <w:szCs w:val="22"/>
        </w:rPr>
      </w:pPr>
      <w:r w:rsidRPr="008A2029">
        <w:rPr>
          <w:b/>
          <w:sz w:val="22"/>
          <w:szCs w:val="22"/>
        </w:rPr>
        <w:t>Nã</w:t>
      </w:r>
      <w:r w:rsidR="008A2029" w:rsidRPr="008A2029">
        <w:rPr>
          <w:b/>
          <w:sz w:val="22"/>
          <w:szCs w:val="22"/>
        </w:rPr>
        <w:t>o pode haver o aproveitamento de</w:t>
      </w:r>
      <w:r w:rsidRPr="008A2029">
        <w:rPr>
          <w:b/>
          <w:sz w:val="22"/>
          <w:szCs w:val="22"/>
        </w:rPr>
        <w:t xml:space="preserve"> registro de preços por instituição pública quando as especificações do objeto forem exclu</w:t>
      </w:r>
      <w:r w:rsidR="008A2029" w:rsidRPr="008A2029">
        <w:rPr>
          <w:b/>
          <w:sz w:val="22"/>
          <w:szCs w:val="22"/>
        </w:rPr>
        <w:t>s</w:t>
      </w:r>
      <w:r w:rsidRPr="008A2029">
        <w:rPr>
          <w:b/>
          <w:sz w:val="22"/>
          <w:szCs w:val="22"/>
        </w:rPr>
        <w:t>i</w:t>
      </w:r>
      <w:r w:rsidR="008A2029" w:rsidRPr="008A2029">
        <w:rPr>
          <w:b/>
          <w:sz w:val="22"/>
          <w:szCs w:val="22"/>
        </w:rPr>
        <w:t>v</w:t>
      </w:r>
      <w:r w:rsidRPr="008A2029">
        <w:rPr>
          <w:b/>
          <w:sz w:val="22"/>
          <w:szCs w:val="22"/>
        </w:rPr>
        <w:t xml:space="preserve">as para </w:t>
      </w:r>
      <w:r w:rsidR="008A2029" w:rsidRPr="008A2029">
        <w:rPr>
          <w:b/>
          <w:sz w:val="22"/>
          <w:szCs w:val="22"/>
        </w:rPr>
        <w:t>a instituição que realiza a contratação</w:t>
      </w:r>
    </w:p>
    <w:p w:rsidR="00B37629" w:rsidRPr="008A2029" w:rsidRDefault="00B37629" w:rsidP="008A2029">
      <w:pPr>
        <w:tabs>
          <w:tab w:val="left" w:pos="0"/>
          <w:tab w:val="num" w:pos="1134"/>
        </w:tabs>
        <w:spacing w:after="0"/>
        <w:ind w:left="0"/>
        <w:rPr>
          <w:sz w:val="22"/>
          <w:szCs w:val="22"/>
        </w:rPr>
      </w:pPr>
      <w:r w:rsidRPr="008A2029">
        <w:rPr>
          <w:sz w:val="22"/>
          <w:szCs w:val="22"/>
        </w:rPr>
        <w:t xml:space="preserve">Representação formulada ao Tribunal noticiou fatos que configurariam irregularidades </w:t>
      </w:r>
      <w:r w:rsidR="004E0078" w:rsidRPr="008A2029">
        <w:rPr>
          <w:sz w:val="22"/>
          <w:szCs w:val="22"/>
        </w:rPr>
        <w:t>n</w:t>
      </w:r>
      <w:r w:rsidRPr="008A2029">
        <w:rPr>
          <w:sz w:val="22"/>
          <w:szCs w:val="22"/>
        </w:rPr>
        <w:t xml:space="preserve">o Pregão Eletrônico, para registro de preços, nº 94/2010, conduzido pelo Tribunal Regional do Trabalho da 10ª Região – (TRT-10ª Região), cujo objeto </w:t>
      </w:r>
      <w:r w:rsidRPr="008A2029">
        <w:rPr>
          <w:sz w:val="22"/>
          <w:szCs w:val="22"/>
          <w:lang w:eastAsia="pt-BR"/>
        </w:rPr>
        <w:t xml:space="preserve">consistiu </w:t>
      </w:r>
      <w:r w:rsidR="00BC4F1B" w:rsidRPr="008A2029">
        <w:rPr>
          <w:sz w:val="22"/>
          <w:szCs w:val="22"/>
          <w:lang w:eastAsia="pt-BR"/>
        </w:rPr>
        <w:t xml:space="preserve">na </w:t>
      </w:r>
      <w:r w:rsidRPr="008A2029">
        <w:rPr>
          <w:sz w:val="22"/>
          <w:szCs w:val="22"/>
        </w:rPr>
        <w:t xml:space="preserve">eventual execução de serviços especializados em gestão integrada de patrimônio mobiliário, compreendendo o fornecimento e instalação de </w:t>
      </w:r>
      <w:r w:rsidRPr="008A2029">
        <w:rPr>
          <w:b/>
          <w:sz w:val="22"/>
          <w:szCs w:val="22"/>
        </w:rPr>
        <w:t>software</w:t>
      </w:r>
      <w:r w:rsidRPr="008A2029">
        <w:rPr>
          <w:sz w:val="22"/>
          <w:szCs w:val="22"/>
        </w:rPr>
        <w:t xml:space="preserve"> aplicativo de comunicação e integração com o </w:t>
      </w:r>
      <w:r w:rsidRPr="008A2029">
        <w:rPr>
          <w:b/>
          <w:sz w:val="22"/>
          <w:szCs w:val="22"/>
        </w:rPr>
        <w:t>software</w:t>
      </w:r>
      <w:r w:rsidRPr="008A2029">
        <w:rPr>
          <w:sz w:val="22"/>
          <w:szCs w:val="22"/>
        </w:rPr>
        <w:t xml:space="preserve"> de controle patrimonial atualmente existente no TRT 10ª Região. </w:t>
      </w:r>
      <w:r w:rsidR="009B7146">
        <w:rPr>
          <w:sz w:val="22"/>
          <w:szCs w:val="22"/>
        </w:rPr>
        <w:t xml:space="preserve">Dentre as irregularidades verificadas, estaria </w:t>
      </w:r>
      <w:r w:rsidR="007E79DC" w:rsidRPr="008A2029">
        <w:rPr>
          <w:sz w:val="22"/>
          <w:szCs w:val="22"/>
        </w:rPr>
        <w:t xml:space="preserve">o uso do registro de preços, em hipótese que não o comportaria. Para </w:t>
      </w:r>
      <w:r w:rsidR="00595BB8" w:rsidRPr="008A2029">
        <w:rPr>
          <w:sz w:val="22"/>
          <w:szCs w:val="22"/>
        </w:rPr>
        <w:t>ela</w:t>
      </w:r>
      <w:r w:rsidR="007E79DC" w:rsidRPr="008A2029">
        <w:rPr>
          <w:sz w:val="22"/>
          <w:szCs w:val="22"/>
        </w:rPr>
        <w:t xml:space="preserve">, diversos fatores atinentes </w:t>
      </w:r>
      <w:r w:rsidR="002D3F41" w:rsidRPr="008A2029">
        <w:rPr>
          <w:sz w:val="22"/>
          <w:szCs w:val="22"/>
        </w:rPr>
        <w:t>impediriam o registro d</w:t>
      </w:r>
      <w:r w:rsidR="00BC4F1B" w:rsidRPr="008A2029">
        <w:rPr>
          <w:sz w:val="22"/>
          <w:szCs w:val="22"/>
        </w:rPr>
        <w:t>os</w:t>
      </w:r>
      <w:r w:rsidR="002D3F41" w:rsidRPr="008A2029">
        <w:rPr>
          <w:sz w:val="22"/>
          <w:szCs w:val="22"/>
        </w:rPr>
        <w:t xml:space="preserve"> preços, tais como: as especificações do </w:t>
      </w:r>
      <w:r w:rsidR="002D3F41" w:rsidRPr="008A2029">
        <w:rPr>
          <w:b/>
          <w:sz w:val="22"/>
          <w:szCs w:val="22"/>
        </w:rPr>
        <w:t xml:space="preserve">software, </w:t>
      </w:r>
      <w:r w:rsidR="002D3F41" w:rsidRPr="008A2029">
        <w:rPr>
          <w:sz w:val="22"/>
          <w:szCs w:val="22"/>
        </w:rPr>
        <w:t>que variaria</w:t>
      </w:r>
      <w:r w:rsidR="0061208B" w:rsidRPr="008A2029">
        <w:rPr>
          <w:sz w:val="22"/>
          <w:szCs w:val="22"/>
        </w:rPr>
        <w:t xml:space="preserve">m significativamente em ambiente diverso do TRT-10ª Região; custos específicos com relação a certos itens a serem contratados, tais como </w:t>
      </w:r>
      <w:r w:rsidR="00595BB8" w:rsidRPr="008A2029">
        <w:rPr>
          <w:snapToGrid w:val="0"/>
          <w:sz w:val="22"/>
          <w:szCs w:val="22"/>
          <w:lang w:eastAsia="pt-BR"/>
        </w:rPr>
        <w:t xml:space="preserve">o encapsulamento com </w:t>
      </w:r>
      <w:r w:rsidR="00595BB8" w:rsidRPr="008A2029">
        <w:rPr>
          <w:b/>
          <w:snapToGrid w:val="0"/>
          <w:sz w:val="22"/>
          <w:szCs w:val="22"/>
          <w:lang w:eastAsia="pt-BR"/>
        </w:rPr>
        <w:t xml:space="preserve">layout </w:t>
      </w:r>
      <w:r w:rsidR="00595BB8" w:rsidRPr="008A2029">
        <w:rPr>
          <w:snapToGrid w:val="0"/>
          <w:sz w:val="22"/>
          <w:szCs w:val="22"/>
          <w:lang w:eastAsia="pt-BR"/>
        </w:rPr>
        <w:t>específico, a personalização gráfica e eletrônica e outros fatores. Ao examinar os fatos, o relator consignou que, na forma do Decreto nº 3.931, de 19 de setembro de 2001, o uso do registro de preço para aquisição de bens e serviços de informática é possível, desde que devidamente justificada e caracterizada a vantagem econômica</w:t>
      </w:r>
      <w:r w:rsidR="00BC4F1B" w:rsidRPr="008A2029">
        <w:rPr>
          <w:snapToGrid w:val="0"/>
          <w:sz w:val="22"/>
          <w:szCs w:val="22"/>
          <w:lang w:eastAsia="pt-BR"/>
        </w:rPr>
        <w:t xml:space="preserve"> para a Administração Pública</w:t>
      </w:r>
      <w:r w:rsidR="00595BB8" w:rsidRPr="008A2029">
        <w:rPr>
          <w:snapToGrid w:val="0"/>
          <w:sz w:val="22"/>
          <w:szCs w:val="22"/>
          <w:lang w:eastAsia="pt-BR"/>
        </w:rPr>
        <w:t>. Todavia o objeto só deve ser passível de contratação por outros órgãos da administração pública na forma como licitado originalmente. E, no caso específico, ainda para o relator, “</w:t>
      </w:r>
      <w:r w:rsidR="00595BB8" w:rsidRPr="008A2029">
        <w:rPr>
          <w:i/>
          <w:snapToGrid w:val="0"/>
          <w:sz w:val="22"/>
          <w:szCs w:val="22"/>
          <w:lang w:eastAsia="pt-BR"/>
        </w:rPr>
        <w:t>ficou demonstrado que certas especificações dos serviços e dos materiais foram exclusivas para o TRT/10ª Região e balizaram o preço proposto, não sendo plausível, pois, o aproveitamento da ata por outro órgão”</w:t>
      </w:r>
      <w:r w:rsidR="00595BB8" w:rsidRPr="008A2029">
        <w:rPr>
          <w:snapToGrid w:val="0"/>
          <w:sz w:val="22"/>
          <w:szCs w:val="22"/>
          <w:lang w:eastAsia="pt-BR"/>
        </w:rPr>
        <w:t>. Por conseguinte</w:t>
      </w:r>
      <w:r w:rsidR="00595BB8" w:rsidRPr="008A2029">
        <w:rPr>
          <w:i/>
          <w:snapToGrid w:val="0"/>
          <w:sz w:val="22"/>
          <w:szCs w:val="22"/>
          <w:lang w:eastAsia="pt-BR"/>
        </w:rPr>
        <w:t xml:space="preserve">, </w:t>
      </w:r>
      <w:r w:rsidR="00595BB8" w:rsidRPr="008A2029">
        <w:rPr>
          <w:snapToGrid w:val="0"/>
          <w:sz w:val="22"/>
          <w:szCs w:val="22"/>
          <w:lang w:eastAsia="pt-BR"/>
        </w:rPr>
        <w:t xml:space="preserve">propôs, dentre outras providências, que fosse determinado ao </w:t>
      </w:r>
      <w:r w:rsidR="00595BB8" w:rsidRPr="008A2029">
        <w:rPr>
          <w:sz w:val="22"/>
          <w:szCs w:val="22"/>
        </w:rPr>
        <w:t xml:space="preserve">TRT-10ª Região, que se abstivesse de permitir a adesão de outros órgãos ou entidades à Ata de Registro de Preços decorrente do Pregão Eletrônico nº 94/2010. Nos termos do voto do relator, o Plenário manifestou sua concordância. </w:t>
      </w:r>
      <w:r w:rsidRPr="008A2029">
        <w:rPr>
          <w:b/>
          <w:i/>
          <w:sz w:val="22"/>
          <w:szCs w:val="22"/>
        </w:rPr>
        <w:t>Acórdão n.º 2769/2011-Plenário, TC-011.737/2011-5, rel. Min.-Subst. André Luís de Carvalho, 19.10.2011.</w:t>
      </w:r>
    </w:p>
    <w:p w:rsidR="006D3693" w:rsidRDefault="006D3693" w:rsidP="00F64DD3">
      <w:pPr>
        <w:tabs>
          <w:tab w:val="left" w:pos="1134"/>
        </w:tabs>
        <w:spacing w:after="0"/>
        <w:ind w:left="0"/>
        <w:rPr>
          <w:sz w:val="22"/>
          <w:szCs w:val="22"/>
        </w:rPr>
      </w:pPr>
    </w:p>
    <w:p w:rsidR="00EF1136" w:rsidRDefault="00EF1136" w:rsidP="00EF113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INOVAÇÃO LEGISLATIVA</w:t>
      </w:r>
    </w:p>
    <w:p w:rsidR="00EF1136" w:rsidRPr="00796A34" w:rsidRDefault="00EF1136" w:rsidP="00EF113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Cs/>
          <w:smallCaps/>
          <w:sz w:val="22"/>
          <w:szCs w:val="22"/>
        </w:rPr>
      </w:pPr>
      <w:r w:rsidRPr="00796A34">
        <w:rPr>
          <w:bCs/>
          <w:smallCaps/>
          <w:sz w:val="22"/>
          <w:szCs w:val="22"/>
        </w:rPr>
        <w:t xml:space="preserve">período de </w:t>
      </w:r>
      <w:r>
        <w:rPr>
          <w:bCs/>
          <w:smallCaps/>
          <w:sz w:val="22"/>
          <w:szCs w:val="22"/>
        </w:rPr>
        <w:t>3</w:t>
      </w:r>
      <w:r w:rsidRPr="00796A34">
        <w:rPr>
          <w:bCs/>
          <w:smallCaps/>
          <w:sz w:val="22"/>
          <w:szCs w:val="22"/>
        </w:rPr>
        <w:t xml:space="preserve"> a 2</w:t>
      </w:r>
      <w:r>
        <w:rPr>
          <w:bCs/>
          <w:smallCaps/>
          <w:sz w:val="22"/>
          <w:szCs w:val="22"/>
        </w:rPr>
        <w:t>1</w:t>
      </w:r>
      <w:r w:rsidRPr="00796A34">
        <w:rPr>
          <w:bCs/>
          <w:smallCaps/>
          <w:sz w:val="22"/>
          <w:szCs w:val="22"/>
        </w:rPr>
        <w:t xml:space="preserve"> de </w:t>
      </w:r>
      <w:r>
        <w:rPr>
          <w:bCs/>
          <w:smallCaps/>
          <w:sz w:val="22"/>
          <w:szCs w:val="22"/>
        </w:rPr>
        <w:t>outubr</w:t>
      </w:r>
      <w:r w:rsidRPr="00796A34">
        <w:rPr>
          <w:bCs/>
          <w:smallCaps/>
          <w:sz w:val="22"/>
          <w:szCs w:val="22"/>
        </w:rPr>
        <w:t>o de 201</w:t>
      </w:r>
      <w:r>
        <w:rPr>
          <w:bCs/>
          <w:smallCaps/>
          <w:sz w:val="22"/>
          <w:szCs w:val="22"/>
        </w:rPr>
        <w:t>1</w:t>
      </w:r>
      <w:r w:rsidRPr="00796A34">
        <w:rPr>
          <w:bCs/>
          <w:smallCaps/>
          <w:sz w:val="22"/>
          <w:szCs w:val="22"/>
        </w:rPr>
        <w:t>.</w:t>
      </w:r>
    </w:p>
    <w:p w:rsidR="00EF1136" w:rsidRPr="00796A34" w:rsidRDefault="00EF1136" w:rsidP="00EF1136">
      <w:pPr>
        <w:adjustRightInd w:val="0"/>
        <w:spacing w:after="0"/>
        <w:ind w:left="0"/>
        <w:rPr>
          <w:rFonts w:eastAsia="Times New Roman"/>
          <w:bCs/>
          <w:iCs/>
          <w:sz w:val="22"/>
          <w:szCs w:val="22"/>
          <w:lang w:eastAsia="pt-BR"/>
        </w:rPr>
      </w:pPr>
      <w:r w:rsidRPr="00EF1136">
        <w:rPr>
          <w:b/>
          <w:bCs/>
          <w:color w:val="282526"/>
        </w:rPr>
        <w:t>Decreto nº 7.581, de 11 de outubro de 2011</w:t>
      </w:r>
      <w:r w:rsidRPr="00796A34">
        <w:rPr>
          <w:rFonts w:eastAsia="Times New Roman"/>
          <w:bCs/>
          <w:color w:val="282526"/>
          <w:sz w:val="22"/>
          <w:szCs w:val="22"/>
          <w:lang w:eastAsia="pt-BR"/>
        </w:rPr>
        <w:t xml:space="preserve">– D.O.U. de </w:t>
      </w:r>
      <w:r>
        <w:rPr>
          <w:rFonts w:eastAsia="Times New Roman"/>
          <w:bCs/>
          <w:color w:val="282526"/>
          <w:sz w:val="22"/>
          <w:szCs w:val="22"/>
          <w:lang w:eastAsia="pt-BR"/>
        </w:rPr>
        <w:t>13</w:t>
      </w:r>
      <w:r w:rsidRPr="00796A34">
        <w:rPr>
          <w:rFonts w:eastAsia="Times New Roman"/>
          <w:bCs/>
          <w:color w:val="282526"/>
          <w:sz w:val="22"/>
          <w:szCs w:val="22"/>
          <w:lang w:eastAsia="pt-BR"/>
        </w:rPr>
        <w:t>/</w:t>
      </w:r>
      <w:r>
        <w:rPr>
          <w:rFonts w:eastAsia="Times New Roman"/>
          <w:bCs/>
          <w:color w:val="282526"/>
          <w:sz w:val="22"/>
          <w:szCs w:val="22"/>
          <w:lang w:eastAsia="pt-BR"/>
        </w:rPr>
        <w:t>1</w:t>
      </w:r>
      <w:r w:rsidRPr="00796A34">
        <w:rPr>
          <w:rFonts w:eastAsia="Times New Roman"/>
          <w:bCs/>
          <w:color w:val="282526"/>
          <w:sz w:val="22"/>
          <w:szCs w:val="22"/>
          <w:lang w:eastAsia="pt-BR"/>
        </w:rPr>
        <w:t>0/201</w:t>
      </w:r>
      <w:r>
        <w:rPr>
          <w:rFonts w:eastAsia="Times New Roman"/>
          <w:bCs/>
          <w:color w:val="282526"/>
          <w:sz w:val="22"/>
          <w:szCs w:val="22"/>
          <w:lang w:eastAsia="pt-BR"/>
        </w:rPr>
        <w:t>1</w:t>
      </w:r>
      <w:r w:rsidRPr="00796A34">
        <w:rPr>
          <w:rFonts w:eastAsia="Times New Roman"/>
          <w:bCs/>
          <w:color w:val="282526"/>
          <w:sz w:val="22"/>
          <w:szCs w:val="22"/>
          <w:lang w:eastAsia="pt-BR"/>
        </w:rPr>
        <w:t>:</w:t>
      </w:r>
      <w:r w:rsidRPr="00A17176">
        <w:rPr>
          <w:rFonts w:eastAsia="Times New Roman"/>
          <w:b/>
          <w:bCs/>
          <w:color w:val="282526"/>
          <w:sz w:val="22"/>
          <w:szCs w:val="22"/>
          <w:lang w:eastAsia="pt-BR"/>
        </w:rPr>
        <w:t xml:space="preserve"> </w:t>
      </w:r>
      <w:r>
        <w:rPr>
          <w:rFonts w:eastAsia="Times New Roman"/>
          <w:bCs/>
          <w:color w:val="282526"/>
          <w:sz w:val="22"/>
          <w:szCs w:val="22"/>
          <w:lang w:eastAsia="pt-BR"/>
        </w:rPr>
        <w:t>Regulamenta o Regime Diferenciado de Contratações Públicas – RDC, de que trata a Lei nº 12.462, de 5 de agosto de 2011.</w:t>
      </w:r>
    </w:p>
    <w:p w:rsidR="00EF1136" w:rsidRPr="002B32DD" w:rsidRDefault="00EF1136" w:rsidP="00F64DD3">
      <w:pPr>
        <w:tabs>
          <w:tab w:val="left" w:pos="1134"/>
        </w:tabs>
        <w:spacing w:after="0"/>
        <w:ind w:left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80565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2E6712" w:rsidRDefault="00C10DD5" w:rsidP="00B408FD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E6712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2E6712" w:rsidRDefault="007334B1" w:rsidP="00B408FD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2E6712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2E6712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805659" w:rsidRDefault="007334B1" w:rsidP="00B408FD">
      <w:pPr>
        <w:pStyle w:val="enter-3pt"/>
        <w:tabs>
          <w:tab w:val="left" w:pos="2590"/>
        </w:tabs>
        <w:spacing w:line="240" w:lineRule="auto"/>
        <w:rPr>
          <w:b/>
          <w:color w:val="FF0000"/>
          <w:sz w:val="22"/>
          <w:szCs w:val="22"/>
        </w:rPr>
      </w:pPr>
    </w:p>
    <w:sectPr w:rsidR="007334B1" w:rsidRPr="00805659" w:rsidSect="00F340CD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42" w:rsidRDefault="00455D42" w:rsidP="008B0547">
      <w:pPr>
        <w:spacing w:after="0"/>
      </w:pPr>
      <w:r>
        <w:separator/>
      </w:r>
    </w:p>
  </w:endnote>
  <w:endnote w:type="continuationSeparator" w:id="0">
    <w:p w:rsidR="00455D42" w:rsidRDefault="00455D4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04" w:rsidRPr="00C906CD" w:rsidRDefault="00DC7004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CD7972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42" w:rsidRDefault="00455D42" w:rsidP="008B0547">
      <w:pPr>
        <w:spacing w:after="0"/>
      </w:pPr>
      <w:r>
        <w:separator/>
      </w:r>
    </w:p>
  </w:footnote>
  <w:footnote w:type="continuationSeparator" w:id="0">
    <w:p w:rsidR="00455D42" w:rsidRDefault="00455D4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04" w:rsidRDefault="00F4341A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004">
      <w:rPr>
        <w:rFonts w:ascii="Arial" w:hAnsi="Arial" w:cs="Arial"/>
        <w:b/>
      </w:rPr>
      <w:t>TRIBUNAL DE CONTAS DA UNIÃO</w:t>
    </w:r>
  </w:p>
  <w:p w:rsidR="00DC7004" w:rsidRPr="00515E7B" w:rsidRDefault="00F4341A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463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DC7004" w:rsidRPr="00515E7B">
      <w:rPr>
        <w:rFonts w:ascii="Arial" w:hAnsi="Arial" w:cs="Arial"/>
        <w:noProof/>
        <w:lang w:eastAsia="pt-BR"/>
      </w:rPr>
      <w:t>Info</w:t>
    </w:r>
    <w:r w:rsidR="00DC7004">
      <w:rPr>
        <w:rFonts w:ascii="Arial" w:hAnsi="Arial" w:cs="Arial"/>
        <w:noProof/>
        <w:lang w:eastAsia="pt-BR"/>
      </w:rPr>
      <w:t>rmativo de Jurisprudência sobre L</w:t>
    </w:r>
    <w:r w:rsidR="00DC7004" w:rsidRPr="00515E7B">
      <w:rPr>
        <w:rFonts w:ascii="Arial" w:hAnsi="Arial" w:cs="Arial"/>
        <w:noProof/>
        <w:lang w:eastAsia="pt-BR"/>
      </w:rPr>
      <w:t xml:space="preserve">icitações e </w:t>
    </w:r>
    <w:r w:rsidR="00DC7004">
      <w:rPr>
        <w:rFonts w:ascii="Arial" w:hAnsi="Arial" w:cs="Arial"/>
        <w:noProof/>
        <w:lang w:eastAsia="pt-BR"/>
      </w:rPr>
      <w:t>C</w:t>
    </w:r>
    <w:r w:rsidR="00DC7004" w:rsidRPr="00515E7B">
      <w:rPr>
        <w:rFonts w:ascii="Arial" w:hAnsi="Arial" w:cs="Arial"/>
        <w:noProof/>
        <w:lang w:eastAsia="pt-BR"/>
      </w:rPr>
      <w:t>ontratos</w:t>
    </w:r>
    <w:r w:rsidR="00B221C7">
      <w:rPr>
        <w:rFonts w:ascii="Arial" w:hAnsi="Arial" w:cs="Arial"/>
        <w:noProof/>
        <w:lang w:eastAsia="pt-BR"/>
      </w:rPr>
      <w:t xml:space="preserve"> nº </w:t>
    </w:r>
    <w:r w:rsidR="0090441C">
      <w:rPr>
        <w:rFonts w:ascii="Arial" w:hAnsi="Arial" w:cs="Arial"/>
        <w:noProof/>
        <w:lang w:eastAsia="pt-BR"/>
      </w:rPr>
      <w:t>8</w:t>
    </w:r>
    <w:r w:rsidR="008A2029">
      <w:rPr>
        <w:rFonts w:ascii="Arial" w:hAnsi="Arial" w:cs="Arial"/>
        <w:noProof/>
        <w:lang w:eastAsia="pt-BR"/>
      </w:rPr>
      <w:t>3</w:t>
    </w:r>
  </w:p>
  <w:p w:rsidR="00DC7004" w:rsidRDefault="00DC70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4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5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6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7"/>
  </w:num>
  <w:num w:numId="7">
    <w:abstractNumId w:val="25"/>
  </w:num>
  <w:num w:numId="8">
    <w:abstractNumId w:val="22"/>
  </w:num>
  <w:num w:numId="9">
    <w:abstractNumId w:val="19"/>
  </w:num>
  <w:num w:numId="10">
    <w:abstractNumId w:val="6"/>
  </w:num>
  <w:num w:numId="11">
    <w:abstractNumId w:val="27"/>
  </w:num>
  <w:num w:numId="12">
    <w:abstractNumId w:val="4"/>
  </w:num>
  <w:num w:numId="13">
    <w:abstractNumId w:val="16"/>
  </w:num>
  <w:num w:numId="14">
    <w:abstractNumId w:val="24"/>
  </w:num>
  <w:num w:numId="15">
    <w:abstractNumId w:val="14"/>
  </w:num>
  <w:num w:numId="16">
    <w:abstractNumId w:val="2"/>
  </w:num>
  <w:num w:numId="17">
    <w:abstractNumId w:val="12"/>
  </w:num>
  <w:num w:numId="18">
    <w:abstractNumId w:val="26"/>
    <w:lvlOverride w:ilvl="0">
      <w:startOverride w:val="1"/>
    </w:lvlOverride>
  </w:num>
  <w:num w:numId="19">
    <w:abstractNumId w:val="20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18BC"/>
    <w:rsid w:val="000118CC"/>
    <w:rsid w:val="00011BA0"/>
    <w:rsid w:val="00011D5A"/>
    <w:rsid w:val="00012468"/>
    <w:rsid w:val="00013851"/>
    <w:rsid w:val="000161F7"/>
    <w:rsid w:val="0001636D"/>
    <w:rsid w:val="00020C27"/>
    <w:rsid w:val="00020C75"/>
    <w:rsid w:val="00020FC8"/>
    <w:rsid w:val="0002327E"/>
    <w:rsid w:val="00023D72"/>
    <w:rsid w:val="000253D1"/>
    <w:rsid w:val="00025450"/>
    <w:rsid w:val="000271FA"/>
    <w:rsid w:val="000300A2"/>
    <w:rsid w:val="00032198"/>
    <w:rsid w:val="00033551"/>
    <w:rsid w:val="00037DCE"/>
    <w:rsid w:val="00041450"/>
    <w:rsid w:val="000438FC"/>
    <w:rsid w:val="000460E4"/>
    <w:rsid w:val="0004660A"/>
    <w:rsid w:val="0005133B"/>
    <w:rsid w:val="0005205F"/>
    <w:rsid w:val="00052B15"/>
    <w:rsid w:val="0005356E"/>
    <w:rsid w:val="0005360C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5E95"/>
    <w:rsid w:val="000675D5"/>
    <w:rsid w:val="00070785"/>
    <w:rsid w:val="0007259B"/>
    <w:rsid w:val="00074384"/>
    <w:rsid w:val="00074AC5"/>
    <w:rsid w:val="00077A56"/>
    <w:rsid w:val="00077BA4"/>
    <w:rsid w:val="00080148"/>
    <w:rsid w:val="000807D4"/>
    <w:rsid w:val="00081DFB"/>
    <w:rsid w:val="000835D8"/>
    <w:rsid w:val="00084282"/>
    <w:rsid w:val="00084727"/>
    <w:rsid w:val="00086A39"/>
    <w:rsid w:val="00086BAA"/>
    <w:rsid w:val="00087006"/>
    <w:rsid w:val="0009133A"/>
    <w:rsid w:val="000916AF"/>
    <w:rsid w:val="00091EAB"/>
    <w:rsid w:val="00092C2E"/>
    <w:rsid w:val="00094C5B"/>
    <w:rsid w:val="00094EEC"/>
    <w:rsid w:val="00095D98"/>
    <w:rsid w:val="0009748C"/>
    <w:rsid w:val="00097863"/>
    <w:rsid w:val="00097ABD"/>
    <w:rsid w:val="00097BF6"/>
    <w:rsid w:val="000A0EF8"/>
    <w:rsid w:val="000A152A"/>
    <w:rsid w:val="000A1EBD"/>
    <w:rsid w:val="000A2C56"/>
    <w:rsid w:val="000A47EA"/>
    <w:rsid w:val="000A57DA"/>
    <w:rsid w:val="000A599E"/>
    <w:rsid w:val="000A6269"/>
    <w:rsid w:val="000A62BD"/>
    <w:rsid w:val="000B0ECB"/>
    <w:rsid w:val="000B0FEA"/>
    <w:rsid w:val="000B2AFA"/>
    <w:rsid w:val="000B5DB2"/>
    <w:rsid w:val="000B639F"/>
    <w:rsid w:val="000B6BC1"/>
    <w:rsid w:val="000C02AD"/>
    <w:rsid w:val="000C22C0"/>
    <w:rsid w:val="000C3DAB"/>
    <w:rsid w:val="000C4611"/>
    <w:rsid w:val="000C4A10"/>
    <w:rsid w:val="000C7D11"/>
    <w:rsid w:val="000D1878"/>
    <w:rsid w:val="000D1B91"/>
    <w:rsid w:val="000D1EF5"/>
    <w:rsid w:val="000D1FD7"/>
    <w:rsid w:val="000D6388"/>
    <w:rsid w:val="000D6418"/>
    <w:rsid w:val="000D7DB6"/>
    <w:rsid w:val="000D7DED"/>
    <w:rsid w:val="000E020F"/>
    <w:rsid w:val="000E12F7"/>
    <w:rsid w:val="000E2D47"/>
    <w:rsid w:val="000E3B31"/>
    <w:rsid w:val="000E3C6D"/>
    <w:rsid w:val="000E504D"/>
    <w:rsid w:val="000E7FD4"/>
    <w:rsid w:val="000F2133"/>
    <w:rsid w:val="000F2D05"/>
    <w:rsid w:val="000F2F92"/>
    <w:rsid w:val="000F6D85"/>
    <w:rsid w:val="000F7B66"/>
    <w:rsid w:val="000F7CEE"/>
    <w:rsid w:val="000F7D84"/>
    <w:rsid w:val="00102D37"/>
    <w:rsid w:val="001041ED"/>
    <w:rsid w:val="001104BA"/>
    <w:rsid w:val="001125A2"/>
    <w:rsid w:val="00112676"/>
    <w:rsid w:val="00112A5F"/>
    <w:rsid w:val="0011373A"/>
    <w:rsid w:val="00113A1F"/>
    <w:rsid w:val="00114511"/>
    <w:rsid w:val="00115911"/>
    <w:rsid w:val="00116BAB"/>
    <w:rsid w:val="001203BE"/>
    <w:rsid w:val="00122F63"/>
    <w:rsid w:val="00125F9A"/>
    <w:rsid w:val="00126026"/>
    <w:rsid w:val="00130A0C"/>
    <w:rsid w:val="00133EA9"/>
    <w:rsid w:val="00137B22"/>
    <w:rsid w:val="00137FE3"/>
    <w:rsid w:val="00140FED"/>
    <w:rsid w:val="00141D7A"/>
    <w:rsid w:val="001420D1"/>
    <w:rsid w:val="00142C16"/>
    <w:rsid w:val="001444A2"/>
    <w:rsid w:val="00144987"/>
    <w:rsid w:val="00151F92"/>
    <w:rsid w:val="0015258E"/>
    <w:rsid w:val="00152ECC"/>
    <w:rsid w:val="001532E4"/>
    <w:rsid w:val="00156A48"/>
    <w:rsid w:val="00156C90"/>
    <w:rsid w:val="00156DDB"/>
    <w:rsid w:val="00157614"/>
    <w:rsid w:val="00157AFE"/>
    <w:rsid w:val="00157C0F"/>
    <w:rsid w:val="001612C0"/>
    <w:rsid w:val="001665B9"/>
    <w:rsid w:val="00167366"/>
    <w:rsid w:val="00171E89"/>
    <w:rsid w:val="001737F7"/>
    <w:rsid w:val="001744E7"/>
    <w:rsid w:val="00176375"/>
    <w:rsid w:val="001766A9"/>
    <w:rsid w:val="00181339"/>
    <w:rsid w:val="00183A7D"/>
    <w:rsid w:val="00192052"/>
    <w:rsid w:val="00195F77"/>
    <w:rsid w:val="001A0B42"/>
    <w:rsid w:val="001A0CC1"/>
    <w:rsid w:val="001A204B"/>
    <w:rsid w:val="001A330B"/>
    <w:rsid w:val="001A58D8"/>
    <w:rsid w:val="001A60A2"/>
    <w:rsid w:val="001A75FE"/>
    <w:rsid w:val="001A79D3"/>
    <w:rsid w:val="001B1669"/>
    <w:rsid w:val="001B19FF"/>
    <w:rsid w:val="001B3BEF"/>
    <w:rsid w:val="001B3E8E"/>
    <w:rsid w:val="001B4F90"/>
    <w:rsid w:val="001B5333"/>
    <w:rsid w:val="001B5426"/>
    <w:rsid w:val="001B6823"/>
    <w:rsid w:val="001B7F4F"/>
    <w:rsid w:val="001C0575"/>
    <w:rsid w:val="001C1568"/>
    <w:rsid w:val="001C1903"/>
    <w:rsid w:val="001C23B5"/>
    <w:rsid w:val="001C437E"/>
    <w:rsid w:val="001C5C51"/>
    <w:rsid w:val="001C71E3"/>
    <w:rsid w:val="001C72D6"/>
    <w:rsid w:val="001D03C7"/>
    <w:rsid w:val="001D0FAF"/>
    <w:rsid w:val="001D1478"/>
    <w:rsid w:val="001D1E52"/>
    <w:rsid w:val="001D35B4"/>
    <w:rsid w:val="001D56C3"/>
    <w:rsid w:val="001D74CE"/>
    <w:rsid w:val="001E0BF1"/>
    <w:rsid w:val="001E1E28"/>
    <w:rsid w:val="001E2620"/>
    <w:rsid w:val="001E4147"/>
    <w:rsid w:val="001E7019"/>
    <w:rsid w:val="001E71F9"/>
    <w:rsid w:val="001E747D"/>
    <w:rsid w:val="001E7C3D"/>
    <w:rsid w:val="001F00DF"/>
    <w:rsid w:val="001F1E8F"/>
    <w:rsid w:val="001F553C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17B1B"/>
    <w:rsid w:val="00223BB9"/>
    <w:rsid w:val="00225D42"/>
    <w:rsid w:val="00226AEF"/>
    <w:rsid w:val="00226D9D"/>
    <w:rsid w:val="00227776"/>
    <w:rsid w:val="00232158"/>
    <w:rsid w:val="002328F9"/>
    <w:rsid w:val="0023395B"/>
    <w:rsid w:val="00233CE3"/>
    <w:rsid w:val="002343BF"/>
    <w:rsid w:val="00234556"/>
    <w:rsid w:val="0023535F"/>
    <w:rsid w:val="00235D4C"/>
    <w:rsid w:val="00236F05"/>
    <w:rsid w:val="002415A6"/>
    <w:rsid w:val="00242061"/>
    <w:rsid w:val="002435FC"/>
    <w:rsid w:val="002442D9"/>
    <w:rsid w:val="00244BA7"/>
    <w:rsid w:val="00245432"/>
    <w:rsid w:val="0024593F"/>
    <w:rsid w:val="002476B6"/>
    <w:rsid w:val="00247E76"/>
    <w:rsid w:val="002510D5"/>
    <w:rsid w:val="00253242"/>
    <w:rsid w:val="00254590"/>
    <w:rsid w:val="002549FC"/>
    <w:rsid w:val="00257D8A"/>
    <w:rsid w:val="00261488"/>
    <w:rsid w:val="0026222C"/>
    <w:rsid w:val="00262359"/>
    <w:rsid w:val="0026362E"/>
    <w:rsid w:val="002639CA"/>
    <w:rsid w:val="002649A7"/>
    <w:rsid w:val="00264FC3"/>
    <w:rsid w:val="002663B7"/>
    <w:rsid w:val="002666C5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52F5"/>
    <w:rsid w:val="0027686D"/>
    <w:rsid w:val="00276B43"/>
    <w:rsid w:val="00276DC0"/>
    <w:rsid w:val="00277F47"/>
    <w:rsid w:val="00280F3D"/>
    <w:rsid w:val="002810D9"/>
    <w:rsid w:val="00281830"/>
    <w:rsid w:val="00281D9E"/>
    <w:rsid w:val="002830F6"/>
    <w:rsid w:val="00287326"/>
    <w:rsid w:val="0029043B"/>
    <w:rsid w:val="00290A06"/>
    <w:rsid w:val="0029211E"/>
    <w:rsid w:val="0029450E"/>
    <w:rsid w:val="00297A00"/>
    <w:rsid w:val="002A03ED"/>
    <w:rsid w:val="002A040F"/>
    <w:rsid w:val="002A190F"/>
    <w:rsid w:val="002A2129"/>
    <w:rsid w:val="002A3796"/>
    <w:rsid w:val="002A3B3F"/>
    <w:rsid w:val="002A5A02"/>
    <w:rsid w:val="002A6CE6"/>
    <w:rsid w:val="002B059A"/>
    <w:rsid w:val="002B1AD6"/>
    <w:rsid w:val="002B2414"/>
    <w:rsid w:val="002B32DD"/>
    <w:rsid w:val="002B409B"/>
    <w:rsid w:val="002B4392"/>
    <w:rsid w:val="002B54EB"/>
    <w:rsid w:val="002B56C3"/>
    <w:rsid w:val="002B5AD5"/>
    <w:rsid w:val="002B5C5A"/>
    <w:rsid w:val="002B6422"/>
    <w:rsid w:val="002B71BA"/>
    <w:rsid w:val="002B7B4D"/>
    <w:rsid w:val="002C208E"/>
    <w:rsid w:val="002C4633"/>
    <w:rsid w:val="002C506F"/>
    <w:rsid w:val="002C662D"/>
    <w:rsid w:val="002C7B61"/>
    <w:rsid w:val="002C7B6D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3F41"/>
    <w:rsid w:val="002D47FE"/>
    <w:rsid w:val="002D532D"/>
    <w:rsid w:val="002D739A"/>
    <w:rsid w:val="002D76AB"/>
    <w:rsid w:val="002D786D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712"/>
    <w:rsid w:val="002E6FDB"/>
    <w:rsid w:val="002F104B"/>
    <w:rsid w:val="002F1C09"/>
    <w:rsid w:val="002F1E70"/>
    <w:rsid w:val="002F4696"/>
    <w:rsid w:val="002F5F3B"/>
    <w:rsid w:val="002F693C"/>
    <w:rsid w:val="002F7C6D"/>
    <w:rsid w:val="003020F4"/>
    <w:rsid w:val="003023A1"/>
    <w:rsid w:val="003025C7"/>
    <w:rsid w:val="0030360F"/>
    <w:rsid w:val="00303790"/>
    <w:rsid w:val="00303984"/>
    <w:rsid w:val="00304161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2AE7"/>
    <w:rsid w:val="00325246"/>
    <w:rsid w:val="00325D35"/>
    <w:rsid w:val="00326448"/>
    <w:rsid w:val="0032650F"/>
    <w:rsid w:val="0032662E"/>
    <w:rsid w:val="003275E4"/>
    <w:rsid w:val="00330069"/>
    <w:rsid w:val="00330144"/>
    <w:rsid w:val="0033244F"/>
    <w:rsid w:val="00332EF9"/>
    <w:rsid w:val="00335707"/>
    <w:rsid w:val="00337E16"/>
    <w:rsid w:val="00340E66"/>
    <w:rsid w:val="00340F10"/>
    <w:rsid w:val="00341D56"/>
    <w:rsid w:val="00342A44"/>
    <w:rsid w:val="0034486B"/>
    <w:rsid w:val="00344D92"/>
    <w:rsid w:val="003455A2"/>
    <w:rsid w:val="00345760"/>
    <w:rsid w:val="00345BD4"/>
    <w:rsid w:val="003506E7"/>
    <w:rsid w:val="00350E87"/>
    <w:rsid w:val="00353B7C"/>
    <w:rsid w:val="0035438E"/>
    <w:rsid w:val="00355828"/>
    <w:rsid w:val="00356418"/>
    <w:rsid w:val="00356E38"/>
    <w:rsid w:val="00357CBE"/>
    <w:rsid w:val="00361487"/>
    <w:rsid w:val="00361661"/>
    <w:rsid w:val="00370BC7"/>
    <w:rsid w:val="00371A33"/>
    <w:rsid w:val="00372E83"/>
    <w:rsid w:val="00375080"/>
    <w:rsid w:val="00377407"/>
    <w:rsid w:val="00380026"/>
    <w:rsid w:val="00381780"/>
    <w:rsid w:val="003824E4"/>
    <w:rsid w:val="00383CFE"/>
    <w:rsid w:val="00384BEF"/>
    <w:rsid w:val="003853FF"/>
    <w:rsid w:val="00385609"/>
    <w:rsid w:val="003856A4"/>
    <w:rsid w:val="00385DAB"/>
    <w:rsid w:val="0038696B"/>
    <w:rsid w:val="00387CBD"/>
    <w:rsid w:val="003900C7"/>
    <w:rsid w:val="0039039F"/>
    <w:rsid w:val="00390ED6"/>
    <w:rsid w:val="00391B5C"/>
    <w:rsid w:val="00392509"/>
    <w:rsid w:val="003925E5"/>
    <w:rsid w:val="00393FCC"/>
    <w:rsid w:val="003943E5"/>
    <w:rsid w:val="00397D8E"/>
    <w:rsid w:val="003A105C"/>
    <w:rsid w:val="003A2222"/>
    <w:rsid w:val="003A3262"/>
    <w:rsid w:val="003A5479"/>
    <w:rsid w:val="003A5C1B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936"/>
    <w:rsid w:val="003B56D7"/>
    <w:rsid w:val="003C1911"/>
    <w:rsid w:val="003C1B4F"/>
    <w:rsid w:val="003C2288"/>
    <w:rsid w:val="003C331C"/>
    <w:rsid w:val="003C3336"/>
    <w:rsid w:val="003C39E6"/>
    <w:rsid w:val="003C526E"/>
    <w:rsid w:val="003C6DEB"/>
    <w:rsid w:val="003C7585"/>
    <w:rsid w:val="003C7A5C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ACE"/>
    <w:rsid w:val="003F1CE1"/>
    <w:rsid w:val="003F2D7E"/>
    <w:rsid w:val="003F413A"/>
    <w:rsid w:val="003F5154"/>
    <w:rsid w:val="003F5249"/>
    <w:rsid w:val="003F54FB"/>
    <w:rsid w:val="003F5DFC"/>
    <w:rsid w:val="003F6572"/>
    <w:rsid w:val="003F6D1F"/>
    <w:rsid w:val="00400F7F"/>
    <w:rsid w:val="004036AF"/>
    <w:rsid w:val="00405316"/>
    <w:rsid w:val="0041153E"/>
    <w:rsid w:val="00412B7F"/>
    <w:rsid w:val="00412CEF"/>
    <w:rsid w:val="004141A8"/>
    <w:rsid w:val="004169D8"/>
    <w:rsid w:val="00420098"/>
    <w:rsid w:val="004201AF"/>
    <w:rsid w:val="00425FF9"/>
    <w:rsid w:val="00426328"/>
    <w:rsid w:val="00427B3B"/>
    <w:rsid w:val="00427EBF"/>
    <w:rsid w:val="00431085"/>
    <w:rsid w:val="00432278"/>
    <w:rsid w:val="00435269"/>
    <w:rsid w:val="004362AB"/>
    <w:rsid w:val="00441101"/>
    <w:rsid w:val="004415FB"/>
    <w:rsid w:val="00441CE3"/>
    <w:rsid w:val="004421F5"/>
    <w:rsid w:val="0044284D"/>
    <w:rsid w:val="00443050"/>
    <w:rsid w:val="0044434A"/>
    <w:rsid w:val="0044437F"/>
    <w:rsid w:val="00445E76"/>
    <w:rsid w:val="00446606"/>
    <w:rsid w:val="004471BC"/>
    <w:rsid w:val="00447217"/>
    <w:rsid w:val="00451471"/>
    <w:rsid w:val="00452C60"/>
    <w:rsid w:val="00455D42"/>
    <w:rsid w:val="0045665B"/>
    <w:rsid w:val="00457F93"/>
    <w:rsid w:val="004617A9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836D8"/>
    <w:rsid w:val="004837C6"/>
    <w:rsid w:val="00483998"/>
    <w:rsid w:val="00484250"/>
    <w:rsid w:val="00484E4C"/>
    <w:rsid w:val="004878ED"/>
    <w:rsid w:val="00490C52"/>
    <w:rsid w:val="00491438"/>
    <w:rsid w:val="00492E3F"/>
    <w:rsid w:val="00493F5C"/>
    <w:rsid w:val="00495DB3"/>
    <w:rsid w:val="004A171B"/>
    <w:rsid w:val="004A2385"/>
    <w:rsid w:val="004A2D91"/>
    <w:rsid w:val="004A3B95"/>
    <w:rsid w:val="004A7912"/>
    <w:rsid w:val="004B0194"/>
    <w:rsid w:val="004B1113"/>
    <w:rsid w:val="004B1DC3"/>
    <w:rsid w:val="004B326B"/>
    <w:rsid w:val="004B36AE"/>
    <w:rsid w:val="004B4672"/>
    <w:rsid w:val="004B58F5"/>
    <w:rsid w:val="004B67A4"/>
    <w:rsid w:val="004C289A"/>
    <w:rsid w:val="004C61A3"/>
    <w:rsid w:val="004C6E03"/>
    <w:rsid w:val="004C780C"/>
    <w:rsid w:val="004D03BA"/>
    <w:rsid w:val="004D3100"/>
    <w:rsid w:val="004D3441"/>
    <w:rsid w:val="004D6A38"/>
    <w:rsid w:val="004D6C65"/>
    <w:rsid w:val="004D708E"/>
    <w:rsid w:val="004D760C"/>
    <w:rsid w:val="004D7C91"/>
    <w:rsid w:val="004E0078"/>
    <w:rsid w:val="004E26E4"/>
    <w:rsid w:val="004E357A"/>
    <w:rsid w:val="004E3861"/>
    <w:rsid w:val="004E5000"/>
    <w:rsid w:val="004E65EB"/>
    <w:rsid w:val="004F0A27"/>
    <w:rsid w:val="004F3D4A"/>
    <w:rsid w:val="004F401E"/>
    <w:rsid w:val="004F4396"/>
    <w:rsid w:val="004F7174"/>
    <w:rsid w:val="004F7E98"/>
    <w:rsid w:val="00500DD0"/>
    <w:rsid w:val="005010BA"/>
    <w:rsid w:val="005012AA"/>
    <w:rsid w:val="005012CF"/>
    <w:rsid w:val="0050355D"/>
    <w:rsid w:val="005055B5"/>
    <w:rsid w:val="00506619"/>
    <w:rsid w:val="00510257"/>
    <w:rsid w:val="00510D1D"/>
    <w:rsid w:val="00511033"/>
    <w:rsid w:val="00511BBF"/>
    <w:rsid w:val="00515E7B"/>
    <w:rsid w:val="00520894"/>
    <w:rsid w:val="00520BC0"/>
    <w:rsid w:val="005217F8"/>
    <w:rsid w:val="0052267A"/>
    <w:rsid w:val="005239DD"/>
    <w:rsid w:val="00523CA1"/>
    <w:rsid w:val="00524A9C"/>
    <w:rsid w:val="005266F4"/>
    <w:rsid w:val="0052675C"/>
    <w:rsid w:val="005303B5"/>
    <w:rsid w:val="00531143"/>
    <w:rsid w:val="005340EA"/>
    <w:rsid w:val="00534A44"/>
    <w:rsid w:val="00536332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A47"/>
    <w:rsid w:val="00545FC7"/>
    <w:rsid w:val="0054634E"/>
    <w:rsid w:val="00546B67"/>
    <w:rsid w:val="005512D3"/>
    <w:rsid w:val="00551C0E"/>
    <w:rsid w:val="00554A33"/>
    <w:rsid w:val="0055716D"/>
    <w:rsid w:val="005571A6"/>
    <w:rsid w:val="00557953"/>
    <w:rsid w:val="00560E55"/>
    <w:rsid w:val="00562E8F"/>
    <w:rsid w:val="0056301A"/>
    <w:rsid w:val="005635AD"/>
    <w:rsid w:val="005636B0"/>
    <w:rsid w:val="005640E1"/>
    <w:rsid w:val="00564EA1"/>
    <w:rsid w:val="0056534C"/>
    <w:rsid w:val="00566E81"/>
    <w:rsid w:val="00567CEE"/>
    <w:rsid w:val="005713F4"/>
    <w:rsid w:val="00571E64"/>
    <w:rsid w:val="00573D3B"/>
    <w:rsid w:val="00575CC3"/>
    <w:rsid w:val="00575D10"/>
    <w:rsid w:val="00576018"/>
    <w:rsid w:val="005808CA"/>
    <w:rsid w:val="00580F26"/>
    <w:rsid w:val="00581A7C"/>
    <w:rsid w:val="0058427E"/>
    <w:rsid w:val="005864FA"/>
    <w:rsid w:val="00590750"/>
    <w:rsid w:val="00590907"/>
    <w:rsid w:val="0059346F"/>
    <w:rsid w:val="00594A7B"/>
    <w:rsid w:val="00595BB8"/>
    <w:rsid w:val="00596C07"/>
    <w:rsid w:val="00597AA7"/>
    <w:rsid w:val="005A1EAB"/>
    <w:rsid w:val="005A2D82"/>
    <w:rsid w:val="005A3835"/>
    <w:rsid w:val="005A3AEC"/>
    <w:rsid w:val="005A6858"/>
    <w:rsid w:val="005A72F2"/>
    <w:rsid w:val="005B2194"/>
    <w:rsid w:val="005B2BC3"/>
    <w:rsid w:val="005B4CFA"/>
    <w:rsid w:val="005B5B3D"/>
    <w:rsid w:val="005B7112"/>
    <w:rsid w:val="005B7166"/>
    <w:rsid w:val="005B74D2"/>
    <w:rsid w:val="005C18EE"/>
    <w:rsid w:val="005C1A79"/>
    <w:rsid w:val="005C4397"/>
    <w:rsid w:val="005C7644"/>
    <w:rsid w:val="005C7BF4"/>
    <w:rsid w:val="005D0F9B"/>
    <w:rsid w:val="005D1B66"/>
    <w:rsid w:val="005D1FDF"/>
    <w:rsid w:val="005D2B0F"/>
    <w:rsid w:val="005D3352"/>
    <w:rsid w:val="005D3D1E"/>
    <w:rsid w:val="005E111B"/>
    <w:rsid w:val="005E12DD"/>
    <w:rsid w:val="005E269C"/>
    <w:rsid w:val="005E3586"/>
    <w:rsid w:val="005E386D"/>
    <w:rsid w:val="005E3EC0"/>
    <w:rsid w:val="005E4DEE"/>
    <w:rsid w:val="005E5FF1"/>
    <w:rsid w:val="005E72FB"/>
    <w:rsid w:val="005F01CE"/>
    <w:rsid w:val="005F135B"/>
    <w:rsid w:val="005F4E54"/>
    <w:rsid w:val="005F70B6"/>
    <w:rsid w:val="005F7A87"/>
    <w:rsid w:val="006011A3"/>
    <w:rsid w:val="006017DF"/>
    <w:rsid w:val="00601F0A"/>
    <w:rsid w:val="00603630"/>
    <w:rsid w:val="00604DBE"/>
    <w:rsid w:val="006063E1"/>
    <w:rsid w:val="006065E4"/>
    <w:rsid w:val="00606F56"/>
    <w:rsid w:val="00607D48"/>
    <w:rsid w:val="00610039"/>
    <w:rsid w:val="00610381"/>
    <w:rsid w:val="00611B68"/>
    <w:rsid w:val="00611C07"/>
    <w:rsid w:val="00611E07"/>
    <w:rsid w:val="00612045"/>
    <w:rsid w:val="0061208B"/>
    <w:rsid w:val="00612F12"/>
    <w:rsid w:val="00613AC9"/>
    <w:rsid w:val="00615808"/>
    <w:rsid w:val="00620E86"/>
    <w:rsid w:val="006219DD"/>
    <w:rsid w:val="00621D63"/>
    <w:rsid w:val="00623DAF"/>
    <w:rsid w:val="006242BF"/>
    <w:rsid w:val="00631FE7"/>
    <w:rsid w:val="00632ACC"/>
    <w:rsid w:val="006345C1"/>
    <w:rsid w:val="00634F76"/>
    <w:rsid w:val="00637FDD"/>
    <w:rsid w:val="00641E57"/>
    <w:rsid w:val="0064260D"/>
    <w:rsid w:val="00643CED"/>
    <w:rsid w:val="0064618E"/>
    <w:rsid w:val="006478E6"/>
    <w:rsid w:val="006503A5"/>
    <w:rsid w:val="00650463"/>
    <w:rsid w:val="00651660"/>
    <w:rsid w:val="00651C0A"/>
    <w:rsid w:val="00652171"/>
    <w:rsid w:val="00653133"/>
    <w:rsid w:val="006532C3"/>
    <w:rsid w:val="0065528E"/>
    <w:rsid w:val="0065606D"/>
    <w:rsid w:val="00661BD2"/>
    <w:rsid w:val="00663B35"/>
    <w:rsid w:val="00666285"/>
    <w:rsid w:val="0066731A"/>
    <w:rsid w:val="00670BE7"/>
    <w:rsid w:val="00670FEA"/>
    <w:rsid w:val="00671DC9"/>
    <w:rsid w:val="0067252D"/>
    <w:rsid w:val="0067348B"/>
    <w:rsid w:val="006734AA"/>
    <w:rsid w:val="006734B3"/>
    <w:rsid w:val="0067353C"/>
    <w:rsid w:val="00676163"/>
    <w:rsid w:val="006764C4"/>
    <w:rsid w:val="006777E4"/>
    <w:rsid w:val="00677C22"/>
    <w:rsid w:val="006808CC"/>
    <w:rsid w:val="00682F4C"/>
    <w:rsid w:val="00685899"/>
    <w:rsid w:val="00691611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B0495"/>
    <w:rsid w:val="006B0DCB"/>
    <w:rsid w:val="006B2408"/>
    <w:rsid w:val="006B3AF9"/>
    <w:rsid w:val="006B414C"/>
    <w:rsid w:val="006B4B0F"/>
    <w:rsid w:val="006C32CF"/>
    <w:rsid w:val="006C335E"/>
    <w:rsid w:val="006C3A1F"/>
    <w:rsid w:val="006C54BB"/>
    <w:rsid w:val="006C5C6C"/>
    <w:rsid w:val="006C63EB"/>
    <w:rsid w:val="006C7DE0"/>
    <w:rsid w:val="006D16CA"/>
    <w:rsid w:val="006D3693"/>
    <w:rsid w:val="006D3DC7"/>
    <w:rsid w:val="006D4245"/>
    <w:rsid w:val="006D5843"/>
    <w:rsid w:val="006E0A93"/>
    <w:rsid w:val="006E4064"/>
    <w:rsid w:val="006E58EA"/>
    <w:rsid w:val="006E5BF8"/>
    <w:rsid w:val="006F0036"/>
    <w:rsid w:val="006F2F67"/>
    <w:rsid w:val="006F3CA4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4969"/>
    <w:rsid w:val="00705758"/>
    <w:rsid w:val="0070717A"/>
    <w:rsid w:val="00707244"/>
    <w:rsid w:val="00712CCC"/>
    <w:rsid w:val="007136E9"/>
    <w:rsid w:val="00713DE5"/>
    <w:rsid w:val="007157A0"/>
    <w:rsid w:val="007174DA"/>
    <w:rsid w:val="00720910"/>
    <w:rsid w:val="00720F29"/>
    <w:rsid w:val="007224C2"/>
    <w:rsid w:val="00731117"/>
    <w:rsid w:val="00731409"/>
    <w:rsid w:val="007334B1"/>
    <w:rsid w:val="007339F3"/>
    <w:rsid w:val="00733EB2"/>
    <w:rsid w:val="00737FEC"/>
    <w:rsid w:val="00740292"/>
    <w:rsid w:val="007424E5"/>
    <w:rsid w:val="00742B07"/>
    <w:rsid w:val="00744619"/>
    <w:rsid w:val="0074676E"/>
    <w:rsid w:val="0075064C"/>
    <w:rsid w:val="00752E39"/>
    <w:rsid w:val="00755956"/>
    <w:rsid w:val="00756AA0"/>
    <w:rsid w:val="00757CE6"/>
    <w:rsid w:val="00763097"/>
    <w:rsid w:val="00764CB0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6EDA"/>
    <w:rsid w:val="00777599"/>
    <w:rsid w:val="00785646"/>
    <w:rsid w:val="00785CF8"/>
    <w:rsid w:val="00793277"/>
    <w:rsid w:val="0079435F"/>
    <w:rsid w:val="00796068"/>
    <w:rsid w:val="00796CC0"/>
    <w:rsid w:val="00796CF1"/>
    <w:rsid w:val="007979EA"/>
    <w:rsid w:val="00797A74"/>
    <w:rsid w:val="007A1A35"/>
    <w:rsid w:val="007A2166"/>
    <w:rsid w:val="007A2B7F"/>
    <w:rsid w:val="007A5922"/>
    <w:rsid w:val="007A5969"/>
    <w:rsid w:val="007A7C23"/>
    <w:rsid w:val="007B1ABA"/>
    <w:rsid w:val="007B259B"/>
    <w:rsid w:val="007B3F28"/>
    <w:rsid w:val="007B471E"/>
    <w:rsid w:val="007B5018"/>
    <w:rsid w:val="007B53E7"/>
    <w:rsid w:val="007B65B3"/>
    <w:rsid w:val="007B7287"/>
    <w:rsid w:val="007B7A70"/>
    <w:rsid w:val="007C08AB"/>
    <w:rsid w:val="007C4E99"/>
    <w:rsid w:val="007C5151"/>
    <w:rsid w:val="007C546B"/>
    <w:rsid w:val="007C5B8D"/>
    <w:rsid w:val="007C670D"/>
    <w:rsid w:val="007C7359"/>
    <w:rsid w:val="007D0ED0"/>
    <w:rsid w:val="007D1F01"/>
    <w:rsid w:val="007D250D"/>
    <w:rsid w:val="007D3500"/>
    <w:rsid w:val="007D3868"/>
    <w:rsid w:val="007D3E0E"/>
    <w:rsid w:val="007D48CF"/>
    <w:rsid w:val="007D4A4A"/>
    <w:rsid w:val="007E0721"/>
    <w:rsid w:val="007E0B69"/>
    <w:rsid w:val="007E0C58"/>
    <w:rsid w:val="007E0E05"/>
    <w:rsid w:val="007E1DD3"/>
    <w:rsid w:val="007E209F"/>
    <w:rsid w:val="007E23C8"/>
    <w:rsid w:val="007E2878"/>
    <w:rsid w:val="007E4655"/>
    <w:rsid w:val="007E50E4"/>
    <w:rsid w:val="007E55E0"/>
    <w:rsid w:val="007E5C50"/>
    <w:rsid w:val="007E5DED"/>
    <w:rsid w:val="007E79DC"/>
    <w:rsid w:val="007F0546"/>
    <w:rsid w:val="007F0861"/>
    <w:rsid w:val="007F1DEB"/>
    <w:rsid w:val="007F22A5"/>
    <w:rsid w:val="007F421D"/>
    <w:rsid w:val="007F5688"/>
    <w:rsid w:val="007F588F"/>
    <w:rsid w:val="007F66A5"/>
    <w:rsid w:val="0080038A"/>
    <w:rsid w:val="0080065F"/>
    <w:rsid w:val="00802DA0"/>
    <w:rsid w:val="008051DE"/>
    <w:rsid w:val="00805659"/>
    <w:rsid w:val="0080733E"/>
    <w:rsid w:val="00810CC2"/>
    <w:rsid w:val="0081324B"/>
    <w:rsid w:val="0081440E"/>
    <w:rsid w:val="00816193"/>
    <w:rsid w:val="008165E4"/>
    <w:rsid w:val="008234BD"/>
    <w:rsid w:val="00824A8C"/>
    <w:rsid w:val="00825155"/>
    <w:rsid w:val="00825EB9"/>
    <w:rsid w:val="008301B7"/>
    <w:rsid w:val="008303E2"/>
    <w:rsid w:val="00831B7E"/>
    <w:rsid w:val="00833A8F"/>
    <w:rsid w:val="008341F8"/>
    <w:rsid w:val="008359F3"/>
    <w:rsid w:val="00835DB6"/>
    <w:rsid w:val="00836AC2"/>
    <w:rsid w:val="00837D13"/>
    <w:rsid w:val="008406D5"/>
    <w:rsid w:val="00843BED"/>
    <w:rsid w:val="008447C8"/>
    <w:rsid w:val="00844C5B"/>
    <w:rsid w:val="00847B37"/>
    <w:rsid w:val="008501A4"/>
    <w:rsid w:val="008505A1"/>
    <w:rsid w:val="00850817"/>
    <w:rsid w:val="00851D16"/>
    <w:rsid w:val="00851E54"/>
    <w:rsid w:val="0085433A"/>
    <w:rsid w:val="00854B32"/>
    <w:rsid w:val="00855F2B"/>
    <w:rsid w:val="00856252"/>
    <w:rsid w:val="00857634"/>
    <w:rsid w:val="00861216"/>
    <w:rsid w:val="0086124E"/>
    <w:rsid w:val="00861B74"/>
    <w:rsid w:val="00864A10"/>
    <w:rsid w:val="008652C9"/>
    <w:rsid w:val="00866992"/>
    <w:rsid w:val="00866CA9"/>
    <w:rsid w:val="00867E32"/>
    <w:rsid w:val="00872942"/>
    <w:rsid w:val="00875991"/>
    <w:rsid w:val="00875BB5"/>
    <w:rsid w:val="008771B6"/>
    <w:rsid w:val="00877FDD"/>
    <w:rsid w:val="00880FED"/>
    <w:rsid w:val="0088186D"/>
    <w:rsid w:val="008841C8"/>
    <w:rsid w:val="00885367"/>
    <w:rsid w:val="008855A4"/>
    <w:rsid w:val="00885989"/>
    <w:rsid w:val="00887082"/>
    <w:rsid w:val="00887C8D"/>
    <w:rsid w:val="00887DC7"/>
    <w:rsid w:val="00891FCC"/>
    <w:rsid w:val="00892BB8"/>
    <w:rsid w:val="00893014"/>
    <w:rsid w:val="0089513A"/>
    <w:rsid w:val="00896755"/>
    <w:rsid w:val="00896F38"/>
    <w:rsid w:val="008A2029"/>
    <w:rsid w:val="008A2417"/>
    <w:rsid w:val="008A5D49"/>
    <w:rsid w:val="008A6952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3A5B"/>
    <w:rsid w:val="008C3D50"/>
    <w:rsid w:val="008C5B71"/>
    <w:rsid w:val="008D0E23"/>
    <w:rsid w:val="008D2382"/>
    <w:rsid w:val="008D3521"/>
    <w:rsid w:val="008D5667"/>
    <w:rsid w:val="008D6F5D"/>
    <w:rsid w:val="008E003A"/>
    <w:rsid w:val="008E15E3"/>
    <w:rsid w:val="008E2045"/>
    <w:rsid w:val="008E4C62"/>
    <w:rsid w:val="008E727E"/>
    <w:rsid w:val="008F0B17"/>
    <w:rsid w:val="008F2902"/>
    <w:rsid w:val="008F4047"/>
    <w:rsid w:val="008F4111"/>
    <w:rsid w:val="008F4593"/>
    <w:rsid w:val="008F660B"/>
    <w:rsid w:val="008F695F"/>
    <w:rsid w:val="009005CE"/>
    <w:rsid w:val="00901376"/>
    <w:rsid w:val="0090188B"/>
    <w:rsid w:val="009021A4"/>
    <w:rsid w:val="00903309"/>
    <w:rsid w:val="00904305"/>
    <w:rsid w:val="0090441C"/>
    <w:rsid w:val="00904EC5"/>
    <w:rsid w:val="0091406E"/>
    <w:rsid w:val="00914B48"/>
    <w:rsid w:val="0091511B"/>
    <w:rsid w:val="009172D7"/>
    <w:rsid w:val="00917B6F"/>
    <w:rsid w:val="00917E84"/>
    <w:rsid w:val="009239AA"/>
    <w:rsid w:val="009245B5"/>
    <w:rsid w:val="009245D0"/>
    <w:rsid w:val="00924AB4"/>
    <w:rsid w:val="00925EF2"/>
    <w:rsid w:val="00935C40"/>
    <w:rsid w:val="00935F4D"/>
    <w:rsid w:val="0093795C"/>
    <w:rsid w:val="00937DCB"/>
    <w:rsid w:val="00937F7E"/>
    <w:rsid w:val="009440DE"/>
    <w:rsid w:val="009444E6"/>
    <w:rsid w:val="00944A8E"/>
    <w:rsid w:val="009455E6"/>
    <w:rsid w:val="0094589B"/>
    <w:rsid w:val="00950775"/>
    <w:rsid w:val="009509C0"/>
    <w:rsid w:val="00952B9C"/>
    <w:rsid w:val="00953B70"/>
    <w:rsid w:val="00956330"/>
    <w:rsid w:val="00956348"/>
    <w:rsid w:val="00956BA7"/>
    <w:rsid w:val="00956FD8"/>
    <w:rsid w:val="009575F7"/>
    <w:rsid w:val="00957E4B"/>
    <w:rsid w:val="0096021A"/>
    <w:rsid w:val="00960F73"/>
    <w:rsid w:val="0096378B"/>
    <w:rsid w:val="009642CA"/>
    <w:rsid w:val="009652B6"/>
    <w:rsid w:val="0096655D"/>
    <w:rsid w:val="00971139"/>
    <w:rsid w:val="00971F5D"/>
    <w:rsid w:val="00972B10"/>
    <w:rsid w:val="0097401F"/>
    <w:rsid w:val="00975E28"/>
    <w:rsid w:val="00981FA0"/>
    <w:rsid w:val="0098263A"/>
    <w:rsid w:val="00983541"/>
    <w:rsid w:val="00984366"/>
    <w:rsid w:val="00984E80"/>
    <w:rsid w:val="0098690F"/>
    <w:rsid w:val="00987EE5"/>
    <w:rsid w:val="00991CD8"/>
    <w:rsid w:val="00991EBE"/>
    <w:rsid w:val="009928B3"/>
    <w:rsid w:val="00992B6B"/>
    <w:rsid w:val="00993C2E"/>
    <w:rsid w:val="00997C8A"/>
    <w:rsid w:val="009A0E89"/>
    <w:rsid w:val="009A1339"/>
    <w:rsid w:val="009A1A95"/>
    <w:rsid w:val="009A3006"/>
    <w:rsid w:val="009A3994"/>
    <w:rsid w:val="009B2FB9"/>
    <w:rsid w:val="009B5D6F"/>
    <w:rsid w:val="009B62AF"/>
    <w:rsid w:val="009B6745"/>
    <w:rsid w:val="009B68AF"/>
    <w:rsid w:val="009B7146"/>
    <w:rsid w:val="009B74EA"/>
    <w:rsid w:val="009B7AB9"/>
    <w:rsid w:val="009C33CA"/>
    <w:rsid w:val="009C4B6D"/>
    <w:rsid w:val="009D0928"/>
    <w:rsid w:val="009D146D"/>
    <w:rsid w:val="009D1B99"/>
    <w:rsid w:val="009D2884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3B5A"/>
    <w:rsid w:val="009E5105"/>
    <w:rsid w:val="009E59A1"/>
    <w:rsid w:val="009E66EE"/>
    <w:rsid w:val="009F015D"/>
    <w:rsid w:val="009F2E0B"/>
    <w:rsid w:val="009F37BF"/>
    <w:rsid w:val="009F3DB4"/>
    <w:rsid w:val="009F4326"/>
    <w:rsid w:val="009F7078"/>
    <w:rsid w:val="009F7FA6"/>
    <w:rsid w:val="00A0082F"/>
    <w:rsid w:val="00A00AE7"/>
    <w:rsid w:val="00A0244C"/>
    <w:rsid w:val="00A033FF"/>
    <w:rsid w:val="00A0409E"/>
    <w:rsid w:val="00A046C7"/>
    <w:rsid w:val="00A04EDA"/>
    <w:rsid w:val="00A06137"/>
    <w:rsid w:val="00A063FE"/>
    <w:rsid w:val="00A06EDB"/>
    <w:rsid w:val="00A07ACC"/>
    <w:rsid w:val="00A11259"/>
    <w:rsid w:val="00A1329C"/>
    <w:rsid w:val="00A14503"/>
    <w:rsid w:val="00A14E25"/>
    <w:rsid w:val="00A14E81"/>
    <w:rsid w:val="00A16A60"/>
    <w:rsid w:val="00A17A3D"/>
    <w:rsid w:val="00A2062A"/>
    <w:rsid w:val="00A2066E"/>
    <w:rsid w:val="00A21E19"/>
    <w:rsid w:val="00A236A1"/>
    <w:rsid w:val="00A239A8"/>
    <w:rsid w:val="00A25B79"/>
    <w:rsid w:val="00A30683"/>
    <w:rsid w:val="00A3115F"/>
    <w:rsid w:val="00A32209"/>
    <w:rsid w:val="00A33030"/>
    <w:rsid w:val="00A378A2"/>
    <w:rsid w:val="00A407B6"/>
    <w:rsid w:val="00A40CDE"/>
    <w:rsid w:val="00A43FBD"/>
    <w:rsid w:val="00A43FD4"/>
    <w:rsid w:val="00A44703"/>
    <w:rsid w:val="00A473D7"/>
    <w:rsid w:val="00A52DA1"/>
    <w:rsid w:val="00A54CCB"/>
    <w:rsid w:val="00A5757E"/>
    <w:rsid w:val="00A60F52"/>
    <w:rsid w:val="00A61DFE"/>
    <w:rsid w:val="00A62AA8"/>
    <w:rsid w:val="00A63B4C"/>
    <w:rsid w:val="00A6526F"/>
    <w:rsid w:val="00A6604B"/>
    <w:rsid w:val="00A664AD"/>
    <w:rsid w:val="00A664E7"/>
    <w:rsid w:val="00A66E7F"/>
    <w:rsid w:val="00A674C3"/>
    <w:rsid w:val="00A67917"/>
    <w:rsid w:val="00A70904"/>
    <w:rsid w:val="00A709BB"/>
    <w:rsid w:val="00A75C52"/>
    <w:rsid w:val="00A767B2"/>
    <w:rsid w:val="00A7717C"/>
    <w:rsid w:val="00A77CCE"/>
    <w:rsid w:val="00A81B11"/>
    <w:rsid w:val="00A82448"/>
    <w:rsid w:val="00A82B9E"/>
    <w:rsid w:val="00A84186"/>
    <w:rsid w:val="00A846F1"/>
    <w:rsid w:val="00A857B4"/>
    <w:rsid w:val="00A85B14"/>
    <w:rsid w:val="00A875C0"/>
    <w:rsid w:val="00A87C15"/>
    <w:rsid w:val="00A925D7"/>
    <w:rsid w:val="00A92706"/>
    <w:rsid w:val="00A9704A"/>
    <w:rsid w:val="00A97AD0"/>
    <w:rsid w:val="00AA0C5B"/>
    <w:rsid w:val="00AA1377"/>
    <w:rsid w:val="00AA1D1B"/>
    <w:rsid w:val="00AA49AF"/>
    <w:rsid w:val="00AA4F2F"/>
    <w:rsid w:val="00AA57CE"/>
    <w:rsid w:val="00AA5E45"/>
    <w:rsid w:val="00AA7211"/>
    <w:rsid w:val="00AA7540"/>
    <w:rsid w:val="00AB0B9C"/>
    <w:rsid w:val="00AB3E6B"/>
    <w:rsid w:val="00AB4D0B"/>
    <w:rsid w:val="00AB51C8"/>
    <w:rsid w:val="00AB5586"/>
    <w:rsid w:val="00AB7B25"/>
    <w:rsid w:val="00AC0BAE"/>
    <w:rsid w:val="00AC0E78"/>
    <w:rsid w:val="00AC126F"/>
    <w:rsid w:val="00AC13F7"/>
    <w:rsid w:val="00AC3256"/>
    <w:rsid w:val="00AC43D2"/>
    <w:rsid w:val="00AC4A94"/>
    <w:rsid w:val="00AC4B34"/>
    <w:rsid w:val="00AC6DE2"/>
    <w:rsid w:val="00AC737D"/>
    <w:rsid w:val="00AD05A6"/>
    <w:rsid w:val="00AD283D"/>
    <w:rsid w:val="00AD5922"/>
    <w:rsid w:val="00AD5F80"/>
    <w:rsid w:val="00AD6555"/>
    <w:rsid w:val="00AE05EA"/>
    <w:rsid w:val="00AE0EDF"/>
    <w:rsid w:val="00AE1128"/>
    <w:rsid w:val="00AE14F4"/>
    <w:rsid w:val="00AE1AB0"/>
    <w:rsid w:val="00AE2609"/>
    <w:rsid w:val="00AE29A8"/>
    <w:rsid w:val="00AE3960"/>
    <w:rsid w:val="00AE4074"/>
    <w:rsid w:val="00AE439A"/>
    <w:rsid w:val="00AE591D"/>
    <w:rsid w:val="00AE617A"/>
    <w:rsid w:val="00AE713F"/>
    <w:rsid w:val="00AF01CB"/>
    <w:rsid w:val="00AF09C7"/>
    <w:rsid w:val="00AF1474"/>
    <w:rsid w:val="00AF1A40"/>
    <w:rsid w:val="00AF37F7"/>
    <w:rsid w:val="00AF4BF4"/>
    <w:rsid w:val="00B0025D"/>
    <w:rsid w:val="00B006D8"/>
    <w:rsid w:val="00B02238"/>
    <w:rsid w:val="00B03D35"/>
    <w:rsid w:val="00B05065"/>
    <w:rsid w:val="00B05194"/>
    <w:rsid w:val="00B0688D"/>
    <w:rsid w:val="00B06AA0"/>
    <w:rsid w:val="00B06B45"/>
    <w:rsid w:val="00B06D33"/>
    <w:rsid w:val="00B074B3"/>
    <w:rsid w:val="00B10AD8"/>
    <w:rsid w:val="00B154B5"/>
    <w:rsid w:val="00B1664E"/>
    <w:rsid w:val="00B17303"/>
    <w:rsid w:val="00B1744E"/>
    <w:rsid w:val="00B21343"/>
    <w:rsid w:val="00B219AA"/>
    <w:rsid w:val="00B21A5B"/>
    <w:rsid w:val="00B221C7"/>
    <w:rsid w:val="00B25143"/>
    <w:rsid w:val="00B2585D"/>
    <w:rsid w:val="00B266FA"/>
    <w:rsid w:val="00B26C40"/>
    <w:rsid w:val="00B26D82"/>
    <w:rsid w:val="00B27359"/>
    <w:rsid w:val="00B30BA2"/>
    <w:rsid w:val="00B3149E"/>
    <w:rsid w:val="00B31DDF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37629"/>
    <w:rsid w:val="00B408FD"/>
    <w:rsid w:val="00B40BEA"/>
    <w:rsid w:val="00B41D9D"/>
    <w:rsid w:val="00B44029"/>
    <w:rsid w:val="00B44FFA"/>
    <w:rsid w:val="00B45428"/>
    <w:rsid w:val="00B47943"/>
    <w:rsid w:val="00B50446"/>
    <w:rsid w:val="00B50A6E"/>
    <w:rsid w:val="00B512D2"/>
    <w:rsid w:val="00B527BF"/>
    <w:rsid w:val="00B52DC6"/>
    <w:rsid w:val="00B530FD"/>
    <w:rsid w:val="00B53920"/>
    <w:rsid w:val="00B53C03"/>
    <w:rsid w:val="00B53C9C"/>
    <w:rsid w:val="00B558FE"/>
    <w:rsid w:val="00B56396"/>
    <w:rsid w:val="00B5639B"/>
    <w:rsid w:val="00B60C3E"/>
    <w:rsid w:val="00B615CB"/>
    <w:rsid w:val="00B63E30"/>
    <w:rsid w:val="00B645FA"/>
    <w:rsid w:val="00B64775"/>
    <w:rsid w:val="00B657AB"/>
    <w:rsid w:val="00B65AF9"/>
    <w:rsid w:val="00B663CD"/>
    <w:rsid w:val="00B67B4F"/>
    <w:rsid w:val="00B702CD"/>
    <w:rsid w:val="00B77BB8"/>
    <w:rsid w:val="00B800EC"/>
    <w:rsid w:val="00B81718"/>
    <w:rsid w:val="00B85A97"/>
    <w:rsid w:val="00B86278"/>
    <w:rsid w:val="00B86AF6"/>
    <w:rsid w:val="00B86E2A"/>
    <w:rsid w:val="00B877AA"/>
    <w:rsid w:val="00B9389E"/>
    <w:rsid w:val="00B94EB5"/>
    <w:rsid w:val="00B96EA4"/>
    <w:rsid w:val="00B97282"/>
    <w:rsid w:val="00B97A3E"/>
    <w:rsid w:val="00BA2F02"/>
    <w:rsid w:val="00BA2FFD"/>
    <w:rsid w:val="00BA428A"/>
    <w:rsid w:val="00BA5023"/>
    <w:rsid w:val="00BA5365"/>
    <w:rsid w:val="00BA58B6"/>
    <w:rsid w:val="00BA62AD"/>
    <w:rsid w:val="00BA6DBD"/>
    <w:rsid w:val="00BB0267"/>
    <w:rsid w:val="00BB078B"/>
    <w:rsid w:val="00BB0B26"/>
    <w:rsid w:val="00BB0E0C"/>
    <w:rsid w:val="00BB37AF"/>
    <w:rsid w:val="00BB4769"/>
    <w:rsid w:val="00BB4C08"/>
    <w:rsid w:val="00BB61BE"/>
    <w:rsid w:val="00BB6AC3"/>
    <w:rsid w:val="00BB779D"/>
    <w:rsid w:val="00BC1DBD"/>
    <w:rsid w:val="00BC2414"/>
    <w:rsid w:val="00BC322A"/>
    <w:rsid w:val="00BC4F1B"/>
    <w:rsid w:val="00BC526B"/>
    <w:rsid w:val="00BC5737"/>
    <w:rsid w:val="00BD1747"/>
    <w:rsid w:val="00BD3C68"/>
    <w:rsid w:val="00BD421D"/>
    <w:rsid w:val="00BD4493"/>
    <w:rsid w:val="00BD6B87"/>
    <w:rsid w:val="00BD73FC"/>
    <w:rsid w:val="00BD79B1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6584"/>
    <w:rsid w:val="00BE6637"/>
    <w:rsid w:val="00BF10E8"/>
    <w:rsid w:val="00BF2033"/>
    <w:rsid w:val="00BF3158"/>
    <w:rsid w:val="00BF3169"/>
    <w:rsid w:val="00BF51B7"/>
    <w:rsid w:val="00C00953"/>
    <w:rsid w:val="00C00F38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F76"/>
    <w:rsid w:val="00C14D9F"/>
    <w:rsid w:val="00C15A27"/>
    <w:rsid w:val="00C15FEF"/>
    <w:rsid w:val="00C165A1"/>
    <w:rsid w:val="00C1776A"/>
    <w:rsid w:val="00C20301"/>
    <w:rsid w:val="00C20BBA"/>
    <w:rsid w:val="00C21AC9"/>
    <w:rsid w:val="00C22519"/>
    <w:rsid w:val="00C22F12"/>
    <w:rsid w:val="00C2305C"/>
    <w:rsid w:val="00C233D0"/>
    <w:rsid w:val="00C2380D"/>
    <w:rsid w:val="00C24162"/>
    <w:rsid w:val="00C24E78"/>
    <w:rsid w:val="00C2509D"/>
    <w:rsid w:val="00C2796E"/>
    <w:rsid w:val="00C27A2E"/>
    <w:rsid w:val="00C34ABD"/>
    <w:rsid w:val="00C353CF"/>
    <w:rsid w:val="00C35F43"/>
    <w:rsid w:val="00C36C55"/>
    <w:rsid w:val="00C37088"/>
    <w:rsid w:val="00C3715E"/>
    <w:rsid w:val="00C408D5"/>
    <w:rsid w:val="00C40B77"/>
    <w:rsid w:val="00C41D3C"/>
    <w:rsid w:val="00C43801"/>
    <w:rsid w:val="00C43994"/>
    <w:rsid w:val="00C44A07"/>
    <w:rsid w:val="00C44BDC"/>
    <w:rsid w:val="00C45BFB"/>
    <w:rsid w:val="00C45DCE"/>
    <w:rsid w:val="00C46D15"/>
    <w:rsid w:val="00C50C7D"/>
    <w:rsid w:val="00C50FF9"/>
    <w:rsid w:val="00C54B14"/>
    <w:rsid w:val="00C6352A"/>
    <w:rsid w:val="00C65B2D"/>
    <w:rsid w:val="00C65C5D"/>
    <w:rsid w:val="00C65DA0"/>
    <w:rsid w:val="00C6656A"/>
    <w:rsid w:val="00C66C03"/>
    <w:rsid w:val="00C711E5"/>
    <w:rsid w:val="00C730CB"/>
    <w:rsid w:val="00C731FC"/>
    <w:rsid w:val="00C73782"/>
    <w:rsid w:val="00C74107"/>
    <w:rsid w:val="00C80D90"/>
    <w:rsid w:val="00C81B05"/>
    <w:rsid w:val="00C83AEE"/>
    <w:rsid w:val="00C85531"/>
    <w:rsid w:val="00C85563"/>
    <w:rsid w:val="00C85AC7"/>
    <w:rsid w:val="00C85B0B"/>
    <w:rsid w:val="00C87F13"/>
    <w:rsid w:val="00C9045E"/>
    <w:rsid w:val="00C90466"/>
    <w:rsid w:val="00C906CD"/>
    <w:rsid w:val="00C90F10"/>
    <w:rsid w:val="00C9133D"/>
    <w:rsid w:val="00C92840"/>
    <w:rsid w:val="00C934E0"/>
    <w:rsid w:val="00C94A2F"/>
    <w:rsid w:val="00C961CA"/>
    <w:rsid w:val="00C96454"/>
    <w:rsid w:val="00CA08DA"/>
    <w:rsid w:val="00CA0FB8"/>
    <w:rsid w:val="00CA15F3"/>
    <w:rsid w:val="00CA2680"/>
    <w:rsid w:val="00CA4D23"/>
    <w:rsid w:val="00CA522F"/>
    <w:rsid w:val="00CA6716"/>
    <w:rsid w:val="00CB036A"/>
    <w:rsid w:val="00CB0D34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407F"/>
    <w:rsid w:val="00CD5740"/>
    <w:rsid w:val="00CD7420"/>
    <w:rsid w:val="00CD7972"/>
    <w:rsid w:val="00CE0BA7"/>
    <w:rsid w:val="00CE2FAA"/>
    <w:rsid w:val="00CE36EF"/>
    <w:rsid w:val="00CE3FC3"/>
    <w:rsid w:val="00CE552B"/>
    <w:rsid w:val="00CE6ACB"/>
    <w:rsid w:val="00CE6D09"/>
    <w:rsid w:val="00CF0E4D"/>
    <w:rsid w:val="00CF1617"/>
    <w:rsid w:val="00CF19C6"/>
    <w:rsid w:val="00CF230D"/>
    <w:rsid w:val="00CF5489"/>
    <w:rsid w:val="00CF7615"/>
    <w:rsid w:val="00CF7823"/>
    <w:rsid w:val="00D003F8"/>
    <w:rsid w:val="00D0052C"/>
    <w:rsid w:val="00D01540"/>
    <w:rsid w:val="00D01AFE"/>
    <w:rsid w:val="00D02757"/>
    <w:rsid w:val="00D02FB7"/>
    <w:rsid w:val="00D04613"/>
    <w:rsid w:val="00D05C77"/>
    <w:rsid w:val="00D07739"/>
    <w:rsid w:val="00D10769"/>
    <w:rsid w:val="00D11642"/>
    <w:rsid w:val="00D116C7"/>
    <w:rsid w:val="00D13AC5"/>
    <w:rsid w:val="00D14E5F"/>
    <w:rsid w:val="00D14FB2"/>
    <w:rsid w:val="00D16754"/>
    <w:rsid w:val="00D17548"/>
    <w:rsid w:val="00D17CC6"/>
    <w:rsid w:val="00D2041E"/>
    <w:rsid w:val="00D20454"/>
    <w:rsid w:val="00D20D10"/>
    <w:rsid w:val="00D23801"/>
    <w:rsid w:val="00D25AEC"/>
    <w:rsid w:val="00D25B2F"/>
    <w:rsid w:val="00D305AC"/>
    <w:rsid w:val="00D32376"/>
    <w:rsid w:val="00D326DD"/>
    <w:rsid w:val="00D341C9"/>
    <w:rsid w:val="00D3447D"/>
    <w:rsid w:val="00D3488B"/>
    <w:rsid w:val="00D35F32"/>
    <w:rsid w:val="00D361DE"/>
    <w:rsid w:val="00D37427"/>
    <w:rsid w:val="00D3793E"/>
    <w:rsid w:val="00D37FB2"/>
    <w:rsid w:val="00D41A6A"/>
    <w:rsid w:val="00D4233A"/>
    <w:rsid w:val="00D44B3D"/>
    <w:rsid w:val="00D46C4C"/>
    <w:rsid w:val="00D51F18"/>
    <w:rsid w:val="00D52DA3"/>
    <w:rsid w:val="00D52E5A"/>
    <w:rsid w:val="00D53537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30E7"/>
    <w:rsid w:val="00D640BA"/>
    <w:rsid w:val="00D66F17"/>
    <w:rsid w:val="00D700E5"/>
    <w:rsid w:val="00D70900"/>
    <w:rsid w:val="00D71B77"/>
    <w:rsid w:val="00D74A87"/>
    <w:rsid w:val="00D75CE3"/>
    <w:rsid w:val="00D76186"/>
    <w:rsid w:val="00D771E9"/>
    <w:rsid w:val="00D817F1"/>
    <w:rsid w:val="00D86C20"/>
    <w:rsid w:val="00D86DD4"/>
    <w:rsid w:val="00D909BB"/>
    <w:rsid w:val="00D916C3"/>
    <w:rsid w:val="00D92529"/>
    <w:rsid w:val="00DA1613"/>
    <w:rsid w:val="00DA330A"/>
    <w:rsid w:val="00DA5AAB"/>
    <w:rsid w:val="00DA671A"/>
    <w:rsid w:val="00DA6858"/>
    <w:rsid w:val="00DA7CBB"/>
    <w:rsid w:val="00DB08FA"/>
    <w:rsid w:val="00DB1CD7"/>
    <w:rsid w:val="00DB2651"/>
    <w:rsid w:val="00DB30B1"/>
    <w:rsid w:val="00DB3ECD"/>
    <w:rsid w:val="00DB4717"/>
    <w:rsid w:val="00DB79D5"/>
    <w:rsid w:val="00DC12C8"/>
    <w:rsid w:val="00DC6AB5"/>
    <w:rsid w:val="00DC6F31"/>
    <w:rsid w:val="00DC7004"/>
    <w:rsid w:val="00DC7FFD"/>
    <w:rsid w:val="00DD0277"/>
    <w:rsid w:val="00DD1B11"/>
    <w:rsid w:val="00DD1B33"/>
    <w:rsid w:val="00DD5DC2"/>
    <w:rsid w:val="00DD6D82"/>
    <w:rsid w:val="00DE045E"/>
    <w:rsid w:val="00DE1240"/>
    <w:rsid w:val="00DE1AA5"/>
    <w:rsid w:val="00DE231A"/>
    <w:rsid w:val="00DE23D6"/>
    <w:rsid w:val="00DE2825"/>
    <w:rsid w:val="00DE29B9"/>
    <w:rsid w:val="00DE2CB6"/>
    <w:rsid w:val="00DE2DDE"/>
    <w:rsid w:val="00DE395F"/>
    <w:rsid w:val="00DE5414"/>
    <w:rsid w:val="00DE7566"/>
    <w:rsid w:val="00DE7E46"/>
    <w:rsid w:val="00DF066D"/>
    <w:rsid w:val="00DF0C37"/>
    <w:rsid w:val="00DF24FD"/>
    <w:rsid w:val="00DF2506"/>
    <w:rsid w:val="00DF2F26"/>
    <w:rsid w:val="00DF301A"/>
    <w:rsid w:val="00DF3469"/>
    <w:rsid w:val="00DF3BE2"/>
    <w:rsid w:val="00DF4E2C"/>
    <w:rsid w:val="00DF4E34"/>
    <w:rsid w:val="00DF5ACC"/>
    <w:rsid w:val="00DF75EC"/>
    <w:rsid w:val="00E0133D"/>
    <w:rsid w:val="00E019ED"/>
    <w:rsid w:val="00E02392"/>
    <w:rsid w:val="00E0312F"/>
    <w:rsid w:val="00E04C48"/>
    <w:rsid w:val="00E05C97"/>
    <w:rsid w:val="00E05DA6"/>
    <w:rsid w:val="00E06065"/>
    <w:rsid w:val="00E07901"/>
    <w:rsid w:val="00E079C6"/>
    <w:rsid w:val="00E1273C"/>
    <w:rsid w:val="00E1434A"/>
    <w:rsid w:val="00E146CF"/>
    <w:rsid w:val="00E14BED"/>
    <w:rsid w:val="00E17711"/>
    <w:rsid w:val="00E23C05"/>
    <w:rsid w:val="00E2425F"/>
    <w:rsid w:val="00E242F0"/>
    <w:rsid w:val="00E245B0"/>
    <w:rsid w:val="00E2461C"/>
    <w:rsid w:val="00E247E2"/>
    <w:rsid w:val="00E30431"/>
    <w:rsid w:val="00E304EB"/>
    <w:rsid w:val="00E329D0"/>
    <w:rsid w:val="00E330AD"/>
    <w:rsid w:val="00E33746"/>
    <w:rsid w:val="00E342B3"/>
    <w:rsid w:val="00E3451F"/>
    <w:rsid w:val="00E348E2"/>
    <w:rsid w:val="00E34B80"/>
    <w:rsid w:val="00E36ADF"/>
    <w:rsid w:val="00E36B53"/>
    <w:rsid w:val="00E37585"/>
    <w:rsid w:val="00E41B64"/>
    <w:rsid w:val="00E42C35"/>
    <w:rsid w:val="00E43E70"/>
    <w:rsid w:val="00E469D5"/>
    <w:rsid w:val="00E46CD5"/>
    <w:rsid w:val="00E500D9"/>
    <w:rsid w:val="00E51AB5"/>
    <w:rsid w:val="00E51DFD"/>
    <w:rsid w:val="00E52345"/>
    <w:rsid w:val="00E52763"/>
    <w:rsid w:val="00E563AE"/>
    <w:rsid w:val="00E638B2"/>
    <w:rsid w:val="00E65B70"/>
    <w:rsid w:val="00E662CD"/>
    <w:rsid w:val="00E67427"/>
    <w:rsid w:val="00E676F1"/>
    <w:rsid w:val="00E73271"/>
    <w:rsid w:val="00E735DA"/>
    <w:rsid w:val="00E74214"/>
    <w:rsid w:val="00E74762"/>
    <w:rsid w:val="00E74D52"/>
    <w:rsid w:val="00E75855"/>
    <w:rsid w:val="00E7609C"/>
    <w:rsid w:val="00E82556"/>
    <w:rsid w:val="00E85CBE"/>
    <w:rsid w:val="00E86566"/>
    <w:rsid w:val="00E875F5"/>
    <w:rsid w:val="00E92527"/>
    <w:rsid w:val="00E92A93"/>
    <w:rsid w:val="00E93620"/>
    <w:rsid w:val="00E968ED"/>
    <w:rsid w:val="00E97045"/>
    <w:rsid w:val="00E97DA3"/>
    <w:rsid w:val="00EA270C"/>
    <w:rsid w:val="00EA3185"/>
    <w:rsid w:val="00EA36EA"/>
    <w:rsid w:val="00EA466B"/>
    <w:rsid w:val="00EA5CB5"/>
    <w:rsid w:val="00EA5CF4"/>
    <w:rsid w:val="00EB09B9"/>
    <w:rsid w:val="00EB3C52"/>
    <w:rsid w:val="00EB76F7"/>
    <w:rsid w:val="00EB7CB1"/>
    <w:rsid w:val="00EC0569"/>
    <w:rsid w:val="00EC0C7B"/>
    <w:rsid w:val="00EC1C35"/>
    <w:rsid w:val="00EC1F63"/>
    <w:rsid w:val="00EC5E45"/>
    <w:rsid w:val="00EC5EE9"/>
    <w:rsid w:val="00ED0557"/>
    <w:rsid w:val="00ED0CF0"/>
    <w:rsid w:val="00ED34D4"/>
    <w:rsid w:val="00ED3D84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136"/>
    <w:rsid w:val="00EF1D14"/>
    <w:rsid w:val="00EF4FEE"/>
    <w:rsid w:val="00EF6873"/>
    <w:rsid w:val="00EF6F24"/>
    <w:rsid w:val="00EF7143"/>
    <w:rsid w:val="00F0080B"/>
    <w:rsid w:val="00F00BE1"/>
    <w:rsid w:val="00F01B31"/>
    <w:rsid w:val="00F03AB9"/>
    <w:rsid w:val="00F03F4E"/>
    <w:rsid w:val="00F06479"/>
    <w:rsid w:val="00F076C5"/>
    <w:rsid w:val="00F120D9"/>
    <w:rsid w:val="00F124BE"/>
    <w:rsid w:val="00F125DE"/>
    <w:rsid w:val="00F12F63"/>
    <w:rsid w:val="00F14C13"/>
    <w:rsid w:val="00F24232"/>
    <w:rsid w:val="00F2526C"/>
    <w:rsid w:val="00F27170"/>
    <w:rsid w:val="00F30016"/>
    <w:rsid w:val="00F3144A"/>
    <w:rsid w:val="00F31C75"/>
    <w:rsid w:val="00F32543"/>
    <w:rsid w:val="00F33277"/>
    <w:rsid w:val="00F340CD"/>
    <w:rsid w:val="00F341CC"/>
    <w:rsid w:val="00F36B6C"/>
    <w:rsid w:val="00F36D10"/>
    <w:rsid w:val="00F40CAB"/>
    <w:rsid w:val="00F4341A"/>
    <w:rsid w:val="00F43960"/>
    <w:rsid w:val="00F43C3C"/>
    <w:rsid w:val="00F459C7"/>
    <w:rsid w:val="00F45D8C"/>
    <w:rsid w:val="00F47C5C"/>
    <w:rsid w:val="00F50173"/>
    <w:rsid w:val="00F54856"/>
    <w:rsid w:val="00F55D35"/>
    <w:rsid w:val="00F56CB9"/>
    <w:rsid w:val="00F57650"/>
    <w:rsid w:val="00F579FC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A35"/>
    <w:rsid w:val="00F72620"/>
    <w:rsid w:val="00F759AD"/>
    <w:rsid w:val="00F765E8"/>
    <w:rsid w:val="00F8200C"/>
    <w:rsid w:val="00F85D77"/>
    <w:rsid w:val="00F86D88"/>
    <w:rsid w:val="00F87FA7"/>
    <w:rsid w:val="00F90898"/>
    <w:rsid w:val="00F914C8"/>
    <w:rsid w:val="00F92EAE"/>
    <w:rsid w:val="00F9473C"/>
    <w:rsid w:val="00FA40A3"/>
    <w:rsid w:val="00FA45CD"/>
    <w:rsid w:val="00FA5B17"/>
    <w:rsid w:val="00FA67B2"/>
    <w:rsid w:val="00FB33FA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3E64"/>
    <w:rsid w:val="00FC64F3"/>
    <w:rsid w:val="00FD08A7"/>
    <w:rsid w:val="00FD1295"/>
    <w:rsid w:val="00FD2E55"/>
    <w:rsid w:val="00FD2FA9"/>
    <w:rsid w:val="00FD3572"/>
    <w:rsid w:val="00FD5360"/>
    <w:rsid w:val="00FD54CC"/>
    <w:rsid w:val="00FE06A2"/>
    <w:rsid w:val="00FE0CE6"/>
    <w:rsid w:val="00FE28C8"/>
    <w:rsid w:val="00FE79EF"/>
    <w:rsid w:val="00FF025A"/>
    <w:rsid w:val="00FF088B"/>
    <w:rsid w:val="00FF0AC4"/>
    <w:rsid w:val="00FF10AF"/>
    <w:rsid w:val="00FF23FB"/>
    <w:rsid w:val="00FF334E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618EA13-C17F-49CC-93E1-D5A9E2F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F1136"/>
    <w:pPr>
      <w:ind w:left="283"/>
      <w:jc w:val="left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F1136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E759-E49A-42E6-BB05-9FF097E9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2255</Words>
  <Characters>12180</Characters>
  <Application>Microsoft Office Word</Application>
  <DocSecurity>4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14407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2011-09-06T14:48:00Z</cp:lastPrinted>
  <dcterms:created xsi:type="dcterms:W3CDTF">2015-05-07T12:41:00Z</dcterms:created>
  <dcterms:modified xsi:type="dcterms:W3CDTF">2015-05-07T12:41:00Z</dcterms:modified>
</cp:coreProperties>
</file>