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097863" w:rsidRDefault="009444E6" w:rsidP="00B408FD">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097863">
        <w:rPr>
          <w:rFonts w:ascii="Times New Roman" w:hAnsi="Times New Roman"/>
          <w:b/>
          <w:i w:val="0"/>
          <w:color w:val="000000"/>
          <w:sz w:val="22"/>
          <w:szCs w:val="22"/>
        </w:rPr>
        <w:t xml:space="preserve">Sessões: </w:t>
      </w:r>
      <w:r w:rsidR="00B7439C">
        <w:rPr>
          <w:rFonts w:ascii="Times New Roman" w:hAnsi="Times New Roman"/>
          <w:b/>
          <w:i w:val="0"/>
          <w:color w:val="000000"/>
          <w:sz w:val="22"/>
          <w:szCs w:val="22"/>
        </w:rPr>
        <w:t>13</w:t>
      </w:r>
      <w:r w:rsidRPr="00097863">
        <w:rPr>
          <w:rFonts w:ascii="Times New Roman" w:hAnsi="Times New Roman"/>
          <w:b/>
          <w:i w:val="0"/>
          <w:color w:val="000000"/>
          <w:sz w:val="22"/>
          <w:szCs w:val="22"/>
        </w:rPr>
        <w:t xml:space="preserve"> </w:t>
      </w:r>
      <w:r w:rsidR="00952B9C">
        <w:rPr>
          <w:rFonts w:ascii="Times New Roman" w:hAnsi="Times New Roman"/>
          <w:b/>
          <w:i w:val="0"/>
          <w:color w:val="000000"/>
          <w:sz w:val="22"/>
          <w:szCs w:val="22"/>
        </w:rPr>
        <w:t xml:space="preserve">e </w:t>
      </w:r>
      <w:r w:rsidR="0090441C">
        <w:rPr>
          <w:rFonts w:ascii="Times New Roman" w:hAnsi="Times New Roman"/>
          <w:b/>
          <w:i w:val="0"/>
          <w:color w:val="000000"/>
          <w:sz w:val="22"/>
          <w:szCs w:val="22"/>
        </w:rPr>
        <w:t>1</w:t>
      </w:r>
      <w:r w:rsidR="00B7439C">
        <w:rPr>
          <w:rFonts w:ascii="Times New Roman" w:hAnsi="Times New Roman"/>
          <w:b/>
          <w:i w:val="0"/>
          <w:color w:val="000000"/>
          <w:sz w:val="22"/>
          <w:szCs w:val="22"/>
        </w:rPr>
        <w:t>4</w:t>
      </w:r>
      <w:r w:rsidR="00AE591D">
        <w:rPr>
          <w:rFonts w:ascii="Times New Roman" w:hAnsi="Times New Roman"/>
          <w:b/>
          <w:i w:val="0"/>
          <w:color w:val="000000"/>
          <w:sz w:val="22"/>
          <w:szCs w:val="22"/>
        </w:rPr>
        <w:t xml:space="preserve"> de </w:t>
      </w:r>
      <w:r w:rsidR="00B7439C">
        <w:rPr>
          <w:rFonts w:ascii="Times New Roman" w:hAnsi="Times New Roman"/>
          <w:b/>
          <w:i w:val="0"/>
          <w:color w:val="000000"/>
          <w:sz w:val="22"/>
          <w:szCs w:val="22"/>
        </w:rPr>
        <w:t>setembro</w:t>
      </w:r>
      <w:r w:rsidR="00AE591D">
        <w:rPr>
          <w:rFonts w:ascii="Times New Roman" w:hAnsi="Times New Roman"/>
          <w:b/>
          <w:i w:val="0"/>
          <w:color w:val="000000"/>
          <w:sz w:val="22"/>
          <w:szCs w:val="22"/>
        </w:rPr>
        <w:t xml:space="preserve"> </w:t>
      </w:r>
      <w:r w:rsidRPr="00097863">
        <w:rPr>
          <w:rFonts w:ascii="Times New Roman" w:hAnsi="Times New Roman"/>
          <w:b/>
          <w:i w:val="0"/>
          <w:color w:val="000000"/>
          <w:sz w:val="22"/>
          <w:szCs w:val="22"/>
        </w:rPr>
        <w:t>de 201</w:t>
      </w:r>
      <w:r w:rsidR="00467815" w:rsidRPr="00097863">
        <w:rPr>
          <w:rFonts w:ascii="Times New Roman" w:hAnsi="Times New Roman"/>
          <w:b/>
          <w:i w:val="0"/>
          <w:color w:val="000000"/>
          <w:sz w:val="22"/>
          <w:szCs w:val="22"/>
        </w:rPr>
        <w:t>1</w:t>
      </w:r>
    </w:p>
    <w:p w:rsidR="002D35F5" w:rsidRPr="00097863" w:rsidRDefault="002D35F5" w:rsidP="00B408FD">
      <w:pPr>
        <w:pStyle w:val="Corpodetexto2"/>
        <w:spacing w:after="0" w:line="240" w:lineRule="auto"/>
        <w:ind w:left="0"/>
        <w:rPr>
          <w:sz w:val="22"/>
          <w:szCs w:val="22"/>
        </w:rPr>
      </w:pPr>
      <w:r w:rsidRPr="00097863">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097863" w:rsidRDefault="00FF7C62" w:rsidP="00B408FD">
      <w:pPr>
        <w:pStyle w:val="Corpodetexto2"/>
        <w:spacing w:after="0" w:line="240" w:lineRule="auto"/>
        <w:ind w:left="0"/>
        <w:rPr>
          <w:sz w:val="22"/>
          <w:szCs w:val="22"/>
        </w:rPr>
      </w:pPr>
    </w:p>
    <w:p w:rsidR="002D35F5" w:rsidRPr="00D53537" w:rsidRDefault="002D35F5" w:rsidP="007B3F33">
      <w:pPr>
        <w:pBdr>
          <w:top w:val="threeDEmboss" w:sz="24" w:space="2" w:color="auto"/>
        </w:pBdr>
        <w:tabs>
          <w:tab w:val="left" w:pos="284"/>
        </w:tabs>
        <w:spacing w:before="60" w:after="0"/>
        <w:ind w:left="0"/>
        <w:jc w:val="center"/>
        <w:rPr>
          <w:rFonts w:ascii="Cambria" w:hAnsi="Cambria"/>
          <w:b/>
          <w:bCs/>
          <w:smallCaps/>
          <w:sz w:val="22"/>
          <w:szCs w:val="22"/>
        </w:rPr>
      </w:pPr>
      <w:r w:rsidRPr="00D53537">
        <w:rPr>
          <w:rFonts w:ascii="Cambria" w:hAnsi="Cambria"/>
          <w:b/>
          <w:bCs/>
          <w:smallCaps/>
          <w:sz w:val="22"/>
          <w:szCs w:val="22"/>
        </w:rPr>
        <w:t>S</w:t>
      </w:r>
      <w:r w:rsidR="00FF7C62" w:rsidRPr="00D53537">
        <w:rPr>
          <w:rFonts w:ascii="Cambria" w:hAnsi="Cambria"/>
          <w:b/>
          <w:bCs/>
          <w:smallCaps/>
          <w:sz w:val="22"/>
          <w:szCs w:val="22"/>
        </w:rPr>
        <w:t>UMÁRIO</w:t>
      </w:r>
    </w:p>
    <w:p w:rsidR="009444E6" w:rsidRPr="00F36B6C" w:rsidRDefault="009444E6" w:rsidP="007B3F33">
      <w:pPr>
        <w:pStyle w:val="tita"/>
        <w:tabs>
          <w:tab w:val="left" w:pos="2590"/>
        </w:tabs>
        <w:spacing w:before="60" w:after="0" w:line="240" w:lineRule="auto"/>
        <w:jc w:val="both"/>
        <w:rPr>
          <w:i w:val="0"/>
          <w:iCs w:val="0"/>
          <w:color w:val="000000"/>
          <w:sz w:val="22"/>
          <w:szCs w:val="22"/>
        </w:rPr>
      </w:pPr>
      <w:r w:rsidRPr="00F36B6C">
        <w:rPr>
          <w:i w:val="0"/>
          <w:iCs w:val="0"/>
          <w:color w:val="000000"/>
          <w:sz w:val="22"/>
          <w:szCs w:val="22"/>
        </w:rPr>
        <w:t>Plenário</w:t>
      </w:r>
    </w:p>
    <w:p w:rsidR="0052484A" w:rsidRPr="0016105C" w:rsidRDefault="0052484A" w:rsidP="007B3F33">
      <w:pPr>
        <w:spacing w:before="60" w:after="0"/>
        <w:ind w:left="0"/>
        <w:rPr>
          <w:sz w:val="22"/>
          <w:szCs w:val="22"/>
        </w:rPr>
      </w:pPr>
      <w:r w:rsidRPr="0016105C">
        <w:rPr>
          <w:sz w:val="22"/>
          <w:szCs w:val="22"/>
        </w:rPr>
        <w:t xml:space="preserve">Licitação para contratação de serviços de consultoria: </w:t>
      </w:r>
    </w:p>
    <w:p w:rsidR="0052484A" w:rsidRPr="0016105C" w:rsidRDefault="0052484A" w:rsidP="007B3F33">
      <w:pPr>
        <w:spacing w:before="60" w:after="0"/>
        <w:ind w:left="0"/>
        <w:rPr>
          <w:sz w:val="22"/>
          <w:szCs w:val="22"/>
        </w:rPr>
      </w:pPr>
      <w:r w:rsidRPr="0016105C">
        <w:rPr>
          <w:sz w:val="22"/>
          <w:szCs w:val="22"/>
        </w:rPr>
        <w:t xml:space="preserve">1 – Na hipótese de contratação de uma única empresa para elaboração de projeto básico de solução integrada e acompanhamento da sua implementação, a instituição </w:t>
      </w:r>
      <w:r w:rsidR="0016105C">
        <w:rPr>
          <w:sz w:val="22"/>
          <w:szCs w:val="22"/>
        </w:rPr>
        <w:t xml:space="preserve">pública </w:t>
      </w:r>
      <w:r w:rsidRPr="0016105C">
        <w:rPr>
          <w:sz w:val="22"/>
          <w:szCs w:val="22"/>
        </w:rPr>
        <w:t xml:space="preserve">contratante deve buscar medidas preventivas que </w:t>
      </w:r>
      <w:r w:rsidR="0016105C">
        <w:rPr>
          <w:sz w:val="22"/>
          <w:szCs w:val="22"/>
        </w:rPr>
        <w:t>vise</w:t>
      </w:r>
      <w:r w:rsidRPr="0016105C">
        <w:rPr>
          <w:sz w:val="22"/>
          <w:szCs w:val="22"/>
        </w:rPr>
        <w:t>m garantir o atendimento do interesse público, de forma a se evitar a influência indevida da contratada</w:t>
      </w:r>
      <w:r w:rsidR="0016105C">
        <w:rPr>
          <w:sz w:val="22"/>
          <w:szCs w:val="22"/>
        </w:rPr>
        <w:t xml:space="preserve"> na execução do objeto;</w:t>
      </w:r>
    </w:p>
    <w:p w:rsidR="00FB5CC6" w:rsidRPr="00FB5CC6" w:rsidRDefault="00FB5CC6" w:rsidP="007B3F33">
      <w:pPr>
        <w:spacing w:before="60" w:after="0"/>
        <w:ind w:left="0"/>
        <w:rPr>
          <w:sz w:val="22"/>
          <w:szCs w:val="22"/>
        </w:rPr>
      </w:pPr>
      <w:r w:rsidRPr="00FB5CC6">
        <w:rPr>
          <w:sz w:val="22"/>
          <w:szCs w:val="22"/>
        </w:rPr>
        <w:t>2 – Na análise da compatibilidade do preço final com os de mercado, deve ser composta planilha com todos os itens envolvidos, incluindo, se possível, custos administrativos, sociais, trabalhistas e lucro.</w:t>
      </w:r>
    </w:p>
    <w:p w:rsidR="0086733D" w:rsidRPr="0086733D" w:rsidRDefault="0086733D" w:rsidP="007B3F33">
      <w:pPr>
        <w:spacing w:before="60" w:after="0"/>
        <w:ind w:left="0"/>
        <w:rPr>
          <w:i/>
          <w:sz w:val="22"/>
          <w:szCs w:val="22"/>
        </w:rPr>
      </w:pPr>
      <w:r w:rsidRPr="0086733D">
        <w:rPr>
          <w:sz w:val="22"/>
          <w:szCs w:val="22"/>
        </w:rPr>
        <w:t>Empresa não pode ser impedida de participar de licitação por estar em litígio judicial com a instituição contratante.</w:t>
      </w:r>
    </w:p>
    <w:p w:rsidR="0086733D" w:rsidRPr="0086733D" w:rsidRDefault="0086733D" w:rsidP="007B3F33">
      <w:pPr>
        <w:widowControl w:val="0"/>
        <w:tabs>
          <w:tab w:val="left" w:pos="851"/>
          <w:tab w:val="left" w:pos="1418"/>
        </w:tabs>
        <w:spacing w:before="60" w:after="0"/>
        <w:ind w:left="0"/>
        <w:rPr>
          <w:sz w:val="22"/>
          <w:szCs w:val="22"/>
        </w:rPr>
      </w:pPr>
      <w:r w:rsidRPr="0086733D">
        <w:rPr>
          <w:sz w:val="22"/>
          <w:szCs w:val="22"/>
        </w:rPr>
        <w:t xml:space="preserve">A utilização de Pregão é inadequada para a contratação de serviços técnicos especializados de fiscalização, supervisão ou gerenciamento de obras, quando considerados de alta complexidade. </w:t>
      </w:r>
    </w:p>
    <w:p w:rsidR="0077228C" w:rsidRPr="00B7439C" w:rsidRDefault="0077228C" w:rsidP="003C526E">
      <w:pPr>
        <w:pStyle w:val="Corpodetexto"/>
        <w:tabs>
          <w:tab w:val="left" w:pos="2590"/>
        </w:tabs>
        <w:spacing w:before="60" w:after="60"/>
        <w:ind w:left="0"/>
        <w:rPr>
          <w:b/>
          <w:color w:val="FF0000"/>
          <w:sz w:val="22"/>
          <w:szCs w:val="22"/>
        </w:rPr>
      </w:pPr>
    </w:p>
    <w:p w:rsidR="003C6DEB" w:rsidRPr="0086733D" w:rsidRDefault="003C6DEB" w:rsidP="00B408FD">
      <w:pPr>
        <w:pBdr>
          <w:top w:val="threeDEmboss" w:sz="24" w:space="0" w:color="auto"/>
        </w:pBdr>
        <w:tabs>
          <w:tab w:val="left" w:pos="284"/>
          <w:tab w:val="left" w:pos="2590"/>
        </w:tabs>
        <w:spacing w:after="0"/>
        <w:ind w:left="0"/>
        <w:jc w:val="center"/>
        <w:rPr>
          <w:rFonts w:ascii="Cambria" w:hAnsi="Cambria"/>
          <w:b/>
          <w:bCs/>
          <w:smallCaps/>
          <w:sz w:val="22"/>
          <w:szCs w:val="22"/>
        </w:rPr>
      </w:pPr>
      <w:r w:rsidRPr="0086733D">
        <w:rPr>
          <w:rFonts w:ascii="Cambria" w:hAnsi="Cambria"/>
          <w:b/>
          <w:bCs/>
          <w:smallCaps/>
          <w:sz w:val="22"/>
          <w:szCs w:val="22"/>
        </w:rPr>
        <w:t>PLENÁRIO</w:t>
      </w:r>
    </w:p>
    <w:p w:rsidR="003C6DEB" w:rsidRPr="00B7439C" w:rsidRDefault="003C6DEB" w:rsidP="00B408FD">
      <w:pPr>
        <w:pStyle w:val="tita"/>
        <w:tabs>
          <w:tab w:val="left" w:pos="2590"/>
        </w:tabs>
        <w:spacing w:before="0" w:after="0" w:line="240" w:lineRule="auto"/>
        <w:jc w:val="both"/>
        <w:rPr>
          <w:i w:val="0"/>
          <w:iCs w:val="0"/>
          <w:color w:val="FF0000"/>
          <w:sz w:val="22"/>
          <w:szCs w:val="22"/>
        </w:rPr>
      </w:pPr>
    </w:p>
    <w:p w:rsidR="00094EEC" w:rsidRPr="00817A59" w:rsidRDefault="002E69AD" w:rsidP="00E65B70">
      <w:pPr>
        <w:spacing w:after="0"/>
        <w:ind w:left="0"/>
        <w:rPr>
          <w:b/>
          <w:sz w:val="22"/>
          <w:szCs w:val="22"/>
        </w:rPr>
      </w:pPr>
      <w:r w:rsidRPr="00817A59">
        <w:rPr>
          <w:b/>
          <w:sz w:val="22"/>
          <w:szCs w:val="22"/>
        </w:rPr>
        <w:t xml:space="preserve">Licitação para contratação de serviços de consultoria: 1 </w:t>
      </w:r>
      <w:r w:rsidR="00817A59" w:rsidRPr="00817A59">
        <w:rPr>
          <w:b/>
          <w:sz w:val="22"/>
          <w:szCs w:val="22"/>
        </w:rPr>
        <w:t>–</w:t>
      </w:r>
      <w:r w:rsidRPr="00817A59">
        <w:rPr>
          <w:b/>
          <w:sz w:val="22"/>
          <w:szCs w:val="22"/>
        </w:rPr>
        <w:t xml:space="preserve"> </w:t>
      </w:r>
      <w:r w:rsidR="0016105C" w:rsidRPr="0016105C">
        <w:rPr>
          <w:b/>
          <w:sz w:val="22"/>
          <w:szCs w:val="22"/>
        </w:rPr>
        <w:t>Na hipótese de contratação de uma única empresa para elaboração de projeto básico de solução integrada e acompanhamento da sua implementação, a instituição pública contratante deve buscar medidas preventivas que visem garantir o atendimento do interesse público, de forma a se evitar a influência indevida da contratada na execução do objeto</w:t>
      </w:r>
    </w:p>
    <w:p w:rsidR="00AE14F4" w:rsidRPr="00817A59" w:rsidRDefault="008F28D4" w:rsidP="009C7BCA">
      <w:pPr>
        <w:pStyle w:val="TCU-Epgrafe"/>
        <w:ind w:left="0"/>
        <w:rPr>
          <w:b/>
          <w:i/>
          <w:sz w:val="22"/>
          <w:szCs w:val="22"/>
        </w:rPr>
      </w:pPr>
      <w:r w:rsidRPr="00817A59">
        <w:rPr>
          <w:color w:val="000000"/>
          <w:sz w:val="22"/>
          <w:szCs w:val="22"/>
        </w:rPr>
        <w:t>Pedido de Reexame foi interposto pela Financiadora de Estudos e Projetos – (FI</w:t>
      </w:r>
      <w:r w:rsidR="00A15416">
        <w:rPr>
          <w:color w:val="000000"/>
          <w:sz w:val="22"/>
          <w:szCs w:val="22"/>
        </w:rPr>
        <w:t>NEP/MCT), contra o Acórdão nº 3</w:t>
      </w:r>
      <w:r w:rsidRPr="00817A59">
        <w:rPr>
          <w:color w:val="000000"/>
          <w:sz w:val="22"/>
          <w:szCs w:val="22"/>
        </w:rPr>
        <w:t xml:space="preserve">359/2010-Plenário, o qual tratou, originariamente, de Representação formulada em face de indícios de irregularidade identificados na Concorrência nº 1/2010, do tipo técnica e preço, para a contratação de consultoria especializada, </w:t>
      </w:r>
      <w:r w:rsidR="0016105C">
        <w:rPr>
          <w:color w:val="000000"/>
          <w:sz w:val="22"/>
          <w:szCs w:val="22"/>
        </w:rPr>
        <w:t>com o intuito de</w:t>
      </w:r>
      <w:r w:rsidRPr="00817A59">
        <w:rPr>
          <w:color w:val="000000"/>
          <w:sz w:val="22"/>
          <w:szCs w:val="22"/>
        </w:rPr>
        <w:t xml:space="preserve"> desenvolve</w:t>
      </w:r>
      <w:r w:rsidR="0016105C">
        <w:rPr>
          <w:color w:val="000000"/>
          <w:sz w:val="22"/>
          <w:szCs w:val="22"/>
        </w:rPr>
        <w:t>r</w:t>
      </w:r>
      <w:r w:rsidRPr="00817A59">
        <w:rPr>
          <w:color w:val="000000"/>
          <w:sz w:val="22"/>
          <w:szCs w:val="22"/>
        </w:rPr>
        <w:t xml:space="preserve"> solução integrada para modernização de processos e de sistemas da FINEP, denominada fase 5, e prestasse assessoria na gestão e no acompanhamento da implementação dessa mesma solução, identificada como fase 6. </w:t>
      </w:r>
      <w:r w:rsidR="009C1659" w:rsidRPr="00817A59">
        <w:rPr>
          <w:color w:val="000000"/>
          <w:sz w:val="22"/>
          <w:szCs w:val="22"/>
        </w:rPr>
        <w:t xml:space="preserve">Dentre tais irregularidades, constou, na instrução preliminar, a contratação de uma única empresa para elaboração de projeto básico de solução integrada e posterior acompanhamento da sua implementação, </w:t>
      </w:r>
      <w:r w:rsidR="000E5061" w:rsidRPr="00817A59">
        <w:rPr>
          <w:color w:val="000000"/>
          <w:sz w:val="22"/>
          <w:szCs w:val="22"/>
        </w:rPr>
        <w:t xml:space="preserve">o que </w:t>
      </w:r>
      <w:r w:rsidR="009C1659" w:rsidRPr="00817A59">
        <w:rPr>
          <w:color w:val="000000"/>
          <w:sz w:val="22"/>
          <w:szCs w:val="22"/>
        </w:rPr>
        <w:t>pode</w:t>
      </w:r>
      <w:r w:rsidR="000E5061" w:rsidRPr="00817A59">
        <w:rPr>
          <w:color w:val="000000"/>
          <w:sz w:val="22"/>
          <w:szCs w:val="22"/>
        </w:rPr>
        <w:t>ria levar à possibilidade</w:t>
      </w:r>
      <w:r w:rsidR="009C1659" w:rsidRPr="00817A59">
        <w:rPr>
          <w:color w:val="000000"/>
          <w:sz w:val="22"/>
          <w:szCs w:val="22"/>
        </w:rPr>
        <w:t xml:space="preserve"> </w:t>
      </w:r>
      <w:r w:rsidR="000E5061" w:rsidRPr="00817A59">
        <w:rPr>
          <w:color w:val="000000"/>
          <w:sz w:val="22"/>
          <w:szCs w:val="22"/>
        </w:rPr>
        <w:t>d</w:t>
      </w:r>
      <w:r w:rsidR="00757D67" w:rsidRPr="00817A59">
        <w:rPr>
          <w:color w:val="000000"/>
          <w:sz w:val="22"/>
          <w:szCs w:val="22"/>
        </w:rPr>
        <w:t xml:space="preserve">e </w:t>
      </w:r>
      <w:r w:rsidR="009C1659" w:rsidRPr="00817A59">
        <w:rPr>
          <w:color w:val="000000"/>
          <w:sz w:val="22"/>
          <w:szCs w:val="22"/>
        </w:rPr>
        <w:t>a contratada influir no escopo dos serviços avençados</w:t>
      </w:r>
      <w:r w:rsidR="00757D67" w:rsidRPr="00817A59">
        <w:rPr>
          <w:color w:val="000000"/>
          <w:sz w:val="22"/>
          <w:szCs w:val="22"/>
        </w:rPr>
        <w:t>,</w:t>
      </w:r>
      <w:r w:rsidR="009C1659" w:rsidRPr="00817A59">
        <w:rPr>
          <w:color w:val="000000"/>
          <w:sz w:val="22"/>
          <w:szCs w:val="22"/>
        </w:rPr>
        <w:t xml:space="preserve"> de molde a maximizar a sua remuneração, viola</w:t>
      </w:r>
      <w:r w:rsidR="002107BE">
        <w:rPr>
          <w:color w:val="000000"/>
          <w:sz w:val="22"/>
          <w:szCs w:val="22"/>
        </w:rPr>
        <w:t xml:space="preserve">ndo </w:t>
      </w:r>
      <w:r w:rsidR="009C1659" w:rsidRPr="00817A59">
        <w:rPr>
          <w:color w:val="000000"/>
          <w:sz w:val="22"/>
          <w:szCs w:val="22"/>
        </w:rPr>
        <w:t xml:space="preserve">o art. 9º da Lei nº 8.666/1993. Diante dessa e de outras irregularidades, o Tribunal, apesar de </w:t>
      </w:r>
      <w:r w:rsidR="009C1659" w:rsidRPr="00817A59">
        <w:rPr>
          <w:sz w:val="22"/>
          <w:szCs w:val="22"/>
        </w:rPr>
        <w:t>reconhecer na etapa processual</w:t>
      </w:r>
      <w:r w:rsidR="00DF3556" w:rsidRPr="00817A59">
        <w:rPr>
          <w:sz w:val="22"/>
          <w:szCs w:val="22"/>
        </w:rPr>
        <w:t xml:space="preserve"> anterior</w:t>
      </w:r>
      <w:r w:rsidR="009C1659" w:rsidRPr="00817A59">
        <w:rPr>
          <w:sz w:val="22"/>
          <w:szCs w:val="22"/>
        </w:rPr>
        <w:t xml:space="preserve"> a inexistência de irregularidades graves aptas a ensejar a paralisação cautelar do empreendimento, identificou riscos de a contratação resultar antieconômica e não atender ao interesse público, sobretudo pela possível fragilidade </w:t>
      </w:r>
      <w:r w:rsidR="00F82F60" w:rsidRPr="00817A59">
        <w:rPr>
          <w:sz w:val="22"/>
          <w:szCs w:val="22"/>
        </w:rPr>
        <w:t>no controle dos</w:t>
      </w:r>
      <w:r w:rsidR="009C1659" w:rsidRPr="00817A59">
        <w:rPr>
          <w:sz w:val="22"/>
          <w:szCs w:val="22"/>
        </w:rPr>
        <w:t xml:space="preserve"> gastos avençados e de eventual dependência da contratante em relação à metodologia da solução integrada proposta pela empresa a ser contratada. Por isso, expediu </w:t>
      </w:r>
      <w:r w:rsidR="00F60F71" w:rsidRPr="00817A59">
        <w:rPr>
          <w:sz w:val="22"/>
          <w:szCs w:val="22"/>
        </w:rPr>
        <w:t xml:space="preserve">diversas </w:t>
      </w:r>
      <w:r w:rsidR="009C1659" w:rsidRPr="00817A59">
        <w:rPr>
          <w:sz w:val="22"/>
          <w:szCs w:val="22"/>
        </w:rPr>
        <w:t>determinaç</w:t>
      </w:r>
      <w:r w:rsidR="00F60F71" w:rsidRPr="00817A59">
        <w:rPr>
          <w:sz w:val="22"/>
          <w:szCs w:val="22"/>
        </w:rPr>
        <w:t xml:space="preserve">ões </w:t>
      </w:r>
      <w:r w:rsidR="00DF3556" w:rsidRPr="00817A59">
        <w:rPr>
          <w:sz w:val="22"/>
          <w:szCs w:val="22"/>
        </w:rPr>
        <w:t xml:space="preserve">e </w:t>
      </w:r>
      <w:r w:rsidR="00F60F71" w:rsidRPr="00817A59">
        <w:rPr>
          <w:sz w:val="22"/>
          <w:szCs w:val="22"/>
        </w:rPr>
        <w:t>recomendações</w:t>
      </w:r>
      <w:r w:rsidR="00DF3556" w:rsidRPr="00817A59">
        <w:rPr>
          <w:sz w:val="22"/>
          <w:szCs w:val="22"/>
        </w:rPr>
        <w:t>, além d</w:t>
      </w:r>
      <w:r w:rsidR="00F60F71" w:rsidRPr="00817A59">
        <w:rPr>
          <w:sz w:val="22"/>
          <w:szCs w:val="22"/>
        </w:rPr>
        <w:t xml:space="preserve">e alertas à FINEP, </w:t>
      </w:r>
      <w:r w:rsidR="00F82F60" w:rsidRPr="00817A59">
        <w:rPr>
          <w:sz w:val="22"/>
          <w:szCs w:val="22"/>
        </w:rPr>
        <w:t xml:space="preserve">dentre </w:t>
      </w:r>
      <w:r w:rsidR="00DF3556" w:rsidRPr="00817A59">
        <w:rPr>
          <w:sz w:val="22"/>
          <w:szCs w:val="22"/>
        </w:rPr>
        <w:t>os quais constou o registro quanto ao risco d</w:t>
      </w:r>
      <w:r w:rsidR="00F82F60" w:rsidRPr="00817A59">
        <w:rPr>
          <w:sz w:val="22"/>
          <w:szCs w:val="22"/>
        </w:rPr>
        <w:t>a</w:t>
      </w:r>
      <w:r w:rsidR="00DF3556" w:rsidRPr="00817A59">
        <w:rPr>
          <w:sz w:val="22"/>
          <w:szCs w:val="22"/>
        </w:rPr>
        <w:t xml:space="preserve"> possível </w:t>
      </w:r>
      <w:r w:rsidR="00DF3556" w:rsidRPr="00817A59">
        <w:rPr>
          <w:color w:val="000000"/>
          <w:sz w:val="22"/>
          <w:szCs w:val="22"/>
        </w:rPr>
        <w:t>influência da contratada</w:t>
      </w:r>
      <w:r w:rsidR="002107BE">
        <w:rPr>
          <w:color w:val="000000"/>
          <w:sz w:val="22"/>
          <w:szCs w:val="22"/>
        </w:rPr>
        <w:t xml:space="preserve"> na execução da avença.</w:t>
      </w:r>
      <w:r w:rsidR="00DF3556" w:rsidRPr="00817A59">
        <w:rPr>
          <w:color w:val="000000"/>
          <w:sz w:val="22"/>
          <w:szCs w:val="22"/>
        </w:rPr>
        <w:t xml:space="preserve"> </w:t>
      </w:r>
      <w:r w:rsidR="00F60F71" w:rsidRPr="00817A59">
        <w:rPr>
          <w:color w:val="000000"/>
          <w:sz w:val="22"/>
          <w:szCs w:val="22"/>
        </w:rPr>
        <w:t>Ao examinar o</w:t>
      </w:r>
      <w:r w:rsidR="00DF3556" w:rsidRPr="00817A59">
        <w:rPr>
          <w:color w:val="000000"/>
          <w:sz w:val="22"/>
          <w:szCs w:val="22"/>
        </w:rPr>
        <w:t>s argumentos apresentados pelos recorrentes,</w:t>
      </w:r>
      <w:r w:rsidR="00F60F71" w:rsidRPr="00817A59">
        <w:rPr>
          <w:color w:val="000000"/>
          <w:sz w:val="22"/>
          <w:szCs w:val="22"/>
        </w:rPr>
        <w:t xml:space="preserve"> o relator </w:t>
      </w:r>
      <w:r w:rsidR="008E5313" w:rsidRPr="00817A59">
        <w:rPr>
          <w:color w:val="000000"/>
          <w:sz w:val="22"/>
          <w:szCs w:val="22"/>
        </w:rPr>
        <w:t>consignou em seu voto</w:t>
      </w:r>
      <w:r w:rsidR="002E69AD" w:rsidRPr="00817A59">
        <w:rPr>
          <w:color w:val="000000"/>
          <w:sz w:val="22"/>
          <w:szCs w:val="22"/>
        </w:rPr>
        <w:t xml:space="preserve"> que a minimização de tal risco estaria a depender muito mais “</w:t>
      </w:r>
      <w:r w:rsidR="002E69AD" w:rsidRPr="00817A59">
        <w:rPr>
          <w:i/>
          <w:color w:val="000000"/>
          <w:sz w:val="22"/>
          <w:szCs w:val="22"/>
        </w:rPr>
        <w:t>de um grau de maturidade técnica e de análise crítica dos setores competentes da FINEP encarregados da fiscalização da avença, no sentido de avaliarem as propostas de serviços e produtos a serem implementada na fase 6, evitando, assim, gastos desnecessários</w:t>
      </w:r>
      <w:r w:rsidR="002E69AD" w:rsidRPr="00817A59">
        <w:rPr>
          <w:color w:val="000000"/>
          <w:sz w:val="22"/>
          <w:szCs w:val="22"/>
        </w:rPr>
        <w:t xml:space="preserve">”. De qualquer modo, ainda para o relator, a questão remeteria ao próprio modelo de contratação adotado pela FINEP para implementação da solução integrada de seus processos organizacionais. Para concretização desse desiderato, o qual envolveria uma ampla gama de competências e um extenso escopo de revisão institucional, a opção da FINEP de utilizar um banco de horas de profissionais de alto nível (consultores sênior, pleno e júnior) teria sido feita a fim de </w:t>
      </w:r>
      <w:r w:rsidR="002107BE">
        <w:rPr>
          <w:color w:val="000000"/>
          <w:sz w:val="22"/>
          <w:szCs w:val="22"/>
        </w:rPr>
        <w:t>dar cabo aos</w:t>
      </w:r>
      <w:r w:rsidR="002E69AD" w:rsidRPr="00817A59">
        <w:rPr>
          <w:color w:val="000000"/>
          <w:sz w:val="22"/>
          <w:szCs w:val="22"/>
        </w:rPr>
        <w:t xml:space="preserve"> produtos e serviços</w:t>
      </w:r>
      <w:r w:rsidR="002107BE">
        <w:rPr>
          <w:color w:val="000000"/>
          <w:sz w:val="22"/>
          <w:szCs w:val="22"/>
        </w:rPr>
        <w:t xml:space="preserve"> contratados.</w:t>
      </w:r>
      <w:r w:rsidR="00233851" w:rsidRPr="00817A59">
        <w:rPr>
          <w:color w:val="000000"/>
          <w:sz w:val="22"/>
          <w:szCs w:val="22"/>
        </w:rPr>
        <w:t xml:space="preserve"> A partir de todo o quadro fático, concluiu o relator ser justificável as precauções apresentadas na instrução processual anterior, tendo em conta</w:t>
      </w:r>
      <w:r w:rsidR="0016105C">
        <w:rPr>
          <w:color w:val="000000"/>
          <w:sz w:val="22"/>
          <w:szCs w:val="22"/>
        </w:rPr>
        <w:t>, ainda,</w:t>
      </w:r>
      <w:r w:rsidR="00233851" w:rsidRPr="00817A59">
        <w:rPr>
          <w:color w:val="000000"/>
          <w:sz w:val="22"/>
          <w:szCs w:val="22"/>
        </w:rPr>
        <w:t xml:space="preserve"> as fragilidades verificadas na elaboração do orçamento prévio da licitação e no dimensionamento do referido banco de horas. Por isso, manteve o alerta expedido por ocasião da prolação do Acórdão 3359/2010, de modo a informar à FINEP para a necessidade </w:t>
      </w:r>
      <w:r w:rsidR="0016105C">
        <w:rPr>
          <w:color w:val="000000"/>
          <w:sz w:val="22"/>
          <w:szCs w:val="22"/>
        </w:rPr>
        <w:t xml:space="preserve">da adoção </w:t>
      </w:r>
      <w:r w:rsidR="00233851" w:rsidRPr="00817A59">
        <w:rPr>
          <w:color w:val="000000"/>
          <w:sz w:val="22"/>
          <w:szCs w:val="22"/>
        </w:rPr>
        <w:t>de medidas preventivas que p</w:t>
      </w:r>
      <w:r w:rsidR="009C7BCA" w:rsidRPr="00817A59">
        <w:rPr>
          <w:color w:val="000000"/>
          <w:sz w:val="22"/>
          <w:szCs w:val="22"/>
        </w:rPr>
        <w:t>udesse</w:t>
      </w:r>
      <w:r w:rsidR="00233851" w:rsidRPr="00817A59">
        <w:rPr>
          <w:color w:val="000000"/>
          <w:sz w:val="22"/>
          <w:szCs w:val="22"/>
        </w:rPr>
        <w:t>m garantir o interesse público durante a execução do objeto da Concorrência nº 01/2010</w:t>
      </w:r>
      <w:r w:rsidR="009C7BCA" w:rsidRPr="00817A59">
        <w:rPr>
          <w:color w:val="000000"/>
          <w:sz w:val="22"/>
          <w:szCs w:val="22"/>
        </w:rPr>
        <w:t xml:space="preserve">, de forma a se </w:t>
      </w:r>
      <w:r w:rsidR="00233851" w:rsidRPr="00817A59">
        <w:rPr>
          <w:sz w:val="22"/>
          <w:szCs w:val="22"/>
        </w:rPr>
        <w:t>evitar a</w:t>
      </w:r>
      <w:r w:rsidR="00233851" w:rsidRPr="00817A59">
        <w:rPr>
          <w:color w:val="000000"/>
          <w:sz w:val="22"/>
          <w:szCs w:val="22"/>
        </w:rPr>
        <w:t xml:space="preserve"> influência indevida da contratada</w:t>
      </w:r>
      <w:r w:rsidR="009C7BCA" w:rsidRPr="00817A59">
        <w:rPr>
          <w:color w:val="000000"/>
          <w:sz w:val="22"/>
          <w:szCs w:val="22"/>
        </w:rPr>
        <w:t>. Nos termos do voto do relator, o Plenário manifestou sua anuência.</w:t>
      </w:r>
      <w:r w:rsidR="005010BA" w:rsidRPr="00817A59">
        <w:rPr>
          <w:color w:val="FF0000"/>
          <w:sz w:val="22"/>
          <w:szCs w:val="22"/>
        </w:rPr>
        <w:t xml:space="preserve"> </w:t>
      </w:r>
      <w:r w:rsidR="00AE14F4" w:rsidRPr="00817A59">
        <w:rPr>
          <w:b/>
          <w:i/>
          <w:sz w:val="22"/>
          <w:szCs w:val="22"/>
        </w:rPr>
        <w:t>Acórdão n.º 2</w:t>
      </w:r>
      <w:r w:rsidRPr="00817A59">
        <w:rPr>
          <w:b/>
          <w:i/>
          <w:sz w:val="22"/>
          <w:szCs w:val="22"/>
        </w:rPr>
        <w:t>430</w:t>
      </w:r>
      <w:r w:rsidR="00AE14F4" w:rsidRPr="00817A59">
        <w:rPr>
          <w:b/>
          <w:i/>
          <w:sz w:val="22"/>
          <w:szCs w:val="22"/>
        </w:rPr>
        <w:t>/2011-Plenário, TC-0</w:t>
      </w:r>
      <w:r w:rsidR="003F2D7E" w:rsidRPr="00817A59">
        <w:rPr>
          <w:b/>
          <w:i/>
          <w:sz w:val="22"/>
          <w:szCs w:val="22"/>
        </w:rPr>
        <w:t>1</w:t>
      </w:r>
      <w:r w:rsidRPr="00817A59">
        <w:rPr>
          <w:b/>
          <w:i/>
          <w:sz w:val="22"/>
          <w:szCs w:val="22"/>
        </w:rPr>
        <w:t>2</w:t>
      </w:r>
      <w:r w:rsidR="00AE14F4" w:rsidRPr="00817A59">
        <w:rPr>
          <w:b/>
          <w:i/>
          <w:sz w:val="22"/>
          <w:szCs w:val="22"/>
        </w:rPr>
        <w:t>.</w:t>
      </w:r>
      <w:r w:rsidRPr="00817A59">
        <w:rPr>
          <w:b/>
          <w:i/>
          <w:sz w:val="22"/>
          <w:szCs w:val="22"/>
        </w:rPr>
        <w:t>952</w:t>
      </w:r>
      <w:r w:rsidR="00AE14F4" w:rsidRPr="00817A59">
        <w:rPr>
          <w:b/>
          <w:i/>
          <w:sz w:val="22"/>
          <w:szCs w:val="22"/>
        </w:rPr>
        <w:t>/201</w:t>
      </w:r>
      <w:r w:rsidRPr="00817A59">
        <w:rPr>
          <w:b/>
          <w:i/>
          <w:sz w:val="22"/>
          <w:szCs w:val="22"/>
        </w:rPr>
        <w:t>0-9</w:t>
      </w:r>
      <w:r w:rsidR="00AE14F4" w:rsidRPr="00817A59">
        <w:rPr>
          <w:b/>
          <w:i/>
          <w:sz w:val="22"/>
          <w:szCs w:val="22"/>
        </w:rPr>
        <w:t xml:space="preserve">, rel. Min. </w:t>
      </w:r>
      <w:r w:rsidRPr="00817A59">
        <w:rPr>
          <w:b/>
          <w:i/>
          <w:sz w:val="22"/>
          <w:szCs w:val="22"/>
        </w:rPr>
        <w:t>Walton Alencar</w:t>
      </w:r>
      <w:r w:rsidR="002107BE">
        <w:rPr>
          <w:b/>
          <w:i/>
          <w:sz w:val="22"/>
          <w:szCs w:val="22"/>
        </w:rPr>
        <w:t xml:space="preserve"> Rodrigues</w:t>
      </w:r>
      <w:r w:rsidR="00AE14F4" w:rsidRPr="00817A59">
        <w:rPr>
          <w:b/>
          <w:i/>
          <w:sz w:val="22"/>
          <w:szCs w:val="22"/>
        </w:rPr>
        <w:t xml:space="preserve">, </w:t>
      </w:r>
      <w:r w:rsidR="003F2D7E" w:rsidRPr="00817A59">
        <w:rPr>
          <w:b/>
          <w:i/>
          <w:sz w:val="22"/>
          <w:szCs w:val="22"/>
        </w:rPr>
        <w:t>1</w:t>
      </w:r>
      <w:r w:rsidRPr="00817A59">
        <w:rPr>
          <w:b/>
          <w:i/>
          <w:sz w:val="22"/>
          <w:szCs w:val="22"/>
        </w:rPr>
        <w:t>4</w:t>
      </w:r>
      <w:r w:rsidR="00AE14F4" w:rsidRPr="00817A59">
        <w:rPr>
          <w:b/>
          <w:i/>
          <w:sz w:val="22"/>
          <w:szCs w:val="22"/>
        </w:rPr>
        <w:t>.0</w:t>
      </w:r>
      <w:r w:rsidRPr="00817A59">
        <w:rPr>
          <w:b/>
          <w:i/>
          <w:sz w:val="22"/>
          <w:szCs w:val="22"/>
        </w:rPr>
        <w:t>9</w:t>
      </w:r>
      <w:r w:rsidR="00AE14F4" w:rsidRPr="00817A59">
        <w:rPr>
          <w:b/>
          <w:i/>
          <w:sz w:val="22"/>
          <w:szCs w:val="22"/>
        </w:rPr>
        <w:t>.2011.</w:t>
      </w:r>
    </w:p>
    <w:p w:rsidR="009C7BCA" w:rsidRDefault="009C7BCA" w:rsidP="005A1EAB">
      <w:pPr>
        <w:spacing w:after="0"/>
        <w:ind w:left="0"/>
        <w:rPr>
          <w:b/>
          <w:color w:val="FF0000"/>
          <w:sz w:val="22"/>
          <w:szCs w:val="22"/>
        </w:rPr>
      </w:pPr>
    </w:p>
    <w:p w:rsidR="009C7BCA" w:rsidRPr="0016105C" w:rsidRDefault="009C7BCA" w:rsidP="009C7BCA">
      <w:pPr>
        <w:spacing w:after="0"/>
        <w:ind w:left="0"/>
        <w:rPr>
          <w:b/>
          <w:sz w:val="22"/>
          <w:szCs w:val="22"/>
        </w:rPr>
      </w:pPr>
      <w:r w:rsidRPr="0016105C">
        <w:rPr>
          <w:b/>
          <w:sz w:val="22"/>
          <w:szCs w:val="22"/>
        </w:rPr>
        <w:t xml:space="preserve">Licitação para contratação de serviços de consultoria: </w:t>
      </w:r>
      <w:r w:rsidR="0016105C" w:rsidRPr="0016105C">
        <w:rPr>
          <w:b/>
          <w:sz w:val="22"/>
          <w:szCs w:val="22"/>
        </w:rPr>
        <w:t>2</w:t>
      </w:r>
      <w:r w:rsidRPr="0016105C">
        <w:rPr>
          <w:b/>
          <w:sz w:val="22"/>
          <w:szCs w:val="22"/>
        </w:rPr>
        <w:t xml:space="preserve"> </w:t>
      </w:r>
      <w:r w:rsidR="0016105C" w:rsidRPr="0016105C">
        <w:rPr>
          <w:b/>
          <w:sz w:val="22"/>
          <w:szCs w:val="22"/>
        </w:rPr>
        <w:t>–</w:t>
      </w:r>
      <w:r w:rsidRPr="0016105C">
        <w:rPr>
          <w:b/>
          <w:sz w:val="22"/>
          <w:szCs w:val="22"/>
        </w:rPr>
        <w:t xml:space="preserve"> </w:t>
      </w:r>
      <w:r w:rsidR="0016105C" w:rsidRPr="0016105C">
        <w:rPr>
          <w:b/>
          <w:sz w:val="22"/>
          <w:szCs w:val="22"/>
        </w:rPr>
        <w:t xml:space="preserve">Na análise da compatibilidade do preço final com os de mercado, </w:t>
      </w:r>
      <w:r w:rsidR="0016105C">
        <w:rPr>
          <w:b/>
          <w:sz w:val="22"/>
          <w:szCs w:val="22"/>
        </w:rPr>
        <w:t xml:space="preserve">deve ser composta </w:t>
      </w:r>
      <w:r w:rsidR="0016105C" w:rsidRPr="0016105C">
        <w:rPr>
          <w:b/>
          <w:sz w:val="22"/>
          <w:szCs w:val="22"/>
        </w:rPr>
        <w:t>planilha</w:t>
      </w:r>
      <w:r w:rsidR="00FB5CC6">
        <w:rPr>
          <w:b/>
          <w:sz w:val="22"/>
          <w:szCs w:val="22"/>
        </w:rPr>
        <w:t xml:space="preserve"> com</w:t>
      </w:r>
      <w:r w:rsidR="0016105C" w:rsidRPr="0016105C">
        <w:rPr>
          <w:b/>
          <w:sz w:val="22"/>
          <w:szCs w:val="22"/>
        </w:rPr>
        <w:t xml:space="preserve"> todos os itens envolvidos, incluindo, se possível, custos administrativos, sociais, trabalhistas e lucro</w:t>
      </w:r>
    </w:p>
    <w:p w:rsidR="009C7BCA" w:rsidRPr="004D6E38" w:rsidRDefault="009C7BCA" w:rsidP="00A15416">
      <w:pPr>
        <w:pStyle w:val="TCU-Epgrafe"/>
        <w:ind w:left="0"/>
        <w:rPr>
          <w:b/>
          <w:i/>
          <w:sz w:val="22"/>
          <w:szCs w:val="22"/>
        </w:rPr>
      </w:pPr>
      <w:r w:rsidRPr="004D6E38">
        <w:rPr>
          <w:color w:val="000000"/>
          <w:sz w:val="22"/>
          <w:szCs w:val="22"/>
        </w:rPr>
        <w:t>Ainda no pedido de Reexame que foi interposto pela Financiadora de Estudos e Projetos – (FI</w:t>
      </w:r>
      <w:r w:rsidR="00A15416" w:rsidRPr="004D6E38">
        <w:rPr>
          <w:color w:val="000000"/>
          <w:sz w:val="22"/>
          <w:szCs w:val="22"/>
        </w:rPr>
        <w:t>NEP/MCT), contra o Acórdão nº 3</w:t>
      </w:r>
      <w:r w:rsidRPr="004D6E38">
        <w:rPr>
          <w:color w:val="000000"/>
          <w:sz w:val="22"/>
          <w:szCs w:val="22"/>
        </w:rPr>
        <w:t xml:space="preserve">359/2010-Plenário, o qual tratou, originariamente, de Representação formulada em face de indícios de irregularidade identificados na Concorrência nº 1/2010, do tipo técnica e preço, para a contratação de consultoria especializada, </w:t>
      </w:r>
      <w:r w:rsidR="0016105C">
        <w:rPr>
          <w:color w:val="000000"/>
          <w:sz w:val="22"/>
          <w:szCs w:val="22"/>
        </w:rPr>
        <w:t xml:space="preserve">com o intuito de </w:t>
      </w:r>
      <w:r w:rsidRPr="004D6E38">
        <w:rPr>
          <w:color w:val="000000"/>
          <w:sz w:val="22"/>
          <w:szCs w:val="22"/>
        </w:rPr>
        <w:t>desenvolve</w:t>
      </w:r>
      <w:r w:rsidR="0016105C">
        <w:rPr>
          <w:color w:val="000000"/>
          <w:sz w:val="22"/>
          <w:szCs w:val="22"/>
        </w:rPr>
        <w:t>r</w:t>
      </w:r>
      <w:r w:rsidRPr="004D6E38">
        <w:rPr>
          <w:color w:val="000000"/>
          <w:sz w:val="22"/>
          <w:szCs w:val="22"/>
        </w:rPr>
        <w:t xml:space="preserve"> solução integrada para modernização de processos e de sistemas da FINEP, </w:t>
      </w:r>
      <w:r w:rsidR="00A15416" w:rsidRPr="004D6E38">
        <w:rPr>
          <w:color w:val="000000"/>
          <w:sz w:val="22"/>
          <w:szCs w:val="22"/>
        </w:rPr>
        <w:t>os recorrentes manifestaram insatisfação com a relação à determinação constante da deliberação anterior</w:t>
      </w:r>
      <w:r w:rsidR="004D6E38" w:rsidRPr="004D6E38">
        <w:rPr>
          <w:color w:val="000000"/>
          <w:sz w:val="22"/>
          <w:szCs w:val="22"/>
        </w:rPr>
        <w:t>,</w:t>
      </w:r>
      <w:r w:rsidR="00A15416" w:rsidRPr="004D6E38">
        <w:rPr>
          <w:color w:val="000000"/>
          <w:sz w:val="22"/>
          <w:szCs w:val="22"/>
        </w:rPr>
        <w:t xml:space="preserve"> </w:t>
      </w:r>
      <w:r w:rsidR="002107BE">
        <w:rPr>
          <w:color w:val="000000"/>
          <w:sz w:val="22"/>
          <w:szCs w:val="22"/>
        </w:rPr>
        <w:t>para</w:t>
      </w:r>
      <w:r w:rsidR="00A15416" w:rsidRPr="004D6E38">
        <w:rPr>
          <w:color w:val="000000"/>
          <w:sz w:val="22"/>
          <w:szCs w:val="22"/>
        </w:rPr>
        <w:t xml:space="preserve"> que realizassem análise detalhada da compatibilidade do preço final com os de mercado, levantando em planilhas todos os itens envolvidos, incluindo custos administrativos, sociais, trabalhistas e lucro. Para eles, os </w:t>
      </w:r>
      <w:r w:rsidR="00A15416" w:rsidRPr="004D6E38">
        <w:rPr>
          <w:sz w:val="22"/>
          <w:szCs w:val="22"/>
        </w:rPr>
        <w:t>detalhamentos quanto à composição dos preços seriam estratégicos e a FINEP não teria meios para exigi-los. Informações como salários e benefícios dos funcionários (custos trabalhistas), custos administrativos e, principalmente, lucro das empresas dificilmente poderiam ser obtidos pela Empresa Pública. Além disso, teria</w:t>
      </w:r>
      <w:r w:rsidR="00B72457" w:rsidRPr="004D6E38">
        <w:rPr>
          <w:sz w:val="22"/>
          <w:szCs w:val="22"/>
        </w:rPr>
        <w:t>m sido</w:t>
      </w:r>
      <w:r w:rsidR="00A15416" w:rsidRPr="004D6E38">
        <w:rPr>
          <w:sz w:val="22"/>
          <w:szCs w:val="22"/>
        </w:rPr>
        <w:t xml:space="preserve"> procedid</w:t>
      </w:r>
      <w:r w:rsidR="00B72457" w:rsidRPr="004D6E38">
        <w:rPr>
          <w:sz w:val="22"/>
          <w:szCs w:val="22"/>
        </w:rPr>
        <w:t>as</w:t>
      </w:r>
      <w:r w:rsidR="00A15416" w:rsidRPr="004D6E38">
        <w:rPr>
          <w:sz w:val="22"/>
          <w:szCs w:val="22"/>
        </w:rPr>
        <w:t xml:space="preserve"> </w:t>
      </w:r>
      <w:r w:rsidR="00B72457" w:rsidRPr="004D6E38">
        <w:rPr>
          <w:sz w:val="22"/>
          <w:szCs w:val="22"/>
        </w:rPr>
        <w:t>cotações no momento da formação do orçamento, inclusive com a comparação com tabela de formação de preços vigente da Associação Brasileira de Consultores em Engenharia, sendo certo</w:t>
      </w:r>
      <w:r w:rsidR="0016105C">
        <w:rPr>
          <w:sz w:val="22"/>
          <w:szCs w:val="22"/>
        </w:rPr>
        <w:t>, para os recorrentes,</w:t>
      </w:r>
      <w:r w:rsidR="00B72457" w:rsidRPr="004D6E38">
        <w:rPr>
          <w:sz w:val="22"/>
          <w:szCs w:val="22"/>
        </w:rPr>
        <w:t xml:space="preserve"> que estas </w:t>
      </w:r>
      <w:r w:rsidR="0016105C">
        <w:rPr>
          <w:sz w:val="22"/>
          <w:szCs w:val="22"/>
        </w:rPr>
        <w:t>teriam sido</w:t>
      </w:r>
      <w:r w:rsidR="00B72457" w:rsidRPr="004D6E38">
        <w:rPr>
          <w:sz w:val="22"/>
          <w:szCs w:val="22"/>
        </w:rPr>
        <w:t xml:space="preserve"> suficientes para conclusão acerca da regularidade do certame. Aditou-se, ainda, que a F</w:t>
      </w:r>
      <w:r w:rsidR="009F5D5B" w:rsidRPr="004D6E38">
        <w:rPr>
          <w:sz w:val="22"/>
          <w:szCs w:val="22"/>
        </w:rPr>
        <w:t>INEP</w:t>
      </w:r>
      <w:r w:rsidR="00B72457" w:rsidRPr="004D6E38">
        <w:rPr>
          <w:sz w:val="22"/>
          <w:szCs w:val="22"/>
        </w:rPr>
        <w:t xml:space="preserve"> não possuiria instrumentos para compelir empresas que sequer contratarão com a estatal a informá-la </w:t>
      </w:r>
      <w:r w:rsidR="0016105C">
        <w:rPr>
          <w:sz w:val="22"/>
          <w:szCs w:val="22"/>
        </w:rPr>
        <w:t>a respeito</w:t>
      </w:r>
      <w:r w:rsidR="00B72457" w:rsidRPr="004D6E38">
        <w:rPr>
          <w:sz w:val="22"/>
          <w:szCs w:val="22"/>
        </w:rPr>
        <w:t xml:space="preserve"> de seus custos trabalhistas, administrativos e lucro. Assim, a determinação de aferição de compatibilidade do preço final com o de mercado, na norma determinada pelo TCU, seria desprovida de razoabilidade e de difícil cumprimento.</w:t>
      </w:r>
      <w:r w:rsidR="009F5D5B" w:rsidRPr="004D6E38">
        <w:rPr>
          <w:sz w:val="22"/>
          <w:szCs w:val="22"/>
        </w:rPr>
        <w:t xml:space="preserve"> O que poderia ser admitido, ainda para os recorrentes, seria a comparação entre o preço final obtido com a média das cotações obtidas no momento da formação do orçamento. Isto porque a média de cotações consubstanciaria o preço máximo de cad</w:t>
      </w:r>
      <w:r w:rsidR="004D6E38" w:rsidRPr="004D6E38">
        <w:rPr>
          <w:sz w:val="22"/>
          <w:szCs w:val="22"/>
        </w:rPr>
        <w:t>a produto ou serviço contratado, no modo de ver dos recorrentes. Ao examinar o assunto, o relator consignou que “</w:t>
      </w:r>
      <w:r w:rsidR="004D6E38" w:rsidRPr="004D6E38">
        <w:rPr>
          <w:i/>
          <w:sz w:val="22"/>
          <w:szCs w:val="22"/>
        </w:rPr>
        <w:t>d</w:t>
      </w:r>
      <w:r w:rsidR="004D6E38" w:rsidRPr="004D6E38">
        <w:rPr>
          <w:i/>
          <w:color w:val="000000"/>
          <w:sz w:val="22"/>
          <w:szCs w:val="22"/>
        </w:rPr>
        <w:t>iferentemente das licitações para realização de obras em que tanto a Lei de Diretrizes Orçamentárias como sólida jurisprudência do TCU têm exigido a parametrização dos custos pelos valores dos sistemas de preço referência (SICRO/SINAPE, dentre outros), incluindo a análise da composição dos custos unitários dos serviços e obras, além do BDI, não há norma ou regulamentação que exijam o mesmo nível de detalhamento para a prestação de serviços de consultoria empresarial</w:t>
      </w:r>
      <w:r w:rsidR="004D6E38" w:rsidRPr="004D6E38">
        <w:rPr>
          <w:color w:val="000000"/>
          <w:sz w:val="22"/>
          <w:szCs w:val="22"/>
        </w:rPr>
        <w:t>”. Nada impediria, porém, ainda para o relator, que “</w:t>
      </w:r>
      <w:r w:rsidR="004D6E38" w:rsidRPr="004D6E38">
        <w:rPr>
          <w:i/>
          <w:color w:val="000000"/>
          <w:sz w:val="22"/>
          <w:szCs w:val="22"/>
        </w:rPr>
        <w:t>a FINEP busque, cada vez mais, aprimorar a aferição dos preços desses serviços, de molde a extrair as margens usualmente praticadas para os custos administrativos, lucro e outras despesas da empresa</w:t>
      </w:r>
      <w:r w:rsidR="004D6E38" w:rsidRPr="004D6E38">
        <w:rPr>
          <w:color w:val="000000"/>
          <w:sz w:val="22"/>
          <w:szCs w:val="22"/>
        </w:rPr>
        <w:t xml:space="preserve">”. Por conseguinte, ao votar pela manutenção da determinação anterior, o relator manifestou-se por que fosse ajustada sua redação, de forma que Finep, </w:t>
      </w:r>
      <w:r w:rsidR="004D6E38" w:rsidRPr="004D6E38">
        <w:rPr>
          <w:sz w:val="22"/>
          <w:szCs w:val="22"/>
        </w:rPr>
        <w:t xml:space="preserve">em relação à Concorrência nº 01/2010, </w:t>
      </w:r>
      <w:r w:rsidR="004D6E38" w:rsidRPr="004D6E38">
        <w:rPr>
          <w:color w:val="000000"/>
          <w:sz w:val="22"/>
          <w:szCs w:val="22"/>
        </w:rPr>
        <w:t xml:space="preserve">realizasse análise detalhada da compatibilidade do preço final com os de mercado, levantando em planilhas todos os itens envolvidos, incluindo, se possível, custos administrativos, sociais, trabalhistas e lucro. Nos termos do voto do relator, o Plenário manifestou sua anuência. </w:t>
      </w:r>
      <w:r w:rsidRPr="004D6E38">
        <w:rPr>
          <w:b/>
          <w:i/>
          <w:sz w:val="22"/>
          <w:szCs w:val="22"/>
        </w:rPr>
        <w:t>Acórdão n.º 2430/2011-Plenário, TC-012.952/2010-9, rel. Min. Walton Alencar</w:t>
      </w:r>
      <w:r w:rsidR="00F05298">
        <w:rPr>
          <w:b/>
          <w:i/>
          <w:sz w:val="22"/>
          <w:szCs w:val="22"/>
        </w:rPr>
        <w:t xml:space="preserve"> Rodrigues</w:t>
      </w:r>
      <w:r w:rsidRPr="004D6E38">
        <w:rPr>
          <w:b/>
          <w:i/>
          <w:sz w:val="22"/>
          <w:szCs w:val="22"/>
        </w:rPr>
        <w:t>, 14.09.2011.</w:t>
      </w:r>
    </w:p>
    <w:p w:rsidR="009C7BCA" w:rsidRDefault="009C7BCA" w:rsidP="00A15416">
      <w:pPr>
        <w:spacing w:after="0"/>
        <w:ind w:left="0"/>
        <w:rPr>
          <w:b/>
          <w:color w:val="FF0000"/>
          <w:sz w:val="22"/>
          <w:szCs w:val="22"/>
        </w:rPr>
      </w:pPr>
    </w:p>
    <w:p w:rsidR="000E3C6D" w:rsidRPr="00A15416" w:rsidRDefault="00A15416" w:rsidP="00A15416">
      <w:pPr>
        <w:spacing w:after="0"/>
        <w:ind w:left="0"/>
        <w:rPr>
          <w:i/>
          <w:sz w:val="22"/>
          <w:szCs w:val="22"/>
        </w:rPr>
      </w:pPr>
      <w:r w:rsidRPr="00A15416">
        <w:rPr>
          <w:b/>
          <w:sz w:val="22"/>
          <w:szCs w:val="22"/>
        </w:rPr>
        <w:t>Empresa não pode ser impedida de participar de licitação por estar em litígio judicial com a instituição contratante</w:t>
      </w:r>
    </w:p>
    <w:p w:rsidR="007B471E" w:rsidRPr="00A15416" w:rsidRDefault="002A6203" w:rsidP="00A15416">
      <w:pPr>
        <w:autoSpaceDE w:val="0"/>
        <w:autoSpaceDN w:val="0"/>
        <w:adjustRightInd w:val="0"/>
        <w:spacing w:after="0"/>
        <w:ind w:left="0"/>
        <w:rPr>
          <w:b/>
          <w:i/>
          <w:sz w:val="22"/>
          <w:szCs w:val="22"/>
        </w:rPr>
      </w:pPr>
      <w:r w:rsidRPr="00A15416">
        <w:rPr>
          <w:sz w:val="22"/>
          <w:szCs w:val="22"/>
          <w:lang w:eastAsia="pt-BR"/>
        </w:rPr>
        <w:t>Representação formulada ao Tribunal apontou possíveis irregularidades no Pregão Presencial 22/2011</w:t>
      </w:r>
      <w:r w:rsidR="00A15416">
        <w:rPr>
          <w:sz w:val="22"/>
          <w:szCs w:val="22"/>
          <w:lang w:eastAsia="pt-BR"/>
        </w:rPr>
        <w:t>,</w:t>
      </w:r>
      <w:r w:rsidRPr="00A15416">
        <w:rPr>
          <w:sz w:val="22"/>
          <w:szCs w:val="22"/>
          <w:lang w:eastAsia="pt-BR"/>
        </w:rPr>
        <w:t xml:space="preserve"> promovido pelo Serviço Social do Comércio – (S</w:t>
      </w:r>
      <w:r w:rsidR="00FB5CC6">
        <w:rPr>
          <w:sz w:val="22"/>
          <w:szCs w:val="22"/>
          <w:lang w:eastAsia="pt-BR"/>
        </w:rPr>
        <w:t>ESC</w:t>
      </w:r>
      <w:r w:rsidRPr="00A15416">
        <w:rPr>
          <w:sz w:val="22"/>
          <w:szCs w:val="22"/>
          <w:lang w:eastAsia="pt-BR"/>
        </w:rPr>
        <w:t xml:space="preserve">/SP), tendo por objeto </w:t>
      </w:r>
      <w:r w:rsidR="00A15416">
        <w:rPr>
          <w:sz w:val="22"/>
          <w:szCs w:val="22"/>
          <w:lang w:eastAsia="pt-BR"/>
        </w:rPr>
        <w:t xml:space="preserve">o </w:t>
      </w:r>
      <w:r w:rsidRPr="00A15416">
        <w:rPr>
          <w:sz w:val="22"/>
          <w:szCs w:val="22"/>
          <w:lang w:eastAsia="pt-BR"/>
        </w:rPr>
        <w:t xml:space="preserve">registro de preços para fornecimento de suprimentos de informática para diversas unidades do SESC na Capital, Grande São Paulo e Litoral. </w:t>
      </w:r>
      <w:r w:rsidR="00754DD1" w:rsidRPr="00A15416">
        <w:rPr>
          <w:sz w:val="22"/>
          <w:szCs w:val="22"/>
          <w:lang w:eastAsia="pt-BR"/>
        </w:rPr>
        <w:t xml:space="preserve">Dentre tais irregularidades, constou a aposição de cláusula no instrumento convocatório que impediria a participação no certame das empresas que se encontrassem em litígio </w:t>
      </w:r>
      <w:r w:rsidR="00A15416">
        <w:rPr>
          <w:sz w:val="22"/>
          <w:szCs w:val="22"/>
          <w:lang w:eastAsia="pt-BR"/>
        </w:rPr>
        <w:t xml:space="preserve">judicial </w:t>
      </w:r>
      <w:r w:rsidR="00754DD1" w:rsidRPr="00A15416">
        <w:rPr>
          <w:sz w:val="22"/>
          <w:szCs w:val="22"/>
          <w:lang w:eastAsia="pt-BR"/>
        </w:rPr>
        <w:t>com o S</w:t>
      </w:r>
      <w:r w:rsidR="00FB5CC6">
        <w:rPr>
          <w:sz w:val="22"/>
          <w:szCs w:val="22"/>
          <w:lang w:eastAsia="pt-BR"/>
        </w:rPr>
        <w:t>ESC</w:t>
      </w:r>
      <w:r w:rsidR="00754DD1" w:rsidRPr="00A15416">
        <w:rPr>
          <w:sz w:val="22"/>
          <w:szCs w:val="22"/>
          <w:lang w:eastAsia="pt-BR"/>
        </w:rPr>
        <w:t xml:space="preserve">. Para o relator, tal </w:t>
      </w:r>
      <w:r w:rsidR="00754DD1" w:rsidRPr="00A15416">
        <w:rPr>
          <w:sz w:val="22"/>
          <w:szCs w:val="22"/>
        </w:rPr>
        <w:t>dispositivo implicaria limitação de direito constitucional que não poderia ser afastado sequer por lei, segundo o que prevê o inc. XXXV do art. 5º da Carta Magna. De modo a sanar a situação, votou o relator por que se expedisse determinação ao S</w:t>
      </w:r>
      <w:r w:rsidR="00FB5CC6">
        <w:rPr>
          <w:sz w:val="22"/>
          <w:szCs w:val="22"/>
        </w:rPr>
        <w:t>ESC</w:t>
      </w:r>
      <w:r w:rsidR="00754DD1" w:rsidRPr="00A15416">
        <w:rPr>
          <w:sz w:val="22"/>
          <w:szCs w:val="22"/>
        </w:rPr>
        <w:t xml:space="preserve"> de que, em futuros </w:t>
      </w:r>
      <w:r w:rsidR="00FB5CC6">
        <w:rPr>
          <w:sz w:val="22"/>
          <w:szCs w:val="22"/>
        </w:rPr>
        <w:t>tornei</w:t>
      </w:r>
      <w:r w:rsidR="00754DD1" w:rsidRPr="00A15416">
        <w:rPr>
          <w:sz w:val="22"/>
          <w:szCs w:val="22"/>
        </w:rPr>
        <w:t>os licitatórios, abstenha-se de vedar a participação de empresas que estejam em litígio judicial com a entidade, dado que a proibição, além de não contar com fundamento legal, afrontaria os princípios da impessoalidade e da competitividade. Além disso, propôs que o assunto fosse levado ao conhecimento da Administração Nacional do S</w:t>
      </w:r>
      <w:r w:rsidR="00FB5CC6">
        <w:rPr>
          <w:sz w:val="22"/>
          <w:szCs w:val="22"/>
        </w:rPr>
        <w:t>ESC</w:t>
      </w:r>
      <w:r w:rsidR="00754DD1" w:rsidRPr="00A15416">
        <w:rPr>
          <w:sz w:val="22"/>
          <w:szCs w:val="22"/>
        </w:rPr>
        <w:t xml:space="preserve"> sobre o entendimento desta corte de contas acerca do assunto, de modo que suas unidades regionais também </w:t>
      </w:r>
      <w:r w:rsidR="00A2332B" w:rsidRPr="00A15416">
        <w:rPr>
          <w:sz w:val="22"/>
          <w:szCs w:val="22"/>
        </w:rPr>
        <w:t xml:space="preserve">pudessem </w:t>
      </w:r>
      <w:r w:rsidR="00754DD1" w:rsidRPr="00A15416">
        <w:rPr>
          <w:sz w:val="22"/>
          <w:szCs w:val="22"/>
        </w:rPr>
        <w:t>toma</w:t>
      </w:r>
      <w:r w:rsidR="00A2332B" w:rsidRPr="00A15416">
        <w:rPr>
          <w:sz w:val="22"/>
          <w:szCs w:val="22"/>
        </w:rPr>
        <w:t xml:space="preserve">r </w:t>
      </w:r>
      <w:r w:rsidR="00754DD1" w:rsidRPr="00A15416">
        <w:rPr>
          <w:sz w:val="22"/>
          <w:szCs w:val="22"/>
        </w:rPr>
        <w:t>conhecimento</w:t>
      </w:r>
      <w:r w:rsidR="00A2332B" w:rsidRPr="00A15416">
        <w:rPr>
          <w:sz w:val="22"/>
          <w:szCs w:val="22"/>
        </w:rPr>
        <w:t xml:space="preserve">. As proposições foram aprovadas pelo </w:t>
      </w:r>
      <w:r w:rsidR="00754DD1" w:rsidRPr="00A15416">
        <w:rPr>
          <w:sz w:val="22"/>
          <w:szCs w:val="22"/>
        </w:rPr>
        <w:t>Plenário.</w:t>
      </w:r>
      <w:r w:rsidR="00A2332B" w:rsidRPr="00A15416">
        <w:rPr>
          <w:sz w:val="22"/>
          <w:szCs w:val="22"/>
        </w:rPr>
        <w:t xml:space="preserve"> </w:t>
      </w:r>
      <w:r w:rsidR="007B471E" w:rsidRPr="00A15416">
        <w:rPr>
          <w:b/>
          <w:i/>
          <w:sz w:val="22"/>
          <w:szCs w:val="22"/>
        </w:rPr>
        <w:t>Acórdão n.º 2</w:t>
      </w:r>
      <w:r w:rsidR="009D299F" w:rsidRPr="00A15416">
        <w:rPr>
          <w:b/>
          <w:i/>
          <w:sz w:val="22"/>
          <w:szCs w:val="22"/>
        </w:rPr>
        <w:t>434</w:t>
      </w:r>
      <w:r w:rsidR="007B471E" w:rsidRPr="00A15416">
        <w:rPr>
          <w:b/>
          <w:i/>
          <w:sz w:val="22"/>
          <w:szCs w:val="22"/>
        </w:rPr>
        <w:t>/2011-Plenário, TC-</w:t>
      </w:r>
      <w:r w:rsidR="00EB3C52" w:rsidRPr="00A15416">
        <w:rPr>
          <w:b/>
          <w:i/>
          <w:sz w:val="22"/>
          <w:szCs w:val="22"/>
        </w:rPr>
        <w:t>0</w:t>
      </w:r>
      <w:r w:rsidR="009D299F" w:rsidRPr="00A15416">
        <w:rPr>
          <w:b/>
          <w:i/>
          <w:sz w:val="22"/>
          <w:szCs w:val="22"/>
        </w:rPr>
        <w:t>08</w:t>
      </w:r>
      <w:r w:rsidR="007B471E" w:rsidRPr="00A15416">
        <w:rPr>
          <w:b/>
          <w:i/>
          <w:sz w:val="22"/>
          <w:szCs w:val="22"/>
        </w:rPr>
        <w:t>.</w:t>
      </w:r>
      <w:r w:rsidR="00EB3C52" w:rsidRPr="00A15416">
        <w:rPr>
          <w:b/>
          <w:i/>
          <w:sz w:val="22"/>
          <w:szCs w:val="22"/>
        </w:rPr>
        <w:t>58</w:t>
      </w:r>
      <w:r w:rsidR="009D299F" w:rsidRPr="00A15416">
        <w:rPr>
          <w:b/>
          <w:i/>
          <w:sz w:val="22"/>
          <w:szCs w:val="22"/>
        </w:rPr>
        <w:t>3</w:t>
      </w:r>
      <w:r w:rsidR="007B471E" w:rsidRPr="00A15416">
        <w:rPr>
          <w:b/>
          <w:i/>
          <w:sz w:val="22"/>
          <w:szCs w:val="22"/>
        </w:rPr>
        <w:t>/20</w:t>
      </w:r>
      <w:r w:rsidR="009D299F" w:rsidRPr="00A15416">
        <w:rPr>
          <w:b/>
          <w:i/>
          <w:sz w:val="22"/>
          <w:szCs w:val="22"/>
        </w:rPr>
        <w:t>11</w:t>
      </w:r>
      <w:r w:rsidR="007B471E" w:rsidRPr="00A15416">
        <w:rPr>
          <w:b/>
          <w:i/>
          <w:sz w:val="22"/>
          <w:szCs w:val="22"/>
        </w:rPr>
        <w:t>-</w:t>
      </w:r>
      <w:r w:rsidR="009D299F" w:rsidRPr="00A15416">
        <w:rPr>
          <w:b/>
          <w:i/>
          <w:sz w:val="22"/>
          <w:szCs w:val="22"/>
        </w:rPr>
        <w:t>0</w:t>
      </w:r>
      <w:r w:rsidR="007B471E" w:rsidRPr="00A15416">
        <w:rPr>
          <w:b/>
          <w:i/>
          <w:sz w:val="22"/>
          <w:szCs w:val="22"/>
        </w:rPr>
        <w:t xml:space="preserve">, rel. Min. </w:t>
      </w:r>
      <w:r w:rsidR="00A2332B" w:rsidRPr="00A15416">
        <w:rPr>
          <w:b/>
          <w:i/>
          <w:sz w:val="22"/>
          <w:szCs w:val="22"/>
        </w:rPr>
        <w:t>Aroldo Cedraz</w:t>
      </w:r>
      <w:r w:rsidR="007B471E" w:rsidRPr="00A15416">
        <w:rPr>
          <w:b/>
          <w:i/>
          <w:sz w:val="22"/>
          <w:szCs w:val="22"/>
        </w:rPr>
        <w:t xml:space="preserve">, </w:t>
      </w:r>
      <w:r w:rsidR="009D299F" w:rsidRPr="00A15416">
        <w:rPr>
          <w:b/>
          <w:i/>
          <w:sz w:val="22"/>
          <w:szCs w:val="22"/>
        </w:rPr>
        <w:t>14</w:t>
      </w:r>
      <w:r w:rsidR="007B471E" w:rsidRPr="00A15416">
        <w:rPr>
          <w:b/>
          <w:i/>
          <w:sz w:val="22"/>
          <w:szCs w:val="22"/>
        </w:rPr>
        <w:t>.0</w:t>
      </w:r>
      <w:r w:rsidR="009D299F" w:rsidRPr="00A15416">
        <w:rPr>
          <w:b/>
          <w:i/>
          <w:sz w:val="22"/>
          <w:szCs w:val="22"/>
        </w:rPr>
        <w:t>9</w:t>
      </w:r>
      <w:r w:rsidR="007B471E" w:rsidRPr="00A15416">
        <w:rPr>
          <w:b/>
          <w:i/>
          <w:sz w:val="22"/>
          <w:szCs w:val="22"/>
        </w:rPr>
        <w:t>.2011.</w:t>
      </w:r>
    </w:p>
    <w:p w:rsidR="007B471E" w:rsidRPr="00B7439C" w:rsidRDefault="007B471E" w:rsidP="005A1EAB">
      <w:pPr>
        <w:pStyle w:val="tita"/>
        <w:tabs>
          <w:tab w:val="left" w:pos="2590"/>
        </w:tabs>
        <w:spacing w:before="0" w:after="0" w:line="240" w:lineRule="auto"/>
        <w:jc w:val="both"/>
        <w:rPr>
          <w:i w:val="0"/>
          <w:iCs w:val="0"/>
          <w:color w:val="FF0000"/>
          <w:sz w:val="22"/>
          <w:szCs w:val="22"/>
        </w:rPr>
      </w:pPr>
    </w:p>
    <w:p w:rsidR="00FB5CC6" w:rsidRPr="00FB5CC6" w:rsidRDefault="00FB5CC6" w:rsidP="0086733D">
      <w:pPr>
        <w:widowControl w:val="0"/>
        <w:tabs>
          <w:tab w:val="left" w:pos="851"/>
          <w:tab w:val="left" w:pos="1418"/>
        </w:tabs>
        <w:spacing w:after="0"/>
        <w:ind w:left="0"/>
        <w:rPr>
          <w:b/>
          <w:sz w:val="22"/>
          <w:szCs w:val="22"/>
        </w:rPr>
      </w:pPr>
      <w:r w:rsidRPr="00FB5CC6">
        <w:rPr>
          <w:b/>
          <w:sz w:val="22"/>
          <w:szCs w:val="22"/>
        </w:rPr>
        <w:t xml:space="preserve">A utilização de Pregão é inadequada para a contratação de serviços técnicos especializados de fiscalização, supervisão ou gerenciamento de obras, quando considerados de alta complexidade </w:t>
      </w:r>
    </w:p>
    <w:p w:rsidR="00345760" w:rsidRPr="00FB5CC6" w:rsidRDefault="000F6247" w:rsidP="0086733D">
      <w:pPr>
        <w:widowControl w:val="0"/>
        <w:tabs>
          <w:tab w:val="left" w:pos="851"/>
          <w:tab w:val="left" w:pos="1418"/>
        </w:tabs>
        <w:spacing w:after="0"/>
        <w:ind w:left="0"/>
        <w:rPr>
          <w:b/>
          <w:i/>
          <w:sz w:val="22"/>
          <w:szCs w:val="22"/>
        </w:rPr>
      </w:pPr>
      <w:r w:rsidRPr="00FB5CC6">
        <w:rPr>
          <w:sz w:val="22"/>
          <w:szCs w:val="22"/>
        </w:rPr>
        <w:t>Representação noticiou ao Tribunal possíveis irregularidades no Pregão Eletrônico n.º 033/2010, promovido pela Companhia Docas do Espírito Santo - (C</w:t>
      </w:r>
      <w:r w:rsidR="009828CD" w:rsidRPr="00FB5CC6">
        <w:rPr>
          <w:sz w:val="22"/>
          <w:szCs w:val="22"/>
        </w:rPr>
        <w:t>ODESA</w:t>
      </w:r>
      <w:r w:rsidRPr="00FB5CC6">
        <w:rPr>
          <w:sz w:val="22"/>
          <w:szCs w:val="22"/>
        </w:rPr>
        <w:t>), cujo objeto consistiu na contratação de empresa para a execução de serviços técnicos de gerenciamento, supervisão, apoio à fiscalização e acompanhamento das obras de reforma, alargamento e ampliação dos berços 101 e 102 do cais comercial do porto de Vitória (ES). Para a representante, o objeto do certame não poderia ser classificado como serviço de natureza comum, sendo impróprio o uso do pregão, neste quadro, pois o serviço pretendido seria de elevada complexidade técnica. Promovida a oitiva da C</w:t>
      </w:r>
      <w:r w:rsidR="009828CD" w:rsidRPr="00FB5CC6">
        <w:rPr>
          <w:sz w:val="22"/>
          <w:szCs w:val="22"/>
        </w:rPr>
        <w:t>ODESA</w:t>
      </w:r>
      <w:r w:rsidRPr="00FB5CC6">
        <w:rPr>
          <w:sz w:val="22"/>
          <w:szCs w:val="22"/>
        </w:rPr>
        <w:t>, a empresa alegou, dentre outros</w:t>
      </w:r>
      <w:r w:rsidR="009828CD" w:rsidRPr="00FB5CC6">
        <w:rPr>
          <w:sz w:val="22"/>
          <w:szCs w:val="22"/>
        </w:rPr>
        <w:t xml:space="preserve"> fatos</w:t>
      </w:r>
      <w:r w:rsidRPr="00FB5CC6">
        <w:rPr>
          <w:sz w:val="22"/>
          <w:szCs w:val="22"/>
        </w:rPr>
        <w:t xml:space="preserve">, que </w:t>
      </w:r>
      <w:r w:rsidR="009828CD" w:rsidRPr="00FB5CC6">
        <w:rPr>
          <w:sz w:val="22"/>
          <w:szCs w:val="22"/>
        </w:rPr>
        <w:t xml:space="preserve">a escolha da modalidade de licitação teria sido amplamente discutida, tendo a entidade chegado à conclusão de que sua área de engenharia não teria demonstrado a presença de quesitos de técnica que sustentassem a forma de julgamento </w:t>
      </w:r>
      <w:r w:rsidR="00FB5CC6">
        <w:rPr>
          <w:sz w:val="22"/>
          <w:szCs w:val="22"/>
        </w:rPr>
        <w:t>intenciona</w:t>
      </w:r>
      <w:r w:rsidR="009828CD" w:rsidRPr="00FB5CC6">
        <w:rPr>
          <w:sz w:val="22"/>
          <w:szCs w:val="22"/>
        </w:rPr>
        <w:t>do originalmente (melhor técnica e preço), nem sustentar que os serviços seriam de natureza predominantemente intelectual</w:t>
      </w:r>
      <w:r w:rsidR="005A1EAB" w:rsidRPr="00FB5CC6">
        <w:rPr>
          <w:sz w:val="22"/>
          <w:szCs w:val="22"/>
        </w:rPr>
        <w:t>.</w:t>
      </w:r>
      <w:r w:rsidR="00345760" w:rsidRPr="00FB5CC6">
        <w:rPr>
          <w:sz w:val="22"/>
          <w:szCs w:val="22"/>
        </w:rPr>
        <w:t xml:space="preserve"> </w:t>
      </w:r>
      <w:r w:rsidR="009828CD" w:rsidRPr="00FB5CC6">
        <w:rPr>
          <w:sz w:val="22"/>
          <w:szCs w:val="22"/>
        </w:rPr>
        <w:t>Além disso, a própria obra dos berços 101 e 102 teria sido licitada na modalidade concorrência do tipo menor preço. A CODESA</w:t>
      </w:r>
      <w:r w:rsidR="00FB5CC6">
        <w:rPr>
          <w:sz w:val="22"/>
          <w:szCs w:val="22"/>
        </w:rPr>
        <w:t xml:space="preserve"> citou, ainda</w:t>
      </w:r>
      <w:r w:rsidR="009828CD" w:rsidRPr="00FB5CC6">
        <w:rPr>
          <w:sz w:val="22"/>
          <w:szCs w:val="22"/>
        </w:rPr>
        <w:t xml:space="preserve">, entendimento do TCU de ser vedada a utilização da licitação tipo técnica e preço, quando não estiver caracterizada a natureza predominante intelectual de maior parte do objeto que se pretende contratar. O próprio TCU, ainda de acordo com a CODESA, </w:t>
      </w:r>
      <w:r w:rsidR="005C2388" w:rsidRPr="00FB5CC6">
        <w:rPr>
          <w:sz w:val="22"/>
          <w:szCs w:val="22"/>
        </w:rPr>
        <w:t>tem</w:t>
      </w:r>
      <w:r w:rsidR="005C2388" w:rsidRPr="00FB5CC6">
        <w:rPr>
          <w:i/>
          <w:sz w:val="22"/>
          <w:szCs w:val="22"/>
          <w:lang w:eastAsia="pt-BR"/>
        </w:rPr>
        <w:t xml:space="preserve"> </w:t>
      </w:r>
      <w:r w:rsidR="005C2388" w:rsidRPr="00FB5CC6">
        <w:rPr>
          <w:sz w:val="22"/>
          <w:szCs w:val="22"/>
          <w:lang w:eastAsia="pt-BR"/>
        </w:rPr>
        <w:t xml:space="preserve">realizado licitações que, a seu ver, seriam semelhantes à procedida pela estatal, e, para tanto, utilizando-se do pregão eletrônico. </w:t>
      </w:r>
      <w:r w:rsidR="009828CD" w:rsidRPr="00FB5CC6">
        <w:rPr>
          <w:sz w:val="22"/>
          <w:szCs w:val="22"/>
        </w:rPr>
        <w:t>Após instrução inicial do feito, o relator resolveu submeter o processo à unidade especializada do Tribunal, a</w:t>
      </w:r>
      <w:r w:rsidR="005C2388" w:rsidRPr="00FB5CC6">
        <w:rPr>
          <w:sz w:val="22"/>
          <w:szCs w:val="22"/>
        </w:rPr>
        <w:t xml:space="preserve"> qual consignou </w:t>
      </w:r>
      <w:r w:rsidR="005C2388" w:rsidRPr="00FB5CC6">
        <w:rPr>
          <w:sz w:val="22"/>
          <w:szCs w:val="22"/>
          <w:lang w:eastAsia="pt-BR"/>
        </w:rPr>
        <w:t xml:space="preserve">não vislumbrar similaridade entre o serviço contratado pelo Tribunal (apoio à fiscalização de obras promovidas pelo TCU em todo território nacional) e o pretendido pela Codesa (execução de serviços técnicos de gerenciamento, supervisão, apoio à fiscalização e acompanhamento das obras de reforma, alargamento e ampliação dos berços 101 e 102 do Cais Comercial do Porto de Vitória/ES), posto que o objeto do pregão eletrônico realizado pelo TCU trataria de fiscalização de obras de edificação de forma geral e o promovido pela Codesa abordaria gerenciamento, supervisão, fiscalização e acompanhamento de obra portuária. Com relação à obra, em si, destacou a unidade instrutiva já haver o TCU debatido o tema, </w:t>
      </w:r>
      <w:r w:rsidR="000A775A" w:rsidRPr="00FB5CC6">
        <w:rPr>
          <w:sz w:val="22"/>
          <w:szCs w:val="22"/>
          <w:lang w:eastAsia="pt-BR"/>
        </w:rPr>
        <w:t xml:space="preserve">ao </w:t>
      </w:r>
      <w:r w:rsidR="005C2388" w:rsidRPr="00FB5CC6">
        <w:rPr>
          <w:sz w:val="22"/>
          <w:szCs w:val="22"/>
          <w:lang w:eastAsia="pt-BR"/>
        </w:rPr>
        <w:t>examin</w:t>
      </w:r>
      <w:r w:rsidR="000A775A" w:rsidRPr="00FB5CC6">
        <w:rPr>
          <w:sz w:val="22"/>
          <w:szCs w:val="22"/>
          <w:lang w:eastAsia="pt-BR"/>
        </w:rPr>
        <w:t>ar</w:t>
      </w:r>
      <w:r w:rsidR="005C2388" w:rsidRPr="00FB5CC6">
        <w:rPr>
          <w:sz w:val="22"/>
          <w:szCs w:val="22"/>
          <w:lang w:eastAsia="pt-BR"/>
        </w:rPr>
        <w:t xml:space="preserve"> indícios de irregularidades apontados na Concorrência 003/2009, também realizada pela Codesa, para a contratação de empresa de engenharia especializada para execução dos serviços de reforma, alargamento e ampliação dos berços 101 e 102 do cais comercial do Porto de Vitória</w:t>
      </w:r>
      <w:r w:rsidR="000A775A" w:rsidRPr="00FB5CC6">
        <w:rPr>
          <w:sz w:val="22"/>
          <w:szCs w:val="22"/>
          <w:lang w:eastAsia="pt-BR"/>
        </w:rPr>
        <w:t xml:space="preserve"> (TC 028.208/2009-7)</w:t>
      </w:r>
      <w:r w:rsidR="005C2388" w:rsidRPr="00FB5CC6">
        <w:rPr>
          <w:sz w:val="22"/>
          <w:szCs w:val="22"/>
          <w:lang w:eastAsia="pt-BR"/>
        </w:rPr>
        <w:t>.</w:t>
      </w:r>
      <w:r w:rsidR="000A775A" w:rsidRPr="00FB5CC6">
        <w:rPr>
          <w:sz w:val="22"/>
          <w:szCs w:val="22"/>
          <w:lang w:eastAsia="pt-BR"/>
        </w:rPr>
        <w:t xml:space="preserve"> </w:t>
      </w:r>
      <w:r w:rsidR="00AD3CCB" w:rsidRPr="00FB5CC6">
        <w:rPr>
          <w:sz w:val="22"/>
          <w:szCs w:val="22"/>
          <w:lang w:eastAsia="pt-BR"/>
        </w:rPr>
        <w:t xml:space="preserve">A partir de informações extraídas das etapas processuais anteriores, a unidade instrutiva informou que, a CODESA estaria impedida de valer-se unicamente do critério de menor preço para escolha da proposta mais vantajosa, regente da modalidade pregão, uma vez se tratar de fiscalização de obra considerada complexa pela própria Companhia Docas, natureza que </w:t>
      </w:r>
      <w:r w:rsidR="00FB5CC6">
        <w:rPr>
          <w:sz w:val="22"/>
          <w:szCs w:val="22"/>
          <w:lang w:eastAsia="pt-BR"/>
        </w:rPr>
        <w:t xml:space="preserve">teria sido evidenciada </w:t>
      </w:r>
      <w:r w:rsidR="00AD3CCB" w:rsidRPr="00FB5CC6">
        <w:rPr>
          <w:sz w:val="22"/>
          <w:szCs w:val="22"/>
          <w:lang w:eastAsia="pt-BR"/>
        </w:rPr>
        <w:t xml:space="preserve">quando da exigência da apresentação da metodologia de execução pelos participantes do certame licitatório para contratação da obra portuária. </w:t>
      </w:r>
      <w:r w:rsidR="00DB2F3D" w:rsidRPr="00FB5CC6">
        <w:rPr>
          <w:sz w:val="22"/>
          <w:szCs w:val="22"/>
          <w:lang w:eastAsia="pt-BR"/>
        </w:rPr>
        <w:t xml:space="preserve">Ao acolher como razões de decidir os exames da unidade técnica, o relator, no seu voto, anotou que, pelo </w:t>
      </w:r>
      <w:r w:rsidR="00FB5CC6">
        <w:rPr>
          <w:sz w:val="22"/>
          <w:szCs w:val="22"/>
          <w:lang w:eastAsia="pt-BR"/>
        </w:rPr>
        <w:t>averigu</w:t>
      </w:r>
      <w:r w:rsidR="00DB2F3D" w:rsidRPr="00FB5CC6">
        <w:rPr>
          <w:sz w:val="22"/>
          <w:szCs w:val="22"/>
          <w:lang w:eastAsia="pt-BR"/>
        </w:rPr>
        <w:t xml:space="preserve">ado, o serviço de fiscalização das obras do </w:t>
      </w:r>
      <w:r w:rsidR="00DB2F3D" w:rsidRPr="00FB5CC6">
        <w:rPr>
          <w:sz w:val="22"/>
          <w:szCs w:val="22"/>
        </w:rPr>
        <w:t>cais comercial do porto de Vitória não poderiam ser considerado</w:t>
      </w:r>
      <w:r w:rsidR="00FB5CC6">
        <w:rPr>
          <w:sz w:val="22"/>
          <w:szCs w:val="22"/>
        </w:rPr>
        <w:t>s comuns</w:t>
      </w:r>
      <w:r w:rsidR="00DB2F3D" w:rsidRPr="00FB5CC6">
        <w:rPr>
          <w:sz w:val="22"/>
          <w:szCs w:val="22"/>
        </w:rPr>
        <w:t>, e, bem por isso, não poderiam ser contratados mediante pregão. Os documentos de referência para a contratação, ainda para o relator, “</w:t>
      </w:r>
      <w:r w:rsidR="00DB2F3D" w:rsidRPr="00FB5CC6">
        <w:rPr>
          <w:i/>
          <w:sz w:val="22"/>
          <w:szCs w:val="22"/>
        </w:rPr>
        <w:t>quando muito, relacionam as especificações da obra do porto e as séries de normas técnicas aplicáveis a sua execução, as quais, de per si, não se confundem com especificações usuais de mercado a definirem os padrões de desempenho e qualidade do serviço</w:t>
      </w:r>
      <w:r w:rsidR="00DB2F3D" w:rsidRPr="00FB5CC6">
        <w:rPr>
          <w:sz w:val="22"/>
          <w:szCs w:val="22"/>
        </w:rPr>
        <w:t>”. De mais a mais, registrou o relator que, “</w:t>
      </w:r>
      <w:r w:rsidR="00DB2F3D" w:rsidRPr="00FB5CC6">
        <w:rPr>
          <w:i/>
          <w:sz w:val="22"/>
          <w:szCs w:val="22"/>
        </w:rPr>
        <w:t>em que pese irregular o processo licitatório, a ampla discussão promovida no âmbito da CODESA acerca da melhor solução para o caso afasta a atribuição de má-fé aos gestores responsáveis</w:t>
      </w:r>
      <w:r w:rsidR="00DB2F3D" w:rsidRPr="00FB5CC6">
        <w:rPr>
          <w:sz w:val="22"/>
          <w:szCs w:val="22"/>
        </w:rPr>
        <w:t xml:space="preserve">”, </w:t>
      </w:r>
      <w:r w:rsidR="00051DCD" w:rsidRPr="00FB5CC6">
        <w:rPr>
          <w:sz w:val="22"/>
          <w:szCs w:val="22"/>
        </w:rPr>
        <w:t>e, por conseguinte, votou por que fosse levado à ciência da entidade que “</w:t>
      </w:r>
      <w:r w:rsidR="00051DCD" w:rsidRPr="00FB5CC6">
        <w:rPr>
          <w:i/>
          <w:sz w:val="22"/>
          <w:szCs w:val="22"/>
        </w:rPr>
        <w:t>a utilização de Pregão é inadequada para a contratação de serviços técnicos especializados de fiscalização, supervisão ou gerenciamento de obras, quando considerados de alta complexidade, não devendo ser adotada em licitações futuras</w:t>
      </w:r>
      <w:r w:rsidR="00051DCD" w:rsidRPr="00FB5CC6">
        <w:rPr>
          <w:sz w:val="22"/>
          <w:szCs w:val="22"/>
        </w:rPr>
        <w:t xml:space="preserve">”, no que contou com a anuência do Plenário. </w:t>
      </w:r>
      <w:r w:rsidR="009828CD" w:rsidRPr="00FB5CC6">
        <w:rPr>
          <w:sz w:val="22"/>
          <w:szCs w:val="22"/>
        </w:rPr>
        <w:t xml:space="preserve">Precedente citado: Acórdão nº 2391/2007, do Plenário. </w:t>
      </w:r>
      <w:r w:rsidR="00345760" w:rsidRPr="00FB5CC6">
        <w:rPr>
          <w:b/>
          <w:i/>
          <w:sz w:val="22"/>
          <w:szCs w:val="22"/>
        </w:rPr>
        <w:t>Acórdão n.º 2</w:t>
      </w:r>
      <w:r w:rsidRPr="00FB5CC6">
        <w:rPr>
          <w:b/>
          <w:i/>
          <w:sz w:val="22"/>
          <w:szCs w:val="22"/>
        </w:rPr>
        <w:t>441</w:t>
      </w:r>
      <w:r w:rsidR="00345760" w:rsidRPr="00FB5CC6">
        <w:rPr>
          <w:b/>
          <w:i/>
          <w:sz w:val="22"/>
          <w:szCs w:val="22"/>
        </w:rPr>
        <w:t>/2011-Plenário, TC-0</w:t>
      </w:r>
      <w:r w:rsidRPr="00FB5CC6">
        <w:rPr>
          <w:b/>
          <w:i/>
          <w:sz w:val="22"/>
          <w:szCs w:val="22"/>
        </w:rPr>
        <w:t>13</w:t>
      </w:r>
      <w:r w:rsidR="00345760" w:rsidRPr="00FB5CC6">
        <w:rPr>
          <w:b/>
          <w:i/>
          <w:sz w:val="22"/>
          <w:szCs w:val="22"/>
        </w:rPr>
        <w:t>.7</w:t>
      </w:r>
      <w:r w:rsidRPr="00FB5CC6">
        <w:rPr>
          <w:b/>
          <w:i/>
          <w:sz w:val="22"/>
          <w:szCs w:val="22"/>
        </w:rPr>
        <w:t>96</w:t>
      </w:r>
      <w:r w:rsidR="00345760" w:rsidRPr="00FB5CC6">
        <w:rPr>
          <w:b/>
          <w:i/>
          <w:sz w:val="22"/>
          <w:szCs w:val="22"/>
        </w:rPr>
        <w:t>/20</w:t>
      </w:r>
      <w:r w:rsidRPr="00FB5CC6">
        <w:rPr>
          <w:b/>
          <w:i/>
          <w:sz w:val="22"/>
          <w:szCs w:val="22"/>
        </w:rPr>
        <w:t>1</w:t>
      </w:r>
      <w:r w:rsidR="00345760" w:rsidRPr="00FB5CC6">
        <w:rPr>
          <w:b/>
          <w:i/>
          <w:sz w:val="22"/>
          <w:szCs w:val="22"/>
        </w:rPr>
        <w:t>0-</w:t>
      </w:r>
      <w:r w:rsidRPr="00FB5CC6">
        <w:rPr>
          <w:b/>
          <w:i/>
          <w:sz w:val="22"/>
          <w:szCs w:val="22"/>
        </w:rPr>
        <w:t>0</w:t>
      </w:r>
      <w:r w:rsidR="00345760" w:rsidRPr="00FB5CC6">
        <w:rPr>
          <w:b/>
          <w:i/>
          <w:sz w:val="22"/>
          <w:szCs w:val="22"/>
        </w:rPr>
        <w:t xml:space="preserve">, rel. Min. Raimundo Carreiro, </w:t>
      </w:r>
      <w:r w:rsidR="000938B5">
        <w:rPr>
          <w:b/>
          <w:i/>
          <w:sz w:val="22"/>
          <w:szCs w:val="22"/>
        </w:rPr>
        <w:t>14.09</w:t>
      </w:r>
      <w:r w:rsidR="00345760" w:rsidRPr="00FB5CC6">
        <w:rPr>
          <w:b/>
          <w:i/>
          <w:sz w:val="22"/>
          <w:szCs w:val="22"/>
        </w:rPr>
        <w:t>.2011.</w:t>
      </w:r>
    </w:p>
    <w:p w:rsidR="006D3693" w:rsidRPr="002B32DD" w:rsidRDefault="006D3693" w:rsidP="005A1EAB">
      <w:pPr>
        <w:tabs>
          <w:tab w:val="left" w:pos="1134"/>
        </w:tabs>
        <w:spacing w:after="0"/>
        <w:ind w:left="0"/>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7334B1" w:rsidRPr="00805659" w:rsidTr="0030360F">
        <w:trPr>
          <w:trHeight w:val="779"/>
          <w:jc w:val="center"/>
        </w:trPr>
        <w:tc>
          <w:tcPr>
            <w:tcW w:w="0" w:type="auto"/>
            <w:vAlign w:val="center"/>
          </w:tcPr>
          <w:p w:rsidR="007334B1" w:rsidRPr="002E6712" w:rsidRDefault="00C10DD5" w:rsidP="00B408FD">
            <w:pPr>
              <w:pStyle w:val="enter-3pt"/>
              <w:tabs>
                <w:tab w:val="left" w:pos="2590"/>
              </w:tabs>
              <w:spacing w:line="240" w:lineRule="auto"/>
              <w:jc w:val="center"/>
              <w:rPr>
                <w:b/>
                <w:i/>
                <w:sz w:val="18"/>
                <w:szCs w:val="18"/>
              </w:rPr>
            </w:pPr>
            <w:r w:rsidRPr="002E6712">
              <w:rPr>
                <w:b/>
                <w:i/>
                <w:sz w:val="18"/>
                <w:szCs w:val="18"/>
              </w:rPr>
              <w:t>Elaboração: Secretaria das Sessões</w:t>
            </w:r>
          </w:p>
          <w:p w:rsidR="007334B1" w:rsidRPr="002E6712" w:rsidRDefault="007334B1" w:rsidP="00B408FD">
            <w:pPr>
              <w:pStyle w:val="enter-3pt"/>
              <w:tabs>
                <w:tab w:val="left" w:pos="2590"/>
              </w:tabs>
              <w:spacing w:line="240" w:lineRule="auto"/>
              <w:jc w:val="center"/>
              <w:rPr>
                <w:b/>
                <w:i/>
                <w:sz w:val="22"/>
                <w:szCs w:val="22"/>
              </w:rPr>
            </w:pPr>
            <w:r w:rsidRPr="002E6712">
              <w:rPr>
                <w:b/>
                <w:i/>
                <w:sz w:val="18"/>
                <w:szCs w:val="18"/>
              </w:rPr>
              <w:t xml:space="preserve">Contato: </w:t>
            </w:r>
            <w:hyperlink r:id="rId8" w:history="1">
              <w:r w:rsidRPr="002E6712">
                <w:rPr>
                  <w:rStyle w:val="Hyperlink"/>
                  <w:b/>
                  <w:i/>
                  <w:color w:val="auto"/>
                  <w:sz w:val="18"/>
                  <w:szCs w:val="18"/>
                </w:rPr>
                <w:t>infojuris@tcu.gov.br</w:t>
              </w:r>
            </w:hyperlink>
          </w:p>
        </w:tc>
      </w:tr>
    </w:tbl>
    <w:p w:rsidR="007334B1" w:rsidRPr="00805659" w:rsidRDefault="007334B1" w:rsidP="00B408FD">
      <w:pPr>
        <w:pStyle w:val="enter-3pt"/>
        <w:tabs>
          <w:tab w:val="left" w:pos="2590"/>
        </w:tabs>
        <w:spacing w:line="240" w:lineRule="auto"/>
        <w:rPr>
          <w:b/>
          <w:color w:val="FF0000"/>
          <w:sz w:val="22"/>
          <w:szCs w:val="22"/>
        </w:rPr>
      </w:pPr>
    </w:p>
    <w:sectPr w:rsidR="007334B1" w:rsidRPr="00805659" w:rsidSect="00F340CD">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F47" w:rsidRDefault="00076F47" w:rsidP="008B0547">
      <w:pPr>
        <w:spacing w:after="0"/>
      </w:pPr>
      <w:r>
        <w:separator/>
      </w:r>
    </w:p>
  </w:endnote>
  <w:endnote w:type="continuationSeparator" w:id="0">
    <w:p w:rsidR="00076F47" w:rsidRDefault="00076F47"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04" w:rsidRPr="00C906CD" w:rsidRDefault="00DC7004"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5611BE">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F47" w:rsidRDefault="00076F47" w:rsidP="008B0547">
      <w:pPr>
        <w:spacing w:after="0"/>
      </w:pPr>
      <w:r>
        <w:separator/>
      </w:r>
    </w:p>
  </w:footnote>
  <w:footnote w:type="continuationSeparator" w:id="0">
    <w:p w:rsidR="00076F47" w:rsidRDefault="00076F47"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04" w:rsidRDefault="00E94C75"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004">
      <w:rPr>
        <w:rFonts w:ascii="Arial" w:hAnsi="Arial" w:cs="Arial"/>
        <w:b/>
      </w:rPr>
      <w:t>TRIBUNAL DE CONTAS DA UNIÃO</w:t>
    </w:r>
  </w:p>
  <w:p w:rsidR="00DC7004" w:rsidRPr="00515E7B" w:rsidRDefault="00E94C75"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E881F"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DC7004" w:rsidRPr="00515E7B">
      <w:rPr>
        <w:rFonts w:ascii="Arial" w:hAnsi="Arial" w:cs="Arial"/>
        <w:noProof/>
        <w:lang w:eastAsia="pt-BR"/>
      </w:rPr>
      <w:t>Info</w:t>
    </w:r>
    <w:r w:rsidR="00DC7004">
      <w:rPr>
        <w:rFonts w:ascii="Arial" w:hAnsi="Arial" w:cs="Arial"/>
        <w:noProof/>
        <w:lang w:eastAsia="pt-BR"/>
      </w:rPr>
      <w:t>rmativo de Jurisprudência sobre L</w:t>
    </w:r>
    <w:r w:rsidR="00DC7004" w:rsidRPr="00515E7B">
      <w:rPr>
        <w:rFonts w:ascii="Arial" w:hAnsi="Arial" w:cs="Arial"/>
        <w:noProof/>
        <w:lang w:eastAsia="pt-BR"/>
      </w:rPr>
      <w:t xml:space="preserve">icitações e </w:t>
    </w:r>
    <w:r w:rsidR="00DC7004">
      <w:rPr>
        <w:rFonts w:ascii="Arial" w:hAnsi="Arial" w:cs="Arial"/>
        <w:noProof/>
        <w:lang w:eastAsia="pt-BR"/>
      </w:rPr>
      <w:t>C</w:t>
    </w:r>
    <w:r w:rsidR="00DC7004" w:rsidRPr="00515E7B">
      <w:rPr>
        <w:rFonts w:ascii="Arial" w:hAnsi="Arial" w:cs="Arial"/>
        <w:noProof/>
        <w:lang w:eastAsia="pt-BR"/>
      </w:rPr>
      <w:t>ontratos</w:t>
    </w:r>
    <w:r w:rsidR="00DC7004">
      <w:rPr>
        <w:rFonts w:ascii="Arial" w:hAnsi="Arial" w:cs="Arial"/>
        <w:noProof/>
        <w:lang w:eastAsia="pt-BR"/>
      </w:rPr>
      <w:t xml:space="preserve"> nº 7</w:t>
    </w:r>
    <w:r w:rsidR="00B7439C">
      <w:rPr>
        <w:rFonts w:ascii="Arial" w:hAnsi="Arial" w:cs="Arial"/>
        <w:noProof/>
        <w:lang w:eastAsia="pt-BR"/>
      </w:rPr>
      <w:t>9</w:t>
    </w:r>
  </w:p>
  <w:p w:rsidR="00DC7004" w:rsidRDefault="00DC700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6">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0">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2">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3">
    <w:nsid w:val="23AE7D70"/>
    <w:multiLevelType w:val="singleLevel"/>
    <w:tmpl w:val="734460AE"/>
    <w:lvl w:ilvl="0">
      <w:start w:val="2"/>
      <w:numFmt w:val="decimal"/>
      <w:lvlText w:val="%1."/>
      <w:lvlJc w:val="left"/>
      <w:pPr>
        <w:tabs>
          <w:tab w:val="num" w:pos="357"/>
        </w:tabs>
        <w:ind w:left="357" w:hanging="357"/>
      </w:pPr>
      <w:rPr>
        <w:rFonts w:cs="Times New Roman"/>
      </w:rPr>
    </w:lvl>
  </w:abstractNum>
  <w:abstractNum w:abstractNumId="14">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5">
    <w:nsid w:val="2D403205"/>
    <w:multiLevelType w:val="hybridMultilevel"/>
    <w:tmpl w:val="3E6E9232"/>
    <w:lvl w:ilvl="0" w:tplc="682A7260">
      <w:start w:val="2"/>
      <w:numFmt w:val="decimal"/>
      <w:lvlText w:val="%1."/>
      <w:lvlJc w:val="left"/>
      <w:pPr>
        <w:ind w:left="1859" w:hanging="360"/>
      </w:pPr>
      <w:rPr>
        <w:rFonts w:cs="Times New Roman" w:hint="default"/>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16">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0E516F9"/>
    <w:multiLevelType w:val="multilevel"/>
    <w:tmpl w:val="D9F4EA5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2">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5F47D22"/>
    <w:multiLevelType w:val="multilevel"/>
    <w:tmpl w:val="06FAEB28"/>
    <w:lvl w:ilvl="0">
      <w:start w:val="2"/>
      <w:numFmt w:val="decimal"/>
      <w:lvlText w:val="%1."/>
      <w:lvlJc w:val="left"/>
      <w:pPr>
        <w:ind w:left="360" w:hanging="360"/>
      </w:pPr>
      <w:rPr>
        <w:rFonts w:cs="Times New Roman"/>
        <w:b w:val="0"/>
        <w:i w:val="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ind w:left="4320" w:hanging="1440"/>
      </w:pPr>
      <w:rPr>
        <w:rFonts w:cs="Times New Roman"/>
      </w:rPr>
    </w:lvl>
  </w:abstractNum>
  <w:abstractNum w:abstractNumId="25">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D3604F1"/>
    <w:multiLevelType w:val="multilevel"/>
    <w:tmpl w:val="CB306724"/>
    <w:lvl w:ilvl="0">
      <w:start w:val="2"/>
      <w:numFmt w:val="decimal"/>
      <w:lvlText w:val="%1."/>
      <w:lvlJc w:val="left"/>
      <w:pPr>
        <w:tabs>
          <w:tab w:val="num" w:pos="720"/>
        </w:tabs>
        <w:ind w:left="720" w:hanging="720"/>
      </w:pPr>
      <w:rPr>
        <w:rFonts w:cs="Times New Roman" w:hint="default"/>
        <w:b w:val="0"/>
        <w:strike w:val="0"/>
      </w:rPr>
    </w:lvl>
    <w:lvl w:ilvl="1">
      <w:start w:val="1"/>
      <w:numFmt w:val="decimal"/>
      <w:lvlText w:val="%1.%2."/>
      <w:lvlJc w:val="left"/>
      <w:pPr>
        <w:tabs>
          <w:tab w:val="num" w:pos="360"/>
        </w:tabs>
      </w:pPr>
      <w:rPr>
        <w:rFonts w:ascii="Times New Roman" w:hAnsi="Times New Roman" w:cs="Times New Roman" w:hint="default"/>
        <w:b/>
        <w:i w:val="0"/>
        <w:sz w:val="24"/>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9">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18"/>
  </w:num>
  <w:num w:numId="3">
    <w:abstractNumId w:val="8"/>
  </w:num>
  <w:num w:numId="4">
    <w:abstractNumId w:val="0"/>
  </w:num>
  <w:num w:numId="5">
    <w:abstractNumId w:val="10"/>
  </w:num>
  <w:num w:numId="6">
    <w:abstractNumId w:val="17"/>
  </w:num>
  <w:num w:numId="7">
    <w:abstractNumId w:val="27"/>
  </w:num>
  <w:num w:numId="8">
    <w:abstractNumId w:val="23"/>
  </w:num>
  <w:num w:numId="9">
    <w:abstractNumId w:val="19"/>
  </w:num>
  <w:num w:numId="10">
    <w:abstractNumId w:val="6"/>
  </w:num>
  <w:num w:numId="11">
    <w:abstractNumId w:val="29"/>
  </w:num>
  <w:num w:numId="12">
    <w:abstractNumId w:val="4"/>
  </w:num>
  <w:num w:numId="13">
    <w:abstractNumId w:val="16"/>
  </w:num>
  <w:num w:numId="14">
    <w:abstractNumId w:val="25"/>
  </w:num>
  <w:num w:numId="15">
    <w:abstractNumId w:val="14"/>
  </w:num>
  <w:num w:numId="16">
    <w:abstractNumId w:val="2"/>
  </w:num>
  <w:num w:numId="17">
    <w:abstractNumId w:val="12"/>
  </w:num>
  <w:num w:numId="18">
    <w:abstractNumId w:val="28"/>
    <w:lvlOverride w:ilvl="0">
      <w:startOverride w:val="1"/>
    </w:lvlOverride>
  </w:num>
  <w:num w:numId="19">
    <w:abstractNumId w:val="21"/>
  </w:num>
  <w:num w:numId="20">
    <w:abstractNumId w:val="11"/>
  </w:num>
  <w:num w:numId="21">
    <w:abstractNumId w:val="7"/>
  </w:num>
  <w:num w:numId="22">
    <w:abstractNumId w:val="9"/>
  </w:num>
  <w:num w:numId="23">
    <w:abstractNumId w:val="1"/>
  </w:num>
  <w:num w:numId="24">
    <w:abstractNumId w:val="3"/>
  </w:num>
  <w:num w:numId="25">
    <w:abstractNumId w:val="5"/>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3"/>
  </w:num>
  <w:num w:numId="2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0">
    <w:abstractNumId w:val="2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1878"/>
    <w:rsid w:val="00003CEA"/>
    <w:rsid w:val="00004614"/>
    <w:rsid w:val="00005435"/>
    <w:rsid w:val="00005E1E"/>
    <w:rsid w:val="000118BC"/>
    <w:rsid w:val="000118CC"/>
    <w:rsid w:val="00011D5A"/>
    <w:rsid w:val="00012468"/>
    <w:rsid w:val="00013851"/>
    <w:rsid w:val="0001636D"/>
    <w:rsid w:val="00020C27"/>
    <w:rsid w:val="00020C75"/>
    <w:rsid w:val="00020FC8"/>
    <w:rsid w:val="0002327E"/>
    <w:rsid w:val="00023D72"/>
    <w:rsid w:val="000253D1"/>
    <w:rsid w:val="00025450"/>
    <w:rsid w:val="000271FA"/>
    <w:rsid w:val="000300A2"/>
    <w:rsid w:val="00032198"/>
    <w:rsid w:val="00033551"/>
    <w:rsid w:val="00037DCE"/>
    <w:rsid w:val="00041450"/>
    <w:rsid w:val="000438FC"/>
    <w:rsid w:val="000460E4"/>
    <w:rsid w:val="0004660A"/>
    <w:rsid w:val="0005133B"/>
    <w:rsid w:val="00051DCD"/>
    <w:rsid w:val="0005205F"/>
    <w:rsid w:val="00052B15"/>
    <w:rsid w:val="0005356E"/>
    <w:rsid w:val="000540FC"/>
    <w:rsid w:val="0005412B"/>
    <w:rsid w:val="00054432"/>
    <w:rsid w:val="00054FBE"/>
    <w:rsid w:val="000562CD"/>
    <w:rsid w:val="00056A5A"/>
    <w:rsid w:val="00056D51"/>
    <w:rsid w:val="0006028E"/>
    <w:rsid w:val="00060CE3"/>
    <w:rsid w:val="00061C2E"/>
    <w:rsid w:val="000622E0"/>
    <w:rsid w:val="00065E95"/>
    <w:rsid w:val="00070785"/>
    <w:rsid w:val="0007259B"/>
    <w:rsid w:val="00074384"/>
    <w:rsid w:val="00074AC5"/>
    <w:rsid w:val="00076F47"/>
    <w:rsid w:val="00077A56"/>
    <w:rsid w:val="00080148"/>
    <w:rsid w:val="000807D4"/>
    <w:rsid w:val="00081DFB"/>
    <w:rsid w:val="000835D8"/>
    <w:rsid w:val="00084282"/>
    <w:rsid w:val="00084727"/>
    <w:rsid w:val="00086A39"/>
    <w:rsid w:val="00086BAA"/>
    <w:rsid w:val="00087006"/>
    <w:rsid w:val="0009133A"/>
    <w:rsid w:val="00091604"/>
    <w:rsid w:val="000916AF"/>
    <w:rsid w:val="00092C2E"/>
    <w:rsid w:val="000938B5"/>
    <w:rsid w:val="00094C5B"/>
    <w:rsid w:val="00094EEC"/>
    <w:rsid w:val="00095D98"/>
    <w:rsid w:val="0009748C"/>
    <w:rsid w:val="00097863"/>
    <w:rsid w:val="00097ABD"/>
    <w:rsid w:val="00097BF6"/>
    <w:rsid w:val="000A0EF8"/>
    <w:rsid w:val="000A152A"/>
    <w:rsid w:val="000A1EBD"/>
    <w:rsid w:val="000A2C56"/>
    <w:rsid w:val="000A47EA"/>
    <w:rsid w:val="000A57DA"/>
    <w:rsid w:val="000A599E"/>
    <w:rsid w:val="000A6269"/>
    <w:rsid w:val="000A62BD"/>
    <w:rsid w:val="000A775A"/>
    <w:rsid w:val="000B0ECB"/>
    <w:rsid w:val="000B0FEA"/>
    <w:rsid w:val="000B2AFA"/>
    <w:rsid w:val="000B5DB2"/>
    <w:rsid w:val="000B639F"/>
    <w:rsid w:val="000B6BC1"/>
    <w:rsid w:val="000C02AD"/>
    <w:rsid w:val="000C22C0"/>
    <w:rsid w:val="000C3DAB"/>
    <w:rsid w:val="000C4A10"/>
    <w:rsid w:val="000C7D11"/>
    <w:rsid w:val="000D1878"/>
    <w:rsid w:val="000D1B91"/>
    <w:rsid w:val="000D1EF5"/>
    <w:rsid w:val="000D1FD7"/>
    <w:rsid w:val="000D6388"/>
    <w:rsid w:val="000D6418"/>
    <w:rsid w:val="000D7DB6"/>
    <w:rsid w:val="000D7DED"/>
    <w:rsid w:val="000E020F"/>
    <w:rsid w:val="000E12F7"/>
    <w:rsid w:val="000E2D47"/>
    <w:rsid w:val="000E3B31"/>
    <w:rsid w:val="000E3C6D"/>
    <w:rsid w:val="000E504D"/>
    <w:rsid w:val="000E5061"/>
    <w:rsid w:val="000E7FD4"/>
    <w:rsid w:val="000F2133"/>
    <w:rsid w:val="000F2F92"/>
    <w:rsid w:val="000F6247"/>
    <w:rsid w:val="000F6D85"/>
    <w:rsid w:val="000F7CEE"/>
    <w:rsid w:val="000F7D84"/>
    <w:rsid w:val="00102D37"/>
    <w:rsid w:val="001041ED"/>
    <w:rsid w:val="001104BA"/>
    <w:rsid w:val="001125A2"/>
    <w:rsid w:val="00112676"/>
    <w:rsid w:val="00112A5F"/>
    <w:rsid w:val="0011373A"/>
    <w:rsid w:val="00113A1F"/>
    <w:rsid w:val="00114511"/>
    <w:rsid w:val="00115911"/>
    <w:rsid w:val="00116BAB"/>
    <w:rsid w:val="001203BE"/>
    <w:rsid w:val="00122F63"/>
    <w:rsid w:val="00125F9A"/>
    <w:rsid w:val="00126026"/>
    <w:rsid w:val="00130A0C"/>
    <w:rsid w:val="00133EA9"/>
    <w:rsid w:val="00137B22"/>
    <w:rsid w:val="00137FE3"/>
    <w:rsid w:val="00140FED"/>
    <w:rsid w:val="00141D7A"/>
    <w:rsid w:val="001420D1"/>
    <w:rsid w:val="00142C16"/>
    <w:rsid w:val="001444A2"/>
    <w:rsid w:val="00144987"/>
    <w:rsid w:val="00151F92"/>
    <w:rsid w:val="0015258E"/>
    <w:rsid w:val="00152ECC"/>
    <w:rsid w:val="001532E4"/>
    <w:rsid w:val="00156A48"/>
    <w:rsid w:val="00156C90"/>
    <w:rsid w:val="00156DDB"/>
    <w:rsid w:val="00157614"/>
    <w:rsid w:val="00157AFE"/>
    <w:rsid w:val="00157C0F"/>
    <w:rsid w:val="0016105C"/>
    <w:rsid w:val="001665B9"/>
    <w:rsid w:val="00171E89"/>
    <w:rsid w:val="001737F7"/>
    <w:rsid w:val="001744E7"/>
    <w:rsid w:val="00176375"/>
    <w:rsid w:val="001766A9"/>
    <w:rsid w:val="00181339"/>
    <w:rsid w:val="00192052"/>
    <w:rsid w:val="00195F77"/>
    <w:rsid w:val="001A0B42"/>
    <w:rsid w:val="001A0CC1"/>
    <w:rsid w:val="001A330B"/>
    <w:rsid w:val="001A58D8"/>
    <w:rsid w:val="001A60A2"/>
    <w:rsid w:val="001A75FE"/>
    <w:rsid w:val="001A79D3"/>
    <w:rsid w:val="001B1669"/>
    <w:rsid w:val="001B19FF"/>
    <w:rsid w:val="001B3BEF"/>
    <w:rsid w:val="001B3E8E"/>
    <w:rsid w:val="001B4F90"/>
    <w:rsid w:val="001B5333"/>
    <w:rsid w:val="001B5426"/>
    <w:rsid w:val="001B6823"/>
    <w:rsid w:val="001B7F4F"/>
    <w:rsid w:val="001C0575"/>
    <w:rsid w:val="001C1568"/>
    <w:rsid w:val="001C437E"/>
    <w:rsid w:val="001C5C51"/>
    <w:rsid w:val="001C71E3"/>
    <w:rsid w:val="001C72D6"/>
    <w:rsid w:val="001D03C7"/>
    <w:rsid w:val="001D0FAF"/>
    <w:rsid w:val="001D1478"/>
    <w:rsid w:val="001D1E52"/>
    <w:rsid w:val="001D35B4"/>
    <w:rsid w:val="001D56C3"/>
    <w:rsid w:val="001D74CE"/>
    <w:rsid w:val="001E0BF1"/>
    <w:rsid w:val="001E1E28"/>
    <w:rsid w:val="001E2620"/>
    <w:rsid w:val="001E4147"/>
    <w:rsid w:val="001E7019"/>
    <w:rsid w:val="001E71F9"/>
    <w:rsid w:val="001E747D"/>
    <w:rsid w:val="001E7C3D"/>
    <w:rsid w:val="001F00DF"/>
    <w:rsid w:val="001F1E8F"/>
    <w:rsid w:val="001F553C"/>
    <w:rsid w:val="00200260"/>
    <w:rsid w:val="002002CE"/>
    <w:rsid w:val="0020066F"/>
    <w:rsid w:val="0020107A"/>
    <w:rsid w:val="0020135D"/>
    <w:rsid w:val="00201FED"/>
    <w:rsid w:val="00202EAD"/>
    <w:rsid w:val="00203A6F"/>
    <w:rsid w:val="002107BE"/>
    <w:rsid w:val="00211816"/>
    <w:rsid w:val="00217B1B"/>
    <w:rsid w:val="00223BB9"/>
    <w:rsid w:val="00225D42"/>
    <w:rsid w:val="00226AEF"/>
    <w:rsid w:val="00226D9D"/>
    <w:rsid w:val="00227776"/>
    <w:rsid w:val="00232158"/>
    <w:rsid w:val="002328F9"/>
    <w:rsid w:val="00233851"/>
    <w:rsid w:val="0023395B"/>
    <w:rsid w:val="00233CE3"/>
    <w:rsid w:val="002343BF"/>
    <w:rsid w:val="00234556"/>
    <w:rsid w:val="0023535F"/>
    <w:rsid w:val="00235D4C"/>
    <w:rsid w:val="00236F05"/>
    <w:rsid w:val="002415A6"/>
    <w:rsid w:val="00242061"/>
    <w:rsid w:val="002435FC"/>
    <w:rsid w:val="002442D9"/>
    <w:rsid w:val="00244BA7"/>
    <w:rsid w:val="00245432"/>
    <w:rsid w:val="0024593F"/>
    <w:rsid w:val="002476B6"/>
    <w:rsid w:val="00247E76"/>
    <w:rsid w:val="002510D5"/>
    <w:rsid w:val="00253242"/>
    <w:rsid w:val="00254590"/>
    <w:rsid w:val="002549FC"/>
    <w:rsid w:val="00257D8A"/>
    <w:rsid w:val="00261488"/>
    <w:rsid w:val="00262359"/>
    <w:rsid w:val="0026362E"/>
    <w:rsid w:val="002639CA"/>
    <w:rsid w:val="002649A7"/>
    <w:rsid w:val="00264FC3"/>
    <w:rsid w:val="002663B7"/>
    <w:rsid w:val="002666C5"/>
    <w:rsid w:val="00271CD7"/>
    <w:rsid w:val="00271CF2"/>
    <w:rsid w:val="00271D81"/>
    <w:rsid w:val="0027213F"/>
    <w:rsid w:val="0027267D"/>
    <w:rsid w:val="00273058"/>
    <w:rsid w:val="00273E72"/>
    <w:rsid w:val="00274068"/>
    <w:rsid w:val="0027498E"/>
    <w:rsid w:val="0027686D"/>
    <w:rsid w:val="00276B43"/>
    <w:rsid w:val="00276DC0"/>
    <w:rsid w:val="00277F47"/>
    <w:rsid w:val="00280F3D"/>
    <w:rsid w:val="002810D9"/>
    <w:rsid w:val="00281830"/>
    <w:rsid w:val="002830F6"/>
    <w:rsid w:val="00287326"/>
    <w:rsid w:val="0029043B"/>
    <w:rsid w:val="00290A06"/>
    <w:rsid w:val="0029211E"/>
    <w:rsid w:val="0029450E"/>
    <w:rsid w:val="00297A00"/>
    <w:rsid w:val="002A03ED"/>
    <w:rsid w:val="002A040F"/>
    <w:rsid w:val="002A190F"/>
    <w:rsid w:val="002A2129"/>
    <w:rsid w:val="002A3796"/>
    <w:rsid w:val="002A3B3F"/>
    <w:rsid w:val="002A5A02"/>
    <w:rsid w:val="002A6203"/>
    <w:rsid w:val="002A6CE6"/>
    <w:rsid w:val="002B059A"/>
    <w:rsid w:val="002B1AD6"/>
    <w:rsid w:val="002B32DD"/>
    <w:rsid w:val="002B409B"/>
    <w:rsid w:val="002B4392"/>
    <w:rsid w:val="002B56C3"/>
    <w:rsid w:val="002B5AD5"/>
    <w:rsid w:val="002B5C5A"/>
    <w:rsid w:val="002B6422"/>
    <w:rsid w:val="002B71BA"/>
    <w:rsid w:val="002C208E"/>
    <w:rsid w:val="002C4633"/>
    <w:rsid w:val="002C506F"/>
    <w:rsid w:val="002C662D"/>
    <w:rsid w:val="002C7B61"/>
    <w:rsid w:val="002C7B6D"/>
    <w:rsid w:val="002D0B7C"/>
    <w:rsid w:val="002D0D1A"/>
    <w:rsid w:val="002D155C"/>
    <w:rsid w:val="002D1637"/>
    <w:rsid w:val="002D1688"/>
    <w:rsid w:val="002D1B69"/>
    <w:rsid w:val="002D1BA5"/>
    <w:rsid w:val="002D3043"/>
    <w:rsid w:val="002D35F5"/>
    <w:rsid w:val="002D47FE"/>
    <w:rsid w:val="002D532D"/>
    <w:rsid w:val="002D739A"/>
    <w:rsid w:val="002D76AB"/>
    <w:rsid w:val="002D786D"/>
    <w:rsid w:val="002E1545"/>
    <w:rsid w:val="002E1910"/>
    <w:rsid w:val="002E2433"/>
    <w:rsid w:val="002E28BA"/>
    <w:rsid w:val="002E361C"/>
    <w:rsid w:val="002E3943"/>
    <w:rsid w:val="002E3F7C"/>
    <w:rsid w:val="002E4254"/>
    <w:rsid w:val="002E4F13"/>
    <w:rsid w:val="002E4FB7"/>
    <w:rsid w:val="002E6712"/>
    <w:rsid w:val="002E69AD"/>
    <w:rsid w:val="002E6FDB"/>
    <w:rsid w:val="002F104B"/>
    <w:rsid w:val="002F1C09"/>
    <w:rsid w:val="002F1E70"/>
    <w:rsid w:val="002F4696"/>
    <w:rsid w:val="002F5F3B"/>
    <w:rsid w:val="002F693C"/>
    <w:rsid w:val="002F7C6D"/>
    <w:rsid w:val="003020F4"/>
    <w:rsid w:val="003023A1"/>
    <w:rsid w:val="003025C7"/>
    <w:rsid w:val="0030360F"/>
    <w:rsid w:val="00303790"/>
    <w:rsid w:val="00303984"/>
    <w:rsid w:val="00304A73"/>
    <w:rsid w:val="00304DFD"/>
    <w:rsid w:val="003057F7"/>
    <w:rsid w:val="00306864"/>
    <w:rsid w:val="003069F9"/>
    <w:rsid w:val="00310208"/>
    <w:rsid w:val="0031058F"/>
    <w:rsid w:val="0031089E"/>
    <w:rsid w:val="00310D69"/>
    <w:rsid w:val="003147B7"/>
    <w:rsid w:val="003149A9"/>
    <w:rsid w:val="0031528D"/>
    <w:rsid w:val="00317E59"/>
    <w:rsid w:val="00320465"/>
    <w:rsid w:val="00322AE7"/>
    <w:rsid w:val="00325246"/>
    <w:rsid w:val="00325D35"/>
    <w:rsid w:val="00326448"/>
    <w:rsid w:val="0032650F"/>
    <w:rsid w:val="003275E4"/>
    <w:rsid w:val="00330069"/>
    <w:rsid w:val="00330144"/>
    <w:rsid w:val="0033244F"/>
    <w:rsid w:val="00332EF9"/>
    <w:rsid w:val="00335707"/>
    <w:rsid w:val="00337E16"/>
    <w:rsid w:val="00340E66"/>
    <w:rsid w:val="00340F10"/>
    <w:rsid w:val="00341D56"/>
    <w:rsid w:val="00342A44"/>
    <w:rsid w:val="0034486B"/>
    <w:rsid w:val="00344D92"/>
    <w:rsid w:val="003455A2"/>
    <w:rsid w:val="00345760"/>
    <w:rsid w:val="00345BD4"/>
    <w:rsid w:val="003506E7"/>
    <w:rsid w:val="00350E87"/>
    <w:rsid w:val="00353B7C"/>
    <w:rsid w:val="0035438E"/>
    <w:rsid w:val="00355828"/>
    <w:rsid w:val="00356418"/>
    <w:rsid w:val="00356E38"/>
    <w:rsid w:val="00357CBE"/>
    <w:rsid w:val="00361487"/>
    <w:rsid w:val="00361661"/>
    <w:rsid w:val="00370BC7"/>
    <w:rsid w:val="00372E83"/>
    <w:rsid w:val="00375080"/>
    <w:rsid w:val="00377407"/>
    <w:rsid w:val="00380026"/>
    <w:rsid w:val="00381780"/>
    <w:rsid w:val="003824E4"/>
    <w:rsid w:val="00383CFE"/>
    <w:rsid w:val="00384BEF"/>
    <w:rsid w:val="003853FF"/>
    <w:rsid w:val="00385609"/>
    <w:rsid w:val="003856A4"/>
    <w:rsid w:val="00385DAB"/>
    <w:rsid w:val="0038696B"/>
    <w:rsid w:val="00387CBD"/>
    <w:rsid w:val="003900C7"/>
    <w:rsid w:val="0039039F"/>
    <w:rsid w:val="00390ED6"/>
    <w:rsid w:val="00391B5C"/>
    <w:rsid w:val="00392509"/>
    <w:rsid w:val="003925E5"/>
    <w:rsid w:val="00393FCC"/>
    <w:rsid w:val="003943E5"/>
    <w:rsid w:val="00397D8E"/>
    <w:rsid w:val="003A105C"/>
    <w:rsid w:val="003A2222"/>
    <w:rsid w:val="003A3262"/>
    <w:rsid w:val="003A5479"/>
    <w:rsid w:val="003A5C1B"/>
    <w:rsid w:val="003A7C7F"/>
    <w:rsid w:val="003B023B"/>
    <w:rsid w:val="003B0304"/>
    <w:rsid w:val="003B043F"/>
    <w:rsid w:val="003B155C"/>
    <w:rsid w:val="003B1E19"/>
    <w:rsid w:val="003B2E10"/>
    <w:rsid w:val="003B33CE"/>
    <w:rsid w:val="003B343D"/>
    <w:rsid w:val="003B391B"/>
    <w:rsid w:val="003B4936"/>
    <w:rsid w:val="003B56D7"/>
    <w:rsid w:val="003C1911"/>
    <w:rsid w:val="003C1B4F"/>
    <w:rsid w:val="003C2288"/>
    <w:rsid w:val="003C331C"/>
    <w:rsid w:val="003C3336"/>
    <w:rsid w:val="003C39E6"/>
    <w:rsid w:val="003C526E"/>
    <w:rsid w:val="003C6DEB"/>
    <w:rsid w:val="003C7585"/>
    <w:rsid w:val="003C7A5C"/>
    <w:rsid w:val="003D660C"/>
    <w:rsid w:val="003D73BD"/>
    <w:rsid w:val="003D7CCE"/>
    <w:rsid w:val="003E0D8C"/>
    <w:rsid w:val="003E154A"/>
    <w:rsid w:val="003E1B68"/>
    <w:rsid w:val="003E65D7"/>
    <w:rsid w:val="003E7483"/>
    <w:rsid w:val="003F1CE1"/>
    <w:rsid w:val="003F2D7E"/>
    <w:rsid w:val="003F413A"/>
    <w:rsid w:val="003F5249"/>
    <w:rsid w:val="003F54FB"/>
    <w:rsid w:val="003F6D1F"/>
    <w:rsid w:val="00400F7F"/>
    <w:rsid w:val="004036AF"/>
    <w:rsid w:val="00405316"/>
    <w:rsid w:val="0041153E"/>
    <w:rsid w:val="00412CEF"/>
    <w:rsid w:val="004141A8"/>
    <w:rsid w:val="004169D8"/>
    <w:rsid w:val="00420098"/>
    <w:rsid w:val="004201AF"/>
    <w:rsid w:val="00425FF9"/>
    <w:rsid w:val="00426328"/>
    <w:rsid w:val="00427B3B"/>
    <w:rsid w:val="00427EBF"/>
    <w:rsid w:val="00431085"/>
    <w:rsid w:val="00432278"/>
    <w:rsid w:val="00435269"/>
    <w:rsid w:val="004362AB"/>
    <w:rsid w:val="00441101"/>
    <w:rsid w:val="004415FB"/>
    <w:rsid w:val="00441C97"/>
    <w:rsid w:val="00441CE3"/>
    <w:rsid w:val="004421F5"/>
    <w:rsid w:val="0044284D"/>
    <w:rsid w:val="00443050"/>
    <w:rsid w:val="0044434A"/>
    <w:rsid w:val="0044437F"/>
    <w:rsid w:val="00445E76"/>
    <w:rsid w:val="00446606"/>
    <w:rsid w:val="004471BC"/>
    <w:rsid w:val="00447217"/>
    <w:rsid w:val="00451471"/>
    <w:rsid w:val="00452C60"/>
    <w:rsid w:val="0045665B"/>
    <w:rsid w:val="00457F93"/>
    <w:rsid w:val="004617A9"/>
    <w:rsid w:val="0046384E"/>
    <w:rsid w:val="00464CF4"/>
    <w:rsid w:val="00466E73"/>
    <w:rsid w:val="0046706B"/>
    <w:rsid w:val="00467815"/>
    <w:rsid w:val="00471284"/>
    <w:rsid w:val="00472FB0"/>
    <w:rsid w:val="00473696"/>
    <w:rsid w:val="00473721"/>
    <w:rsid w:val="00473A4B"/>
    <w:rsid w:val="0047491E"/>
    <w:rsid w:val="00474A6A"/>
    <w:rsid w:val="0047658E"/>
    <w:rsid w:val="004836D8"/>
    <w:rsid w:val="004837C6"/>
    <w:rsid w:val="00483998"/>
    <w:rsid w:val="00484250"/>
    <w:rsid w:val="00484E4C"/>
    <w:rsid w:val="004878ED"/>
    <w:rsid w:val="00491438"/>
    <w:rsid w:val="00492E3F"/>
    <w:rsid w:val="00493F5C"/>
    <w:rsid w:val="00495DB3"/>
    <w:rsid w:val="004A171B"/>
    <w:rsid w:val="004A2385"/>
    <w:rsid w:val="004A2D91"/>
    <w:rsid w:val="004A3B95"/>
    <w:rsid w:val="004A7912"/>
    <w:rsid w:val="004B0194"/>
    <w:rsid w:val="004B1113"/>
    <w:rsid w:val="004B1DC3"/>
    <w:rsid w:val="004B326B"/>
    <w:rsid w:val="004B36AE"/>
    <w:rsid w:val="004B67A4"/>
    <w:rsid w:val="004C289A"/>
    <w:rsid w:val="004C61A3"/>
    <w:rsid w:val="004C6E03"/>
    <w:rsid w:val="004C780C"/>
    <w:rsid w:val="004D03BA"/>
    <w:rsid w:val="004D3100"/>
    <w:rsid w:val="004D3441"/>
    <w:rsid w:val="004D6A38"/>
    <w:rsid w:val="004D6C65"/>
    <w:rsid w:val="004D6E38"/>
    <w:rsid w:val="004D708E"/>
    <w:rsid w:val="004D760C"/>
    <w:rsid w:val="004D7C91"/>
    <w:rsid w:val="004E26E4"/>
    <w:rsid w:val="004E357A"/>
    <w:rsid w:val="004E3861"/>
    <w:rsid w:val="004E451E"/>
    <w:rsid w:val="004E5000"/>
    <w:rsid w:val="004E65EB"/>
    <w:rsid w:val="004F0A27"/>
    <w:rsid w:val="004F3D4A"/>
    <w:rsid w:val="004F7174"/>
    <w:rsid w:val="004F7E98"/>
    <w:rsid w:val="00500DD0"/>
    <w:rsid w:val="005010BA"/>
    <w:rsid w:val="005012AA"/>
    <w:rsid w:val="005012CF"/>
    <w:rsid w:val="0050355D"/>
    <w:rsid w:val="005055B5"/>
    <w:rsid w:val="00506619"/>
    <w:rsid w:val="00510257"/>
    <w:rsid w:val="00510D1D"/>
    <w:rsid w:val="00511033"/>
    <w:rsid w:val="00511BBF"/>
    <w:rsid w:val="00515356"/>
    <w:rsid w:val="00515E7B"/>
    <w:rsid w:val="00520894"/>
    <w:rsid w:val="005217F8"/>
    <w:rsid w:val="0052267A"/>
    <w:rsid w:val="005239DD"/>
    <w:rsid w:val="00523CA1"/>
    <w:rsid w:val="0052484A"/>
    <w:rsid w:val="00524A9C"/>
    <w:rsid w:val="005266F4"/>
    <w:rsid w:val="0052675C"/>
    <w:rsid w:val="005303B5"/>
    <w:rsid w:val="00531143"/>
    <w:rsid w:val="005340EA"/>
    <w:rsid w:val="00534A44"/>
    <w:rsid w:val="00536332"/>
    <w:rsid w:val="00542821"/>
    <w:rsid w:val="00543514"/>
    <w:rsid w:val="005438A1"/>
    <w:rsid w:val="00543B81"/>
    <w:rsid w:val="00543C00"/>
    <w:rsid w:val="00543EB8"/>
    <w:rsid w:val="00543F41"/>
    <w:rsid w:val="00544550"/>
    <w:rsid w:val="00544FCF"/>
    <w:rsid w:val="005450DC"/>
    <w:rsid w:val="00545A47"/>
    <w:rsid w:val="00545FC7"/>
    <w:rsid w:val="0054634E"/>
    <w:rsid w:val="00546B67"/>
    <w:rsid w:val="005512D3"/>
    <w:rsid w:val="00551C0E"/>
    <w:rsid w:val="00554A33"/>
    <w:rsid w:val="0055716D"/>
    <w:rsid w:val="005571A6"/>
    <w:rsid w:val="00557953"/>
    <w:rsid w:val="00560E55"/>
    <w:rsid w:val="005611BE"/>
    <w:rsid w:val="00562E8F"/>
    <w:rsid w:val="0056301A"/>
    <w:rsid w:val="005635AD"/>
    <w:rsid w:val="005636B0"/>
    <w:rsid w:val="005640E1"/>
    <w:rsid w:val="00564EA1"/>
    <w:rsid w:val="0056534C"/>
    <w:rsid w:val="00566E81"/>
    <w:rsid w:val="00567CEE"/>
    <w:rsid w:val="005713F4"/>
    <w:rsid w:val="00571E64"/>
    <w:rsid w:val="00573B39"/>
    <w:rsid w:val="00573D3B"/>
    <w:rsid w:val="00575CC3"/>
    <w:rsid w:val="00576018"/>
    <w:rsid w:val="005770BF"/>
    <w:rsid w:val="00580F26"/>
    <w:rsid w:val="00581A7C"/>
    <w:rsid w:val="0058427E"/>
    <w:rsid w:val="005864FA"/>
    <w:rsid w:val="00590750"/>
    <w:rsid w:val="00590907"/>
    <w:rsid w:val="0059346F"/>
    <w:rsid w:val="00594A7B"/>
    <w:rsid w:val="00597AA7"/>
    <w:rsid w:val="005A1EAB"/>
    <w:rsid w:val="005A2D82"/>
    <w:rsid w:val="005A3835"/>
    <w:rsid w:val="005A3AEC"/>
    <w:rsid w:val="005A6858"/>
    <w:rsid w:val="005A72F2"/>
    <w:rsid w:val="005B2194"/>
    <w:rsid w:val="005B2BC3"/>
    <w:rsid w:val="005B4CFA"/>
    <w:rsid w:val="005B5B3D"/>
    <w:rsid w:val="005B7112"/>
    <w:rsid w:val="005B7166"/>
    <w:rsid w:val="005B74D2"/>
    <w:rsid w:val="005C18EE"/>
    <w:rsid w:val="005C1A79"/>
    <w:rsid w:val="005C2388"/>
    <w:rsid w:val="005C4397"/>
    <w:rsid w:val="005C7644"/>
    <w:rsid w:val="005C7BF4"/>
    <w:rsid w:val="005D1B66"/>
    <w:rsid w:val="005D1FDF"/>
    <w:rsid w:val="005D2B0F"/>
    <w:rsid w:val="005D3352"/>
    <w:rsid w:val="005D3D1E"/>
    <w:rsid w:val="005E111B"/>
    <w:rsid w:val="005E12DD"/>
    <w:rsid w:val="005E269C"/>
    <w:rsid w:val="005E3586"/>
    <w:rsid w:val="005E386D"/>
    <w:rsid w:val="005E3EC0"/>
    <w:rsid w:val="005E4DEE"/>
    <w:rsid w:val="005E5FF1"/>
    <w:rsid w:val="005E72FB"/>
    <w:rsid w:val="005F01CE"/>
    <w:rsid w:val="005F1295"/>
    <w:rsid w:val="005F135B"/>
    <w:rsid w:val="005F4E54"/>
    <w:rsid w:val="005F70B6"/>
    <w:rsid w:val="005F7A87"/>
    <w:rsid w:val="006011A3"/>
    <w:rsid w:val="006017DF"/>
    <w:rsid w:val="00601F0A"/>
    <w:rsid w:val="00604DBE"/>
    <w:rsid w:val="006063E1"/>
    <w:rsid w:val="006065E4"/>
    <w:rsid w:val="00606F56"/>
    <w:rsid w:val="00607D48"/>
    <w:rsid w:val="00610039"/>
    <w:rsid w:val="00610381"/>
    <w:rsid w:val="00611B68"/>
    <w:rsid w:val="00611C07"/>
    <w:rsid w:val="00611E07"/>
    <w:rsid w:val="00612045"/>
    <w:rsid w:val="00612F12"/>
    <w:rsid w:val="00613AC9"/>
    <w:rsid w:val="00615808"/>
    <w:rsid w:val="00620E86"/>
    <w:rsid w:val="006219DD"/>
    <w:rsid w:val="00621D63"/>
    <w:rsid w:val="00623DAF"/>
    <w:rsid w:val="006242BF"/>
    <w:rsid w:val="00631FE7"/>
    <w:rsid w:val="00632ACC"/>
    <w:rsid w:val="006345C1"/>
    <w:rsid w:val="00634F76"/>
    <w:rsid w:val="00637FDD"/>
    <w:rsid w:val="00641E57"/>
    <w:rsid w:val="0064260D"/>
    <w:rsid w:val="00643CED"/>
    <w:rsid w:val="006478E6"/>
    <w:rsid w:val="006503A5"/>
    <w:rsid w:val="00650463"/>
    <w:rsid w:val="00651660"/>
    <w:rsid w:val="00651C0A"/>
    <w:rsid w:val="00652171"/>
    <w:rsid w:val="00653133"/>
    <w:rsid w:val="006532C3"/>
    <w:rsid w:val="0065528E"/>
    <w:rsid w:val="0065606D"/>
    <w:rsid w:val="00661BD2"/>
    <w:rsid w:val="00663B35"/>
    <w:rsid w:val="00666285"/>
    <w:rsid w:val="00670BE7"/>
    <w:rsid w:val="00670FEA"/>
    <w:rsid w:val="00671DC9"/>
    <w:rsid w:val="0067252D"/>
    <w:rsid w:val="006734AA"/>
    <w:rsid w:val="006734B3"/>
    <w:rsid w:val="0067353C"/>
    <w:rsid w:val="00676163"/>
    <w:rsid w:val="006764C4"/>
    <w:rsid w:val="006777E4"/>
    <w:rsid w:val="00677C22"/>
    <w:rsid w:val="006808CC"/>
    <w:rsid w:val="00682F4C"/>
    <w:rsid w:val="00685899"/>
    <w:rsid w:val="00691611"/>
    <w:rsid w:val="00692D30"/>
    <w:rsid w:val="00695597"/>
    <w:rsid w:val="00696A89"/>
    <w:rsid w:val="00696F75"/>
    <w:rsid w:val="00697477"/>
    <w:rsid w:val="006A037E"/>
    <w:rsid w:val="006A2019"/>
    <w:rsid w:val="006A21CC"/>
    <w:rsid w:val="006A3D41"/>
    <w:rsid w:val="006A7796"/>
    <w:rsid w:val="006B0495"/>
    <w:rsid w:val="006B0DCB"/>
    <w:rsid w:val="006B2408"/>
    <w:rsid w:val="006B3AF9"/>
    <w:rsid w:val="006B414C"/>
    <w:rsid w:val="006B4B0F"/>
    <w:rsid w:val="006C32CF"/>
    <w:rsid w:val="006C335E"/>
    <w:rsid w:val="006C3A1F"/>
    <w:rsid w:val="006C54BB"/>
    <w:rsid w:val="006C5C6C"/>
    <w:rsid w:val="006C63EB"/>
    <w:rsid w:val="006C7DE0"/>
    <w:rsid w:val="006D16CA"/>
    <w:rsid w:val="006D3693"/>
    <w:rsid w:val="006D3DC7"/>
    <w:rsid w:val="006D4245"/>
    <w:rsid w:val="006D5843"/>
    <w:rsid w:val="006E0A93"/>
    <w:rsid w:val="006E4064"/>
    <w:rsid w:val="006E58EA"/>
    <w:rsid w:val="006E5BF8"/>
    <w:rsid w:val="006F0036"/>
    <w:rsid w:val="006F2F67"/>
    <w:rsid w:val="006F3CA4"/>
    <w:rsid w:val="006F4DE0"/>
    <w:rsid w:val="006F4FB2"/>
    <w:rsid w:val="006F5E2D"/>
    <w:rsid w:val="006F6483"/>
    <w:rsid w:val="006F6EEB"/>
    <w:rsid w:val="006F7332"/>
    <w:rsid w:val="007025BA"/>
    <w:rsid w:val="0070385B"/>
    <w:rsid w:val="0070407E"/>
    <w:rsid w:val="0070494F"/>
    <w:rsid w:val="00705758"/>
    <w:rsid w:val="0070717A"/>
    <w:rsid w:val="00707244"/>
    <w:rsid w:val="00712CCC"/>
    <w:rsid w:val="007136E9"/>
    <w:rsid w:val="00713DE5"/>
    <w:rsid w:val="007157A0"/>
    <w:rsid w:val="007174DA"/>
    <w:rsid w:val="00720910"/>
    <w:rsid w:val="00720F29"/>
    <w:rsid w:val="007224C2"/>
    <w:rsid w:val="00731117"/>
    <w:rsid w:val="00731409"/>
    <w:rsid w:val="007334B1"/>
    <w:rsid w:val="007339F3"/>
    <w:rsid w:val="00733EB2"/>
    <w:rsid w:val="00737FEC"/>
    <w:rsid w:val="00740292"/>
    <w:rsid w:val="007424E5"/>
    <w:rsid w:val="00742B07"/>
    <w:rsid w:val="00744619"/>
    <w:rsid w:val="0075064C"/>
    <w:rsid w:val="00752E39"/>
    <w:rsid w:val="00754DD1"/>
    <w:rsid w:val="00755956"/>
    <w:rsid w:val="00756AA0"/>
    <w:rsid w:val="00757CE6"/>
    <w:rsid w:val="00757D67"/>
    <w:rsid w:val="00760BC4"/>
    <w:rsid w:val="00763097"/>
    <w:rsid w:val="00764CB0"/>
    <w:rsid w:val="007666D8"/>
    <w:rsid w:val="00766D03"/>
    <w:rsid w:val="007671B6"/>
    <w:rsid w:val="007671DA"/>
    <w:rsid w:val="00767C28"/>
    <w:rsid w:val="00770C72"/>
    <w:rsid w:val="007719A8"/>
    <w:rsid w:val="0077228C"/>
    <w:rsid w:val="00772FA8"/>
    <w:rsid w:val="00773CAE"/>
    <w:rsid w:val="00774593"/>
    <w:rsid w:val="00774C88"/>
    <w:rsid w:val="00776EDA"/>
    <w:rsid w:val="00777599"/>
    <w:rsid w:val="00785646"/>
    <w:rsid w:val="00785CF8"/>
    <w:rsid w:val="0079435F"/>
    <w:rsid w:val="00796068"/>
    <w:rsid w:val="00796CC0"/>
    <w:rsid w:val="00796CF1"/>
    <w:rsid w:val="007979EA"/>
    <w:rsid w:val="00797A74"/>
    <w:rsid w:val="007A1A35"/>
    <w:rsid w:val="007A2166"/>
    <w:rsid w:val="007A2B7F"/>
    <w:rsid w:val="007A5922"/>
    <w:rsid w:val="007A5969"/>
    <w:rsid w:val="007A7C23"/>
    <w:rsid w:val="007B1ABA"/>
    <w:rsid w:val="007B259B"/>
    <w:rsid w:val="007B3F28"/>
    <w:rsid w:val="007B3F33"/>
    <w:rsid w:val="007B471E"/>
    <w:rsid w:val="007B5018"/>
    <w:rsid w:val="007B53E7"/>
    <w:rsid w:val="007B65B3"/>
    <w:rsid w:val="007B7287"/>
    <w:rsid w:val="007B7A70"/>
    <w:rsid w:val="007C08AB"/>
    <w:rsid w:val="007C4E99"/>
    <w:rsid w:val="007C5151"/>
    <w:rsid w:val="007C546B"/>
    <w:rsid w:val="007C5B8D"/>
    <w:rsid w:val="007C670D"/>
    <w:rsid w:val="007C7359"/>
    <w:rsid w:val="007D0ED0"/>
    <w:rsid w:val="007D1F01"/>
    <w:rsid w:val="007D250D"/>
    <w:rsid w:val="007D3868"/>
    <w:rsid w:val="007D3E0E"/>
    <w:rsid w:val="007D48CF"/>
    <w:rsid w:val="007D4A4A"/>
    <w:rsid w:val="007E0B69"/>
    <w:rsid w:val="007E0C58"/>
    <w:rsid w:val="007E0E05"/>
    <w:rsid w:val="007E1DD3"/>
    <w:rsid w:val="007E209F"/>
    <w:rsid w:val="007E23C8"/>
    <w:rsid w:val="007E2878"/>
    <w:rsid w:val="007E3722"/>
    <w:rsid w:val="007E4655"/>
    <w:rsid w:val="007E50E4"/>
    <w:rsid w:val="007E55E0"/>
    <w:rsid w:val="007E5C50"/>
    <w:rsid w:val="007E5DED"/>
    <w:rsid w:val="007F0546"/>
    <w:rsid w:val="007F1DEB"/>
    <w:rsid w:val="007F22A5"/>
    <w:rsid w:val="007F421D"/>
    <w:rsid w:val="007F5688"/>
    <w:rsid w:val="007F588F"/>
    <w:rsid w:val="007F66A5"/>
    <w:rsid w:val="0080038A"/>
    <w:rsid w:val="0080065F"/>
    <w:rsid w:val="00802DA0"/>
    <w:rsid w:val="008051DE"/>
    <w:rsid w:val="00805659"/>
    <w:rsid w:val="0080733E"/>
    <w:rsid w:val="00810CC2"/>
    <w:rsid w:val="0081324B"/>
    <w:rsid w:val="0081440E"/>
    <w:rsid w:val="00816193"/>
    <w:rsid w:val="008165E4"/>
    <w:rsid w:val="00817A59"/>
    <w:rsid w:val="008234BD"/>
    <w:rsid w:val="00824A8C"/>
    <w:rsid w:val="00825155"/>
    <w:rsid w:val="00825EB9"/>
    <w:rsid w:val="008301B7"/>
    <w:rsid w:val="008303E2"/>
    <w:rsid w:val="00833A8F"/>
    <w:rsid w:val="008341F8"/>
    <w:rsid w:val="008359F3"/>
    <w:rsid w:val="00835DB6"/>
    <w:rsid w:val="00836AC2"/>
    <w:rsid w:val="00837D13"/>
    <w:rsid w:val="008406D5"/>
    <w:rsid w:val="00843BED"/>
    <w:rsid w:val="008447C8"/>
    <w:rsid w:val="00844C5B"/>
    <w:rsid w:val="00847B37"/>
    <w:rsid w:val="008501A4"/>
    <w:rsid w:val="008505A1"/>
    <w:rsid w:val="00850817"/>
    <w:rsid w:val="00851D16"/>
    <w:rsid w:val="00851E54"/>
    <w:rsid w:val="0085433A"/>
    <w:rsid w:val="00854B32"/>
    <w:rsid w:val="00855F2B"/>
    <w:rsid w:val="00856252"/>
    <w:rsid w:val="00857634"/>
    <w:rsid w:val="0086124E"/>
    <w:rsid w:val="00861B74"/>
    <w:rsid w:val="00864A10"/>
    <w:rsid w:val="008652C9"/>
    <w:rsid w:val="00866992"/>
    <w:rsid w:val="00866CA9"/>
    <w:rsid w:val="0086733D"/>
    <w:rsid w:val="00867E32"/>
    <w:rsid w:val="00872942"/>
    <w:rsid w:val="00875991"/>
    <w:rsid w:val="00875BB5"/>
    <w:rsid w:val="008771B6"/>
    <w:rsid w:val="00877FDD"/>
    <w:rsid w:val="00880FED"/>
    <w:rsid w:val="0088186D"/>
    <w:rsid w:val="008841C8"/>
    <w:rsid w:val="00885367"/>
    <w:rsid w:val="008855A4"/>
    <w:rsid w:val="00887082"/>
    <w:rsid w:val="00887C8D"/>
    <w:rsid w:val="00887DC7"/>
    <w:rsid w:val="00891FCC"/>
    <w:rsid w:val="00892BB8"/>
    <w:rsid w:val="00893014"/>
    <w:rsid w:val="0089513A"/>
    <w:rsid w:val="00896755"/>
    <w:rsid w:val="008A2417"/>
    <w:rsid w:val="008A5D49"/>
    <w:rsid w:val="008A6952"/>
    <w:rsid w:val="008A751E"/>
    <w:rsid w:val="008A756C"/>
    <w:rsid w:val="008B0547"/>
    <w:rsid w:val="008B11A3"/>
    <w:rsid w:val="008B1FE5"/>
    <w:rsid w:val="008B2AD7"/>
    <w:rsid w:val="008B3A74"/>
    <w:rsid w:val="008B3D72"/>
    <w:rsid w:val="008B434A"/>
    <w:rsid w:val="008B5DA7"/>
    <w:rsid w:val="008B7B55"/>
    <w:rsid w:val="008C3A5B"/>
    <w:rsid w:val="008C3D50"/>
    <w:rsid w:val="008C5B71"/>
    <w:rsid w:val="008D0E23"/>
    <w:rsid w:val="008D2382"/>
    <w:rsid w:val="008D3521"/>
    <w:rsid w:val="008D5667"/>
    <w:rsid w:val="008D6F5D"/>
    <w:rsid w:val="008E003A"/>
    <w:rsid w:val="008E15E3"/>
    <w:rsid w:val="008E2045"/>
    <w:rsid w:val="008E4C62"/>
    <w:rsid w:val="008E5313"/>
    <w:rsid w:val="008E727E"/>
    <w:rsid w:val="008F0B17"/>
    <w:rsid w:val="008F28D4"/>
    <w:rsid w:val="008F2902"/>
    <w:rsid w:val="008F4047"/>
    <w:rsid w:val="008F4111"/>
    <w:rsid w:val="008F4593"/>
    <w:rsid w:val="008F660B"/>
    <w:rsid w:val="008F695F"/>
    <w:rsid w:val="009005CE"/>
    <w:rsid w:val="00901376"/>
    <w:rsid w:val="0090188B"/>
    <w:rsid w:val="009021A4"/>
    <w:rsid w:val="00903309"/>
    <w:rsid w:val="00904305"/>
    <w:rsid w:val="0090441C"/>
    <w:rsid w:val="00904EC5"/>
    <w:rsid w:val="0091406E"/>
    <w:rsid w:val="00914B48"/>
    <w:rsid w:val="0091511B"/>
    <w:rsid w:val="009172D7"/>
    <w:rsid w:val="00917B6F"/>
    <w:rsid w:val="009239AA"/>
    <w:rsid w:val="009245B5"/>
    <w:rsid w:val="00924AB4"/>
    <w:rsid w:val="00925EF2"/>
    <w:rsid w:val="00935C40"/>
    <w:rsid w:val="00935F4D"/>
    <w:rsid w:val="0093795C"/>
    <w:rsid w:val="00937DCB"/>
    <w:rsid w:val="00937F7E"/>
    <w:rsid w:val="009440DE"/>
    <w:rsid w:val="009444E6"/>
    <w:rsid w:val="00944A8E"/>
    <w:rsid w:val="009455E6"/>
    <w:rsid w:val="0094589B"/>
    <w:rsid w:val="00950775"/>
    <w:rsid w:val="009509C0"/>
    <w:rsid w:val="00952B9C"/>
    <w:rsid w:val="00953B70"/>
    <w:rsid w:val="00956330"/>
    <w:rsid w:val="00956348"/>
    <w:rsid w:val="00956BA7"/>
    <w:rsid w:val="00956FD8"/>
    <w:rsid w:val="009575F7"/>
    <w:rsid w:val="00957E4B"/>
    <w:rsid w:val="0096021A"/>
    <w:rsid w:val="00960F73"/>
    <w:rsid w:val="009642CA"/>
    <w:rsid w:val="009652B6"/>
    <w:rsid w:val="0096655D"/>
    <w:rsid w:val="00971139"/>
    <w:rsid w:val="00971F5D"/>
    <w:rsid w:val="00972B10"/>
    <w:rsid w:val="0097401F"/>
    <w:rsid w:val="00981FA0"/>
    <w:rsid w:val="0098263A"/>
    <w:rsid w:val="009828CD"/>
    <w:rsid w:val="00983541"/>
    <w:rsid w:val="00984366"/>
    <w:rsid w:val="00984E80"/>
    <w:rsid w:val="0098690F"/>
    <w:rsid w:val="00987EE5"/>
    <w:rsid w:val="00991CD8"/>
    <w:rsid w:val="00991EBE"/>
    <w:rsid w:val="009928B3"/>
    <w:rsid w:val="00992B6B"/>
    <w:rsid w:val="00993C2E"/>
    <w:rsid w:val="00997C8A"/>
    <w:rsid w:val="009A0E89"/>
    <w:rsid w:val="009A1339"/>
    <w:rsid w:val="009A1A95"/>
    <w:rsid w:val="009A3006"/>
    <w:rsid w:val="009A3994"/>
    <w:rsid w:val="009B2FB9"/>
    <w:rsid w:val="009B5D6F"/>
    <w:rsid w:val="009B62AF"/>
    <w:rsid w:val="009B6745"/>
    <w:rsid w:val="009B68AF"/>
    <w:rsid w:val="009B74EA"/>
    <w:rsid w:val="009B7AB9"/>
    <w:rsid w:val="009C1659"/>
    <w:rsid w:val="009C33CA"/>
    <w:rsid w:val="009C4B6D"/>
    <w:rsid w:val="009C4D5E"/>
    <w:rsid w:val="009C7BCA"/>
    <w:rsid w:val="009D0928"/>
    <w:rsid w:val="009D1B99"/>
    <w:rsid w:val="009D2884"/>
    <w:rsid w:val="009D299F"/>
    <w:rsid w:val="009D5393"/>
    <w:rsid w:val="009D5445"/>
    <w:rsid w:val="009D565F"/>
    <w:rsid w:val="009D65B9"/>
    <w:rsid w:val="009D70EE"/>
    <w:rsid w:val="009D733B"/>
    <w:rsid w:val="009E04DC"/>
    <w:rsid w:val="009E0FB3"/>
    <w:rsid w:val="009E3B5A"/>
    <w:rsid w:val="009E5105"/>
    <w:rsid w:val="009E59A1"/>
    <w:rsid w:val="009E66EE"/>
    <w:rsid w:val="009F015D"/>
    <w:rsid w:val="009F4326"/>
    <w:rsid w:val="009F5D5B"/>
    <w:rsid w:val="009F7FA6"/>
    <w:rsid w:val="00A0082F"/>
    <w:rsid w:val="00A00AE7"/>
    <w:rsid w:val="00A0244C"/>
    <w:rsid w:val="00A033FF"/>
    <w:rsid w:val="00A0409E"/>
    <w:rsid w:val="00A046C7"/>
    <w:rsid w:val="00A04EDA"/>
    <w:rsid w:val="00A06137"/>
    <w:rsid w:val="00A063FE"/>
    <w:rsid w:val="00A06EDB"/>
    <w:rsid w:val="00A07ACC"/>
    <w:rsid w:val="00A11259"/>
    <w:rsid w:val="00A1329C"/>
    <w:rsid w:val="00A14503"/>
    <w:rsid w:val="00A14E25"/>
    <w:rsid w:val="00A14E81"/>
    <w:rsid w:val="00A15416"/>
    <w:rsid w:val="00A16A60"/>
    <w:rsid w:val="00A17A3D"/>
    <w:rsid w:val="00A2062A"/>
    <w:rsid w:val="00A2066E"/>
    <w:rsid w:val="00A21E19"/>
    <w:rsid w:val="00A2332B"/>
    <w:rsid w:val="00A236A1"/>
    <w:rsid w:val="00A239A8"/>
    <w:rsid w:val="00A25B79"/>
    <w:rsid w:val="00A30683"/>
    <w:rsid w:val="00A3115F"/>
    <w:rsid w:val="00A31CDE"/>
    <w:rsid w:val="00A32209"/>
    <w:rsid w:val="00A33030"/>
    <w:rsid w:val="00A378A2"/>
    <w:rsid w:val="00A407B6"/>
    <w:rsid w:val="00A40CDE"/>
    <w:rsid w:val="00A43FBD"/>
    <w:rsid w:val="00A43FD4"/>
    <w:rsid w:val="00A44703"/>
    <w:rsid w:val="00A473D7"/>
    <w:rsid w:val="00A52DA1"/>
    <w:rsid w:val="00A54CCB"/>
    <w:rsid w:val="00A5757E"/>
    <w:rsid w:val="00A60F52"/>
    <w:rsid w:val="00A61DFE"/>
    <w:rsid w:val="00A62AA8"/>
    <w:rsid w:val="00A63B4C"/>
    <w:rsid w:val="00A6526F"/>
    <w:rsid w:val="00A664AD"/>
    <w:rsid w:val="00A664E7"/>
    <w:rsid w:val="00A66E7F"/>
    <w:rsid w:val="00A67917"/>
    <w:rsid w:val="00A70904"/>
    <w:rsid w:val="00A709BB"/>
    <w:rsid w:val="00A75C52"/>
    <w:rsid w:val="00A767B2"/>
    <w:rsid w:val="00A8038C"/>
    <w:rsid w:val="00A81B11"/>
    <w:rsid w:val="00A82B9E"/>
    <w:rsid w:val="00A84186"/>
    <w:rsid w:val="00A846F1"/>
    <w:rsid w:val="00A857B4"/>
    <w:rsid w:val="00A85B14"/>
    <w:rsid w:val="00A875C0"/>
    <w:rsid w:val="00A87C15"/>
    <w:rsid w:val="00A92706"/>
    <w:rsid w:val="00A9704A"/>
    <w:rsid w:val="00A97AD0"/>
    <w:rsid w:val="00AA1377"/>
    <w:rsid w:val="00AA1D1B"/>
    <w:rsid w:val="00AA49AF"/>
    <w:rsid w:val="00AA4F2F"/>
    <w:rsid w:val="00AA57CE"/>
    <w:rsid w:val="00AA7211"/>
    <w:rsid w:val="00AA7540"/>
    <w:rsid w:val="00AB0B9C"/>
    <w:rsid w:val="00AB3E6B"/>
    <w:rsid w:val="00AB4D0B"/>
    <w:rsid w:val="00AB51C8"/>
    <w:rsid w:val="00AB5586"/>
    <w:rsid w:val="00AB7B25"/>
    <w:rsid w:val="00AC0BAE"/>
    <w:rsid w:val="00AC126F"/>
    <w:rsid w:val="00AC13F7"/>
    <w:rsid w:val="00AC3256"/>
    <w:rsid w:val="00AC43D2"/>
    <w:rsid w:val="00AC4A94"/>
    <w:rsid w:val="00AC4B34"/>
    <w:rsid w:val="00AC6DE2"/>
    <w:rsid w:val="00AC737D"/>
    <w:rsid w:val="00AD05A6"/>
    <w:rsid w:val="00AD283D"/>
    <w:rsid w:val="00AD3CCB"/>
    <w:rsid w:val="00AD5922"/>
    <w:rsid w:val="00AD5F80"/>
    <w:rsid w:val="00AD6555"/>
    <w:rsid w:val="00AE05EA"/>
    <w:rsid w:val="00AE0EDF"/>
    <w:rsid w:val="00AE1128"/>
    <w:rsid w:val="00AE14F4"/>
    <w:rsid w:val="00AE1AB0"/>
    <w:rsid w:val="00AE2609"/>
    <w:rsid w:val="00AE29A8"/>
    <w:rsid w:val="00AE3960"/>
    <w:rsid w:val="00AE4074"/>
    <w:rsid w:val="00AE439A"/>
    <w:rsid w:val="00AE591D"/>
    <w:rsid w:val="00AE617A"/>
    <w:rsid w:val="00AE713F"/>
    <w:rsid w:val="00AF01CB"/>
    <w:rsid w:val="00AF09C7"/>
    <w:rsid w:val="00AF1474"/>
    <w:rsid w:val="00AF1A40"/>
    <w:rsid w:val="00AF37F7"/>
    <w:rsid w:val="00AF4BF4"/>
    <w:rsid w:val="00B0025D"/>
    <w:rsid w:val="00B006D8"/>
    <w:rsid w:val="00B02238"/>
    <w:rsid w:val="00B03D35"/>
    <w:rsid w:val="00B05065"/>
    <w:rsid w:val="00B05194"/>
    <w:rsid w:val="00B0688D"/>
    <w:rsid w:val="00B06B45"/>
    <w:rsid w:val="00B06D33"/>
    <w:rsid w:val="00B074B3"/>
    <w:rsid w:val="00B07ABB"/>
    <w:rsid w:val="00B10AD8"/>
    <w:rsid w:val="00B154B5"/>
    <w:rsid w:val="00B17303"/>
    <w:rsid w:val="00B1744E"/>
    <w:rsid w:val="00B21343"/>
    <w:rsid w:val="00B219AA"/>
    <w:rsid w:val="00B21A5B"/>
    <w:rsid w:val="00B25143"/>
    <w:rsid w:val="00B2585D"/>
    <w:rsid w:val="00B266FA"/>
    <w:rsid w:val="00B26C40"/>
    <w:rsid w:val="00B26D82"/>
    <w:rsid w:val="00B27359"/>
    <w:rsid w:val="00B33FC2"/>
    <w:rsid w:val="00B3423E"/>
    <w:rsid w:val="00B347F1"/>
    <w:rsid w:val="00B34A99"/>
    <w:rsid w:val="00B3502B"/>
    <w:rsid w:val="00B35755"/>
    <w:rsid w:val="00B35774"/>
    <w:rsid w:val="00B3599F"/>
    <w:rsid w:val="00B35C3E"/>
    <w:rsid w:val="00B36473"/>
    <w:rsid w:val="00B408FD"/>
    <w:rsid w:val="00B40BEA"/>
    <w:rsid w:val="00B41D9D"/>
    <w:rsid w:val="00B44029"/>
    <w:rsid w:val="00B44FFA"/>
    <w:rsid w:val="00B45428"/>
    <w:rsid w:val="00B47943"/>
    <w:rsid w:val="00B50446"/>
    <w:rsid w:val="00B50A6E"/>
    <w:rsid w:val="00B512D2"/>
    <w:rsid w:val="00B527BF"/>
    <w:rsid w:val="00B52DC6"/>
    <w:rsid w:val="00B530FD"/>
    <w:rsid w:val="00B53920"/>
    <w:rsid w:val="00B53C03"/>
    <w:rsid w:val="00B53C9C"/>
    <w:rsid w:val="00B558FE"/>
    <w:rsid w:val="00B56396"/>
    <w:rsid w:val="00B5639B"/>
    <w:rsid w:val="00B60C3E"/>
    <w:rsid w:val="00B615CB"/>
    <w:rsid w:val="00B63E30"/>
    <w:rsid w:val="00B645FA"/>
    <w:rsid w:val="00B64775"/>
    <w:rsid w:val="00B657AB"/>
    <w:rsid w:val="00B65AF9"/>
    <w:rsid w:val="00B663CD"/>
    <w:rsid w:val="00B67B4F"/>
    <w:rsid w:val="00B702CD"/>
    <w:rsid w:val="00B72457"/>
    <w:rsid w:val="00B72590"/>
    <w:rsid w:val="00B7439C"/>
    <w:rsid w:val="00B77BB8"/>
    <w:rsid w:val="00B81718"/>
    <w:rsid w:val="00B85A97"/>
    <w:rsid w:val="00B86AF6"/>
    <w:rsid w:val="00B86E2A"/>
    <w:rsid w:val="00B877AA"/>
    <w:rsid w:val="00B9389E"/>
    <w:rsid w:val="00B94EB5"/>
    <w:rsid w:val="00B96EA4"/>
    <w:rsid w:val="00B97282"/>
    <w:rsid w:val="00B97A3E"/>
    <w:rsid w:val="00BA2F02"/>
    <w:rsid w:val="00BA2FFD"/>
    <w:rsid w:val="00BA428A"/>
    <w:rsid w:val="00BA5365"/>
    <w:rsid w:val="00BA58B6"/>
    <w:rsid w:val="00BA62AD"/>
    <w:rsid w:val="00BA6DBD"/>
    <w:rsid w:val="00BB0267"/>
    <w:rsid w:val="00BB078B"/>
    <w:rsid w:val="00BB0E0C"/>
    <w:rsid w:val="00BB37AF"/>
    <w:rsid w:val="00BB4769"/>
    <w:rsid w:val="00BB4C08"/>
    <w:rsid w:val="00BB61BE"/>
    <w:rsid w:val="00BB6AC3"/>
    <w:rsid w:val="00BB779D"/>
    <w:rsid w:val="00BC1DBD"/>
    <w:rsid w:val="00BC2414"/>
    <w:rsid w:val="00BC526B"/>
    <w:rsid w:val="00BC5737"/>
    <w:rsid w:val="00BD1747"/>
    <w:rsid w:val="00BD3C68"/>
    <w:rsid w:val="00BD421D"/>
    <w:rsid w:val="00BD4493"/>
    <w:rsid w:val="00BD6B87"/>
    <w:rsid w:val="00BD73FC"/>
    <w:rsid w:val="00BD79B1"/>
    <w:rsid w:val="00BE04D9"/>
    <w:rsid w:val="00BE08EF"/>
    <w:rsid w:val="00BE15CC"/>
    <w:rsid w:val="00BE4614"/>
    <w:rsid w:val="00BE4E6F"/>
    <w:rsid w:val="00BE5100"/>
    <w:rsid w:val="00BE529D"/>
    <w:rsid w:val="00BE53DD"/>
    <w:rsid w:val="00BE573E"/>
    <w:rsid w:val="00BE6584"/>
    <w:rsid w:val="00BE6637"/>
    <w:rsid w:val="00BF10E8"/>
    <w:rsid w:val="00BF2033"/>
    <w:rsid w:val="00BF3158"/>
    <w:rsid w:val="00BF3169"/>
    <w:rsid w:val="00BF51B7"/>
    <w:rsid w:val="00C00953"/>
    <w:rsid w:val="00C00F38"/>
    <w:rsid w:val="00C03312"/>
    <w:rsid w:val="00C039A5"/>
    <w:rsid w:val="00C03A04"/>
    <w:rsid w:val="00C03C67"/>
    <w:rsid w:val="00C046F7"/>
    <w:rsid w:val="00C064FE"/>
    <w:rsid w:val="00C066AB"/>
    <w:rsid w:val="00C06EA1"/>
    <w:rsid w:val="00C10C0B"/>
    <w:rsid w:val="00C10DD5"/>
    <w:rsid w:val="00C11F76"/>
    <w:rsid w:val="00C14D9F"/>
    <w:rsid w:val="00C15A27"/>
    <w:rsid w:val="00C15FEF"/>
    <w:rsid w:val="00C165A1"/>
    <w:rsid w:val="00C1776A"/>
    <w:rsid w:val="00C20301"/>
    <w:rsid w:val="00C22519"/>
    <w:rsid w:val="00C22F12"/>
    <w:rsid w:val="00C2305C"/>
    <w:rsid w:val="00C233D0"/>
    <w:rsid w:val="00C2380D"/>
    <w:rsid w:val="00C24162"/>
    <w:rsid w:val="00C24E78"/>
    <w:rsid w:val="00C2509D"/>
    <w:rsid w:val="00C27A2E"/>
    <w:rsid w:val="00C34ABD"/>
    <w:rsid w:val="00C353CF"/>
    <w:rsid w:val="00C35F43"/>
    <w:rsid w:val="00C36C55"/>
    <w:rsid w:val="00C37088"/>
    <w:rsid w:val="00C3715E"/>
    <w:rsid w:val="00C408D5"/>
    <w:rsid w:val="00C40B77"/>
    <w:rsid w:val="00C41D3C"/>
    <w:rsid w:val="00C43801"/>
    <w:rsid w:val="00C44A07"/>
    <w:rsid w:val="00C44BDC"/>
    <w:rsid w:val="00C45BFB"/>
    <w:rsid w:val="00C45DCE"/>
    <w:rsid w:val="00C46D15"/>
    <w:rsid w:val="00C50C7D"/>
    <w:rsid w:val="00C50FF9"/>
    <w:rsid w:val="00C54B14"/>
    <w:rsid w:val="00C6352A"/>
    <w:rsid w:val="00C65B2D"/>
    <w:rsid w:val="00C65C5D"/>
    <w:rsid w:val="00C65DA0"/>
    <w:rsid w:val="00C6656A"/>
    <w:rsid w:val="00C66C03"/>
    <w:rsid w:val="00C711E5"/>
    <w:rsid w:val="00C730CB"/>
    <w:rsid w:val="00C731FC"/>
    <w:rsid w:val="00C73782"/>
    <w:rsid w:val="00C74107"/>
    <w:rsid w:val="00C80D90"/>
    <w:rsid w:val="00C81B05"/>
    <w:rsid w:val="00C83AEE"/>
    <w:rsid w:val="00C85531"/>
    <w:rsid w:val="00C85563"/>
    <w:rsid w:val="00C85AC7"/>
    <w:rsid w:val="00C85B0B"/>
    <w:rsid w:val="00C87F13"/>
    <w:rsid w:val="00C9045E"/>
    <w:rsid w:val="00C90466"/>
    <w:rsid w:val="00C906CD"/>
    <w:rsid w:val="00C90F10"/>
    <w:rsid w:val="00C9133D"/>
    <w:rsid w:val="00C91E8C"/>
    <w:rsid w:val="00C934E0"/>
    <w:rsid w:val="00C961CA"/>
    <w:rsid w:val="00C96454"/>
    <w:rsid w:val="00CA0FB8"/>
    <w:rsid w:val="00CA15F3"/>
    <w:rsid w:val="00CA2680"/>
    <w:rsid w:val="00CA4D23"/>
    <w:rsid w:val="00CA522F"/>
    <w:rsid w:val="00CA6716"/>
    <w:rsid w:val="00CB036A"/>
    <w:rsid w:val="00CB0D34"/>
    <w:rsid w:val="00CB79F7"/>
    <w:rsid w:val="00CC18C0"/>
    <w:rsid w:val="00CC1939"/>
    <w:rsid w:val="00CC23EB"/>
    <w:rsid w:val="00CC42D4"/>
    <w:rsid w:val="00CC4364"/>
    <w:rsid w:val="00CC64E3"/>
    <w:rsid w:val="00CC7712"/>
    <w:rsid w:val="00CD179A"/>
    <w:rsid w:val="00CD2030"/>
    <w:rsid w:val="00CD2536"/>
    <w:rsid w:val="00CD407F"/>
    <w:rsid w:val="00CD5740"/>
    <w:rsid w:val="00CD7420"/>
    <w:rsid w:val="00CE0BA7"/>
    <w:rsid w:val="00CE36EF"/>
    <w:rsid w:val="00CE3FC3"/>
    <w:rsid w:val="00CE6ACB"/>
    <w:rsid w:val="00CE6D09"/>
    <w:rsid w:val="00CF0E4D"/>
    <w:rsid w:val="00CF19C6"/>
    <w:rsid w:val="00CF230D"/>
    <w:rsid w:val="00CF5489"/>
    <w:rsid w:val="00CF7615"/>
    <w:rsid w:val="00CF7823"/>
    <w:rsid w:val="00D003F8"/>
    <w:rsid w:val="00D01540"/>
    <w:rsid w:val="00D01AFE"/>
    <w:rsid w:val="00D02757"/>
    <w:rsid w:val="00D02FB7"/>
    <w:rsid w:val="00D04613"/>
    <w:rsid w:val="00D05C77"/>
    <w:rsid w:val="00D10769"/>
    <w:rsid w:val="00D11642"/>
    <w:rsid w:val="00D116C7"/>
    <w:rsid w:val="00D13AC5"/>
    <w:rsid w:val="00D14E5F"/>
    <w:rsid w:val="00D14FB2"/>
    <w:rsid w:val="00D16754"/>
    <w:rsid w:val="00D17548"/>
    <w:rsid w:val="00D17CC6"/>
    <w:rsid w:val="00D2041E"/>
    <w:rsid w:val="00D20454"/>
    <w:rsid w:val="00D20D10"/>
    <w:rsid w:val="00D23801"/>
    <w:rsid w:val="00D25AEC"/>
    <w:rsid w:val="00D25B2F"/>
    <w:rsid w:val="00D32376"/>
    <w:rsid w:val="00D326DD"/>
    <w:rsid w:val="00D341C9"/>
    <w:rsid w:val="00D3447D"/>
    <w:rsid w:val="00D3488B"/>
    <w:rsid w:val="00D35F32"/>
    <w:rsid w:val="00D361DE"/>
    <w:rsid w:val="00D37427"/>
    <w:rsid w:val="00D3793E"/>
    <w:rsid w:val="00D37BDE"/>
    <w:rsid w:val="00D37FB2"/>
    <w:rsid w:val="00D41A6A"/>
    <w:rsid w:val="00D4233A"/>
    <w:rsid w:val="00D44B3D"/>
    <w:rsid w:val="00D46C4C"/>
    <w:rsid w:val="00D51F18"/>
    <w:rsid w:val="00D52DA3"/>
    <w:rsid w:val="00D52E5A"/>
    <w:rsid w:val="00D53537"/>
    <w:rsid w:val="00D54E9E"/>
    <w:rsid w:val="00D551C8"/>
    <w:rsid w:val="00D55972"/>
    <w:rsid w:val="00D564BB"/>
    <w:rsid w:val="00D565FA"/>
    <w:rsid w:val="00D5674B"/>
    <w:rsid w:val="00D568ED"/>
    <w:rsid w:val="00D56BF9"/>
    <w:rsid w:val="00D56E3F"/>
    <w:rsid w:val="00D6014E"/>
    <w:rsid w:val="00D630E7"/>
    <w:rsid w:val="00D640BA"/>
    <w:rsid w:val="00D66F17"/>
    <w:rsid w:val="00D700E5"/>
    <w:rsid w:val="00D70900"/>
    <w:rsid w:val="00D71B77"/>
    <w:rsid w:val="00D74A87"/>
    <w:rsid w:val="00D76186"/>
    <w:rsid w:val="00D771E9"/>
    <w:rsid w:val="00D817F1"/>
    <w:rsid w:val="00D86C20"/>
    <w:rsid w:val="00D86DD4"/>
    <w:rsid w:val="00D909BB"/>
    <w:rsid w:val="00D92529"/>
    <w:rsid w:val="00DA1613"/>
    <w:rsid w:val="00DA330A"/>
    <w:rsid w:val="00DA5AAB"/>
    <w:rsid w:val="00DA671A"/>
    <w:rsid w:val="00DA6858"/>
    <w:rsid w:val="00DA7CBB"/>
    <w:rsid w:val="00DB08FA"/>
    <w:rsid w:val="00DB1CD7"/>
    <w:rsid w:val="00DB2651"/>
    <w:rsid w:val="00DB2F3D"/>
    <w:rsid w:val="00DB30B1"/>
    <w:rsid w:val="00DB3ECD"/>
    <w:rsid w:val="00DB4717"/>
    <w:rsid w:val="00DB79D5"/>
    <w:rsid w:val="00DC12C8"/>
    <w:rsid w:val="00DC6F31"/>
    <w:rsid w:val="00DC7004"/>
    <w:rsid w:val="00DC7FFD"/>
    <w:rsid w:val="00DD0277"/>
    <w:rsid w:val="00DD1B11"/>
    <w:rsid w:val="00DD1B33"/>
    <w:rsid w:val="00DD6D82"/>
    <w:rsid w:val="00DE045E"/>
    <w:rsid w:val="00DE1240"/>
    <w:rsid w:val="00DE1AA5"/>
    <w:rsid w:val="00DE231A"/>
    <w:rsid w:val="00DE23D6"/>
    <w:rsid w:val="00DE2825"/>
    <w:rsid w:val="00DE29B9"/>
    <w:rsid w:val="00DE2CB6"/>
    <w:rsid w:val="00DE2DDE"/>
    <w:rsid w:val="00DE395F"/>
    <w:rsid w:val="00DE5414"/>
    <w:rsid w:val="00DE7E46"/>
    <w:rsid w:val="00DF066D"/>
    <w:rsid w:val="00DF0C37"/>
    <w:rsid w:val="00DF24FD"/>
    <w:rsid w:val="00DF2506"/>
    <w:rsid w:val="00DF2F26"/>
    <w:rsid w:val="00DF301A"/>
    <w:rsid w:val="00DF3469"/>
    <w:rsid w:val="00DF3556"/>
    <w:rsid w:val="00DF3BE2"/>
    <w:rsid w:val="00DF4E2C"/>
    <w:rsid w:val="00DF4E34"/>
    <w:rsid w:val="00DF5ACC"/>
    <w:rsid w:val="00DF75EC"/>
    <w:rsid w:val="00E0133D"/>
    <w:rsid w:val="00E019ED"/>
    <w:rsid w:val="00E02392"/>
    <w:rsid w:val="00E0312F"/>
    <w:rsid w:val="00E04C48"/>
    <w:rsid w:val="00E05C97"/>
    <w:rsid w:val="00E05DA6"/>
    <w:rsid w:val="00E06065"/>
    <w:rsid w:val="00E07901"/>
    <w:rsid w:val="00E079C6"/>
    <w:rsid w:val="00E1273C"/>
    <w:rsid w:val="00E13628"/>
    <w:rsid w:val="00E1434A"/>
    <w:rsid w:val="00E146CF"/>
    <w:rsid w:val="00E14BED"/>
    <w:rsid w:val="00E17711"/>
    <w:rsid w:val="00E23C05"/>
    <w:rsid w:val="00E2425F"/>
    <w:rsid w:val="00E242F0"/>
    <w:rsid w:val="00E245B0"/>
    <w:rsid w:val="00E247E2"/>
    <w:rsid w:val="00E30431"/>
    <w:rsid w:val="00E304EB"/>
    <w:rsid w:val="00E329D0"/>
    <w:rsid w:val="00E33746"/>
    <w:rsid w:val="00E342B3"/>
    <w:rsid w:val="00E3451F"/>
    <w:rsid w:val="00E34B80"/>
    <w:rsid w:val="00E36ADF"/>
    <w:rsid w:val="00E36B53"/>
    <w:rsid w:val="00E37585"/>
    <w:rsid w:val="00E41B64"/>
    <w:rsid w:val="00E42C35"/>
    <w:rsid w:val="00E469D5"/>
    <w:rsid w:val="00E46CD5"/>
    <w:rsid w:val="00E500D9"/>
    <w:rsid w:val="00E51AB5"/>
    <w:rsid w:val="00E52345"/>
    <w:rsid w:val="00E52763"/>
    <w:rsid w:val="00E563AE"/>
    <w:rsid w:val="00E638B2"/>
    <w:rsid w:val="00E65B70"/>
    <w:rsid w:val="00E662CD"/>
    <w:rsid w:val="00E67427"/>
    <w:rsid w:val="00E676F1"/>
    <w:rsid w:val="00E73271"/>
    <w:rsid w:val="00E735DA"/>
    <w:rsid w:val="00E74214"/>
    <w:rsid w:val="00E74762"/>
    <w:rsid w:val="00E74D52"/>
    <w:rsid w:val="00E75855"/>
    <w:rsid w:val="00E7609C"/>
    <w:rsid w:val="00E82556"/>
    <w:rsid w:val="00E85CBE"/>
    <w:rsid w:val="00E86566"/>
    <w:rsid w:val="00E875F5"/>
    <w:rsid w:val="00E92527"/>
    <w:rsid w:val="00E92A93"/>
    <w:rsid w:val="00E93620"/>
    <w:rsid w:val="00E94C75"/>
    <w:rsid w:val="00E97045"/>
    <w:rsid w:val="00E97DA3"/>
    <w:rsid w:val="00EA270C"/>
    <w:rsid w:val="00EA3185"/>
    <w:rsid w:val="00EA466B"/>
    <w:rsid w:val="00EA5CB5"/>
    <w:rsid w:val="00EA5CF4"/>
    <w:rsid w:val="00EB09B9"/>
    <w:rsid w:val="00EB3C52"/>
    <w:rsid w:val="00EB76F7"/>
    <w:rsid w:val="00EB7CB1"/>
    <w:rsid w:val="00EC0569"/>
    <w:rsid w:val="00EC0C7B"/>
    <w:rsid w:val="00EC1C35"/>
    <w:rsid w:val="00EC1F63"/>
    <w:rsid w:val="00EC5E45"/>
    <w:rsid w:val="00ED0557"/>
    <w:rsid w:val="00ED0CF0"/>
    <w:rsid w:val="00ED34D4"/>
    <w:rsid w:val="00ED3D84"/>
    <w:rsid w:val="00ED766C"/>
    <w:rsid w:val="00ED76FB"/>
    <w:rsid w:val="00EE05C2"/>
    <w:rsid w:val="00EE0D01"/>
    <w:rsid w:val="00EE30EE"/>
    <w:rsid w:val="00EE3C6D"/>
    <w:rsid w:val="00EE4C6E"/>
    <w:rsid w:val="00EE5135"/>
    <w:rsid w:val="00EE558C"/>
    <w:rsid w:val="00EE61BE"/>
    <w:rsid w:val="00EE6DE6"/>
    <w:rsid w:val="00EF057C"/>
    <w:rsid w:val="00EF1D14"/>
    <w:rsid w:val="00EF4FEE"/>
    <w:rsid w:val="00EF6873"/>
    <w:rsid w:val="00EF6F24"/>
    <w:rsid w:val="00EF7143"/>
    <w:rsid w:val="00F0080B"/>
    <w:rsid w:val="00F00BE1"/>
    <w:rsid w:val="00F01B31"/>
    <w:rsid w:val="00F03AB9"/>
    <w:rsid w:val="00F03F4E"/>
    <w:rsid w:val="00F05298"/>
    <w:rsid w:val="00F06479"/>
    <w:rsid w:val="00F076C5"/>
    <w:rsid w:val="00F120D9"/>
    <w:rsid w:val="00F124BE"/>
    <w:rsid w:val="00F125DE"/>
    <w:rsid w:val="00F14C13"/>
    <w:rsid w:val="00F24232"/>
    <w:rsid w:val="00F2526C"/>
    <w:rsid w:val="00F27170"/>
    <w:rsid w:val="00F30016"/>
    <w:rsid w:val="00F3144A"/>
    <w:rsid w:val="00F31C75"/>
    <w:rsid w:val="00F32543"/>
    <w:rsid w:val="00F33277"/>
    <w:rsid w:val="00F340CD"/>
    <w:rsid w:val="00F341CC"/>
    <w:rsid w:val="00F36B6C"/>
    <w:rsid w:val="00F36D10"/>
    <w:rsid w:val="00F40CAB"/>
    <w:rsid w:val="00F43960"/>
    <w:rsid w:val="00F43C3C"/>
    <w:rsid w:val="00F459C7"/>
    <w:rsid w:val="00F47C5C"/>
    <w:rsid w:val="00F54856"/>
    <w:rsid w:val="00F55D35"/>
    <w:rsid w:val="00F56CB9"/>
    <w:rsid w:val="00F57650"/>
    <w:rsid w:val="00F579FC"/>
    <w:rsid w:val="00F60C74"/>
    <w:rsid w:val="00F60F71"/>
    <w:rsid w:val="00F62773"/>
    <w:rsid w:val="00F62FE5"/>
    <w:rsid w:val="00F64F51"/>
    <w:rsid w:val="00F66122"/>
    <w:rsid w:val="00F666FD"/>
    <w:rsid w:val="00F67099"/>
    <w:rsid w:val="00F67A35"/>
    <w:rsid w:val="00F72620"/>
    <w:rsid w:val="00F759AD"/>
    <w:rsid w:val="00F765E8"/>
    <w:rsid w:val="00F8200C"/>
    <w:rsid w:val="00F82F60"/>
    <w:rsid w:val="00F85400"/>
    <w:rsid w:val="00F85D77"/>
    <w:rsid w:val="00F86D88"/>
    <w:rsid w:val="00F87FA7"/>
    <w:rsid w:val="00F90898"/>
    <w:rsid w:val="00F914C8"/>
    <w:rsid w:val="00F92EAE"/>
    <w:rsid w:val="00F9473C"/>
    <w:rsid w:val="00FA40A3"/>
    <w:rsid w:val="00FA45CD"/>
    <w:rsid w:val="00FA5B17"/>
    <w:rsid w:val="00FB33FA"/>
    <w:rsid w:val="00FB3BA6"/>
    <w:rsid w:val="00FB4D65"/>
    <w:rsid w:val="00FB5954"/>
    <w:rsid w:val="00FB5CC6"/>
    <w:rsid w:val="00FB6695"/>
    <w:rsid w:val="00FC0253"/>
    <w:rsid w:val="00FC0CDF"/>
    <w:rsid w:val="00FC0D7C"/>
    <w:rsid w:val="00FC163A"/>
    <w:rsid w:val="00FC183A"/>
    <w:rsid w:val="00FC19F5"/>
    <w:rsid w:val="00FC3D1C"/>
    <w:rsid w:val="00FC64F3"/>
    <w:rsid w:val="00FD08A7"/>
    <w:rsid w:val="00FD1295"/>
    <w:rsid w:val="00FD2E55"/>
    <w:rsid w:val="00FD2FA9"/>
    <w:rsid w:val="00FD3572"/>
    <w:rsid w:val="00FD5360"/>
    <w:rsid w:val="00FD54CC"/>
    <w:rsid w:val="00FE06A2"/>
    <w:rsid w:val="00FE0CE6"/>
    <w:rsid w:val="00FE28C8"/>
    <w:rsid w:val="00FE79EF"/>
    <w:rsid w:val="00FF025A"/>
    <w:rsid w:val="00FF088B"/>
    <w:rsid w:val="00FF0AC4"/>
    <w:rsid w:val="00FF10AF"/>
    <w:rsid w:val="00FF23FB"/>
    <w:rsid w:val="00FF334E"/>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9E844040-E206-4739-A213-5107B5A2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uiPriority w:val="99"/>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A9093-DA91-416B-9CB4-A2B456B1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2427</Words>
  <Characters>13110</Characters>
  <Application>Microsoft Office Word</Application>
  <DocSecurity>4</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15506</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2011-09-06T14:48:00Z</cp:lastPrinted>
  <dcterms:created xsi:type="dcterms:W3CDTF">2015-05-07T12:40:00Z</dcterms:created>
  <dcterms:modified xsi:type="dcterms:W3CDTF">2015-05-07T12:40:00Z</dcterms:modified>
</cp:coreProperties>
</file>