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62" w:rsidRPr="00097863" w:rsidRDefault="009444E6" w:rsidP="00B408FD">
      <w:pPr>
        <w:pStyle w:val="Ttulo8"/>
        <w:tabs>
          <w:tab w:val="right" w:pos="4423"/>
        </w:tabs>
        <w:spacing w:before="0" w:after="0"/>
        <w:ind w:left="0"/>
        <w:rPr>
          <w:rFonts w:ascii="Times New Roman" w:hAnsi="Times New Roman"/>
          <w:b/>
          <w:i w:val="0"/>
          <w:color w:val="000000"/>
          <w:sz w:val="22"/>
          <w:szCs w:val="22"/>
        </w:rPr>
      </w:pPr>
      <w:bookmarkStart w:id="0" w:name="_GoBack"/>
      <w:bookmarkEnd w:id="0"/>
      <w:r w:rsidRPr="00097863">
        <w:rPr>
          <w:rFonts w:ascii="Times New Roman" w:hAnsi="Times New Roman"/>
          <w:b/>
          <w:i w:val="0"/>
          <w:color w:val="000000"/>
          <w:sz w:val="22"/>
          <w:szCs w:val="22"/>
        </w:rPr>
        <w:t xml:space="preserve">Sessões: </w:t>
      </w:r>
      <w:r w:rsidR="00DE29B9">
        <w:rPr>
          <w:rFonts w:ascii="Times New Roman" w:hAnsi="Times New Roman"/>
          <w:b/>
          <w:i w:val="0"/>
          <w:color w:val="000000"/>
          <w:sz w:val="22"/>
          <w:szCs w:val="22"/>
        </w:rPr>
        <w:t>16</w:t>
      </w:r>
      <w:r w:rsidRPr="00097863">
        <w:rPr>
          <w:rFonts w:ascii="Times New Roman" w:hAnsi="Times New Roman"/>
          <w:b/>
          <w:i w:val="0"/>
          <w:color w:val="000000"/>
          <w:sz w:val="22"/>
          <w:szCs w:val="22"/>
        </w:rPr>
        <w:t xml:space="preserve"> </w:t>
      </w:r>
      <w:r w:rsidR="00952B9C">
        <w:rPr>
          <w:rFonts w:ascii="Times New Roman" w:hAnsi="Times New Roman"/>
          <w:b/>
          <w:i w:val="0"/>
          <w:color w:val="000000"/>
          <w:sz w:val="22"/>
          <w:szCs w:val="22"/>
        </w:rPr>
        <w:t xml:space="preserve">e </w:t>
      </w:r>
      <w:r w:rsidR="00192052">
        <w:rPr>
          <w:rFonts w:ascii="Times New Roman" w:hAnsi="Times New Roman"/>
          <w:b/>
          <w:i w:val="0"/>
          <w:color w:val="000000"/>
          <w:sz w:val="22"/>
          <w:szCs w:val="22"/>
        </w:rPr>
        <w:t>1</w:t>
      </w:r>
      <w:r w:rsidR="00DE29B9">
        <w:rPr>
          <w:rFonts w:ascii="Times New Roman" w:hAnsi="Times New Roman"/>
          <w:b/>
          <w:i w:val="0"/>
          <w:color w:val="000000"/>
          <w:sz w:val="22"/>
          <w:szCs w:val="22"/>
        </w:rPr>
        <w:t>7</w:t>
      </w:r>
      <w:r w:rsidR="00AE591D">
        <w:rPr>
          <w:rFonts w:ascii="Times New Roman" w:hAnsi="Times New Roman"/>
          <w:b/>
          <w:i w:val="0"/>
          <w:color w:val="000000"/>
          <w:sz w:val="22"/>
          <w:szCs w:val="22"/>
        </w:rPr>
        <w:t xml:space="preserve"> de </w:t>
      </w:r>
      <w:r w:rsidR="00F92EAE">
        <w:rPr>
          <w:rFonts w:ascii="Times New Roman" w:hAnsi="Times New Roman"/>
          <w:b/>
          <w:i w:val="0"/>
          <w:color w:val="000000"/>
          <w:sz w:val="22"/>
          <w:szCs w:val="22"/>
        </w:rPr>
        <w:t>agost</w:t>
      </w:r>
      <w:r w:rsidR="00AE591D">
        <w:rPr>
          <w:rFonts w:ascii="Times New Roman" w:hAnsi="Times New Roman"/>
          <w:b/>
          <w:i w:val="0"/>
          <w:color w:val="000000"/>
          <w:sz w:val="22"/>
          <w:szCs w:val="22"/>
        </w:rPr>
        <w:t xml:space="preserve">o </w:t>
      </w:r>
      <w:r w:rsidRPr="00097863">
        <w:rPr>
          <w:rFonts w:ascii="Times New Roman" w:hAnsi="Times New Roman"/>
          <w:b/>
          <w:i w:val="0"/>
          <w:color w:val="000000"/>
          <w:sz w:val="22"/>
          <w:szCs w:val="22"/>
        </w:rPr>
        <w:t>de 201</w:t>
      </w:r>
      <w:r w:rsidR="00467815" w:rsidRPr="00097863">
        <w:rPr>
          <w:rFonts w:ascii="Times New Roman" w:hAnsi="Times New Roman"/>
          <w:b/>
          <w:i w:val="0"/>
          <w:color w:val="000000"/>
          <w:sz w:val="22"/>
          <w:szCs w:val="22"/>
        </w:rPr>
        <w:t>1</w:t>
      </w:r>
    </w:p>
    <w:p w:rsidR="002D35F5" w:rsidRPr="00097863" w:rsidRDefault="002D35F5" w:rsidP="00B408FD">
      <w:pPr>
        <w:pStyle w:val="Corpodetexto2"/>
        <w:spacing w:after="0" w:line="240" w:lineRule="auto"/>
        <w:ind w:left="0"/>
        <w:rPr>
          <w:sz w:val="22"/>
          <w:szCs w:val="22"/>
        </w:rPr>
      </w:pPr>
      <w:r w:rsidRPr="00097863">
        <w:rPr>
          <w:sz w:val="22"/>
          <w:szCs w:val="22"/>
        </w:rPr>
        <w:t>Este Informativo, elaborado a partir das deliberações tomadas pelo Tribunal nas sessões de julgamento das Câmaras e do Plenário, contém resumos de algumas decisões proferidas nas datas acima indicadas, relativas a licitações e contratos, e tem por finalidade facilitar o acompanhamento, pelo leitor, da jurisprudência do TCU quanto aos aspectos relevantes que envolvem o tema. Por esse motivo, a seleção das decisões que constam do Informativo é feita pela Secretaria das Sessões, levando em consideração ao menos um dos seguintes fatores: ineditismo da deliberação, discussão no colegiado ou reiteração de entendimento importante. Os resumos apresentados no Informativo não são repositórios oficiais de jurisprudência.</w:t>
      </w:r>
    </w:p>
    <w:p w:rsidR="00FF7C62" w:rsidRPr="00097863" w:rsidRDefault="00FF7C62" w:rsidP="00B408FD">
      <w:pPr>
        <w:pStyle w:val="Corpodetexto2"/>
        <w:spacing w:after="0" w:line="240" w:lineRule="auto"/>
        <w:ind w:left="0"/>
        <w:rPr>
          <w:sz w:val="22"/>
          <w:szCs w:val="22"/>
        </w:rPr>
      </w:pPr>
    </w:p>
    <w:p w:rsidR="002D35F5" w:rsidRPr="00D53537" w:rsidRDefault="002D35F5" w:rsidP="00B408FD">
      <w:pPr>
        <w:pBdr>
          <w:top w:val="threeDEmboss" w:sz="24" w:space="2" w:color="auto"/>
        </w:pBdr>
        <w:tabs>
          <w:tab w:val="left" w:pos="284"/>
        </w:tabs>
        <w:spacing w:before="60" w:after="0"/>
        <w:ind w:left="0"/>
        <w:jc w:val="center"/>
        <w:rPr>
          <w:rFonts w:ascii="Cambria" w:hAnsi="Cambria"/>
          <w:b/>
          <w:bCs/>
          <w:smallCaps/>
          <w:sz w:val="22"/>
          <w:szCs w:val="22"/>
        </w:rPr>
      </w:pPr>
      <w:r w:rsidRPr="00D53537">
        <w:rPr>
          <w:rFonts w:ascii="Cambria" w:hAnsi="Cambria"/>
          <w:b/>
          <w:bCs/>
          <w:smallCaps/>
          <w:sz w:val="22"/>
          <w:szCs w:val="22"/>
        </w:rPr>
        <w:t>S</w:t>
      </w:r>
      <w:r w:rsidR="00FF7C62" w:rsidRPr="00D53537">
        <w:rPr>
          <w:rFonts w:ascii="Cambria" w:hAnsi="Cambria"/>
          <w:b/>
          <w:bCs/>
          <w:smallCaps/>
          <w:sz w:val="22"/>
          <w:szCs w:val="22"/>
        </w:rPr>
        <w:t>UMÁRIO</w:t>
      </w:r>
    </w:p>
    <w:p w:rsidR="009444E6" w:rsidRPr="00F36B6C" w:rsidRDefault="009444E6" w:rsidP="00B408FD">
      <w:pPr>
        <w:pStyle w:val="tita"/>
        <w:tabs>
          <w:tab w:val="left" w:pos="2590"/>
        </w:tabs>
        <w:spacing w:before="60" w:after="0" w:line="240" w:lineRule="auto"/>
        <w:jc w:val="both"/>
        <w:rPr>
          <w:i w:val="0"/>
          <w:iCs w:val="0"/>
          <w:color w:val="000000"/>
          <w:sz w:val="22"/>
          <w:szCs w:val="22"/>
        </w:rPr>
      </w:pPr>
      <w:r w:rsidRPr="00F36B6C">
        <w:rPr>
          <w:i w:val="0"/>
          <w:iCs w:val="0"/>
          <w:color w:val="000000"/>
          <w:sz w:val="22"/>
          <w:szCs w:val="22"/>
        </w:rPr>
        <w:t>Plenário</w:t>
      </w:r>
    </w:p>
    <w:p w:rsidR="00AF1474" w:rsidRPr="000E3C6D" w:rsidRDefault="00AF1474" w:rsidP="00B408FD">
      <w:pPr>
        <w:spacing w:before="60" w:after="0"/>
        <w:ind w:left="0"/>
        <w:rPr>
          <w:i/>
          <w:sz w:val="22"/>
          <w:szCs w:val="22"/>
        </w:rPr>
      </w:pPr>
      <w:r w:rsidRPr="000E3C6D">
        <w:rPr>
          <w:sz w:val="22"/>
          <w:szCs w:val="22"/>
        </w:rPr>
        <w:t>Licitação sob a modalidade pregão: o retorno à fase de aceitação das propostas, quando esta já tiver sido superada, só deve ocorrer se verificadas falhas relevantes que possam alterar a substância das propostas, dos documentos e sua validade jurídica, cabendo ao pregoeiro, em vez disso, se necessário</w:t>
      </w:r>
      <w:r w:rsidR="000E3C6D" w:rsidRPr="000E3C6D">
        <w:rPr>
          <w:sz w:val="22"/>
          <w:szCs w:val="22"/>
        </w:rPr>
        <w:t>,</w:t>
      </w:r>
      <w:r w:rsidRPr="000E3C6D">
        <w:rPr>
          <w:sz w:val="22"/>
          <w:szCs w:val="22"/>
        </w:rPr>
        <w:t xml:space="preserve"> esclarecer ou complementar a instrução do processo, </w:t>
      </w:r>
      <w:r w:rsidR="000E3C6D" w:rsidRPr="000E3C6D">
        <w:rPr>
          <w:sz w:val="22"/>
          <w:szCs w:val="22"/>
        </w:rPr>
        <w:t>utilizando</w:t>
      </w:r>
      <w:r w:rsidRPr="000E3C6D">
        <w:rPr>
          <w:sz w:val="22"/>
          <w:szCs w:val="22"/>
        </w:rPr>
        <w:t>-se das faculdades previstas no art. 26, § 3º, do Decreto 5.450/2005, ou no art. 43, § 3º, da Lei 8.666/93</w:t>
      </w:r>
      <w:r w:rsidR="000E3C6D" w:rsidRPr="000E3C6D">
        <w:rPr>
          <w:sz w:val="22"/>
          <w:szCs w:val="22"/>
        </w:rPr>
        <w:t>.</w:t>
      </w:r>
    </w:p>
    <w:p w:rsidR="000E3C6D" w:rsidRPr="000E3C6D" w:rsidRDefault="000E3C6D" w:rsidP="00B408FD">
      <w:pPr>
        <w:spacing w:before="60" w:after="0"/>
        <w:ind w:left="0"/>
        <w:rPr>
          <w:sz w:val="22"/>
          <w:szCs w:val="22"/>
        </w:rPr>
      </w:pPr>
      <w:r w:rsidRPr="000E3C6D">
        <w:rPr>
          <w:sz w:val="22"/>
          <w:szCs w:val="22"/>
        </w:rPr>
        <w:t>É inadmissível subcontratação total, por ofensa às normas regentes dos contratos administrativos.</w:t>
      </w:r>
    </w:p>
    <w:p w:rsidR="000E3C6D" w:rsidRPr="000E3C6D" w:rsidRDefault="000E3C6D" w:rsidP="00B408FD">
      <w:pPr>
        <w:pStyle w:val="Corpodetexto"/>
        <w:tabs>
          <w:tab w:val="left" w:pos="851"/>
          <w:tab w:val="left" w:pos="2590"/>
        </w:tabs>
        <w:spacing w:before="60" w:after="0"/>
        <w:ind w:left="0"/>
        <w:rPr>
          <w:sz w:val="22"/>
          <w:szCs w:val="22"/>
        </w:rPr>
      </w:pPr>
      <w:r w:rsidRPr="000E3C6D">
        <w:rPr>
          <w:sz w:val="22"/>
          <w:szCs w:val="22"/>
        </w:rPr>
        <w:t>Na utilização do inciso IV do art. 24 da Lei 8.666/1993 como fundamento da contratação direta, as obras e/ou serviços contratados devem estar adstritos aos itens necessários ao atendimento da situação emergencial ou calamitosa e que possam ser concluídos no prazo máximo de 180 (cento e oitenta) dias consecutivos e ininterruptos, contados da ocorrência da emergência ou calamidade, vedada a prorrogação dos respectivos contratos.</w:t>
      </w:r>
    </w:p>
    <w:p w:rsidR="000E3C6D" w:rsidRPr="000E3C6D" w:rsidRDefault="000E3C6D" w:rsidP="00B408FD">
      <w:pPr>
        <w:tabs>
          <w:tab w:val="left" w:pos="1134"/>
        </w:tabs>
        <w:spacing w:before="60" w:after="0"/>
        <w:ind w:left="0"/>
        <w:rPr>
          <w:sz w:val="22"/>
          <w:szCs w:val="22"/>
          <w:lang w:eastAsia="pt-BR"/>
        </w:rPr>
      </w:pPr>
      <w:r w:rsidRPr="000E3C6D">
        <w:rPr>
          <w:sz w:val="22"/>
          <w:szCs w:val="22"/>
          <w:lang w:eastAsia="pt-BR"/>
        </w:rPr>
        <w:t xml:space="preserve">Pregão para aquisição de mobiliário: </w:t>
      </w:r>
    </w:p>
    <w:p w:rsidR="000E3C6D" w:rsidRPr="000E3C6D" w:rsidRDefault="000E3C6D" w:rsidP="00B408FD">
      <w:pPr>
        <w:tabs>
          <w:tab w:val="left" w:pos="851"/>
        </w:tabs>
        <w:spacing w:before="60" w:after="0"/>
        <w:ind w:left="0"/>
        <w:rPr>
          <w:sz w:val="22"/>
          <w:szCs w:val="22"/>
          <w:lang w:eastAsia="pt-BR"/>
        </w:rPr>
      </w:pPr>
      <w:r w:rsidRPr="000E3C6D">
        <w:rPr>
          <w:sz w:val="22"/>
          <w:szCs w:val="22"/>
          <w:lang w:eastAsia="pt-BR"/>
        </w:rPr>
        <w:tab/>
        <w:t>1 – Declaração de idoneidade financeira não pode ser exigida, para o fim de habilitação em processo licitatório;</w:t>
      </w:r>
    </w:p>
    <w:p w:rsidR="00B702CD" w:rsidRPr="000E3C6D" w:rsidRDefault="000E3C6D" w:rsidP="00B408FD">
      <w:pPr>
        <w:spacing w:before="60" w:after="0"/>
        <w:ind w:left="0" w:firstLine="851"/>
        <w:rPr>
          <w:sz w:val="22"/>
          <w:szCs w:val="22"/>
        </w:rPr>
      </w:pPr>
      <w:r w:rsidRPr="000E3C6D">
        <w:rPr>
          <w:sz w:val="22"/>
          <w:szCs w:val="22"/>
          <w:lang w:eastAsia="pt-BR"/>
        </w:rPr>
        <w:t xml:space="preserve">2 - </w:t>
      </w:r>
      <w:r w:rsidRPr="000E3C6D">
        <w:rPr>
          <w:sz w:val="22"/>
          <w:szCs w:val="22"/>
        </w:rPr>
        <w:t>Visita técnica em licitação por pregão eletrônico para aquisição de móveis</w:t>
      </w:r>
      <w:r w:rsidR="00731117">
        <w:rPr>
          <w:sz w:val="22"/>
          <w:szCs w:val="22"/>
        </w:rPr>
        <w:t xml:space="preserve"> </w:t>
      </w:r>
      <w:r w:rsidRPr="000E3C6D">
        <w:rPr>
          <w:sz w:val="22"/>
          <w:szCs w:val="22"/>
        </w:rPr>
        <w:t>só deve ser exigida se existentes elementos que a justifiquem, sendo ilícita que tal medida tenha de ser realizada por arquiteto empregado da licitante, dado não ter pertinência com a finalidade desse procedimento, além de não se amoldar ao disposto no art. 30, III, da Lei de Licitações;</w:t>
      </w:r>
    </w:p>
    <w:p w:rsidR="000E3C6D" w:rsidRPr="000E3C6D" w:rsidRDefault="000E3C6D" w:rsidP="00B408FD">
      <w:pPr>
        <w:tabs>
          <w:tab w:val="left" w:pos="851"/>
        </w:tabs>
        <w:spacing w:before="60" w:after="0"/>
        <w:ind w:left="0"/>
        <w:rPr>
          <w:sz w:val="22"/>
          <w:szCs w:val="22"/>
          <w:lang w:eastAsia="pt-BR"/>
        </w:rPr>
      </w:pPr>
      <w:r w:rsidRPr="000E3C6D">
        <w:rPr>
          <w:sz w:val="22"/>
          <w:szCs w:val="22"/>
          <w:lang w:eastAsia="pt-BR"/>
        </w:rPr>
        <w:tab/>
        <w:t>3 – No caso de supressão de exigências do edital que possam alterar a formulação das propostas das licitantes interessadas deverá ocorrer a republicação do instrumento convocatório.</w:t>
      </w:r>
    </w:p>
    <w:p w:rsidR="0077228C" w:rsidRPr="000807D4" w:rsidRDefault="0077228C" w:rsidP="00B408FD">
      <w:pPr>
        <w:pStyle w:val="Corpodetexto"/>
        <w:tabs>
          <w:tab w:val="left" w:pos="2590"/>
        </w:tabs>
        <w:spacing w:before="60" w:after="60"/>
        <w:ind w:left="0"/>
        <w:rPr>
          <w:b/>
          <w:color w:val="FF0000"/>
          <w:sz w:val="22"/>
          <w:szCs w:val="22"/>
        </w:rPr>
      </w:pPr>
    </w:p>
    <w:p w:rsidR="003C6DEB" w:rsidRPr="000807D4" w:rsidRDefault="003C6DEB" w:rsidP="00B408FD">
      <w:pPr>
        <w:pBdr>
          <w:top w:val="threeDEmboss" w:sz="24" w:space="0" w:color="auto"/>
        </w:pBdr>
        <w:tabs>
          <w:tab w:val="left" w:pos="284"/>
          <w:tab w:val="left" w:pos="2590"/>
        </w:tabs>
        <w:spacing w:after="0"/>
        <w:ind w:left="0"/>
        <w:jc w:val="center"/>
        <w:rPr>
          <w:rFonts w:ascii="Cambria" w:hAnsi="Cambria"/>
          <w:b/>
          <w:bCs/>
          <w:smallCaps/>
          <w:sz w:val="22"/>
          <w:szCs w:val="22"/>
        </w:rPr>
      </w:pPr>
      <w:r w:rsidRPr="000807D4">
        <w:rPr>
          <w:rFonts w:ascii="Cambria" w:hAnsi="Cambria"/>
          <w:b/>
          <w:bCs/>
          <w:smallCaps/>
          <w:sz w:val="22"/>
          <w:szCs w:val="22"/>
        </w:rPr>
        <w:t>PLENÁRIO</w:t>
      </w:r>
    </w:p>
    <w:p w:rsidR="003C6DEB" w:rsidRPr="00332EF9" w:rsidRDefault="003C6DEB" w:rsidP="00B408FD">
      <w:pPr>
        <w:pStyle w:val="tita"/>
        <w:tabs>
          <w:tab w:val="left" w:pos="2590"/>
        </w:tabs>
        <w:spacing w:before="0" w:after="0" w:line="240" w:lineRule="auto"/>
        <w:jc w:val="both"/>
        <w:rPr>
          <w:i w:val="0"/>
          <w:iCs w:val="0"/>
          <w:sz w:val="22"/>
          <w:szCs w:val="22"/>
        </w:rPr>
      </w:pPr>
    </w:p>
    <w:p w:rsidR="000E3C6D" w:rsidRDefault="000E3C6D" w:rsidP="00B408FD">
      <w:pPr>
        <w:spacing w:after="0"/>
        <w:ind w:left="0"/>
        <w:rPr>
          <w:i/>
          <w:sz w:val="22"/>
          <w:szCs w:val="22"/>
        </w:rPr>
      </w:pPr>
      <w:r w:rsidRPr="00332EF9">
        <w:rPr>
          <w:b/>
          <w:sz w:val="22"/>
          <w:szCs w:val="22"/>
        </w:rPr>
        <w:t>Licitação sob a modalidade pregão: o retorno à fase de aceitação das propostas, quando esta já tiver sido superada, só deve ocorrer se verificadas falhas relevantes que possam alterar a substância das propostas, dos documentos e sua validade jurídica</w:t>
      </w:r>
      <w:r>
        <w:rPr>
          <w:b/>
          <w:sz w:val="22"/>
          <w:szCs w:val="22"/>
        </w:rPr>
        <w:t xml:space="preserve">, cabendo </w:t>
      </w:r>
      <w:r w:rsidRPr="00332EF9">
        <w:rPr>
          <w:b/>
          <w:sz w:val="22"/>
          <w:szCs w:val="22"/>
        </w:rPr>
        <w:t>ao pregoeiro, em vez disso, se necessário</w:t>
      </w:r>
      <w:r>
        <w:rPr>
          <w:b/>
          <w:sz w:val="22"/>
          <w:szCs w:val="22"/>
        </w:rPr>
        <w:t>,</w:t>
      </w:r>
      <w:r w:rsidRPr="00332EF9">
        <w:rPr>
          <w:b/>
          <w:sz w:val="22"/>
          <w:szCs w:val="22"/>
        </w:rPr>
        <w:t xml:space="preserve"> esclarecer ou complementar a instrução do processo, </w:t>
      </w:r>
      <w:r>
        <w:rPr>
          <w:b/>
          <w:sz w:val="22"/>
          <w:szCs w:val="22"/>
        </w:rPr>
        <w:t>utilizando</w:t>
      </w:r>
      <w:r w:rsidRPr="00332EF9">
        <w:rPr>
          <w:b/>
          <w:sz w:val="22"/>
          <w:szCs w:val="22"/>
        </w:rPr>
        <w:t>-se das faculdades previstas no art. 26, § 3º, do Decreto 5.450/2005, ou no art. 43, § 3º, da Lei 8.666/93</w:t>
      </w:r>
    </w:p>
    <w:p w:rsidR="007B471E" w:rsidRPr="00332EF9" w:rsidRDefault="00DB08FA" w:rsidP="00B408FD">
      <w:pPr>
        <w:pStyle w:val="TCU-RelVoto-1"/>
        <w:spacing w:after="0"/>
        <w:ind w:firstLine="0"/>
        <w:rPr>
          <w:b/>
          <w:i/>
          <w:sz w:val="22"/>
        </w:rPr>
      </w:pPr>
      <w:r w:rsidRPr="00332EF9">
        <w:rPr>
          <w:sz w:val="22"/>
        </w:rPr>
        <w:t xml:space="preserve">Representação formulada ao TCU </w:t>
      </w:r>
      <w:r w:rsidR="00731117">
        <w:rPr>
          <w:sz w:val="22"/>
        </w:rPr>
        <w:t>noticiou</w:t>
      </w:r>
      <w:r w:rsidRPr="00332EF9">
        <w:rPr>
          <w:sz w:val="22"/>
        </w:rPr>
        <w:t xml:space="preserve"> a ocorrência de possíveis irregularidades na condução d</w:t>
      </w:r>
      <w:r w:rsidR="00EE558C" w:rsidRPr="00332EF9">
        <w:rPr>
          <w:sz w:val="22"/>
        </w:rPr>
        <w:t>e</w:t>
      </w:r>
      <w:r w:rsidRPr="00332EF9">
        <w:rPr>
          <w:sz w:val="22"/>
        </w:rPr>
        <w:t xml:space="preserve"> pregão eletrônico, com registro de preços, nº 76/2010, realizado pela Fundação Nacional de Saúde, Coordenação Regional em Mato Grosso – (Funasa/MT)</w:t>
      </w:r>
      <w:r w:rsidR="00EE558C" w:rsidRPr="00332EF9">
        <w:rPr>
          <w:sz w:val="22"/>
        </w:rPr>
        <w:t xml:space="preserve"> para aquisição de equipamentos para sistema de abastecimento de água em áreas indígenas.</w:t>
      </w:r>
      <w:r w:rsidRPr="00332EF9">
        <w:rPr>
          <w:sz w:val="22"/>
        </w:rPr>
        <w:t xml:space="preserve"> Para o relator, o ponto fundamental do processo estaria no fato da Funasa/MT ter declarado algumas empresas habilitadas e vencedoras dos itens 1 a 7, 10 a 15, 20 e 21 do </w:t>
      </w:r>
      <w:r w:rsidR="00AD5922" w:rsidRPr="00332EF9">
        <w:rPr>
          <w:sz w:val="22"/>
        </w:rPr>
        <w:t>certam</w:t>
      </w:r>
      <w:r w:rsidRPr="00332EF9">
        <w:rPr>
          <w:sz w:val="22"/>
        </w:rPr>
        <w:t>e, mas, posteriormente, alegar o não atendimento do previsto no item 7 do anexo I do edital do pregão, o qual exigia “</w:t>
      </w:r>
      <w:r w:rsidRPr="00332EF9">
        <w:rPr>
          <w:i/>
          <w:sz w:val="22"/>
        </w:rPr>
        <w:t>especificação clara, completa e minuciosa do material oferecido</w:t>
      </w:r>
      <w:r w:rsidRPr="00332EF9">
        <w:rPr>
          <w:sz w:val="22"/>
        </w:rPr>
        <w:t xml:space="preserve">”, retornando </w:t>
      </w:r>
      <w:r w:rsidR="00EE558C" w:rsidRPr="00332EF9">
        <w:rPr>
          <w:sz w:val="22"/>
        </w:rPr>
        <w:t>o procedimento para aquisição dos</w:t>
      </w:r>
      <w:r w:rsidRPr="00332EF9">
        <w:rPr>
          <w:sz w:val="22"/>
        </w:rPr>
        <w:t xml:space="preserve"> itens à fase de aceitação </w:t>
      </w:r>
      <w:r w:rsidR="00634F76" w:rsidRPr="00332EF9">
        <w:rPr>
          <w:sz w:val="22"/>
        </w:rPr>
        <w:t xml:space="preserve">das propostas. Após a oitiva do pregoeiro incumbido da condução do </w:t>
      </w:r>
      <w:r w:rsidR="00332EF9">
        <w:rPr>
          <w:sz w:val="22"/>
        </w:rPr>
        <w:t>procedimento</w:t>
      </w:r>
      <w:r w:rsidR="00634F76" w:rsidRPr="00332EF9">
        <w:rPr>
          <w:sz w:val="22"/>
        </w:rPr>
        <w:t>, o relator destacou que a jurisprudência do Tribunal, apoiada na doutrina pátria, leciona que “</w:t>
      </w:r>
      <w:r w:rsidR="00634F76" w:rsidRPr="00332EF9">
        <w:rPr>
          <w:i/>
          <w:sz w:val="22"/>
        </w:rPr>
        <w:t>o exame realizado pelo pregoeiro na fase de verificação inicial das propostas (art. 22, § 2º, do Decreto 5.450/2005) deve ser sumário e sintético, dada a natureza dinâmica do pregão, sendo que ‘não cabe disputa mais aprofundada nessa etapa’ e que ‘o pregoeiro deverá examinar a proposta e verificar se a descrição ali contida corresponde àquela adotada no edital’</w:t>
      </w:r>
      <w:r w:rsidR="00634F76" w:rsidRPr="00332EF9">
        <w:rPr>
          <w:sz w:val="22"/>
        </w:rPr>
        <w:t xml:space="preserve">”. Já na fase de aceitação do pregão (art. 25, </w:t>
      </w:r>
      <w:r w:rsidR="00634F76" w:rsidRPr="00332EF9">
        <w:rPr>
          <w:i/>
          <w:sz w:val="22"/>
        </w:rPr>
        <w:t>caput</w:t>
      </w:r>
      <w:r w:rsidR="00634F76" w:rsidRPr="00332EF9">
        <w:rPr>
          <w:sz w:val="22"/>
        </w:rPr>
        <w:t xml:space="preserve"> e §§ 1º a 4º, do Decreto 5.450/2005), “</w:t>
      </w:r>
      <w:r w:rsidR="00634F76" w:rsidRPr="00332EF9">
        <w:rPr>
          <w:i/>
          <w:sz w:val="22"/>
        </w:rPr>
        <w:t>é que deve ser perquirida com afinco a compatibilidade do preço da proposta em relação ao estimado para contratação e o atendimento pelo licitante das exigências habilitatórias dispostas no edital</w:t>
      </w:r>
      <w:r w:rsidR="00634F76" w:rsidRPr="00332EF9">
        <w:rPr>
          <w:sz w:val="22"/>
        </w:rPr>
        <w:t>”. Caso a proposta não fosse aceitável, o pregoeiro deveria examinar a proposta subsequente, e, sendo o caso, na ordem de classificação, até a apuração de uma proposta que atendesse ao edital, consoante o § 5º do art. 25 do Decreto 5.450/2005. Assim, ainda para o relator, após essa etapa, somente seria cabível o retorno à fase de aceitação “</w:t>
      </w:r>
      <w:r w:rsidR="00634F76" w:rsidRPr="00332EF9">
        <w:rPr>
          <w:i/>
          <w:sz w:val="22"/>
        </w:rPr>
        <w:t>se verificada falhas relevantes que alterem a substância das propostas, dos documentos e sua validade jurídica</w:t>
      </w:r>
      <w:r w:rsidR="00634F76" w:rsidRPr="00332EF9">
        <w:rPr>
          <w:sz w:val="22"/>
        </w:rPr>
        <w:t>”</w:t>
      </w:r>
      <w:r w:rsidR="00BE6584" w:rsidRPr="00332EF9">
        <w:rPr>
          <w:sz w:val="22"/>
        </w:rPr>
        <w:t>, o que não teria o caso do pregão 76/2010 da Funasa/MT, no qual o retorno à fase de aceitação ocorrera com base em singelo parecer do Setor de Perfuração de Poços da Funasa/MT, segundo o qual as propostas não estariam em consonância com o item 7 do anexo I do edital. Em vez disso, para o relator, seria mais razoável que o pregoeiro, “</w:t>
      </w:r>
      <w:r w:rsidR="00BE6584" w:rsidRPr="00332EF9">
        <w:rPr>
          <w:i/>
          <w:sz w:val="22"/>
        </w:rPr>
        <w:t>a fim de sanar erros, esclarecer ou complementar a instrução do processo, deveria ter-se utilizado das faculdades previstas no art. 26, § 3º, do Decreto 5.450/2005, ou no art. 43, § 3º, da Lei 8.666/93, aplicável subsidiariamente para o pregão</w:t>
      </w:r>
      <w:r w:rsidR="00BE6584" w:rsidRPr="00332EF9">
        <w:rPr>
          <w:sz w:val="22"/>
        </w:rPr>
        <w:t>”. Por conseguinte, considerando que a decisão do pregoeiro pelo retorno à fase de aceitação das propostas, além de desnecessária, teria dado vazão à ocorrência de diversas outras irregularidades, votou o relator pela rejeição das justificativas apresentadas, sem prejuízo de aplicação de multa ao referido responsável,</w:t>
      </w:r>
      <w:r w:rsidR="00332EF9">
        <w:rPr>
          <w:sz w:val="22"/>
        </w:rPr>
        <w:t xml:space="preserve"> </w:t>
      </w:r>
      <w:r w:rsidR="00BE6584" w:rsidRPr="00332EF9">
        <w:rPr>
          <w:sz w:val="22"/>
        </w:rPr>
        <w:t xml:space="preserve">o que foi acolhido pelo Plenário. </w:t>
      </w:r>
      <w:r w:rsidR="003856A4" w:rsidRPr="00332EF9">
        <w:rPr>
          <w:sz w:val="22"/>
        </w:rPr>
        <w:t xml:space="preserve">Precedentes citados: </w:t>
      </w:r>
      <w:r w:rsidR="00634F76" w:rsidRPr="00332EF9">
        <w:rPr>
          <w:sz w:val="22"/>
        </w:rPr>
        <w:t>Acórdãos n</w:t>
      </w:r>
      <w:r w:rsidR="00634F76" w:rsidRPr="00332EF9">
        <w:rPr>
          <w:sz w:val="22"/>
          <w:u w:val="single"/>
          <w:vertAlign w:val="superscript"/>
        </w:rPr>
        <w:t>os</w:t>
      </w:r>
      <w:r w:rsidR="00634F76" w:rsidRPr="00332EF9">
        <w:rPr>
          <w:sz w:val="22"/>
        </w:rPr>
        <w:t xml:space="preserve"> 934/2007, da 1ª Câmara e 539/2007</w:t>
      </w:r>
      <w:r w:rsidR="00731117">
        <w:rPr>
          <w:sz w:val="22"/>
        </w:rPr>
        <w:t xml:space="preserve">, do </w:t>
      </w:r>
      <w:r w:rsidR="00634F76" w:rsidRPr="00332EF9">
        <w:rPr>
          <w:sz w:val="22"/>
        </w:rPr>
        <w:t>P</w:t>
      </w:r>
      <w:r w:rsidR="00731117">
        <w:rPr>
          <w:sz w:val="22"/>
        </w:rPr>
        <w:t>lenário</w:t>
      </w:r>
      <w:r w:rsidR="003856A4" w:rsidRPr="00332EF9">
        <w:rPr>
          <w:sz w:val="22"/>
        </w:rPr>
        <w:t xml:space="preserve">. </w:t>
      </w:r>
      <w:r w:rsidR="007B471E" w:rsidRPr="00332EF9">
        <w:rPr>
          <w:b/>
          <w:i/>
          <w:sz w:val="22"/>
        </w:rPr>
        <w:t>Acórdão n.º 2</w:t>
      </w:r>
      <w:r w:rsidRPr="00332EF9">
        <w:rPr>
          <w:b/>
          <w:i/>
          <w:sz w:val="22"/>
        </w:rPr>
        <w:t>154</w:t>
      </w:r>
      <w:r w:rsidR="007B471E" w:rsidRPr="00332EF9">
        <w:rPr>
          <w:b/>
          <w:i/>
          <w:sz w:val="22"/>
        </w:rPr>
        <w:t>/2011-Plenário, TC-0</w:t>
      </w:r>
      <w:r w:rsidRPr="00332EF9">
        <w:rPr>
          <w:b/>
          <w:i/>
          <w:sz w:val="22"/>
        </w:rPr>
        <w:t>00</w:t>
      </w:r>
      <w:r w:rsidR="007B471E" w:rsidRPr="00332EF9">
        <w:rPr>
          <w:b/>
          <w:i/>
          <w:sz w:val="22"/>
        </w:rPr>
        <w:t>.</w:t>
      </w:r>
      <w:r w:rsidRPr="00332EF9">
        <w:rPr>
          <w:b/>
          <w:i/>
          <w:sz w:val="22"/>
        </w:rPr>
        <w:t>582</w:t>
      </w:r>
      <w:r w:rsidR="007B471E" w:rsidRPr="00332EF9">
        <w:rPr>
          <w:b/>
          <w:i/>
          <w:sz w:val="22"/>
        </w:rPr>
        <w:t>/2011-</w:t>
      </w:r>
      <w:r w:rsidRPr="00332EF9">
        <w:rPr>
          <w:b/>
          <w:i/>
          <w:sz w:val="22"/>
        </w:rPr>
        <w:t>5</w:t>
      </w:r>
      <w:r w:rsidR="007B471E" w:rsidRPr="00332EF9">
        <w:rPr>
          <w:b/>
          <w:i/>
          <w:sz w:val="22"/>
        </w:rPr>
        <w:t xml:space="preserve">, rel. Min. </w:t>
      </w:r>
      <w:r w:rsidRPr="00332EF9">
        <w:rPr>
          <w:b/>
          <w:i/>
          <w:sz w:val="22"/>
        </w:rPr>
        <w:t>Walton Alencar Rodrigues</w:t>
      </w:r>
      <w:r w:rsidR="007B471E" w:rsidRPr="00332EF9">
        <w:rPr>
          <w:b/>
          <w:i/>
          <w:sz w:val="22"/>
        </w:rPr>
        <w:t>, 1</w:t>
      </w:r>
      <w:r w:rsidRPr="00332EF9">
        <w:rPr>
          <w:b/>
          <w:i/>
          <w:sz w:val="22"/>
        </w:rPr>
        <w:t>7</w:t>
      </w:r>
      <w:r w:rsidR="007B471E" w:rsidRPr="00332EF9">
        <w:rPr>
          <w:b/>
          <w:i/>
          <w:sz w:val="22"/>
        </w:rPr>
        <w:t>.08.2011.</w:t>
      </w:r>
    </w:p>
    <w:p w:rsidR="007B471E" w:rsidRPr="00332EF9" w:rsidRDefault="007B471E" w:rsidP="00B408FD">
      <w:pPr>
        <w:pStyle w:val="tita"/>
        <w:tabs>
          <w:tab w:val="left" w:pos="2590"/>
        </w:tabs>
        <w:spacing w:before="0" w:after="0" w:line="240" w:lineRule="auto"/>
        <w:jc w:val="both"/>
        <w:rPr>
          <w:i w:val="0"/>
          <w:iCs w:val="0"/>
          <w:color w:val="FF0000"/>
          <w:sz w:val="22"/>
          <w:szCs w:val="22"/>
        </w:rPr>
      </w:pPr>
    </w:p>
    <w:p w:rsidR="00CC23EB" w:rsidRPr="00332EF9" w:rsidRDefault="005B74D2" w:rsidP="00B408FD">
      <w:pPr>
        <w:spacing w:after="0"/>
        <w:ind w:left="0"/>
        <w:rPr>
          <w:b/>
          <w:sz w:val="22"/>
          <w:szCs w:val="22"/>
        </w:rPr>
      </w:pPr>
      <w:r w:rsidRPr="00332EF9">
        <w:rPr>
          <w:b/>
          <w:sz w:val="22"/>
          <w:szCs w:val="22"/>
        </w:rPr>
        <w:t>É inadmissível subcontratação total, por ofensa às normas regentes dos contratos administrativos</w:t>
      </w:r>
    </w:p>
    <w:p w:rsidR="00AA1D1B" w:rsidRPr="00332EF9" w:rsidRDefault="00CC23EB" w:rsidP="00B408FD">
      <w:pPr>
        <w:pStyle w:val="TCU-RelVoto-demais"/>
        <w:spacing w:after="0"/>
        <w:rPr>
          <w:b/>
          <w:i/>
          <w:sz w:val="22"/>
        </w:rPr>
      </w:pPr>
      <w:r w:rsidRPr="00332EF9">
        <w:rPr>
          <w:sz w:val="22"/>
        </w:rPr>
        <w:t xml:space="preserve">Denúncia </w:t>
      </w:r>
      <w:r w:rsidR="00420098" w:rsidRPr="00332EF9">
        <w:rPr>
          <w:sz w:val="22"/>
        </w:rPr>
        <w:t xml:space="preserve">noticiou ao Tribunal </w:t>
      </w:r>
      <w:r w:rsidR="00731117">
        <w:rPr>
          <w:sz w:val="22"/>
        </w:rPr>
        <w:t xml:space="preserve">possíveis </w:t>
      </w:r>
      <w:r w:rsidRPr="00332EF9">
        <w:rPr>
          <w:sz w:val="22"/>
        </w:rPr>
        <w:t>irregularidades envolvendo o Município de Indiaroba/SE</w:t>
      </w:r>
      <w:r w:rsidR="00731117">
        <w:rPr>
          <w:sz w:val="22"/>
        </w:rPr>
        <w:t xml:space="preserve"> n</w:t>
      </w:r>
      <w:r w:rsidR="0027267D" w:rsidRPr="00332EF9">
        <w:rPr>
          <w:sz w:val="22"/>
        </w:rPr>
        <w:t xml:space="preserve">a aplicação dos recursos do Programa Nacional de Apoio ao Transporte Escolar – PNATE. Nesse contexto, foi </w:t>
      </w:r>
      <w:r w:rsidR="00420098" w:rsidRPr="00332EF9">
        <w:rPr>
          <w:sz w:val="22"/>
        </w:rPr>
        <w:t>apontada</w:t>
      </w:r>
      <w:r w:rsidR="0027267D" w:rsidRPr="00332EF9">
        <w:rPr>
          <w:sz w:val="22"/>
        </w:rPr>
        <w:t xml:space="preserve"> pela unidade técnica incumbida do feito a subcontratação praticada por empresa privada para a execução do Contrato 193/2010, cujo objeto consistia em </w:t>
      </w:r>
      <w:r w:rsidR="0027267D" w:rsidRPr="00332EF9">
        <w:rPr>
          <w:snapToGrid w:val="0"/>
          <w:sz w:val="22"/>
        </w:rPr>
        <w:t xml:space="preserve">serviço de transporte escolar no município. Para a unidade instrutiva, </w:t>
      </w:r>
      <w:r w:rsidR="0027267D" w:rsidRPr="00332EF9">
        <w:rPr>
          <w:sz w:val="22"/>
        </w:rPr>
        <w:t xml:space="preserve">em razão da execução integral do contrato por terceiros, a situação configurara caso típico de subcontratação total – caracterizada, na espécie, como sublocação total –, vedada pelo art. 72 da Lei nº 8.666/93, dispositivo que só considera legítima a subcontratação de </w:t>
      </w:r>
      <w:r w:rsidR="0027267D" w:rsidRPr="00332EF9">
        <w:rPr>
          <w:i/>
          <w:sz w:val="22"/>
        </w:rPr>
        <w:t xml:space="preserve">“partes da obra, serviço ou fornecimento, até o limite admitido, em cada caso, pela Administração”. </w:t>
      </w:r>
      <w:r w:rsidR="0027267D" w:rsidRPr="00332EF9">
        <w:rPr>
          <w:sz w:val="22"/>
        </w:rPr>
        <w:t xml:space="preserve">Ao examinar o fato, o relator </w:t>
      </w:r>
      <w:r w:rsidR="00CE3FC3" w:rsidRPr="00332EF9">
        <w:rPr>
          <w:sz w:val="22"/>
        </w:rPr>
        <w:t xml:space="preserve">destacou no seu voto </w:t>
      </w:r>
      <w:r w:rsidR="00020FC8" w:rsidRPr="00332EF9">
        <w:rPr>
          <w:sz w:val="22"/>
        </w:rPr>
        <w:t>que “</w:t>
      </w:r>
      <w:r w:rsidR="00020FC8" w:rsidRPr="00332EF9">
        <w:rPr>
          <w:i/>
          <w:sz w:val="22"/>
        </w:rPr>
        <w:t>não se deve perder de perspectiva que a subcontratação é regra de exceção, somente admitida quando não se mostrar viável, sob a ótica técnica e/ou econômica, a execução integral do objeto por parte da contratada, situação essa que deve ficar bem evidenciada ainda na fase do planejamento da contratação (fase interna da licitação). A subcontratação total, ao revés, não se coaduna com as normas que disciplinam os contratos administrativos</w:t>
      </w:r>
      <w:r w:rsidR="00020FC8" w:rsidRPr="00332EF9">
        <w:rPr>
          <w:sz w:val="22"/>
        </w:rPr>
        <w:t>”.</w:t>
      </w:r>
      <w:r w:rsidR="005B74D2" w:rsidRPr="00332EF9">
        <w:rPr>
          <w:sz w:val="22"/>
        </w:rPr>
        <w:t xml:space="preserve"> Destacou, ainda, vedação constante do próprio instrumento contratual firmado que, apesar de não estabelecer limites claros, obstaculizaria a subcontratação integral do objeto. Assim, ao concluir pela irregularidade das condutas dos responsáveis que haviam sido ouvidos em audiência a respeito do fato, votou o relator pela rejeição das justificativas apresentadas, </w:t>
      </w:r>
      <w:r w:rsidR="00731117">
        <w:rPr>
          <w:sz w:val="22"/>
        </w:rPr>
        <w:t>com</w:t>
      </w:r>
      <w:r w:rsidR="005B74D2" w:rsidRPr="00332EF9">
        <w:rPr>
          <w:sz w:val="22"/>
        </w:rPr>
        <w:t xml:space="preserve"> aplicação de multa a eles, no que foi acompanhado pelo Plenário. Precedente citado: Acórdão nº 1045/2006, do Plenário. </w:t>
      </w:r>
      <w:r w:rsidR="00AA1D1B" w:rsidRPr="00332EF9">
        <w:rPr>
          <w:b/>
          <w:i/>
          <w:sz w:val="22"/>
        </w:rPr>
        <w:t xml:space="preserve">Acórdão n.º </w:t>
      </w:r>
      <w:r w:rsidR="00271CF2" w:rsidRPr="00332EF9">
        <w:rPr>
          <w:b/>
          <w:i/>
          <w:sz w:val="22"/>
        </w:rPr>
        <w:t>2</w:t>
      </w:r>
      <w:r w:rsidR="002D15EB">
        <w:rPr>
          <w:b/>
          <w:i/>
          <w:sz w:val="22"/>
        </w:rPr>
        <w:t>1</w:t>
      </w:r>
      <w:r w:rsidRPr="00332EF9">
        <w:rPr>
          <w:b/>
          <w:i/>
          <w:sz w:val="22"/>
        </w:rPr>
        <w:t>8</w:t>
      </w:r>
      <w:r w:rsidR="007B7287" w:rsidRPr="00332EF9">
        <w:rPr>
          <w:b/>
          <w:i/>
          <w:sz w:val="22"/>
        </w:rPr>
        <w:t>9</w:t>
      </w:r>
      <w:r w:rsidR="00AA1D1B" w:rsidRPr="00332EF9">
        <w:rPr>
          <w:b/>
          <w:i/>
          <w:sz w:val="22"/>
        </w:rPr>
        <w:t>/2011-Plenário, TC-0</w:t>
      </w:r>
      <w:r w:rsidRPr="00332EF9">
        <w:rPr>
          <w:b/>
          <w:i/>
          <w:sz w:val="22"/>
        </w:rPr>
        <w:t>05</w:t>
      </w:r>
      <w:r w:rsidR="00AA1D1B" w:rsidRPr="00332EF9">
        <w:rPr>
          <w:b/>
          <w:i/>
          <w:sz w:val="22"/>
        </w:rPr>
        <w:t>.</w:t>
      </w:r>
      <w:r w:rsidRPr="00332EF9">
        <w:rPr>
          <w:b/>
          <w:i/>
          <w:sz w:val="22"/>
        </w:rPr>
        <w:t>769</w:t>
      </w:r>
      <w:r w:rsidR="00AA1D1B" w:rsidRPr="00332EF9">
        <w:rPr>
          <w:b/>
          <w:i/>
          <w:sz w:val="22"/>
        </w:rPr>
        <w:t>/20</w:t>
      </w:r>
      <w:r w:rsidR="007B7287" w:rsidRPr="00332EF9">
        <w:rPr>
          <w:b/>
          <w:i/>
          <w:sz w:val="22"/>
        </w:rPr>
        <w:t>1</w:t>
      </w:r>
      <w:r w:rsidR="00271CF2" w:rsidRPr="00332EF9">
        <w:rPr>
          <w:b/>
          <w:i/>
          <w:sz w:val="22"/>
        </w:rPr>
        <w:t>0</w:t>
      </w:r>
      <w:r w:rsidR="00AA1D1B" w:rsidRPr="00332EF9">
        <w:rPr>
          <w:b/>
          <w:i/>
          <w:sz w:val="22"/>
        </w:rPr>
        <w:t>-</w:t>
      </w:r>
      <w:r w:rsidRPr="00332EF9">
        <w:rPr>
          <w:b/>
          <w:i/>
          <w:sz w:val="22"/>
        </w:rPr>
        <w:t>8</w:t>
      </w:r>
      <w:r w:rsidR="00AA1D1B" w:rsidRPr="00332EF9">
        <w:rPr>
          <w:b/>
          <w:i/>
          <w:sz w:val="22"/>
        </w:rPr>
        <w:t xml:space="preserve">, rel. Min. </w:t>
      </w:r>
      <w:r w:rsidR="00E07901" w:rsidRPr="00332EF9">
        <w:rPr>
          <w:b/>
          <w:i/>
          <w:sz w:val="22"/>
        </w:rPr>
        <w:t>José Jorge</w:t>
      </w:r>
      <w:r w:rsidR="00AA1D1B" w:rsidRPr="00332EF9">
        <w:rPr>
          <w:b/>
          <w:i/>
          <w:sz w:val="22"/>
        </w:rPr>
        <w:t xml:space="preserve">, </w:t>
      </w:r>
      <w:r w:rsidR="007B7287" w:rsidRPr="00332EF9">
        <w:rPr>
          <w:b/>
          <w:i/>
          <w:sz w:val="22"/>
        </w:rPr>
        <w:t>1</w:t>
      </w:r>
      <w:r w:rsidR="00E07901" w:rsidRPr="00332EF9">
        <w:rPr>
          <w:b/>
          <w:i/>
          <w:sz w:val="22"/>
        </w:rPr>
        <w:t>7</w:t>
      </w:r>
      <w:r w:rsidR="00AA1D1B" w:rsidRPr="00332EF9">
        <w:rPr>
          <w:b/>
          <w:i/>
          <w:sz w:val="22"/>
        </w:rPr>
        <w:t>.0</w:t>
      </w:r>
      <w:r w:rsidR="00271CF2" w:rsidRPr="00332EF9">
        <w:rPr>
          <w:b/>
          <w:i/>
          <w:sz w:val="22"/>
        </w:rPr>
        <w:t>8</w:t>
      </w:r>
      <w:r w:rsidR="00AA1D1B" w:rsidRPr="00332EF9">
        <w:rPr>
          <w:b/>
          <w:i/>
          <w:sz w:val="22"/>
        </w:rPr>
        <w:t>.2011.</w:t>
      </w:r>
    </w:p>
    <w:p w:rsidR="00AA1D1B" w:rsidRPr="00332EF9" w:rsidRDefault="00AA1D1B" w:rsidP="00B408FD">
      <w:pPr>
        <w:pStyle w:val="tita"/>
        <w:tabs>
          <w:tab w:val="left" w:pos="2590"/>
        </w:tabs>
        <w:spacing w:before="0" w:after="0" w:line="240" w:lineRule="auto"/>
        <w:jc w:val="both"/>
        <w:rPr>
          <w:i w:val="0"/>
          <w:iCs w:val="0"/>
          <w:sz w:val="22"/>
          <w:szCs w:val="22"/>
        </w:rPr>
      </w:pPr>
    </w:p>
    <w:p w:rsidR="00653133" w:rsidRPr="00332EF9" w:rsidRDefault="00B657AB" w:rsidP="00B408FD">
      <w:pPr>
        <w:pStyle w:val="Corpodetexto"/>
        <w:tabs>
          <w:tab w:val="left" w:pos="851"/>
          <w:tab w:val="left" w:pos="2590"/>
        </w:tabs>
        <w:spacing w:after="0"/>
        <w:ind w:left="0"/>
        <w:rPr>
          <w:b/>
          <w:color w:val="FF0000"/>
          <w:sz w:val="22"/>
          <w:szCs w:val="22"/>
        </w:rPr>
      </w:pPr>
      <w:r w:rsidRPr="00332EF9">
        <w:rPr>
          <w:b/>
          <w:color w:val="000000"/>
          <w:sz w:val="22"/>
          <w:szCs w:val="22"/>
        </w:rPr>
        <w:t xml:space="preserve">Na utilização do inciso IV do art. 24 da Lei 8.666/1993 como fundamento da contratação direta, as obras e/ou serviços contratados devem estar adstritos aos itens </w:t>
      </w:r>
      <w:r w:rsidRPr="00332EF9">
        <w:rPr>
          <w:b/>
          <w:sz w:val="22"/>
          <w:szCs w:val="22"/>
        </w:rPr>
        <w:t>necessários ao atendimento da situação emergencial ou calamitosa e que possam ser concluídos no prazo máximo de 180 (cento e oitenta) dias consecutivos e ininterruptos, contados da ocorrência da emergência ou calamidade, vedada a prorrogação dos respectivos contratos</w:t>
      </w:r>
      <w:r w:rsidRPr="00332EF9">
        <w:rPr>
          <w:b/>
          <w:color w:val="FF0000"/>
          <w:sz w:val="22"/>
          <w:szCs w:val="22"/>
        </w:rPr>
        <w:t xml:space="preserve"> </w:t>
      </w:r>
    </w:p>
    <w:p w:rsidR="006478E6" w:rsidRPr="00332EF9" w:rsidRDefault="00A473D7" w:rsidP="00B408FD">
      <w:pPr>
        <w:spacing w:after="0"/>
        <w:ind w:left="0"/>
        <w:rPr>
          <w:b/>
          <w:i/>
          <w:color w:val="000000"/>
          <w:sz w:val="22"/>
          <w:szCs w:val="22"/>
        </w:rPr>
      </w:pPr>
      <w:r w:rsidRPr="00332EF9">
        <w:rPr>
          <w:sz w:val="22"/>
          <w:szCs w:val="22"/>
        </w:rPr>
        <w:t xml:space="preserve">Denúncia formulada ao Tribunal </w:t>
      </w:r>
      <w:r w:rsidR="005B74D2" w:rsidRPr="00332EF9">
        <w:rPr>
          <w:sz w:val="22"/>
          <w:szCs w:val="22"/>
        </w:rPr>
        <w:t>por conta</w:t>
      </w:r>
      <w:r w:rsidRPr="00332EF9">
        <w:rPr>
          <w:sz w:val="22"/>
          <w:szCs w:val="22"/>
        </w:rPr>
        <w:t xml:space="preserve"> de supostas irregularidades </w:t>
      </w:r>
      <w:r w:rsidR="005B74D2" w:rsidRPr="00332EF9">
        <w:rPr>
          <w:sz w:val="22"/>
          <w:szCs w:val="22"/>
        </w:rPr>
        <w:t>ocorri</w:t>
      </w:r>
      <w:r w:rsidRPr="00332EF9">
        <w:rPr>
          <w:sz w:val="22"/>
          <w:szCs w:val="22"/>
        </w:rPr>
        <w:t xml:space="preserve">das no Instituto Federal de Educação, Ciência e Tecnologia do Piauí - (IFPI), atinentes à conclusão da obra do Campus Paulistana, na cidade de Paulistana/PI. Na etapa processual anterior, o Tribunal deliberou pela suspensão cautelar da contratação, dentre outras razões, pela utilização aparentemente indevida do </w:t>
      </w:r>
      <w:r w:rsidRPr="00332EF9">
        <w:rPr>
          <w:iCs/>
          <w:sz w:val="22"/>
          <w:szCs w:val="22"/>
        </w:rPr>
        <w:t>inc. IV do art. 24 da Lei 8.666/1993 (dispensa de licitação amparada na emergência) para a contratação de todo restante da obra, quando, na realidade, o IFPI deveria ter se limitado, por conta do fundamento util</w:t>
      </w:r>
      <w:r w:rsidR="00BC526B" w:rsidRPr="00332EF9">
        <w:rPr>
          <w:iCs/>
          <w:sz w:val="22"/>
          <w:szCs w:val="22"/>
        </w:rPr>
        <w:t>izado, à</w:t>
      </w:r>
      <w:r w:rsidRPr="00332EF9">
        <w:rPr>
          <w:iCs/>
          <w:sz w:val="22"/>
          <w:szCs w:val="22"/>
        </w:rPr>
        <w:t xml:space="preserve"> </w:t>
      </w:r>
      <w:r w:rsidRPr="00332EF9">
        <w:rPr>
          <w:sz w:val="22"/>
          <w:szCs w:val="22"/>
        </w:rPr>
        <w:t>emergência constante do dispositivo re</w:t>
      </w:r>
      <w:r w:rsidR="00FD5360" w:rsidRPr="00332EF9">
        <w:rPr>
          <w:sz w:val="22"/>
          <w:szCs w:val="22"/>
        </w:rPr>
        <w:t>tromencionado,</w:t>
      </w:r>
      <w:r w:rsidRPr="00332EF9">
        <w:rPr>
          <w:sz w:val="22"/>
          <w:szCs w:val="22"/>
        </w:rPr>
        <w:t xml:space="preserve"> </w:t>
      </w:r>
      <w:r w:rsidR="00FD5360" w:rsidRPr="00332EF9">
        <w:rPr>
          <w:sz w:val="22"/>
          <w:szCs w:val="22"/>
        </w:rPr>
        <w:t>à</w:t>
      </w:r>
      <w:r w:rsidRPr="00332EF9">
        <w:rPr>
          <w:sz w:val="22"/>
          <w:szCs w:val="22"/>
        </w:rPr>
        <w:t xml:space="preserve"> contratação de partes da obra ou de alguns serviços mais específicos, cuja não finalização em caráter de urgência pudesse causar sérios danos à estrutura já edificada, acarretando, por exemplo, a deterioração dos bens já empregados na obra</w:t>
      </w:r>
      <w:r w:rsidR="00FD5360" w:rsidRPr="00332EF9">
        <w:rPr>
          <w:sz w:val="22"/>
          <w:szCs w:val="22"/>
        </w:rPr>
        <w:t>, sempre mediante justificativa (ver informativo 65)</w:t>
      </w:r>
      <w:r w:rsidRPr="00332EF9">
        <w:rPr>
          <w:sz w:val="22"/>
          <w:szCs w:val="22"/>
        </w:rPr>
        <w:t xml:space="preserve">. </w:t>
      </w:r>
      <w:r w:rsidR="00FD5360" w:rsidRPr="00332EF9">
        <w:rPr>
          <w:sz w:val="22"/>
          <w:szCs w:val="22"/>
        </w:rPr>
        <w:t xml:space="preserve">Para o exame do mérito da matéria, o processo foi encaminhado à unidade técnica para instrução, na qual se consignou que </w:t>
      </w:r>
      <w:r w:rsidR="00A14E81" w:rsidRPr="00332EF9">
        <w:rPr>
          <w:sz w:val="22"/>
          <w:szCs w:val="22"/>
        </w:rPr>
        <w:t>“</w:t>
      </w:r>
      <w:r w:rsidR="00A14E81" w:rsidRPr="00332EF9">
        <w:rPr>
          <w:i/>
          <w:sz w:val="22"/>
          <w:szCs w:val="22"/>
        </w:rPr>
        <w:t>a administração do IFPI deve, contudo, atentar para o que estipula o final do item IV do art. 24 da Lei 8.666/93: ‘(...) e somente para os bens necessários ao atendimento da situação emergencial ou calamitosa e para as parcelas de obras e serviços que possam ser concluídos no prazo máximo de 180 (cento e oitenta) dias consecutivos e ininterruptos, contados da ocorrência da emergência ou calamidade, vedada a prorrogação dos respectivos contratos</w:t>
      </w:r>
      <w:r w:rsidR="00A14E81" w:rsidRPr="00332EF9">
        <w:rPr>
          <w:sz w:val="22"/>
          <w:szCs w:val="22"/>
        </w:rPr>
        <w:t xml:space="preserve">”, no que contou com anuência do relator, que votou por que fosse dado </w:t>
      </w:r>
      <w:r w:rsidR="00E07901" w:rsidRPr="00332EF9">
        <w:rPr>
          <w:sz w:val="22"/>
          <w:szCs w:val="22"/>
        </w:rPr>
        <w:t xml:space="preserve">ciência </w:t>
      </w:r>
      <w:r w:rsidR="00A14E81" w:rsidRPr="00332EF9">
        <w:rPr>
          <w:sz w:val="22"/>
          <w:szCs w:val="22"/>
        </w:rPr>
        <w:t xml:space="preserve">ao IFPI </w:t>
      </w:r>
      <w:r w:rsidR="00E07901" w:rsidRPr="00332EF9">
        <w:rPr>
          <w:sz w:val="22"/>
          <w:szCs w:val="22"/>
        </w:rPr>
        <w:t xml:space="preserve">de </w:t>
      </w:r>
      <w:r w:rsidR="00A14E81" w:rsidRPr="00332EF9">
        <w:rPr>
          <w:sz w:val="22"/>
          <w:szCs w:val="22"/>
        </w:rPr>
        <w:t xml:space="preserve">que </w:t>
      </w:r>
      <w:r w:rsidR="00E07901" w:rsidRPr="00332EF9">
        <w:rPr>
          <w:sz w:val="22"/>
          <w:szCs w:val="22"/>
        </w:rPr>
        <w:t>em razão do caráter emergencial da obra, a planilha orçamentária elaborada para a conclusão do Campus Paulistana não poderá ser onerada mediante a inclusão de itens que não guardem pertinência com a situação emergencial delineada, o que foi aprovado pelo Plenário.</w:t>
      </w:r>
      <w:r w:rsidRPr="00332EF9">
        <w:rPr>
          <w:sz w:val="22"/>
          <w:szCs w:val="22"/>
        </w:rPr>
        <w:t xml:space="preserve"> </w:t>
      </w:r>
      <w:r w:rsidR="006478E6" w:rsidRPr="00332EF9">
        <w:rPr>
          <w:b/>
          <w:i/>
          <w:color w:val="000000"/>
          <w:sz w:val="22"/>
          <w:szCs w:val="22"/>
        </w:rPr>
        <w:t>Acórdão n.º 2</w:t>
      </w:r>
      <w:r w:rsidRPr="00332EF9">
        <w:rPr>
          <w:b/>
          <w:i/>
          <w:color w:val="000000"/>
          <w:sz w:val="22"/>
          <w:szCs w:val="22"/>
        </w:rPr>
        <w:t>19</w:t>
      </w:r>
      <w:r w:rsidR="006478E6" w:rsidRPr="00332EF9">
        <w:rPr>
          <w:b/>
          <w:i/>
          <w:color w:val="000000"/>
          <w:sz w:val="22"/>
          <w:szCs w:val="22"/>
        </w:rPr>
        <w:t>0/2011-Plenário, TC-0</w:t>
      </w:r>
      <w:r w:rsidR="0091406E" w:rsidRPr="00332EF9">
        <w:rPr>
          <w:b/>
          <w:i/>
          <w:color w:val="000000"/>
          <w:sz w:val="22"/>
          <w:szCs w:val="22"/>
        </w:rPr>
        <w:t>1</w:t>
      </w:r>
      <w:r w:rsidRPr="00332EF9">
        <w:rPr>
          <w:b/>
          <w:i/>
          <w:color w:val="000000"/>
          <w:sz w:val="22"/>
          <w:szCs w:val="22"/>
        </w:rPr>
        <w:t>4</w:t>
      </w:r>
      <w:r w:rsidR="006478E6" w:rsidRPr="00332EF9">
        <w:rPr>
          <w:b/>
          <w:i/>
          <w:color w:val="000000"/>
          <w:sz w:val="22"/>
          <w:szCs w:val="22"/>
        </w:rPr>
        <w:t>.</w:t>
      </w:r>
      <w:r w:rsidRPr="00332EF9">
        <w:rPr>
          <w:b/>
          <w:i/>
          <w:color w:val="000000"/>
          <w:sz w:val="22"/>
          <w:szCs w:val="22"/>
        </w:rPr>
        <w:t>245</w:t>
      </w:r>
      <w:r w:rsidR="006478E6" w:rsidRPr="00332EF9">
        <w:rPr>
          <w:b/>
          <w:i/>
          <w:color w:val="000000"/>
          <w:sz w:val="22"/>
          <w:szCs w:val="22"/>
        </w:rPr>
        <w:t>/20</w:t>
      </w:r>
      <w:r w:rsidRPr="00332EF9">
        <w:rPr>
          <w:b/>
          <w:i/>
          <w:color w:val="000000"/>
          <w:sz w:val="22"/>
          <w:szCs w:val="22"/>
        </w:rPr>
        <w:t>11</w:t>
      </w:r>
      <w:r w:rsidR="006478E6" w:rsidRPr="00332EF9">
        <w:rPr>
          <w:b/>
          <w:i/>
          <w:color w:val="000000"/>
          <w:sz w:val="22"/>
          <w:szCs w:val="22"/>
        </w:rPr>
        <w:t>-</w:t>
      </w:r>
      <w:r w:rsidRPr="00332EF9">
        <w:rPr>
          <w:b/>
          <w:i/>
          <w:color w:val="000000"/>
          <w:sz w:val="22"/>
          <w:szCs w:val="22"/>
        </w:rPr>
        <w:t>6</w:t>
      </w:r>
      <w:r w:rsidR="006478E6" w:rsidRPr="00332EF9">
        <w:rPr>
          <w:b/>
          <w:i/>
          <w:color w:val="000000"/>
          <w:sz w:val="22"/>
          <w:szCs w:val="22"/>
        </w:rPr>
        <w:t xml:space="preserve">, rel. Min. </w:t>
      </w:r>
      <w:r w:rsidRPr="00332EF9">
        <w:rPr>
          <w:b/>
          <w:i/>
          <w:color w:val="000000"/>
          <w:sz w:val="22"/>
          <w:szCs w:val="22"/>
        </w:rPr>
        <w:t>José Jorge</w:t>
      </w:r>
      <w:r w:rsidR="006478E6" w:rsidRPr="00332EF9">
        <w:rPr>
          <w:b/>
          <w:i/>
          <w:color w:val="000000"/>
          <w:sz w:val="22"/>
          <w:szCs w:val="22"/>
        </w:rPr>
        <w:t xml:space="preserve">, </w:t>
      </w:r>
      <w:r w:rsidR="00D86C20" w:rsidRPr="00332EF9">
        <w:rPr>
          <w:b/>
          <w:i/>
          <w:color w:val="000000"/>
          <w:sz w:val="22"/>
          <w:szCs w:val="22"/>
        </w:rPr>
        <w:t>1</w:t>
      </w:r>
      <w:r w:rsidRPr="00332EF9">
        <w:rPr>
          <w:b/>
          <w:i/>
          <w:color w:val="000000"/>
          <w:sz w:val="22"/>
          <w:szCs w:val="22"/>
        </w:rPr>
        <w:t>7</w:t>
      </w:r>
      <w:r w:rsidR="006478E6" w:rsidRPr="00332EF9">
        <w:rPr>
          <w:b/>
          <w:i/>
          <w:color w:val="000000"/>
          <w:sz w:val="22"/>
          <w:szCs w:val="22"/>
        </w:rPr>
        <w:t>.08.2011.</w:t>
      </w:r>
    </w:p>
    <w:p w:rsidR="006478E6" w:rsidRPr="00332EF9" w:rsidRDefault="006478E6" w:rsidP="00B408FD">
      <w:pPr>
        <w:pStyle w:val="tita"/>
        <w:tabs>
          <w:tab w:val="left" w:pos="2590"/>
        </w:tabs>
        <w:spacing w:before="0" w:after="0" w:line="240" w:lineRule="auto"/>
        <w:jc w:val="both"/>
        <w:rPr>
          <w:i w:val="0"/>
          <w:iCs w:val="0"/>
          <w:sz w:val="22"/>
          <w:szCs w:val="22"/>
        </w:rPr>
      </w:pPr>
    </w:p>
    <w:p w:rsidR="002B32DD" w:rsidRPr="00332EF9" w:rsidRDefault="00663B35" w:rsidP="00B408FD">
      <w:pPr>
        <w:tabs>
          <w:tab w:val="left" w:pos="1134"/>
        </w:tabs>
        <w:spacing w:after="0"/>
        <w:ind w:left="0"/>
        <w:rPr>
          <w:b/>
          <w:sz w:val="22"/>
          <w:szCs w:val="22"/>
          <w:lang w:eastAsia="pt-BR"/>
        </w:rPr>
      </w:pPr>
      <w:r w:rsidRPr="00332EF9">
        <w:rPr>
          <w:b/>
          <w:sz w:val="22"/>
          <w:szCs w:val="22"/>
          <w:lang w:eastAsia="pt-BR"/>
        </w:rPr>
        <w:t xml:space="preserve">Pregão para aquisição de mobiliário: 1 </w:t>
      </w:r>
      <w:r w:rsidR="008D0E23" w:rsidRPr="00332EF9">
        <w:rPr>
          <w:b/>
          <w:sz w:val="22"/>
          <w:szCs w:val="22"/>
          <w:lang w:eastAsia="pt-BR"/>
        </w:rPr>
        <w:t>–</w:t>
      </w:r>
      <w:r w:rsidRPr="00332EF9">
        <w:rPr>
          <w:b/>
          <w:sz w:val="22"/>
          <w:szCs w:val="22"/>
          <w:lang w:eastAsia="pt-BR"/>
        </w:rPr>
        <w:t xml:space="preserve"> </w:t>
      </w:r>
      <w:r w:rsidR="008D0E23" w:rsidRPr="00332EF9">
        <w:rPr>
          <w:b/>
          <w:sz w:val="22"/>
          <w:szCs w:val="22"/>
          <w:lang w:eastAsia="pt-BR"/>
        </w:rPr>
        <w:t>Declaração de idoneidade financeira não pode ser exigida, para</w:t>
      </w:r>
      <w:r w:rsidR="000E3C6D">
        <w:rPr>
          <w:b/>
          <w:sz w:val="22"/>
          <w:szCs w:val="22"/>
          <w:lang w:eastAsia="pt-BR"/>
        </w:rPr>
        <w:t xml:space="preserve"> o fim de habilitação em processo licitatório</w:t>
      </w:r>
    </w:p>
    <w:p w:rsidR="00AE4074" w:rsidRPr="00332EF9" w:rsidRDefault="00223BB9" w:rsidP="00B408FD">
      <w:pPr>
        <w:pStyle w:val="Citao"/>
        <w:spacing w:after="0"/>
        <w:ind w:left="0" w:right="0" w:firstLine="0"/>
        <w:rPr>
          <w:rFonts w:cs="Times New Roman"/>
          <w:color w:val="000000"/>
        </w:rPr>
      </w:pPr>
      <w:r w:rsidRPr="00332EF9">
        <w:rPr>
          <w:rFonts w:cs="Times New Roman"/>
        </w:rPr>
        <w:t>Representação tro</w:t>
      </w:r>
      <w:r w:rsidR="00731117">
        <w:rPr>
          <w:rFonts w:cs="Times New Roman"/>
        </w:rPr>
        <w:t xml:space="preserve">uxe ao conhecimento do Tribunal </w:t>
      </w:r>
      <w:r w:rsidRPr="00332EF9">
        <w:rPr>
          <w:rFonts w:cs="Times New Roman"/>
        </w:rPr>
        <w:t>irregularidades supostamente ocorridas no pregão eletrônico, com registro de preços, n° 1/2011, realizado pela</w:t>
      </w:r>
      <w:r w:rsidRPr="00332EF9">
        <w:rPr>
          <w:rFonts w:cs="Times New Roman"/>
          <w:b/>
        </w:rPr>
        <w:t xml:space="preserve"> </w:t>
      </w:r>
      <w:r w:rsidRPr="00332EF9">
        <w:rPr>
          <w:rFonts w:cs="Times New Roman"/>
        </w:rPr>
        <w:t>Escola de Comando e Estado Maior do Exército</w:t>
      </w:r>
      <w:r w:rsidR="004036AF" w:rsidRPr="00332EF9">
        <w:rPr>
          <w:rFonts w:cs="Times New Roman"/>
        </w:rPr>
        <w:t xml:space="preserve"> - </w:t>
      </w:r>
      <w:r w:rsidRPr="00332EF9">
        <w:rPr>
          <w:rFonts w:cs="Times New Roman"/>
        </w:rPr>
        <w:t>(</w:t>
      </w:r>
      <w:r w:rsidR="004036AF" w:rsidRPr="00332EF9">
        <w:rPr>
          <w:rFonts w:cs="Times New Roman"/>
          <w:color w:val="000000"/>
        </w:rPr>
        <w:t>ECEME</w:t>
      </w:r>
      <w:r w:rsidRPr="00332EF9">
        <w:rPr>
          <w:rFonts w:cs="Times New Roman"/>
        </w:rPr>
        <w:t xml:space="preserve">), para eventual aquisição de mobiliário, pelo prazo de doze meses. Dentre tais irregularidades, constou a </w:t>
      </w:r>
      <w:r w:rsidR="00473A4B" w:rsidRPr="00332EF9">
        <w:rPr>
          <w:rFonts w:cs="Times New Roman"/>
        </w:rPr>
        <w:t xml:space="preserve">exigência, para o fim de habilitação, de apresentação de declaração de idoneidade financeira, a ser expedida por instituição financeira em favor </w:t>
      </w:r>
      <w:r w:rsidR="008D0E23" w:rsidRPr="00332EF9">
        <w:rPr>
          <w:rFonts w:cs="Times New Roman"/>
        </w:rPr>
        <w:t>da licitante interessada. Ouvida</w:t>
      </w:r>
      <w:r w:rsidR="00473A4B" w:rsidRPr="00332EF9">
        <w:rPr>
          <w:rFonts w:cs="Times New Roman"/>
        </w:rPr>
        <w:t xml:space="preserve"> a respeito, </w:t>
      </w:r>
      <w:r w:rsidR="004036AF" w:rsidRPr="00332EF9">
        <w:rPr>
          <w:rFonts w:cs="Times New Roman"/>
        </w:rPr>
        <w:t xml:space="preserve">a </w:t>
      </w:r>
      <w:r w:rsidR="004036AF" w:rsidRPr="00332EF9">
        <w:rPr>
          <w:rFonts w:cs="Times New Roman"/>
          <w:color w:val="000000"/>
        </w:rPr>
        <w:t>ECEME</w:t>
      </w:r>
      <w:r w:rsidR="00473A4B" w:rsidRPr="00332EF9">
        <w:rPr>
          <w:rFonts w:cs="Times New Roman"/>
        </w:rPr>
        <w:t xml:space="preserve"> afirmou que a exigência em questão visaria assegurar a contração de empresa idônea e com garantias de sua posição financeira, “</w:t>
      </w:r>
      <w:r w:rsidR="00473A4B" w:rsidRPr="00332EF9">
        <w:rPr>
          <w:rFonts w:cs="Times New Roman"/>
          <w:i/>
        </w:rPr>
        <w:t>uma vez que o certame implica valores elevados e com expectativa de entrega com prazos exíguos a partir da emissão da nota de empenho</w:t>
      </w:r>
      <w:r w:rsidR="00473A4B" w:rsidRPr="00332EF9">
        <w:rPr>
          <w:rFonts w:cs="Times New Roman"/>
        </w:rPr>
        <w:t>”. Ademais, ainda no entender d</w:t>
      </w:r>
      <w:r w:rsidR="004036AF" w:rsidRPr="00332EF9">
        <w:rPr>
          <w:rFonts w:cs="Times New Roman"/>
        </w:rPr>
        <w:t>a</w:t>
      </w:r>
      <w:r w:rsidR="00473A4B" w:rsidRPr="00332EF9">
        <w:rPr>
          <w:rFonts w:cs="Times New Roman"/>
        </w:rPr>
        <w:t xml:space="preserve"> </w:t>
      </w:r>
      <w:r w:rsidR="008D0E23" w:rsidRPr="00332EF9">
        <w:rPr>
          <w:rFonts w:cs="Times New Roman"/>
          <w:color w:val="000000"/>
        </w:rPr>
        <w:t>ECEME</w:t>
      </w:r>
      <w:r w:rsidR="00473A4B" w:rsidRPr="00332EF9">
        <w:rPr>
          <w:rFonts w:cs="Times New Roman"/>
        </w:rPr>
        <w:t>, “</w:t>
      </w:r>
      <w:r w:rsidR="00473A4B" w:rsidRPr="00332EF9">
        <w:rPr>
          <w:rFonts w:cs="Times New Roman"/>
          <w:i/>
        </w:rPr>
        <w:t>somente após a entrega do produto a empresa receberá o valor devido, processo que perdura em média 60 dias entre a emissão da nota de empenho e o pagamento do fornecedor</w:t>
      </w:r>
      <w:r w:rsidR="00473A4B" w:rsidRPr="00332EF9">
        <w:rPr>
          <w:rFonts w:cs="Times New Roman"/>
        </w:rPr>
        <w:t xml:space="preserve">’. </w:t>
      </w:r>
      <w:r w:rsidR="004036AF" w:rsidRPr="00332EF9">
        <w:rPr>
          <w:rFonts w:cs="Times New Roman"/>
        </w:rPr>
        <w:t xml:space="preserve">Ao analisar o assunto, a unidade técnica consignou que </w:t>
      </w:r>
      <w:r w:rsidR="0002327E" w:rsidRPr="00332EF9">
        <w:rPr>
          <w:rFonts w:cs="Times New Roman"/>
        </w:rPr>
        <w:t>a referida declaração apenas informaria que a empresa seria cliente de determinada instituição financeira e que vem demonstrando idoneidade moral e financeira nos seus negócios com o banco. Não teria o referido documento, portanto, “</w:t>
      </w:r>
      <w:r w:rsidR="0002327E" w:rsidRPr="00332EF9">
        <w:rPr>
          <w:rFonts w:cs="Times New Roman"/>
          <w:i/>
        </w:rPr>
        <w:t>o condão de demonstrar a disponibilidade de recursos econômico-financeiros para a satisfatória execução do objeto da contratação, que é o que deve ser demonstrado quanto a qualificação econômico-financeira no certame</w:t>
      </w:r>
      <w:r w:rsidR="0002327E" w:rsidRPr="00332EF9">
        <w:rPr>
          <w:rFonts w:cs="Times New Roman"/>
        </w:rPr>
        <w:t>”. Além disso, ainda para a unidade técnica, “</w:t>
      </w:r>
      <w:r w:rsidR="0002327E" w:rsidRPr="00332EF9">
        <w:rPr>
          <w:rFonts w:cs="Times New Roman"/>
          <w:i/>
          <w:color w:val="000000"/>
        </w:rPr>
        <w:t>a referida declaração não encontra guarita na jurisprudência deste Tribunal, que tem se posicionado no sentido de que não se deve exigir nos processos licitatórios documentos além daqueles previstos nos arts. 28 a 31 da Lei nº 8.666/1993</w:t>
      </w:r>
      <w:r w:rsidR="0002327E" w:rsidRPr="00332EF9">
        <w:rPr>
          <w:rFonts w:cs="Times New Roman"/>
          <w:color w:val="000000"/>
        </w:rPr>
        <w:t>”.</w:t>
      </w:r>
      <w:r w:rsidR="007A5969" w:rsidRPr="00332EF9">
        <w:rPr>
          <w:rFonts w:cs="Times New Roman"/>
          <w:color w:val="000000"/>
        </w:rPr>
        <w:t xml:space="preserve"> Ao tratar do assunto, o relator, ao encampar as análises procedidas pela unidade instrutiva, deixou de acatar</w:t>
      </w:r>
      <w:r w:rsidR="008D0E23" w:rsidRPr="00332EF9">
        <w:rPr>
          <w:rFonts w:cs="Times New Roman"/>
          <w:color w:val="000000"/>
        </w:rPr>
        <w:t>, entretanto,</w:t>
      </w:r>
      <w:r w:rsidR="007A5969" w:rsidRPr="00332EF9">
        <w:rPr>
          <w:rFonts w:cs="Times New Roman"/>
          <w:color w:val="000000"/>
        </w:rPr>
        <w:t xml:space="preserve"> a proposta de audiência do pregoeiro, por entender que </w:t>
      </w:r>
      <w:r w:rsidR="007A5969" w:rsidRPr="00332EF9">
        <w:rPr>
          <w:rFonts w:cs="Times New Roman"/>
        </w:rPr>
        <w:t xml:space="preserve">a anulação do certame </w:t>
      </w:r>
      <w:r w:rsidR="008D0E23" w:rsidRPr="00332EF9">
        <w:rPr>
          <w:rFonts w:cs="Times New Roman"/>
        </w:rPr>
        <w:t xml:space="preserve">bastaria </w:t>
      </w:r>
      <w:r w:rsidR="007A5969" w:rsidRPr="00332EF9">
        <w:rPr>
          <w:rFonts w:cs="Times New Roman"/>
        </w:rPr>
        <w:t>à situação, a qual, por todo o contexto, não se revelara grave a ponto de se perseguir a apenação com multa</w:t>
      </w:r>
      <w:r w:rsidR="008D0E23" w:rsidRPr="00332EF9">
        <w:rPr>
          <w:rFonts w:cs="Times New Roman"/>
        </w:rPr>
        <w:t xml:space="preserve"> do responsável</w:t>
      </w:r>
      <w:r w:rsidR="007A5969" w:rsidRPr="00332EF9">
        <w:rPr>
          <w:rFonts w:cs="Times New Roman"/>
        </w:rPr>
        <w:t xml:space="preserve">. O Plenário, a partir dos argumentos expendidos pelo relator, manifestou sua anuência. </w:t>
      </w:r>
      <w:r w:rsidR="00AE4074" w:rsidRPr="00332EF9">
        <w:rPr>
          <w:rFonts w:cs="Times New Roman"/>
          <w:b/>
          <w:i/>
          <w:color w:val="000000"/>
        </w:rPr>
        <w:t>Acórdão n.º 21</w:t>
      </w:r>
      <w:r w:rsidRPr="00332EF9">
        <w:rPr>
          <w:rFonts w:cs="Times New Roman"/>
          <w:b/>
          <w:i/>
          <w:color w:val="000000"/>
        </w:rPr>
        <w:t>79</w:t>
      </w:r>
      <w:r w:rsidR="00AE4074" w:rsidRPr="00332EF9">
        <w:rPr>
          <w:rFonts w:cs="Times New Roman"/>
          <w:b/>
          <w:i/>
          <w:color w:val="000000"/>
        </w:rPr>
        <w:t>/2011</w:t>
      </w:r>
      <w:r w:rsidR="008D0E23" w:rsidRPr="00332EF9">
        <w:rPr>
          <w:rFonts w:cs="Times New Roman"/>
          <w:b/>
          <w:i/>
          <w:color w:val="000000"/>
        </w:rPr>
        <w:t>-Plenário</w:t>
      </w:r>
      <w:r w:rsidR="00AE4074" w:rsidRPr="00332EF9">
        <w:rPr>
          <w:rFonts w:cs="Times New Roman"/>
          <w:b/>
          <w:i/>
          <w:color w:val="000000"/>
        </w:rPr>
        <w:t>, TC-0</w:t>
      </w:r>
      <w:r w:rsidRPr="00332EF9">
        <w:rPr>
          <w:rFonts w:cs="Times New Roman"/>
          <w:b/>
          <w:i/>
          <w:color w:val="000000"/>
        </w:rPr>
        <w:t>06</w:t>
      </w:r>
      <w:r w:rsidR="00AE4074" w:rsidRPr="00332EF9">
        <w:rPr>
          <w:rFonts w:cs="Times New Roman"/>
          <w:b/>
          <w:i/>
          <w:color w:val="000000"/>
        </w:rPr>
        <w:t>.</w:t>
      </w:r>
      <w:r w:rsidRPr="00332EF9">
        <w:rPr>
          <w:rFonts w:cs="Times New Roman"/>
          <w:b/>
          <w:i/>
          <w:color w:val="000000"/>
        </w:rPr>
        <w:t>795</w:t>
      </w:r>
      <w:r w:rsidR="00AE4074" w:rsidRPr="00332EF9">
        <w:rPr>
          <w:rFonts w:cs="Times New Roman"/>
          <w:b/>
          <w:i/>
          <w:color w:val="000000"/>
        </w:rPr>
        <w:t>/201</w:t>
      </w:r>
      <w:r w:rsidRPr="00332EF9">
        <w:rPr>
          <w:rFonts w:cs="Times New Roman"/>
          <w:b/>
          <w:i/>
          <w:color w:val="000000"/>
        </w:rPr>
        <w:t>1-5</w:t>
      </w:r>
      <w:r w:rsidR="00AE4074" w:rsidRPr="00332EF9">
        <w:rPr>
          <w:rFonts w:cs="Times New Roman"/>
          <w:b/>
          <w:i/>
          <w:color w:val="000000"/>
        </w:rPr>
        <w:t xml:space="preserve">, rel. Min.-Subst. </w:t>
      </w:r>
      <w:r w:rsidRPr="00332EF9">
        <w:rPr>
          <w:rFonts w:cs="Times New Roman"/>
          <w:b/>
          <w:i/>
          <w:color w:val="000000"/>
        </w:rPr>
        <w:t>Weder de Oliveira</w:t>
      </w:r>
      <w:r w:rsidR="00AE4074" w:rsidRPr="00332EF9">
        <w:rPr>
          <w:rFonts w:cs="Times New Roman"/>
          <w:b/>
          <w:i/>
          <w:color w:val="000000"/>
        </w:rPr>
        <w:t>, 1</w:t>
      </w:r>
      <w:r w:rsidRPr="00332EF9">
        <w:rPr>
          <w:rFonts w:cs="Times New Roman"/>
          <w:b/>
          <w:i/>
          <w:color w:val="000000"/>
        </w:rPr>
        <w:t>7</w:t>
      </w:r>
      <w:r w:rsidR="00AE4074" w:rsidRPr="00332EF9">
        <w:rPr>
          <w:rFonts w:cs="Times New Roman"/>
          <w:b/>
          <w:i/>
          <w:color w:val="000000"/>
        </w:rPr>
        <w:t>.08.2011.</w:t>
      </w:r>
    </w:p>
    <w:p w:rsidR="00AE4074" w:rsidRPr="00332EF9" w:rsidRDefault="00AE4074" w:rsidP="00B408FD">
      <w:pPr>
        <w:pStyle w:val="tita"/>
        <w:tabs>
          <w:tab w:val="left" w:pos="2590"/>
        </w:tabs>
        <w:spacing w:before="0" w:after="0" w:line="240" w:lineRule="auto"/>
        <w:jc w:val="both"/>
        <w:rPr>
          <w:i w:val="0"/>
          <w:iCs w:val="0"/>
          <w:color w:val="FF0000"/>
          <w:sz w:val="22"/>
          <w:szCs w:val="22"/>
        </w:rPr>
      </w:pPr>
    </w:p>
    <w:p w:rsidR="006C63EB" w:rsidRPr="00332EF9" w:rsidRDefault="00663B35" w:rsidP="00B408FD">
      <w:pPr>
        <w:tabs>
          <w:tab w:val="left" w:pos="1134"/>
        </w:tabs>
        <w:spacing w:after="0"/>
        <w:ind w:left="0"/>
        <w:rPr>
          <w:b/>
          <w:sz w:val="22"/>
          <w:szCs w:val="22"/>
        </w:rPr>
      </w:pPr>
      <w:r w:rsidRPr="00332EF9">
        <w:rPr>
          <w:b/>
          <w:color w:val="000000"/>
          <w:sz w:val="22"/>
          <w:szCs w:val="22"/>
          <w:lang w:eastAsia="pt-BR"/>
        </w:rPr>
        <w:t xml:space="preserve">Pregão para aquisição de mobiliário: 2 - </w:t>
      </w:r>
      <w:r w:rsidR="006C63EB" w:rsidRPr="00332EF9">
        <w:rPr>
          <w:b/>
          <w:sz w:val="22"/>
          <w:szCs w:val="22"/>
        </w:rPr>
        <w:t>Visita técnica em licitação por pregão eletrônico para aquisição de móveis</w:t>
      </w:r>
      <w:r w:rsidR="00731117">
        <w:rPr>
          <w:b/>
          <w:sz w:val="22"/>
          <w:szCs w:val="22"/>
        </w:rPr>
        <w:t xml:space="preserve"> </w:t>
      </w:r>
      <w:r w:rsidR="006C63EB" w:rsidRPr="00332EF9">
        <w:rPr>
          <w:b/>
          <w:sz w:val="22"/>
          <w:szCs w:val="22"/>
        </w:rPr>
        <w:t>s</w:t>
      </w:r>
      <w:r w:rsidR="00332EF9">
        <w:rPr>
          <w:b/>
          <w:sz w:val="22"/>
          <w:szCs w:val="22"/>
        </w:rPr>
        <w:t>ó</w:t>
      </w:r>
      <w:r w:rsidR="006C63EB" w:rsidRPr="00332EF9">
        <w:rPr>
          <w:b/>
          <w:sz w:val="22"/>
          <w:szCs w:val="22"/>
        </w:rPr>
        <w:t xml:space="preserve"> de</w:t>
      </w:r>
      <w:r w:rsidR="00332EF9">
        <w:rPr>
          <w:b/>
          <w:sz w:val="22"/>
          <w:szCs w:val="22"/>
        </w:rPr>
        <w:t>ve</w:t>
      </w:r>
      <w:r w:rsidR="006C63EB" w:rsidRPr="00332EF9">
        <w:rPr>
          <w:b/>
          <w:sz w:val="22"/>
          <w:szCs w:val="22"/>
        </w:rPr>
        <w:t xml:space="preserve"> ser exigida se existentes elementos que a justifiquem, sendo ilícita que tal medida tenha de ser realizada por arquiteto empregado da licitante, dado não ter pertinência com a finalidade desse procedimento, além de não se amoldar ao disposto no art. 30, III, da Lei de Licitações</w:t>
      </w:r>
    </w:p>
    <w:p w:rsidR="007A5969" w:rsidRPr="00332EF9" w:rsidRDefault="00774C88" w:rsidP="00B408FD">
      <w:pPr>
        <w:tabs>
          <w:tab w:val="left" w:pos="1134"/>
        </w:tabs>
        <w:spacing w:after="0"/>
        <w:ind w:left="0"/>
        <w:rPr>
          <w:color w:val="000000"/>
          <w:sz w:val="22"/>
          <w:szCs w:val="22"/>
        </w:rPr>
      </w:pPr>
      <w:r w:rsidRPr="00332EF9">
        <w:rPr>
          <w:sz w:val="22"/>
          <w:szCs w:val="22"/>
        </w:rPr>
        <w:t xml:space="preserve">Outra suposta irregularidade detectada </w:t>
      </w:r>
      <w:r w:rsidR="007A5969" w:rsidRPr="00332EF9">
        <w:rPr>
          <w:sz w:val="22"/>
          <w:szCs w:val="22"/>
        </w:rPr>
        <w:t xml:space="preserve">na representação </w:t>
      </w:r>
      <w:r w:rsidRPr="00332EF9">
        <w:rPr>
          <w:sz w:val="22"/>
          <w:szCs w:val="22"/>
        </w:rPr>
        <w:t>formulada a</w:t>
      </w:r>
      <w:r w:rsidR="007A5969" w:rsidRPr="00332EF9">
        <w:rPr>
          <w:sz w:val="22"/>
          <w:szCs w:val="22"/>
        </w:rPr>
        <w:t xml:space="preserve">o Tribunal </w:t>
      </w:r>
      <w:r w:rsidRPr="00332EF9">
        <w:rPr>
          <w:sz w:val="22"/>
          <w:szCs w:val="22"/>
        </w:rPr>
        <w:t>em desfavor d</w:t>
      </w:r>
      <w:r w:rsidR="007A5969" w:rsidRPr="00332EF9">
        <w:rPr>
          <w:sz w:val="22"/>
          <w:szCs w:val="22"/>
        </w:rPr>
        <w:t>o pregão eletrônico, com registro de preços, n° 1/2011, realizado pela</w:t>
      </w:r>
      <w:r w:rsidR="007A5969" w:rsidRPr="00332EF9">
        <w:rPr>
          <w:b/>
          <w:sz w:val="22"/>
          <w:szCs w:val="22"/>
        </w:rPr>
        <w:t xml:space="preserve"> </w:t>
      </w:r>
      <w:r w:rsidR="007A5969" w:rsidRPr="00332EF9">
        <w:rPr>
          <w:sz w:val="22"/>
          <w:szCs w:val="22"/>
        </w:rPr>
        <w:t>Escola de Comando e Estado Maior do Exército - (</w:t>
      </w:r>
      <w:r w:rsidR="007A5969" w:rsidRPr="00332EF9">
        <w:rPr>
          <w:color w:val="000000"/>
          <w:sz w:val="22"/>
          <w:szCs w:val="22"/>
        </w:rPr>
        <w:t>ECEME</w:t>
      </w:r>
      <w:r w:rsidR="007A5969" w:rsidRPr="00332EF9">
        <w:rPr>
          <w:sz w:val="22"/>
          <w:szCs w:val="22"/>
        </w:rPr>
        <w:t>)</w:t>
      </w:r>
      <w:r w:rsidRPr="00332EF9">
        <w:rPr>
          <w:sz w:val="22"/>
          <w:szCs w:val="22"/>
        </w:rPr>
        <w:t>, para eventual aquisição de mobiliário, pelo prazo de doze meses, fora a obrigatoriedade de visita técnica por parte das licitantes interessadas, que, nos termos do edital, deveria ser realizada por arquiteto, responsável técnico da empresa, devidamente registrado no Conselho Regional de Engenharia e Arquitetura – (CREA) –, sendo que o referido profissional deveria pertencer ao quadro permanente da licitante, comprovando-se o vínculo mediante cópia autenticada da Carteira de Trabalho Profissional ou ficha de registro de empregado na empresa, também autenticada. Para a licitante, tal exigência seria abusiva, pois não se poderia exigir que o fornecedor de móveis tivesse um arquiteto como responsável técnico, “</w:t>
      </w:r>
      <w:r w:rsidRPr="00332EF9">
        <w:rPr>
          <w:i/>
          <w:sz w:val="22"/>
          <w:szCs w:val="22"/>
        </w:rPr>
        <w:t>quando a empresa que atua no comércio de móveis pode, por lei, funcionar sem qualquer arquiteto em seus quadros</w:t>
      </w:r>
      <w:r w:rsidRPr="00332EF9">
        <w:rPr>
          <w:sz w:val="22"/>
          <w:szCs w:val="22"/>
        </w:rPr>
        <w:t>”. Em sua opinião, “</w:t>
      </w:r>
      <w:r w:rsidRPr="00332EF9">
        <w:rPr>
          <w:i/>
          <w:sz w:val="22"/>
          <w:szCs w:val="22"/>
        </w:rPr>
        <w:t>tal condição fere a igualdade e restringe a competitividade, porquanto reduz o número de possíveis fornecedores àqueles que têm arquitetos como empregados</w:t>
      </w:r>
      <w:r w:rsidRPr="00332EF9">
        <w:rPr>
          <w:sz w:val="22"/>
          <w:szCs w:val="22"/>
        </w:rPr>
        <w:t xml:space="preserve">". Todavia, para a ECEME, </w:t>
      </w:r>
      <w:r w:rsidR="00663B35" w:rsidRPr="00332EF9">
        <w:rPr>
          <w:sz w:val="22"/>
          <w:szCs w:val="22"/>
        </w:rPr>
        <w:t>com a visita técnica a ser realizada por um arquiteto, a Administração poderia ter um acompanhamento de um profissional não existente nos seus quadros, para melhor adequação do mobiliário a ser adquirido nas novas instalações, bem como sua montagem nos auditórios e salas de aula, de forma a não se infringir nenhuma norma de segurança legal</w:t>
      </w:r>
      <w:r w:rsidRPr="00332EF9">
        <w:rPr>
          <w:sz w:val="22"/>
          <w:szCs w:val="22"/>
        </w:rPr>
        <w:t>.</w:t>
      </w:r>
      <w:r w:rsidR="00663B35" w:rsidRPr="00332EF9">
        <w:rPr>
          <w:sz w:val="22"/>
          <w:szCs w:val="22"/>
        </w:rPr>
        <w:t xml:space="preserve"> Além disso, por ser cediço que a obtenção do </w:t>
      </w:r>
      <w:r w:rsidR="000118BC" w:rsidRPr="00332EF9">
        <w:rPr>
          <w:sz w:val="22"/>
          <w:szCs w:val="22"/>
        </w:rPr>
        <w:t>‘</w:t>
      </w:r>
      <w:r w:rsidR="00663B35" w:rsidRPr="00332EF9">
        <w:rPr>
          <w:sz w:val="22"/>
          <w:szCs w:val="22"/>
        </w:rPr>
        <w:t>habite-se</w:t>
      </w:r>
      <w:r w:rsidR="000118BC" w:rsidRPr="00332EF9">
        <w:rPr>
          <w:sz w:val="22"/>
          <w:szCs w:val="22"/>
        </w:rPr>
        <w:t>’</w:t>
      </w:r>
      <w:r w:rsidR="00663B35" w:rsidRPr="00332EF9">
        <w:rPr>
          <w:sz w:val="22"/>
          <w:szCs w:val="22"/>
        </w:rPr>
        <w:t xml:space="preserve"> de uma nova edificação deveria passar por uma vistoria dos órgãos municipais e estaduais de fiscalização e que este instituto somente é concedido quando todas as exigências legais são obedecidas, “</w:t>
      </w:r>
      <w:r w:rsidR="00663B35" w:rsidRPr="00332EF9">
        <w:rPr>
          <w:i/>
          <w:sz w:val="22"/>
          <w:szCs w:val="22"/>
        </w:rPr>
        <w:t>não poderia a Administração incorrer no risco de não poder ocupar o prédio por não ter o mobiliário de seu auditório atendendo às normas técnicas específica</w:t>
      </w:r>
      <w:r w:rsidR="006C63EB" w:rsidRPr="00332EF9">
        <w:rPr>
          <w:i/>
          <w:sz w:val="22"/>
          <w:szCs w:val="22"/>
        </w:rPr>
        <w:t>s</w:t>
      </w:r>
      <w:r w:rsidR="00663B35" w:rsidRPr="00332EF9">
        <w:rPr>
          <w:i/>
          <w:sz w:val="22"/>
          <w:szCs w:val="22"/>
        </w:rPr>
        <w:t xml:space="preserve"> e/ou ter seu mobiliário montado de forma a não atender tais requisitos</w:t>
      </w:r>
      <w:r w:rsidR="00663B35" w:rsidRPr="00332EF9">
        <w:rPr>
          <w:sz w:val="22"/>
          <w:szCs w:val="22"/>
        </w:rPr>
        <w:t>”. Desse modo, ainda no ponto de vista da ECEME, seria “</w:t>
      </w:r>
      <w:r w:rsidR="00663B35" w:rsidRPr="00332EF9">
        <w:rPr>
          <w:i/>
          <w:sz w:val="22"/>
          <w:szCs w:val="22"/>
        </w:rPr>
        <w:t>indispensável exigência de um profissional competente com registro no CREA para acompanhar a visita técnica, visualizando as plantas do anexo e os edifícios já existentes de forma que possibilite aos licitantes uma justa formação de preço, levando em consideração todos os fatos relevantes na montagem dos produtos</w:t>
      </w:r>
      <w:r w:rsidR="00663B35" w:rsidRPr="00332EF9">
        <w:rPr>
          <w:sz w:val="22"/>
          <w:szCs w:val="22"/>
        </w:rPr>
        <w:t>”. O relator, entretanto, discordou do entendimento da ECEME. Para ele, a exigência de visita técnica a ser realizada por arquiteto empregado da licitante seria ilícita, dado não ter pertinência com a finalidade desse procedimento, além de não se amoldar ao disposto no art. 30, III, da Lei de Licitações.</w:t>
      </w:r>
      <w:r w:rsidR="001665B9" w:rsidRPr="00332EF9">
        <w:rPr>
          <w:sz w:val="22"/>
          <w:szCs w:val="22"/>
        </w:rPr>
        <w:t xml:space="preserve"> Ainda conforme o relator, seria controversa até mesmo a própria exigência de visita técnica em licitação por pregão eletrônico para aquisição de móveis, de tal forma que o gestor prudente somente a deveria exigir se existentes elementos que a justificassem, como condição para perfeito cumprimento das obrigações futuras e adequada formulação da proposta, sob pena de correr-se o risco de haver impugnação pela ilegalidade da exigência. </w:t>
      </w:r>
      <w:r w:rsidR="001665B9" w:rsidRPr="00332EF9">
        <w:rPr>
          <w:color w:val="000000"/>
          <w:sz w:val="22"/>
          <w:szCs w:val="22"/>
        </w:rPr>
        <w:t>Por conseguinte</w:t>
      </w:r>
      <w:r w:rsidR="007A5969" w:rsidRPr="00332EF9">
        <w:rPr>
          <w:color w:val="000000"/>
          <w:sz w:val="22"/>
          <w:szCs w:val="22"/>
        </w:rPr>
        <w:t xml:space="preserve">, o relator, </w:t>
      </w:r>
      <w:r w:rsidR="001665B9" w:rsidRPr="00332EF9">
        <w:rPr>
          <w:color w:val="000000"/>
          <w:sz w:val="22"/>
          <w:szCs w:val="22"/>
        </w:rPr>
        <w:t>concluiu por descabida a exigência. Todavia</w:t>
      </w:r>
      <w:r w:rsidR="007A5969" w:rsidRPr="00332EF9">
        <w:rPr>
          <w:color w:val="000000"/>
          <w:sz w:val="22"/>
          <w:szCs w:val="22"/>
        </w:rPr>
        <w:t xml:space="preserve">, por entender que </w:t>
      </w:r>
      <w:r w:rsidR="007A5969" w:rsidRPr="00332EF9">
        <w:rPr>
          <w:sz w:val="22"/>
          <w:szCs w:val="22"/>
        </w:rPr>
        <w:t xml:space="preserve">a anulação do certame por ele sugerida seria a medida apropriada à situação, a qual, por todo o contexto, não se revelara grave a ponto de se perseguir a apenação </w:t>
      </w:r>
      <w:r w:rsidR="001665B9" w:rsidRPr="00332EF9">
        <w:rPr>
          <w:sz w:val="22"/>
          <w:szCs w:val="22"/>
        </w:rPr>
        <w:t xml:space="preserve">dos responsáveis </w:t>
      </w:r>
      <w:r w:rsidR="007A5969" w:rsidRPr="00332EF9">
        <w:rPr>
          <w:sz w:val="22"/>
          <w:szCs w:val="22"/>
        </w:rPr>
        <w:t>com multa</w:t>
      </w:r>
      <w:r w:rsidR="001665B9" w:rsidRPr="00332EF9">
        <w:rPr>
          <w:sz w:val="22"/>
          <w:szCs w:val="22"/>
        </w:rPr>
        <w:t>, deixou de acolher a proposta da unidade instrutiva pela realização de audiência do pregoeiro incumbido da condução do certame</w:t>
      </w:r>
      <w:r w:rsidR="007A5969" w:rsidRPr="00332EF9">
        <w:rPr>
          <w:sz w:val="22"/>
          <w:szCs w:val="22"/>
        </w:rPr>
        <w:t xml:space="preserve">. O Plenário, a partir dos argumentos expendidos pelo relator, manifestou sua anuência. </w:t>
      </w:r>
      <w:r w:rsidR="007A5969" w:rsidRPr="00332EF9">
        <w:rPr>
          <w:b/>
          <w:i/>
          <w:color w:val="000000"/>
          <w:sz w:val="22"/>
          <w:szCs w:val="22"/>
        </w:rPr>
        <w:t>Acórdão n.º 2179/2011</w:t>
      </w:r>
      <w:r w:rsidR="008D0E23" w:rsidRPr="00332EF9">
        <w:rPr>
          <w:b/>
          <w:i/>
          <w:color w:val="000000"/>
          <w:sz w:val="22"/>
          <w:szCs w:val="22"/>
        </w:rPr>
        <w:t>-Plenário</w:t>
      </w:r>
      <w:r w:rsidR="007A5969" w:rsidRPr="00332EF9">
        <w:rPr>
          <w:b/>
          <w:i/>
          <w:color w:val="000000"/>
          <w:sz w:val="22"/>
          <w:szCs w:val="22"/>
        </w:rPr>
        <w:t>, TC-006.795/2011-5, rel. Min.-Subst. Weder de Oliveira, 17.08.2011.</w:t>
      </w:r>
    </w:p>
    <w:p w:rsidR="007A5969" w:rsidRPr="00332EF9" w:rsidRDefault="007A5969" w:rsidP="00B408FD">
      <w:pPr>
        <w:pStyle w:val="tita"/>
        <w:tabs>
          <w:tab w:val="left" w:pos="2590"/>
        </w:tabs>
        <w:spacing w:before="0" w:after="0" w:line="240" w:lineRule="auto"/>
        <w:jc w:val="both"/>
        <w:rPr>
          <w:i w:val="0"/>
          <w:iCs w:val="0"/>
          <w:color w:val="FF0000"/>
          <w:sz w:val="22"/>
          <w:szCs w:val="22"/>
        </w:rPr>
      </w:pPr>
    </w:p>
    <w:p w:rsidR="001665B9" w:rsidRPr="00332EF9" w:rsidRDefault="001665B9" w:rsidP="00B408FD">
      <w:pPr>
        <w:tabs>
          <w:tab w:val="left" w:pos="1134"/>
        </w:tabs>
        <w:spacing w:after="0"/>
        <w:ind w:left="0"/>
        <w:rPr>
          <w:b/>
          <w:sz w:val="22"/>
          <w:szCs w:val="22"/>
          <w:lang w:eastAsia="pt-BR"/>
        </w:rPr>
      </w:pPr>
      <w:r w:rsidRPr="00332EF9">
        <w:rPr>
          <w:b/>
          <w:color w:val="000000"/>
          <w:sz w:val="22"/>
          <w:szCs w:val="22"/>
          <w:lang w:eastAsia="pt-BR"/>
        </w:rPr>
        <w:t xml:space="preserve">Pregão para aquisição de mobiliário: </w:t>
      </w:r>
      <w:r w:rsidR="006C63EB" w:rsidRPr="00332EF9">
        <w:rPr>
          <w:b/>
          <w:color w:val="000000"/>
          <w:sz w:val="22"/>
          <w:szCs w:val="22"/>
          <w:lang w:eastAsia="pt-BR"/>
        </w:rPr>
        <w:t>3</w:t>
      </w:r>
      <w:r w:rsidRPr="00332EF9">
        <w:rPr>
          <w:b/>
          <w:color w:val="000000"/>
          <w:sz w:val="22"/>
          <w:szCs w:val="22"/>
          <w:lang w:eastAsia="pt-BR"/>
        </w:rPr>
        <w:t xml:space="preserve"> </w:t>
      </w:r>
      <w:r w:rsidR="001C72D6" w:rsidRPr="00332EF9">
        <w:rPr>
          <w:b/>
          <w:sz w:val="22"/>
          <w:szCs w:val="22"/>
          <w:lang w:eastAsia="pt-BR"/>
        </w:rPr>
        <w:t>–</w:t>
      </w:r>
      <w:r w:rsidRPr="00332EF9">
        <w:rPr>
          <w:b/>
          <w:sz w:val="22"/>
          <w:szCs w:val="22"/>
          <w:lang w:eastAsia="pt-BR"/>
        </w:rPr>
        <w:t xml:space="preserve"> </w:t>
      </w:r>
      <w:r w:rsidR="001C72D6" w:rsidRPr="00332EF9">
        <w:rPr>
          <w:b/>
          <w:sz w:val="22"/>
          <w:szCs w:val="22"/>
          <w:lang w:eastAsia="pt-BR"/>
        </w:rPr>
        <w:t>No caso de supressão de exigências do edital que possam alterar a formulação das propostas das licitantes interessadas deverá ocorrer a republicação do instrumento convocatório</w:t>
      </w:r>
    </w:p>
    <w:p w:rsidR="001665B9" w:rsidRPr="00332EF9" w:rsidRDefault="001665B9" w:rsidP="00B408FD">
      <w:pPr>
        <w:pStyle w:val="Normal-numerado-VOT01"/>
        <w:numPr>
          <w:ilvl w:val="0"/>
          <w:numId w:val="0"/>
        </w:numPr>
        <w:spacing w:before="0" w:after="0"/>
        <w:rPr>
          <w:color w:val="000000"/>
          <w:sz w:val="22"/>
          <w:szCs w:val="22"/>
        </w:rPr>
      </w:pPr>
      <w:r w:rsidRPr="00332EF9">
        <w:rPr>
          <w:sz w:val="22"/>
          <w:szCs w:val="22"/>
        </w:rPr>
        <w:t>Na mesma representação formulada ao Tribunal em desfavor do pregão eletrônico, com registro de preços, n° 1/2011, realizado pela</w:t>
      </w:r>
      <w:r w:rsidRPr="00332EF9">
        <w:rPr>
          <w:b/>
          <w:sz w:val="22"/>
          <w:szCs w:val="22"/>
        </w:rPr>
        <w:t xml:space="preserve"> </w:t>
      </w:r>
      <w:r w:rsidRPr="00332EF9">
        <w:rPr>
          <w:sz w:val="22"/>
          <w:szCs w:val="22"/>
        </w:rPr>
        <w:t>Escola de Comando e Estado Maior do Exército - (</w:t>
      </w:r>
      <w:r w:rsidRPr="00332EF9">
        <w:rPr>
          <w:color w:val="000000"/>
          <w:sz w:val="22"/>
          <w:szCs w:val="22"/>
        </w:rPr>
        <w:t>ECEME</w:t>
      </w:r>
      <w:r w:rsidRPr="00332EF9">
        <w:rPr>
          <w:sz w:val="22"/>
          <w:szCs w:val="22"/>
        </w:rPr>
        <w:t xml:space="preserve">), para eventual aquisição de mobiliário, </w:t>
      </w:r>
      <w:r w:rsidR="0065528E" w:rsidRPr="00332EF9">
        <w:rPr>
          <w:sz w:val="22"/>
          <w:szCs w:val="22"/>
        </w:rPr>
        <w:t xml:space="preserve">outra irregularidade teria sido a não republicação do edital em razão da supressão de exigências </w:t>
      </w:r>
      <w:r w:rsidR="00CA522F" w:rsidRPr="00332EF9">
        <w:rPr>
          <w:sz w:val="22"/>
          <w:szCs w:val="22"/>
        </w:rPr>
        <w:t xml:space="preserve">constantes do referido instrumento convocatório </w:t>
      </w:r>
      <w:r w:rsidR="0065528E" w:rsidRPr="00332EF9">
        <w:rPr>
          <w:sz w:val="22"/>
          <w:szCs w:val="22"/>
        </w:rPr>
        <w:t>(garantia de qualidade ISO 9002 e certificado de registro de propriedade industrial) no dia anterior à abertura das propostas</w:t>
      </w:r>
      <w:r w:rsidR="0065606D" w:rsidRPr="00332EF9">
        <w:rPr>
          <w:sz w:val="22"/>
          <w:szCs w:val="22"/>
        </w:rPr>
        <w:t xml:space="preserve">. Em resposta à oitiva promovida pelo TCU, o </w:t>
      </w:r>
      <w:r w:rsidR="00744619" w:rsidRPr="00332EF9">
        <w:rPr>
          <w:sz w:val="22"/>
          <w:szCs w:val="22"/>
        </w:rPr>
        <w:t xml:space="preserve">pregoeiro responsável pelo certame informou entender que </w:t>
      </w:r>
      <w:r w:rsidR="00F56CB9" w:rsidRPr="00332EF9">
        <w:rPr>
          <w:sz w:val="22"/>
          <w:szCs w:val="22"/>
        </w:rPr>
        <w:t>“</w:t>
      </w:r>
      <w:r w:rsidR="00CA522F" w:rsidRPr="00332EF9">
        <w:rPr>
          <w:i/>
          <w:sz w:val="22"/>
          <w:szCs w:val="22"/>
        </w:rPr>
        <w:t>as modificações que foram feitas às impugnações aceitas não influenciavam no conteúdo das propostas; ao contrário, suprimia exigências, o que facilita a entrada de mais fornecedores</w:t>
      </w:r>
      <w:r w:rsidR="00F56CB9" w:rsidRPr="00332EF9">
        <w:rPr>
          <w:sz w:val="22"/>
          <w:szCs w:val="22"/>
        </w:rPr>
        <w:t>”</w:t>
      </w:r>
      <w:r w:rsidR="00CA522F" w:rsidRPr="00332EF9">
        <w:rPr>
          <w:sz w:val="22"/>
          <w:szCs w:val="22"/>
        </w:rPr>
        <w:t>. O art. 21, § 4º, da Lei nº 8.666/1993</w:t>
      </w:r>
      <w:r w:rsidR="00F56CB9" w:rsidRPr="00332EF9">
        <w:rPr>
          <w:sz w:val="22"/>
          <w:szCs w:val="22"/>
        </w:rPr>
        <w:t xml:space="preserve">, seria, então, </w:t>
      </w:r>
      <w:r w:rsidR="00CA522F" w:rsidRPr="00332EF9">
        <w:rPr>
          <w:sz w:val="22"/>
          <w:szCs w:val="22"/>
        </w:rPr>
        <w:t xml:space="preserve">claro ao dizer que, </w:t>
      </w:r>
      <w:r w:rsidR="00F56CB9" w:rsidRPr="00332EF9">
        <w:rPr>
          <w:sz w:val="22"/>
          <w:szCs w:val="22"/>
        </w:rPr>
        <w:t>“</w:t>
      </w:r>
      <w:r w:rsidR="00CA522F" w:rsidRPr="00332EF9">
        <w:rPr>
          <w:i/>
          <w:sz w:val="22"/>
          <w:szCs w:val="22"/>
        </w:rPr>
        <w:t>se a modificação não influencia o conteúdo das propostas a serem apresentadas, os prazos iniciais poderão ser mantidos</w:t>
      </w:r>
      <w:r w:rsidR="00CA522F" w:rsidRPr="00332EF9">
        <w:rPr>
          <w:sz w:val="22"/>
          <w:szCs w:val="22"/>
        </w:rPr>
        <w:t>”.</w:t>
      </w:r>
      <w:r w:rsidR="00F56CB9" w:rsidRPr="00332EF9">
        <w:rPr>
          <w:sz w:val="22"/>
          <w:szCs w:val="22"/>
        </w:rPr>
        <w:t xml:space="preserve"> Todavia, para o relator o que teria ocorrido seria um erro de interpretação por parte do pregoeiro, já que o citado comando legal menciona </w:t>
      </w:r>
      <w:r w:rsidR="001C72D6" w:rsidRPr="00332EF9">
        <w:rPr>
          <w:sz w:val="22"/>
          <w:szCs w:val="22"/>
        </w:rPr>
        <w:t>‘</w:t>
      </w:r>
      <w:r w:rsidR="00F56CB9" w:rsidRPr="00332EF9">
        <w:rPr>
          <w:sz w:val="22"/>
          <w:szCs w:val="22"/>
        </w:rPr>
        <w:t>formulação de propostas</w:t>
      </w:r>
      <w:r w:rsidR="001C72D6" w:rsidRPr="00332EF9">
        <w:rPr>
          <w:sz w:val="22"/>
          <w:szCs w:val="22"/>
        </w:rPr>
        <w:t>’</w:t>
      </w:r>
      <w:r w:rsidR="00F56CB9" w:rsidRPr="00332EF9">
        <w:rPr>
          <w:sz w:val="22"/>
          <w:szCs w:val="22"/>
        </w:rPr>
        <w:t xml:space="preserve"> e não </w:t>
      </w:r>
      <w:r w:rsidR="001C72D6" w:rsidRPr="00332EF9">
        <w:rPr>
          <w:sz w:val="22"/>
          <w:szCs w:val="22"/>
        </w:rPr>
        <w:t>‘</w:t>
      </w:r>
      <w:r w:rsidR="00F56CB9" w:rsidRPr="00332EF9">
        <w:rPr>
          <w:sz w:val="22"/>
          <w:szCs w:val="22"/>
        </w:rPr>
        <w:t>conteúdo das propostas</w:t>
      </w:r>
      <w:r w:rsidR="001C72D6" w:rsidRPr="00332EF9">
        <w:rPr>
          <w:sz w:val="22"/>
          <w:szCs w:val="22"/>
        </w:rPr>
        <w:t>’</w:t>
      </w:r>
      <w:r w:rsidR="00F56CB9" w:rsidRPr="00332EF9">
        <w:rPr>
          <w:sz w:val="22"/>
          <w:szCs w:val="22"/>
        </w:rPr>
        <w:t>. Ainda consoante o relator, “</w:t>
      </w:r>
      <w:r w:rsidR="00F56CB9" w:rsidRPr="00332EF9">
        <w:rPr>
          <w:i/>
          <w:sz w:val="22"/>
          <w:szCs w:val="22"/>
        </w:rPr>
        <w:t>a supressão de exigências de habilitação, pode-se afirmar, não afetaria o conteúdo das propostas já formuladas ou na iminência de serem apresentadas, mas, como entende o pregoeiro, facilitaria a entrada de mais fornecedores. Exatamente por isso, deveria o edital ser republicado, de forma a permitir a ‘formulação de propostas’ por empresas que não intencionavam fazê-lo por serem afetadas por exigência constante do edital e que veio a ser suprimida na véspera da apresentação, modificação a qual não foi dada a devida divulgação, em correto cumprimento ao que dispõem o art. 21, § 4º, da Lei nº 8.666/1993 e o art. 20 do Decreto nº 5.450/2005</w:t>
      </w:r>
      <w:r w:rsidR="00F56CB9" w:rsidRPr="00332EF9">
        <w:rPr>
          <w:sz w:val="22"/>
          <w:szCs w:val="22"/>
        </w:rPr>
        <w:t>”.</w:t>
      </w:r>
      <w:r w:rsidRPr="00332EF9">
        <w:rPr>
          <w:sz w:val="22"/>
          <w:szCs w:val="22"/>
        </w:rPr>
        <w:t xml:space="preserve"> </w:t>
      </w:r>
      <w:r w:rsidRPr="00332EF9">
        <w:rPr>
          <w:color w:val="000000"/>
          <w:sz w:val="22"/>
          <w:szCs w:val="22"/>
        </w:rPr>
        <w:t xml:space="preserve">Por conseguinte, o relator </w:t>
      </w:r>
      <w:r w:rsidR="00F56CB9" w:rsidRPr="00332EF9">
        <w:rPr>
          <w:color w:val="000000"/>
          <w:sz w:val="22"/>
          <w:szCs w:val="22"/>
        </w:rPr>
        <w:t>concluiu que deveria ter sido providenciada a republicação do edital do certame</w:t>
      </w:r>
      <w:r w:rsidRPr="00332EF9">
        <w:rPr>
          <w:color w:val="000000"/>
          <w:sz w:val="22"/>
          <w:szCs w:val="22"/>
        </w:rPr>
        <w:t xml:space="preserve">. Todavia, por entender que </w:t>
      </w:r>
      <w:r w:rsidRPr="00332EF9">
        <w:rPr>
          <w:sz w:val="22"/>
          <w:szCs w:val="22"/>
        </w:rPr>
        <w:t xml:space="preserve">a anulação do certame por ele sugerida seria a medida apropriada à situação, a qual, por todo o contexto, não se revelara grave a ponto de se perseguir a apenação dos responsáveis com multa, deixou de acolher a proposta da unidade instrutiva pela realização de audiência do pregoeiro incumbido da condução do certame. O Plenário, a partir dos argumentos expendidos pelo relator, manifestou sua anuência. </w:t>
      </w:r>
      <w:r w:rsidRPr="00332EF9">
        <w:rPr>
          <w:b/>
          <w:i/>
          <w:color w:val="000000"/>
          <w:sz w:val="22"/>
          <w:szCs w:val="22"/>
        </w:rPr>
        <w:t>Acórdão n.º 2179/2011</w:t>
      </w:r>
      <w:r w:rsidR="001C72D6" w:rsidRPr="00332EF9">
        <w:rPr>
          <w:b/>
          <w:i/>
          <w:color w:val="000000"/>
          <w:sz w:val="22"/>
          <w:szCs w:val="22"/>
        </w:rPr>
        <w:t>-Plenário</w:t>
      </w:r>
      <w:r w:rsidRPr="00332EF9">
        <w:rPr>
          <w:b/>
          <w:i/>
          <w:color w:val="000000"/>
          <w:sz w:val="22"/>
          <w:szCs w:val="22"/>
        </w:rPr>
        <w:t>, TC-006.795/2011-5</w:t>
      </w:r>
      <w:r w:rsidR="008D0E23" w:rsidRPr="00332EF9">
        <w:rPr>
          <w:b/>
          <w:i/>
          <w:color w:val="000000"/>
          <w:sz w:val="22"/>
          <w:szCs w:val="22"/>
        </w:rPr>
        <w:t>-Plenário</w:t>
      </w:r>
      <w:r w:rsidRPr="00332EF9">
        <w:rPr>
          <w:b/>
          <w:i/>
          <w:color w:val="000000"/>
          <w:sz w:val="22"/>
          <w:szCs w:val="22"/>
        </w:rPr>
        <w:t>, rel. Min.-Subst. Weder de Oliveira, 17.08.2011.</w:t>
      </w:r>
    </w:p>
    <w:p w:rsidR="006D3693" w:rsidRPr="002B32DD" w:rsidRDefault="006D3693" w:rsidP="00B408FD">
      <w:pPr>
        <w:tabs>
          <w:tab w:val="left" w:pos="1134"/>
        </w:tabs>
        <w:ind w:left="0"/>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tblGrid>
      <w:tr w:rsidR="007334B1" w:rsidRPr="00805659" w:rsidTr="0030360F">
        <w:trPr>
          <w:trHeight w:val="779"/>
          <w:jc w:val="center"/>
        </w:trPr>
        <w:tc>
          <w:tcPr>
            <w:tcW w:w="0" w:type="auto"/>
            <w:vAlign w:val="center"/>
          </w:tcPr>
          <w:p w:rsidR="007334B1" w:rsidRPr="002E6712" w:rsidRDefault="00C10DD5" w:rsidP="00B408FD">
            <w:pPr>
              <w:pStyle w:val="enter-3pt"/>
              <w:tabs>
                <w:tab w:val="left" w:pos="2590"/>
              </w:tabs>
              <w:spacing w:line="240" w:lineRule="auto"/>
              <w:jc w:val="center"/>
              <w:rPr>
                <w:b/>
                <w:i/>
                <w:sz w:val="18"/>
                <w:szCs w:val="18"/>
              </w:rPr>
            </w:pPr>
            <w:r w:rsidRPr="002E6712">
              <w:rPr>
                <w:b/>
                <w:i/>
                <w:sz w:val="18"/>
                <w:szCs w:val="18"/>
              </w:rPr>
              <w:t>Elaboração: Secretaria das Sessões</w:t>
            </w:r>
          </w:p>
          <w:p w:rsidR="007334B1" w:rsidRPr="002E6712" w:rsidRDefault="007334B1" w:rsidP="00B408FD">
            <w:pPr>
              <w:pStyle w:val="enter-3pt"/>
              <w:tabs>
                <w:tab w:val="left" w:pos="2590"/>
              </w:tabs>
              <w:spacing w:line="240" w:lineRule="auto"/>
              <w:jc w:val="center"/>
              <w:rPr>
                <w:b/>
                <w:i/>
                <w:sz w:val="22"/>
                <w:szCs w:val="22"/>
              </w:rPr>
            </w:pPr>
            <w:r w:rsidRPr="002E6712">
              <w:rPr>
                <w:b/>
                <w:i/>
                <w:sz w:val="18"/>
                <w:szCs w:val="18"/>
              </w:rPr>
              <w:t xml:space="preserve">Contato: </w:t>
            </w:r>
            <w:hyperlink r:id="rId8" w:history="1">
              <w:r w:rsidRPr="002E6712">
                <w:rPr>
                  <w:rStyle w:val="Hyperlink"/>
                  <w:b/>
                  <w:i/>
                  <w:color w:val="auto"/>
                  <w:sz w:val="18"/>
                  <w:szCs w:val="18"/>
                </w:rPr>
                <w:t>infojuris@tcu.gov.br</w:t>
              </w:r>
            </w:hyperlink>
          </w:p>
        </w:tc>
      </w:tr>
    </w:tbl>
    <w:p w:rsidR="007334B1" w:rsidRPr="00805659" w:rsidRDefault="007334B1" w:rsidP="00B408FD">
      <w:pPr>
        <w:pStyle w:val="enter-3pt"/>
        <w:tabs>
          <w:tab w:val="left" w:pos="2590"/>
        </w:tabs>
        <w:spacing w:line="240" w:lineRule="auto"/>
        <w:rPr>
          <w:b/>
          <w:color w:val="FF0000"/>
          <w:sz w:val="22"/>
          <w:szCs w:val="22"/>
        </w:rPr>
      </w:pPr>
    </w:p>
    <w:sectPr w:rsidR="007334B1" w:rsidRPr="00805659" w:rsidSect="00F340CD">
      <w:headerReference w:type="default" r:id="rId9"/>
      <w:footerReference w:type="default" r:id="rId10"/>
      <w:pgSz w:w="11906" w:h="16838" w:code="9"/>
      <w:pgMar w:top="1134" w:right="851" w:bottom="851" w:left="1418"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BF5" w:rsidRDefault="00062BF5" w:rsidP="008B0547">
      <w:pPr>
        <w:spacing w:after="0"/>
      </w:pPr>
      <w:r>
        <w:separator/>
      </w:r>
    </w:p>
  </w:endnote>
  <w:endnote w:type="continuationSeparator" w:id="0">
    <w:p w:rsidR="00062BF5" w:rsidRDefault="00062BF5" w:rsidP="008B05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47" w:rsidRPr="00C906CD" w:rsidRDefault="00C906CD" w:rsidP="004E357A">
    <w:pPr>
      <w:pStyle w:val="Rodap"/>
      <w:jc w:val="right"/>
      <w:rPr>
        <w:sz w:val="20"/>
        <w:szCs w:val="20"/>
      </w:rPr>
    </w:pPr>
    <w:r w:rsidRPr="00C906CD">
      <w:rPr>
        <w:sz w:val="20"/>
        <w:szCs w:val="20"/>
      </w:rPr>
      <w:fldChar w:fldCharType="begin"/>
    </w:r>
    <w:r w:rsidRPr="00C906CD">
      <w:rPr>
        <w:sz w:val="20"/>
        <w:szCs w:val="20"/>
      </w:rPr>
      <w:instrText xml:space="preserve"> PAGE   \* MERGEFORMAT </w:instrText>
    </w:r>
    <w:r w:rsidRPr="00C906CD">
      <w:rPr>
        <w:sz w:val="20"/>
        <w:szCs w:val="20"/>
      </w:rPr>
      <w:fldChar w:fldCharType="separate"/>
    </w:r>
    <w:r w:rsidR="007E38AE">
      <w:rPr>
        <w:noProof/>
        <w:sz w:val="20"/>
        <w:szCs w:val="20"/>
      </w:rPr>
      <w:t>1</w:t>
    </w:r>
    <w:r w:rsidRPr="00C906CD">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BF5" w:rsidRDefault="00062BF5" w:rsidP="008B0547">
      <w:pPr>
        <w:spacing w:after="0"/>
      </w:pPr>
      <w:r>
        <w:separator/>
      </w:r>
    </w:p>
  </w:footnote>
  <w:footnote w:type="continuationSeparator" w:id="0">
    <w:p w:rsidR="00062BF5" w:rsidRDefault="00062BF5" w:rsidP="008B054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547" w:rsidRDefault="008B5AE6" w:rsidP="00080148">
    <w:pPr>
      <w:spacing w:after="0"/>
      <w:rPr>
        <w:rFonts w:ascii="Arial" w:hAnsi="Arial" w:cs="Arial"/>
        <w:b/>
      </w:rPr>
    </w:pPr>
    <w:r>
      <w:rPr>
        <w:rFonts w:ascii="Arial" w:hAnsi="Arial" w:cs="Arial"/>
        <w:b/>
        <w:noProof/>
        <w:lang w:eastAsia="pt-BR"/>
      </w:rPr>
      <w:drawing>
        <wp:anchor distT="0" distB="0" distL="114300" distR="114300" simplePos="0" relativeHeight="251657216" behindDoc="0" locked="0" layoutInCell="1" allowOverlap="1">
          <wp:simplePos x="0" y="0"/>
          <wp:positionH relativeFrom="column">
            <wp:posOffset>-37465</wp:posOffset>
          </wp:positionH>
          <wp:positionV relativeFrom="paragraph">
            <wp:posOffset>-71120</wp:posOffset>
          </wp:positionV>
          <wp:extent cx="551815" cy="436880"/>
          <wp:effectExtent l="0" t="0" r="635" b="1270"/>
          <wp:wrapNone/>
          <wp:docPr id="2" name="Imagem 1" descr="LogoT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T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547">
      <w:rPr>
        <w:rFonts w:ascii="Arial" w:hAnsi="Arial" w:cs="Arial"/>
        <w:b/>
      </w:rPr>
      <w:t>TRIBUNAL DE CONTAS DA UNIÃO</w:t>
    </w:r>
  </w:p>
  <w:p w:rsidR="008B0547" w:rsidRPr="00515E7B" w:rsidRDefault="008B5AE6" w:rsidP="00080148">
    <w:pPr>
      <w:spacing w:after="0"/>
      <w:rPr>
        <w:rFonts w:ascii="Arial" w:hAnsi="Arial" w:cs="Arial"/>
        <w:b/>
      </w:rPr>
    </w:pPr>
    <w:r w:rsidRPr="00515E7B">
      <w:rPr>
        <w:rFonts w:ascii="Arial" w:hAnsi="Arial" w:cs="Arial"/>
        <w:noProof/>
        <w:lang w:eastAsia="pt-BR"/>
      </w:rPr>
      <mc:AlternateContent>
        <mc:Choice Requires="wps">
          <w:drawing>
            <wp:anchor distT="0" distB="0" distL="114300" distR="114300" simplePos="0" relativeHeight="251658240" behindDoc="0" locked="0" layoutInCell="1" allowOverlap="1">
              <wp:simplePos x="0" y="0"/>
              <wp:positionH relativeFrom="margin">
                <wp:posOffset>37465</wp:posOffset>
              </wp:positionH>
              <wp:positionV relativeFrom="paragraph">
                <wp:posOffset>243840</wp:posOffset>
              </wp:positionV>
              <wp:extent cx="6120130" cy="0"/>
              <wp:effectExtent l="8890" t="5715" r="508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9CA3"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5pt,19.2pt" to="484.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">
              <w10:wrap anchorx="margin"/>
            </v:line>
          </w:pict>
        </mc:Fallback>
      </mc:AlternateContent>
    </w:r>
    <w:r w:rsidR="00515E7B" w:rsidRPr="00515E7B">
      <w:rPr>
        <w:rFonts w:ascii="Arial" w:hAnsi="Arial" w:cs="Arial"/>
        <w:noProof/>
        <w:lang w:eastAsia="pt-BR"/>
      </w:rPr>
      <w:t>Info</w:t>
    </w:r>
    <w:r w:rsidR="006F4DE0">
      <w:rPr>
        <w:rFonts w:ascii="Arial" w:hAnsi="Arial" w:cs="Arial"/>
        <w:noProof/>
        <w:lang w:eastAsia="pt-BR"/>
      </w:rPr>
      <w:t>rmativo</w:t>
    </w:r>
    <w:r w:rsidR="00515E7B">
      <w:rPr>
        <w:rFonts w:ascii="Arial" w:hAnsi="Arial" w:cs="Arial"/>
        <w:noProof/>
        <w:lang w:eastAsia="pt-BR"/>
      </w:rPr>
      <w:t xml:space="preserve"> </w:t>
    </w:r>
    <w:r w:rsidR="002810D9">
      <w:rPr>
        <w:rFonts w:ascii="Arial" w:hAnsi="Arial" w:cs="Arial"/>
        <w:noProof/>
        <w:lang w:eastAsia="pt-BR"/>
      </w:rPr>
      <w:t>de Jurisprudência sobre</w:t>
    </w:r>
    <w:r w:rsidR="00515E7B">
      <w:rPr>
        <w:rFonts w:ascii="Arial" w:hAnsi="Arial" w:cs="Arial"/>
        <w:noProof/>
        <w:lang w:eastAsia="pt-BR"/>
      </w:rPr>
      <w:t xml:space="preserve"> </w:t>
    </w:r>
    <w:r w:rsidR="002810D9">
      <w:rPr>
        <w:rFonts w:ascii="Arial" w:hAnsi="Arial" w:cs="Arial"/>
        <w:noProof/>
        <w:lang w:eastAsia="pt-BR"/>
      </w:rPr>
      <w:t>L</w:t>
    </w:r>
    <w:r w:rsidR="00515E7B" w:rsidRPr="00515E7B">
      <w:rPr>
        <w:rFonts w:ascii="Arial" w:hAnsi="Arial" w:cs="Arial"/>
        <w:noProof/>
        <w:lang w:eastAsia="pt-BR"/>
      </w:rPr>
      <w:t xml:space="preserve">icitações e </w:t>
    </w:r>
    <w:r w:rsidR="002810D9">
      <w:rPr>
        <w:rFonts w:ascii="Arial" w:hAnsi="Arial" w:cs="Arial"/>
        <w:noProof/>
        <w:lang w:eastAsia="pt-BR"/>
      </w:rPr>
      <w:t>C</w:t>
    </w:r>
    <w:r w:rsidR="00515E7B" w:rsidRPr="00515E7B">
      <w:rPr>
        <w:rFonts w:ascii="Arial" w:hAnsi="Arial" w:cs="Arial"/>
        <w:noProof/>
        <w:lang w:eastAsia="pt-BR"/>
      </w:rPr>
      <w:t>ontratos</w:t>
    </w:r>
    <w:r w:rsidR="00FF7C62">
      <w:rPr>
        <w:rFonts w:ascii="Arial" w:hAnsi="Arial" w:cs="Arial"/>
        <w:noProof/>
        <w:lang w:eastAsia="pt-BR"/>
      </w:rPr>
      <w:t xml:space="preserve"> nº </w:t>
    </w:r>
    <w:r w:rsidR="00837D13">
      <w:rPr>
        <w:rFonts w:ascii="Arial" w:hAnsi="Arial" w:cs="Arial"/>
        <w:noProof/>
        <w:lang w:eastAsia="pt-BR"/>
      </w:rPr>
      <w:t>7</w:t>
    </w:r>
    <w:r w:rsidR="007E5DED">
      <w:rPr>
        <w:rFonts w:ascii="Arial" w:hAnsi="Arial" w:cs="Arial"/>
        <w:noProof/>
        <w:lang w:eastAsia="pt-BR"/>
      </w:rPr>
      <w:t>6</w:t>
    </w:r>
  </w:p>
  <w:p w:rsidR="008B0547" w:rsidRDefault="008B054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1BB1"/>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3D0350"/>
    <w:multiLevelType w:val="hybridMultilevel"/>
    <w:tmpl w:val="720CCA86"/>
    <w:lvl w:ilvl="0" w:tplc="E6D07442">
      <w:start w:val="2"/>
      <w:numFmt w:val="decimal"/>
      <w:lvlText w:val="%1."/>
      <w:lvlJc w:val="left"/>
      <w:pPr>
        <w:tabs>
          <w:tab w:val="num" w:pos="2061"/>
        </w:tabs>
        <w:ind w:left="2061"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95F393A"/>
    <w:multiLevelType w:val="hybridMultilevel"/>
    <w:tmpl w:val="CC3EFE78"/>
    <w:lvl w:ilvl="0" w:tplc="F27285C2">
      <w:start w:val="2"/>
      <w:numFmt w:val="decimal"/>
      <w:pStyle w:val="Normal-numerado-REL01"/>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B7538BA"/>
    <w:multiLevelType w:val="multilevel"/>
    <w:tmpl w:val="003A07FC"/>
    <w:lvl w:ilvl="0">
      <w:start w:val="2"/>
      <w:numFmt w:val="decimal"/>
      <w:lvlText w:val="%1."/>
      <w:lvlJc w:val="left"/>
      <w:pPr>
        <w:ind w:left="1080" w:hanging="360"/>
      </w:pPr>
      <w:rPr>
        <w:rFonts w:cs="Times New Roman" w:hint="default"/>
        <w:color w:val="00000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1202DB3"/>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7844A58"/>
    <w:multiLevelType w:val="hybridMultilevel"/>
    <w:tmpl w:val="5A222BB8"/>
    <w:lvl w:ilvl="0" w:tplc="C8562B38">
      <w:start w:val="2"/>
      <w:numFmt w:val="decimal"/>
      <w:lvlText w:val="%1."/>
      <w:lvlJc w:val="left"/>
      <w:pPr>
        <w:ind w:left="1854" w:hanging="360"/>
      </w:pPr>
      <w:rPr>
        <w:rFonts w:cs="Times New Roman" w:hint="default"/>
      </w:rPr>
    </w:lvl>
    <w:lvl w:ilvl="1" w:tplc="04160019" w:tentative="1">
      <w:start w:val="1"/>
      <w:numFmt w:val="lowerLetter"/>
      <w:lvlText w:val="%2."/>
      <w:lvlJc w:val="left"/>
      <w:pPr>
        <w:ind w:left="2574" w:hanging="360"/>
      </w:pPr>
      <w:rPr>
        <w:rFonts w:cs="Times New Roman"/>
      </w:rPr>
    </w:lvl>
    <w:lvl w:ilvl="2" w:tplc="0416001B" w:tentative="1">
      <w:start w:val="1"/>
      <w:numFmt w:val="lowerRoman"/>
      <w:lvlText w:val="%3."/>
      <w:lvlJc w:val="right"/>
      <w:pPr>
        <w:ind w:left="3294" w:hanging="180"/>
      </w:pPr>
      <w:rPr>
        <w:rFonts w:cs="Times New Roman"/>
      </w:rPr>
    </w:lvl>
    <w:lvl w:ilvl="3" w:tplc="0416000F" w:tentative="1">
      <w:start w:val="1"/>
      <w:numFmt w:val="decimal"/>
      <w:lvlText w:val="%4."/>
      <w:lvlJc w:val="left"/>
      <w:pPr>
        <w:ind w:left="4014" w:hanging="360"/>
      </w:pPr>
      <w:rPr>
        <w:rFonts w:cs="Times New Roman"/>
      </w:rPr>
    </w:lvl>
    <w:lvl w:ilvl="4" w:tplc="04160019" w:tentative="1">
      <w:start w:val="1"/>
      <w:numFmt w:val="lowerLetter"/>
      <w:lvlText w:val="%5."/>
      <w:lvlJc w:val="left"/>
      <w:pPr>
        <w:ind w:left="4734" w:hanging="360"/>
      </w:pPr>
      <w:rPr>
        <w:rFonts w:cs="Times New Roman"/>
      </w:rPr>
    </w:lvl>
    <w:lvl w:ilvl="5" w:tplc="0416001B" w:tentative="1">
      <w:start w:val="1"/>
      <w:numFmt w:val="lowerRoman"/>
      <w:lvlText w:val="%6."/>
      <w:lvlJc w:val="right"/>
      <w:pPr>
        <w:ind w:left="5454" w:hanging="180"/>
      </w:pPr>
      <w:rPr>
        <w:rFonts w:cs="Times New Roman"/>
      </w:rPr>
    </w:lvl>
    <w:lvl w:ilvl="6" w:tplc="0416000F" w:tentative="1">
      <w:start w:val="1"/>
      <w:numFmt w:val="decimal"/>
      <w:lvlText w:val="%7."/>
      <w:lvlJc w:val="left"/>
      <w:pPr>
        <w:ind w:left="6174" w:hanging="360"/>
      </w:pPr>
      <w:rPr>
        <w:rFonts w:cs="Times New Roman"/>
      </w:rPr>
    </w:lvl>
    <w:lvl w:ilvl="7" w:tplc="04160019" w:tentative="1">
      <w:start w:val="1"/>
      <w:numFmt w:val="lowerLetter"/>
      <w:lvlText w:val="%8."/>
      <w:lvlJc w:val="left"/>
      <w:pPr>
        <w:ind w:left="6894" w:hanging="360"/>
      </w:pPr>
      <w:rPr>
        <w:rFonts w:cs="Times New Roman"/>
      </w:rPr>
    </w:lvl>
    <w:lvl w:ilvl="8" w:tplc="0416001B" w:tentative="1">
      <w:start w:val="1"/>
      <w:numFmt w:val="lowerRoman"/>
      <w:lvlText w:val="%9."/>
      <w:lvlJc w:val="right"/>
      <w:pPr>
        <w:ind w:left="7614" w:hanging="180"/>
      </w:pPr>
      <w:rPr>
        <w:rFonts w:cs="Times New Roman"/>
      </w:rPr>
    </w:lvl>
  </w:abstractNum>
  <w:abstractNum w:abstractNumId="6">
    <w:nsid w:val="185F349C"/>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9283672"/>
    <w:multiLevelType w:val="hybridMultilevel"/>
    <w:tmpl w:val="889899D2"/>
    <w:lvl w:ilvl="0" w:tplc="E45636D6">
      <w:start w:val="2"/>
      <w:numFmt w:val="decimal"/>
      <w:pStyle w:val="Normal-numerado-VOT01"/>
      <w:lvlText w:val="%1."/>
      <w:lvlJc w:val="left"/>
      <w:pPr>
        <w:ind w:left="720" w:hanging="360"/>
      </w:pPr>
      <w:rPr>
        <w:rFonts w:ascii="Times New Roman" w:hAnsi="Times New Roman" w:cs="Times New Roman" w:hint="default"/>
      </w:rPr>
    </w:lvl>
    <w:lvl w:ilvl="1" w:tplc="04160019">
      <w:start w:val="1"/>
      <w:numFmt w:val="lowerLetter"/>
      <w:lvlText w:val="%2."/>
      <w:lvlJc w:val="left"/>
      <w:pPr>
        <w:ind w:left="1440" w:hanging="360"/>
      </w:pPr>
      <w:rPr>
        <w:rFonts w:ascii="Times New Roman" w:hAnsi="Times New Roman" w:cs="Times New Roman"/>
      </w:rPr>
    </w:lvl>
    <w:lvl w:ilvl="2" w:tplc="0416001B">
      <w:start w:val="1"/>
      <w:numFmt w:val="lowerRoman"/>
      <w:lvlText w:val="%3."/>
      <w:lvlJc w:val="right"/>
      <w:pPr>
        <w:ind w:left="2160" w:hanging="180"/>
      </w:pPr>
      <w:rPr>
        <w:rFonts w:ascii="Times New Roman" w:hAnsi="Times New Roman" w:cs="Times New Roman"/>
      </w:rPr>
    </w:lvl>
    <w:lvl w:ilvl="3" w:tplc="0416000F">
      <w:start w:val="1"/>
      <w:numFmt w:val="decimal"/>
      <w:lvlText w:val="%4."/>
      <w:lvlJc w:val="left"/>
      <w:pPr>
        <w:ind w:left="2880" w:hanging="360"/>
      </w:pPr>
      <w:rPr>
        <w:rFonts w:ascii="Times New Roman" w:hAnsi="Times New Roman" w:cs="Times New Roman"/>
      </w:rPr>
    </w:lvl>
    <w:lvl w:ilvl="4" w:tplc="04160019">
      <w:start w:val="1"/>
      <w:numFmt w:val="lowerLetter"/>
      <w:lvlText w:val="%5."/>
      <w:lvlJc w:val="left"/>
      <w:pPr>
        <w:ind w:left="3600" w:hanging="360"/>
      </w:pPr>
      <w:rPr>
        <w:rFonts w:ascii="Times New Roman" w:hAnsi="Times New Roman" w:cs="Times New Roman"/>
      </w:rPr>
    </w:lvl>
    <w:lvl w:ilvl="5" w:tplc="0416001B">
      <w:start w:val="1"/>
      <w:numFmt w:val="lowerRoman"/>
      <w:lvlText w:val="%6."/>
      <w:lvlJc w:val="right"/>
      <w:pPr>
        <w:ind w:left="4320" w:hanging="180"/>
      </w:pPr>
      <w:rPr>
        <w:rFonts w:ascii="Times New Roman" w:hAnsi="Times New Roman" w:cs="Times New Roman"/>
      </w:rPr>
    </w:lvl>
    <w:lvl w:ilvl="6" w:tplc="0416000F">
      <w:start w:val="1"/>
      <w:numFmt w:val="decimal"/>
      <w:lvlText w:val="%7."/>
      <w:lvlJc w:val="left"/>
      <w:pPr>
        <w:ind w:left="5040" w:hanging="360"/>
      </w:pPr>
      <w:rPr>
        <w:rFonts w:ascii="Times New Roman" w:hAnsi="Times New Roman" w:cs="Times New Roman"/>
      </w:rPr>
    </w:lvl>
    <w:lvl w:ilvl="7" w:tplc="04160019">
      <w:start w:val="1"/>
      <w:numFmt w:val="lowerLetter"/>
      <w:lvlText w:val="%8."/>
      <w:lvlJc w:val="left"/>
      <w:pPr>
        <w:ind w:left="5760" w:hanging="360"/>
      </w:pPr>
      <w:rPr>
        <w:rFonts w:ascii="Times New Roman" w:hAnsi="Times New Roman" w:cs="Times New Roman"/>
      </w:rPr>
    </w:lvl>
    <w:lvl w:ilvl="8" w:tplc="0416001B">
      <w:start w:val="1"/>
      <w:numFmt w:val="lowerRoman"/>
      <w:lvlText w:val="%9."/>
      <w:lvlJc w:val="right"/>
      <w:pPr>
        <w:ind w:left="6480" w:hanging="180"/>
      </w:pPr>
      <w:rPr>
        <w:rFonts w:ascii="Times New Roman" w:hAnsi="Times New Roman" w:cs="Times New Roman"/>
      </w:rPr>
    </w:lvl>
  </w:abstractNum>
  <w:abstractNum w:abstractNumId="8">
    <w:nsid w:val="1A666309"/>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00E7711"/>
    <w:multiLevelType w:val="singleLevel"/>
    <w:tmpl w:val="16926312"/>
    <w:lvl w:ilvl="0">
      <w:start w:val="2"/>
      <w:numFmt w:val="decimal"/>
      <w:lvlText w:val="%1."/>
      <w:lvlJc w:val="left"/>
      <w:pPr>
        <w:tabs>
          <w:tab w:val="num" w:pos="360"/>
        </w:tabs>
        <w:ind w:left="0" w:firstLine="0"/>
      </w:pPr>
      <w:rPr>
        <w:sz w:val="24"/>
        <w:szCs w:val="24"/>
      </w:rPr>
    </w:lvl>
  </w:abstractNum>
  <w:abstractNum w:abstractNumId="10">
    <w:nsid w:val="214212D3"/>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22E7845"/>
    <w:multiLevelType w:val="multilevel"/>
    <w:tmpl w:val="90E2DA72"/>
    <w:lvl w:ilvl="0">
      <w:start w:val="9"/>
      <w:numFmt w:val="decimal"/>
      <w:lvlText w:val="%1."/>
      <w:lvlJc w:val="left"/>
      <w:pPr>
        <w:ind w:left="360" w:hanging="360"/>
      </w:pPr>
      <w:rPr>
        <w:rFonts w:cs="Times New Roman" w:hint="default"/>
      </w:rPr>
    </w:lvl>
    <w:lvl w:ilvl="1">
      <w:start w:val="2"/>
      <w:numFmt w:val="decimal"/>
      <w:lvlText w:val="%1.%2."/>
      <w:lvlJc w:val="left"/>
      <w:pPr>
        <w:ind w:left="1494" w:hanging="36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12">
    <w:nsid w:val="239C54D4"/>
    <w:multiLevelType w:val="hybridMultilevel"/>
    <w:tmpl w:val="EFBED870"/>
    <w:lvl w:ilvl="0" w:tplc="04160017">
      <w:start w:val="1"/>
      <w:numFmt w:val="lowerLetter"/>
      <w:lvlText w:val="%1)"/>
      <w:lvlJc w:val="left"/>
      <w:pPr>
        <w:ind w:left="1500" w:hanging="360"/>
      </w:pPr>
      <w:rPr>
        <w:rFonts w:cs="Times New Roman" w:hint="default"/>
        <w:b/>
        <w:color w:val="auto"/>
      </w:rPr>
    </w:lvl>
    <w:lvl w:ilvl="1" w:tplc="04160019" w:tentative="1">
      <w:start w:val="1"/>
      <w:numFmt w:val="lowerLetter"/>
      <w:lvlText w:val="%2."/>
      <w:lvlJc w:val="left"/>
      <w:pPr>
        <w:ind w:left="2220" w:hanging="360"/>
      </w:pPr>
      <w:rPr>
        <w:rFonts w:cs="Times New Roman"/>
      </w:rPr>
    </w:lvl>
    <w:lvl w:ilvl="2" w:tplc="0416001B" w:tentative="1">
      <w:start w:val="1"/>
      <w:numFmt w:val="lowerRoman"/>
      <w:lvlText w:val="%3."/>
      <w:lvlJc w:val="right"/>
      <w:pPr>
        <w:ind w:left="2940" w:hanging="180"/>
      </w:pPr>
      <w:rPr>
        <w:rFonts w:cs="Times New Roman"/>
      </w:rPr>
    </w:lvl>
    <w:lvl w:ilvl="3" w:tplc="0416000F" w:tentative="1">
      <w:start w:val="1"/>
      <w:numFmt w:val="decimal"/>
      <w:lvlText w:val="%4."/>
      <w:lvlJc w:val="left"/>
      <w:pPr>
        <w:ind w:left="3660" w:hanging="360"/>
      </w:pPr>
      <w:rPr>
        <w:rFonts w:cs="Times New Roman"/>
      </w:rPr>
    </w:lvl>
    <w:lvl w:ilvl="4" w:tplc="04160019" w:tentative="1">
      <w:start w:val="1"/>
      <w:numFmt w:val="lowerLetter"/>
      <w:lvlText w:val="%5."/>
      <w:lvlJc w:val="left"/>
      <w:pPr>
        <w:ind w:left="4380" w:hanging="360"/>
      </w:pPr>
      <w:rPr>
        <w:rFonts w:cs="Times New Roman"/>
      </w:rPr>
    </w:lvl>
    <w:lvl w:ilvl="5" w:tplc="0416001B" w:tentative="1">
      <w:start w:val="1"/>
      <w:numFmt w:val="lowerRoman"/>
      <w:lvlText w:val="%6."/>
      <w:lvlJc w:val="right"/>
      <w:pPr>
        <w:ind w:left="5100" w:hanging="180"/>
      </w:pPr>
      <w:rPr>
        <w:rFonts w:cs="Times New Roman"/>
      </w:rPr>
    </w:lvl>
    <w:lvl w:ilvl="6" w:tplc="0416000F" w:tentative="1">
      <w:start w:val="1"/>
      <w:numFmt w:val="decimal"/>
      <w:lvlText w:val="%7."/>
      <w:lvlJc w:val="left"/>
      <w:pPr>
        <w:ind w:left="5820" w:hanging="360"/>
      </w:pPr>
      <w:rPr>
        <w:rFonts w:cs="Times New Roman"/>
      </w:rPr>
    </w:lvl>
    <w:lvl w:ilvl="7" w:tplc="04160019" w:tentative="1">
      <w:start w:val="1"/>
      <w:numFmt w:val="lowerLetter"/>
      <w:lvlText w:val="%8."/>
      <w:lvlJc w:val="left"/>
      <w:pPr>
        <w:ind w:left="6540" w:hanging="360"/>
      </w:pPr>
      <w:rPr>
        <w:rFonts w:cs="Times New Roman"/>
      </w:rPr>
    </w:lvl>
    <w:lvl w:ilvl="8" w:tplc="0416001B" w:tentative="1">
      <w:start w:val="1"/>
      <w:numFmt w:val="lowerRoman"/>
      <w:lvlText w:val="%9."/>
      <w:lvlJc w:val="right"/>
      <w:pPr>
        <w:ind w:left="7260" w:hanging="180"/>
      </w:pPr>
      <w:rPr>
        <w:rFonts w:cs="Times New Roman"/>
      </w:rPr>
    </w:lvl>
  </w:abstractNum>
  <w:abstractNum w:abstractNumId="13">
    <w:nsid w:val="23AE7D70"/>
    <w:multiLevelType w:val="singleLevel"/>
    <w:tmpl w:val="734460AE"/>
    <w:lvl w:ilvl="0">
      <w:start w:val="2"/>
      <w:numFmt w:val="decimal"/>
      <w:lvlText w:val="%1."/>
      <w:lvlJc w:val="left"/>
      <w:pPr>
        <w:tabs>
          <w:tab w:val="num" w:pos="357"/>
        </w:tabs>
        <w:ind w:left="357" w:hanging="357"/>
      </w:pPr>
      <w:rPr>
        <w:rFonts w:cs="Times New Roman"/>
      </w:rPr>
    </w:lvl>
  </w:abstractNum>
  <w:abstractNum w:abstractNumId="14">
    <w:nsid w:val="2C6715D6"/>
    <w:multiLevelType w:val="singleLevel"/>
    <w:tmpl w:val="B478D55A"/>
    <w:lvl w:ilvl="0">
      <w:start w:val="2"/>
      <w:numFmt w:val="decimal"/>
      <w:pStyle w:val="votonumerado"/>
      <w:lvlText w:val="%1."/>
      <w:lvlJc w:val="left"/>
      <w:pPr>
        <w:tabs>
          <w:tab w:val="num" w:pos="360"/>
        </w:tabs>
      </w:pPr>
      <w:rPr>
        <w:rFonts w:ascii="Times New (W1)" w:hAnsi="Times New (W1)" w:cs="Times New Roman" w:hint="default"/>
        <w:b w:val="0"/>
        <w:i w:val="0"/>
        <w:sz w:val="24"/>
      </w:rPr>
    </w:lvl>
  </w:abstractNum>
  <w:abstractNum w:abstractNumId="15">
    <w:nsid w:val="2D403205"/>
    <w:multiLevelType w:val="hybridMultilevel"/>
    <w:tmpl w:val="3E6E9232"/>
    <w:lvl w:ilvl="0" w:tplc="682A7260">
      <w:start w:val="2"/>
      <w:numFmt w:val="decimal"/>
      <w:lvlText w:val="%1."/>
      <w:lvlJc w:val="left"/>
      <w:pPr>
        <w:ind w:left="1859" w:hanging="360"/>
      </w:pPr>
      <w:rPr>
        <w:rFonts w:cs="Times New Roman" w:hint="default"/>
      </w:rPr>
    </w:lvl>
    <w:lvl w:ilvl="1" w:tplc="04160019" w:tentative="1">
      <w:start w:val="1"/>
      <w:numFmt w:val="lowerLetter"/>
      <w:lvlText w:val="%2."/>
      <w:lvlJc w:val="left"/>
      <w:pPr>
        <w:ind w:left="2579" w:hanging="360"/>
      </w:pPr>
      <w:rPr>
        <w:rFonts w:cs="Times New Roman"/>
      </w:rPr>
    </w:lvl>
    <w:lvl w:ilvl="2" w:tplc="0416001B" w:tentative="1">
      <w:start w:val="1"/>
      <w:numFmt w:val="lowerRoman"/>
      <w:lvlText w:val="%3."/>
      <w:lvlJc w:val="right"/>
      <w:pPr>
        <w:ind w:left="3299" w:hanging="180"/>
      </w:pPr>
      <w:rPr>
        <w:rFonts w:cs="Times New Roman"/>
      </w:rPr>
    </w:lvl>
    <w:lvl w:ilvl="3" w:tplc="0416000F" w:tentative="1">
      <w:start w:val="1"/>
      <w:numFmt w:val="decimal"/>
      <w:lvlText w:val="%4."/>
      <w:lvlJc w:val="left"/>
      <w:pPr>
        <w:ind w:left="4019" w:hanging="360"/>
      </w:pPr>
      <w:rPr>
        <w:rFonts w:cs="Times New Roman"/>
      </w:rPr>
    </w:lvl>
    <w:lvl w:ilvl="4" w:tplc="04160019" w:tentative="1">
      <w:start w:val="1"/>
      <w:numFmt w:val="lowerLetter"/>
      <w:lvlText w:val="%5."/>
      <w:lvlJc w:val="left"/>
      <w:pPr>
        <w:ind w:left="4739" w:hanging="360"/>
      </w:pPr>
      <w:rPr>
        <w:rFonts w:cs="Times New Roman"/>
      </w:rPr>
    </w:lvl>
    <w:lvl w:ilvl="5" w:tplc="0416001B" w:tentative="1">
      <w:start w:val="1"/>
      <w:numFmt w:val="lowerRoman"/>
      <w:lvlText w:val="%6."/>
      <w:lvlJc w:val="right"/>
      <w:pPr>
        <w:ind w:left="5459" w:hanging="180"/>
      </w:pPr>
      <w:rPr>
        <w:rFonts w:cs="Times New Roman"/>
      </w:rPr>
    </w:lvl>
    <w:lvl w:ilvl="6" w:tplc="0416000F" w:tentative="1">
      <w:start w:val="1"/>
      <w:numFmt w:val="decimal"/>
      <w:lvlText w:val="%7."/>
      <w:lvlJc w:val="left"/>
      <w:pPr>
        <w:ind w:left="6179" w:hanging="360"/>
      </w:pPr>
      <w:rPr>
        <w:rFonts w:cs="Times New Roman"/>
      </w:rPr>
    </w:lvl>
    <w:lvl w:ilvl="7" w:tplc="04160019" w:tentative="1">
      <w:start w:val="1"/>
      <w:numFmt w:val="lowerLetter"/>
      <w:lvlText w:val="%8."/>
      <w:lvlJc w:val="left"/>
      <w:pPr>
        <w:ind w:left="6899" w:hanging="360"/>
      </w:pPr>
      <w:rPr>
        <w:rFonts w:cs="Times New Roman"/>
      </w:rPr>
    </w:lvl>
    <w:lvl w:ilvl="8" w:tplc="0416001B" w:tentative="1">
      <w:start w:val="1"/>
      <w:numFmt w:val="lowerRoman"/>
      <w:lvlText w:val="%9."/>
      <w:lvlJc w:val="right"/>
      <w:pPr>
        <w:ind w:left="7619" w:hanging="180"/>
      </w:pPr>
      <w:rPr>
        <w:rFonts w:cs="Times New Roman"/>
      </w:rPr>
    </w:lvl>
  </w:abstractNum>
  <w:abstractNum w:abstractNumId="16">
    <w:nsid w:val="39384A0F"/>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B0318ED"/>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25027AF"/>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4C576ABE"/>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24A2369"/>
    <w:multiLevelType w:val="hybridMultilevel"/>
    <w:tmpl w:val="5FA23E98"/>
    <w:lvl w:ilvl="0" w:tplc="04160001">
      <w:start w:val="1"/>
      <w:numFmt w:val="lowerLetter"/>
      <w:pStyle w:val="tensletras"/>
      <w:lvlText w:val="%1)"/>
      <w:lvlJc w:val="left"/>
      <w:pPr>
        <w:tabs>
          <w:tab w:val="num" w:pos="360"/>
        </w:tabs>
        <w:ind w:left="360" w:hanging="360"/>
      </w:pPr>
      <w:rPr>
        <w:rFonts w:cs="Times New Roman" w:hint="default"/>
      </w:rPr>
    </w:lvl>
    <w:lvl w:ilvl="1" w:tplc="04160003" w:tentative="1">
      <w:start w:val="1"/>
      <w:numFmt w:val="lowerLetter"/>
      <w:lvlText w:val="%2."/>
      <w:lvlJc w:val="left"/>
      <w:pPr>
        <w:ind w:left="1440" w:hanging="360"/>
      </w:pPr>
      <w:rPr>
        <w:rFonts w:cs="Times New Roman"/>
      </w:rPr>
    </w:lvl>
    <w:lvl w:ilvl="2" w:tplc="04160005" w:tentative="1">
      <w:start w:val="1"/>
      <w:numFmt w:val="lowerRoman"/>
      <w:lvlText w:val="%3."/>
      <w:lvlJc w:val="right"/>
      <w:pPr>
        <w:ind w:left="2160" w:hanging="180"/>
      </w:pPr>
      <w:rPr>
        <w:rFonts w:cs="Times New Roman"/>
      </w:rPr>
    </w:lvl>
    <w:lvl w:ilvl="3" w:tplc="04160001" w:tentative="1">
      <w:start w:val="1"/>
      <w:numFmt w:val="decimal"/>
      <w:lvlText w:val="%4."/>
      <w:lvlJc w:val="left"/>
      <w:pPr>
        <w:ind w:left="2880" w:hanging="360"/>
      </w:pPr>
      <w:rPr>
        <w:rFonts w:cs="Times New Roman"/>
      </w:rPr>
    </w:lvl>
    <w:lvl w:ilvl="4" w:tplc="04160003" w:tentative="1">
      <w:start w:val="1"/>
      <w:numFmt w:val="lowerLetter"/>
      <w:lvlText w:val="%5."/>
      <w:lvlJc w:val="left"/>
      <w:pPr>
        <w:ind w:left="3600" w:hanging="360"/>
      </w:pPr>
      <w:rPr>
        <w:rFonts w:cs="Times New Roman"/>
      </w:rPr>
    </w:lvl>
    <w:lvl w:ilvl="5" w:tplc="04160005" w:tentative="1">
      <w:start w:val="1"/>
      <w:numFmt w:val="lowerRoman"/>
      <w:lvlText w:val="%6."/>
      <w:lvlJc w:val="right"/>
      <w:pPr>
        <w:ind w:left="4320" w:hanging="180"/>
      </w:pPr>
      <w:rPr>
        <w:rFonts w:cs="Times New Roman"/>
      </w:rPr>
    </w:lvl>
    <w:lvl w:ilvl="6" w:tplc="04160001" w:tentative="1">
      <w:start w:val="1"/>
      <w:numFmt w:val="decimal"/>
      <w:lvlText w:val="%7."/>
      <w:lvlJc w:val="left"/>
      <w:pPr>
        <w:ind w:left="5040" w:hanging="360"/>
      </w:pPr>
      <w:rPr>
        <w:rFonts w:cs="Times New Roman"/>
      </w:rPr>
    </w:lvl>
    <w:lvl w:ilvl="7" w:tplc="04160003" w:tentative="1">
      <w:start w:val="1"/>
      <w:numFmt w:val="lowerLetter"/>
      <w:lvlText w:val="%8."/>
      <w:lvlJc w:val="left"/>
      <w:pPr>
        <w:ind w:left="5760" w:hanging="360"/>
      </w:pPr>
      <w:rPr>
        <w:rFonts w:cs="Times New Roman"/>
      </w:rPr>
    </w:lvl>
    <w:lvl w:ilvl="8" w:tplc="04160005" w:tentative="1">
      <w:start w:val="1"/>
      <w:numFmt w:val="lowerRoman"/>
      <w:lvlText w:val="%9."/>
      <w:lvlJc w:val="right"/>
      <w:pPr>
        <w:ind w:left="6480" w:hanging="180"/>
      </w:pPr>
      <w:rPr>
        <w:rFonts w:cs="Times New Roman"/>
      </w:rPr>
    </w:lvl>
  </w:abstractNum>
  <w:abstractNum w:abstractNumId="21">
    <w:nsid w:val="561A6E63"/>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CFC6DCD"/>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71316A9"/>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E4770F8"/>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7585349A"/>
    <w:multiLevelType w:val="singleLevel"/>
    <w:tmpl w:val="4170D9F4"/>
    <w:lvl w:ilvl="0">
      <w:start w:val="1"/>
      <w:numFmt w:val="decimal"/>
      <w:pStyle w:val="CorpodeTextoResumo"/>
      <w:lvlText w:val="%1."/>
      <w:lvlJc w:val="left"/>
      <w:pPr>
        <w:tabs>
          <w:tab w:val="num" w:pos="360"/>
        </w:tabs>
      </w:pPr>
      <w:rPr>
        <w:rFonts w:cs="Times New Roman"/>
      </w:rPr>
    </w:lvl>
  </w:abstractNum>
  <w:abstractNum w:abstractNumId="26">
    <w:nsid w:val="7E7641FF"/>
    <w:multiLevelType w:val="multilevel"/>
    <w:tmpl w:val="4C0E4D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1"/>
  </w:num>
  <w:num w:numId="2">
    <w:abstractNumId w:val="18"/>
  </w:num>
  <w:num w:numId="3">
    <w:abstractNumId w:val="8"/>
  </w:num>
  <w:num w:numId="4">
    <w:abstractNumId w:val="0"/>
  </w:num>
  <w:num w:numId="5">
    <w:abstractNumId w:val="10"/>
  </w:num>
  <w:num w:numId="6">
    <w:abstractNumId w:val="17"/>
  </w:num>
  <w:num w:numId="7">
    <w:abstractNumId w:val="24"/>
  </w:num>
  <w:num w:numId="8">
    <w:abstractNumId w:val="22"/>
  </w:num>
  <w:num w:numId="9">
    <w:abstractNumId w:val="19"/>
  </w:num>
  <w:num w:numId="10">
    <w:abstractNumId w:val="6"/>
  </w:num>
  <w:num w:numId="11">
    <w:abstractNumId w:val="26"/>
  </w:num>
  <w:num w:numId="12">
    <w:abstractNumId w:val="4"/>
  </w:num>
  <w:num w:numId="13">
    <w:abstractNumId w:val="16"/>
  </w:num>
  <w:num w:numId="14">
    <w:abstractNumId w:val="23"/>
  </w:num>
  <w:num w:numId="15">
    <w:abstractNumId w:val="14"/>
  </w:num>
  <w:num w:numId="16">
    <w:abstractNumId w:val="2"/>
  </w:num>
  <w:num w:numId="17">
    <w:abstractNumId w:val="12"/>
  </w:num>
  <w:num w:numId="18">
    <w:abstractNumId w:val="25"/>
    <w:lvlOverride w:ilvl="0">
      <w:startOverride w:val="1"/>
    </w:lvlOverride>
  </w:num>
  <w:num w:numId="19">
    <w:abstractNumId w:val="20"/>
  </w:num>
  <w:num w:numId="20">
    <w:abstractNumId w:val="11"/>
  </w:num>
  <w:num w:numId="21">
    <w:abstractNumId w:val="7"/>
  </w:num>
  <w:num w:numId="22">
    <w:abstractNumId w:val="9"/>
  </w:num>
  <w:num w:numId="23">
    <w:abstractNumId w:val="1"/>
  </w:num>
  <w:num w:numId="24">
    <w:abstractNumId w:val="3"/>
  </w:num>
  <w:num w:numId="25">
    <w:abstractNumId w:val="5"/>
  </w:num>
  <w:num w:numId="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47"/>
    <w:rsid w:val="00000605"/>
    <w:rsid w:val="00001878"/>
    <w:rsid w:val="00003CEA"/>
    <w:rsid w:val="00004614"/>
    <w:rsid w:val="00005435"/>
    <w:rsid w:val="00005E1E"/>
    <w:rsid w:val="000118BC"/>
    <w:rsid w:val="000118CC"/>
    <w:rsid w:val="00011D5A"/>
    <w:rsid w:val="00012468"/>
    <w:rsid w:val="00013851"/>
    <w:rsid w:val="0001636D"/>
    <w:rsid w:val="00020C27"/>
    <w:rsid w:val="00020C75"/>
    <w:rsid w:val="00020FC8"/>
    <w:rsid w:val="0002327E"/>
    <w:rsid w:val="00023D72"/>
    <w:rsid w:val="000253D1"/>
    <w:rsid w:val="00025450"/>
    <w:rsid w:val="000271FA"/>
    <w:rsid w:val="00032198"/>
    <w:rsid w:val="00033551"/>
    <w:rsid w:val="00037DCE"/>
    <w:rsid w:val="00041450"/>
    <w:rsid w:val="000438FC"/>
    <w:rsid w:val="000460E4"/>
    <w:rsid w:val="0004660A"/>
    <w:rsid w:val="0005205F"/>
    <w:rsid w:val="00052B15"/>
    <w:rsid w:val="0005356E"/>
    <w:rsid w:val="000540FC"/>
    <w:rsid w:val="0005412B"/>
    <w:rsid w:val="00054432"/>
    <w:rsid w:val="00054FBE"/>
    <w:rsid w:val="000562CD"/>
    <w:rsid w:val="00056A5A"/>
    <w:rsid w:val="00056D51"/>
    <w:rsid w:val="0006028E"/>
    <w:rsid w:val="00060CE3"/>
    <w:rsid w:val="00061C2E"/>
    <w:rsid w:val="000622E0"/>
    <w:rsid w:val="00062BF5"/>
    <w:rsid w:val="00065E95"/>
    <w:rsid w:val="00070785"/>
    <w:rsid w:val="0007259B"/>
    <w:rsid w:val="00074384"/>
    <w:rsid w:val="00074AC5"/>
    <w:rsid w:val="00077A56"/>
    <w:rsid w:val="00080148"/>
    <w:rsid w:val="000807D4"/>
    <w:rsid w:val="000835D8"/>
    <w:rsid w:val="00084282"/>
    <w:rsid w:val="00084727"/>
    <w:rsid w:val="00086A39"/>
    <w:rsid w:val="00086BAA"/>
    <w:rsid w:val="00087006"/>
    <w:rsid w:val="0009133A"/>
    <w:rsid w:val="000916AF"/>
    <w:rsid w:val="00092C2E"/>
    <w:rsid w:val="00094C5B"/>
    <w:rsid w:val="00095D98"/>
    <w:rsid w:val="0009748C"/>
    <w:rsid w:val="00097863"/>
    <w:rsid w:val="00097BF6"/>
    <w:rsid w:val="000A0EF8"/>
    <w:rsid w:val="000A152A"/>
    <w:rsid w:val="000A1EBD"/>
    <w:rsid w:val="000A2C56"/>
    <w:rsid w:val="000A47EA"/>
    <w:rsid w:val="000A57DA"/>
    <w:rsid w:val="000A599E"/>
    <w:rsid w:val="000A6269"/>
    <w:rsid w:val="000A62BD"/>
    <w:rsid w:val="000B0ECB"/>
    <w:rsid w:val="000B0FEA"/>
    <w:rsid w:val="000B2AFA"/>
    <w:rsid w:val="000B5DB2"/>
    <w:rsid w:val="000B639F"/>
    <w:rsid w:val="000B6BC1"/>
    <w:rsid w:val="000C02AD"/>
    <w:rsid w:val="000C22C0"/>
    <w:rsid w:val="000C3DAB"/>
    <w:rsid w:val="000C4A10"/>
    <w:rsid w:val="000C7D11"/>
    <w:rsid w:val="000D1878"/>
    <w:rsid w:val="000D1B91"/>
    <w:rsid w:val="000D1EF5"/>
    <w:rsid w:val="000D1FD7"/>
    <w:rsid w:val="000D6418"/>
    <w:rsid w:val="000D7DB6"/>
    <w:rsid w:val="000D7DED"/>
    <w:rsid w:val="000E020F"/>
    <w:rsid w:val="000E12F7"/>
    <w:rsid w:val="000E2D47"/>
    <w:rsid w:val="000E3B31"/>
    <w:rsid w:val="000E3C6D"/>
    <w:rsid w:val="000E504D"/>
    <w:rsid w:val="000E7FD4"/>
    <w:rsid w:val="000F2133"/>
    <w:rsid w:val="000F2F92"/>
    <w:rsid w:val="000F6D85"/>
    <w:rsid w:val="000F7CEE"/>
    <w:rsid w:val="000F7D84"/>
    <w:rsid w:val="00102D37"/>
    <w:rsid w:val="001041ED"/>
    <w:rsid w:val="001104BA"/>
    <w:rsid w:val="00112676"/>
    <w:rsid w:val="00112A5F"/>
    <w:rsid w:val="0011373A"/>
    <w:rsid w:val="00113A1F"/>
    <w:rsid w:val="00114511"/>
    <w:rsid w:val="00115911"/>
    <w:rsid w:val="00116BAB"/>
    <w:rsid w:val="001203BE"/>
    <w:rsid w:val="00125F9A"/>
    <w:rsid w:val="00126026"/>
    <w:rsid w:val="00130A0C"/>
    <w:rsid w:val="00133EA9"/>
    <w:rsid w:val="00137B22"/>
    <w:rsid w:val="00140FED"/>
    <w:rsid w:val="00141D7A"/>
    <w:rsid w:val="001420D1"/>
    <w:rsid w:val="00142C16"/>
    <w:rsid w:val="001444A2"/>
    <w:rsid w:val="00151F92"/>
    <w:rsid w:val="0015258E"/>
    <w:rsid w:val="00152ECC"/>
    <w:rsid w:val="001532E4"/>
    <w:rsid w:val="00156A48"/>
    <w:rsid w:val="00156DDB"/>
    <w:rsid w:val="00157614"/>
    <w:rsid w:val="00157AFE"/>
    <w:rsid w:val="00157C0F"/>
    <w:rsid w:val="001665B9"/>
    <w:rsid w:val="00171E89"/>
    <w:rsid w:val="001737F7"/>
    <w:rsid w:val="001744E7"/>
    <w:rsid w:val="00176375"/>
    <w:rsid w:val="001766A9"/>
    <w:rsid w:val="00181339"/>
    <w:rsid w:val="00192052"/>
    <w:rsid w:val="00195F77"/>
    <w:rsid w:val="001A0B42"/>
    <w:rsid w:val="001A0CC1"/>
    <w:rsid w:val="001A330B"/>
    <w:rsid w:val="001A58D8"/>
    <w:rsid w:val="001A60A2"/>
    <w:rsid w:val="001A79D3"/>
    <w:rsid w:val="001B3BEF"/>
    <w:rsid w:val="001B3E8E"/>
    <w:rsid w:val="001B4F90"/>
    <w:rsid w:val="001B5333"/>
    <w:rsid w:val="001B5426"/>
    <w:rsid w:val="001B6823"/>
    <w:rsid w:val="001B7F4F"/>
    <w:rsid w:val="001C0575"/>
    <w:rsid w:val="001C1568"/>
    <w:rsid w:val="001C437E"/>
    <w:rsid w:val="001C5C51"/>
    <w:rsid w:val="001C71E3"/>
    <w:rsid w:val="001C72D6"/>
    <w:rsid w:val="001D03C7"/>
    <w:rsid w:val="001D1478"/>
    <w:rsid w:val="001D1E52"/>
    <w:rsid w:val="001D35B4"/>
    <w:rsid w:val="001D56C3"/>
    <w:rsid w:val="001D74CE"/>
    <w:rsid w:val="001E0BF1"/>
    <w:rsid w:val="001E1E28"/>
    <w:rsid w:val="001E2620"/>
    <w:rsid w:val="001E4147"/>
    <w:rsid w:val="001E7019"/>
    <w:rsid w:val="001E71F9"/>
    <w:rsid w:val="001E747D"/>
    <w:rsid w:val="001E7C3D"/>
    <w:rsid w:val="001F00DF"/>
    <w:rsid w:val="001F1E8F"/>
    <w:rsid w:val="001F553C"/>
    <w:rsid w:val="00200260"/>
    <w:rsid w:val="002002CE"/>
    <w:rsid w:val="0020066F"/>
    <w:rsid w:val="0020107A"/>
    <w:rsid w:val="0020135D"/>
    <w:rsid w:val="00201FED"/>
    <w:rsid w:val="00202EAD"/>
    <w:rsid w:val="00203A6F"/>
    <w:rsid w:val="00211816"/>
    <w:rsid w:val="00217B1B"/>
    <w:rsid w:val="00223BB9"/>
    <w:rsid w:val="00225D42"/>
    <w:rsid w:val="00226AEF"/>
    <w:rsid w:val="00226D9D"/>
    <w:rsid w:val="00227776"/>
    <w:rsid w:val="00232158"/>
    <w:rsid w:val="002328F9"/>
    <w:rsid w:val="0023395B"/>
    <w:rsid w:val="00233CE3"/>
    <w:rsid w:val="002343BF"/>
    <w:rsid w:val="0023535F"/>
    <w:rsid w:val="00235D4C"/>
    <w:rsid w:val="00236F05"/>
    <w:rsid w:val="002415A6"/>
    <w:rsid w:val="00242061"/>
    <w:rsid w:val="002435FC"/>
    <w:rsid w:val="002442D9"/>
    <w:rsid w:val="00244BA7"/>
    <w:rsid w:val="0024593F"/>
    <w:rsid w:val="002476B6"/>
    <w:rsid w:val="00247E76"/>
    <w:rsid w:val="002510D5"/>
    <w:rsid w:val="00253242"/>
    <w:rsid w:val="00254590"/>
    <w:rsid w:val="00257D8A"/>
    <w:rsid w:val="00261488"/>
    <w:rsid w:val="00262359"/>
    <w:rsid w:val="0026362E"/>
    <w:rsid w:val="002639CA"/>
    <w:rsid w:val="002649A7"/>
    <w:rsid w:val="00264FC3"/>
    <w:rsid w:val="002663B7"/>
    <w:rsid w:val="002666C5"/>
    <w:rsid w:val="00271CD7"/>
    <w:rsid w:val="00271CF2"/>
    <w:rsid w:val="00271D81"/>
    <w:rsid w:val="0027213F"/>
    <w:rsid w:val="0027267D"/>
    <w:rsid w:val="00273058"/>
    <w:rsid w:val="00273E72"/>
    <w:rsid w:val="00274068"/>
    <w:rsid w:val="0027498E"/>
    <w:rsid w:val="0027686D"/>
    <w:rsid w:val="00276DC0"/>
    <w:rsid w:val="00277F47"/>
    <w:rsid w:val="00280F3D"/>
    <w:rsid w:val="002810D9"/>
    <w:rsid w:val="00281830"/>
    <w:rsid w:val="002830F6"/>
    <w:rsid w:val="00287326"/>
    <w:rsid w:val="0029043B"/>
    <w:rsid w:val="00290A06"/>
    <w:rsid w:val="0029211E"/>
    <w:rsid w:val="0029450E"/>
    <w:rsid w:val="00297A00"/>
    <w:rsid w:val="002A03ED"/>
    <w:rsid w:val="002A040F"/>
    <w:rsid w:val="002A190F"/>
    <w:rsid w:val="002A2129"/>
    <w:rsid w:val="002A3796"/>
    <w:rsid w:val="002A3B3F"/>
    <w:rsid w:val="002A5A02"/>
    <w:rsid w:val="002A6CE6"/>
    <w:rsid w:val="002B059A"/>
    <w:rsid w:val="002B1AD6"/>
    <w:rsid w:val="002B32DD"/>
    <w:rsid w:val="002B409B"/>
    <w:rsid w:val="002B4392"/>
    <w:rsid w:val="002B56C3"/>
    <w:rsid w:val="002B5AD5"/>
    <w:rsid w:val="002B5C5A"/>
    <w:rsid w:val="002B6422"/>
    <w:rsid w:val="002B71BA"/>
    <w:rsid w:val="002C208E"/>
    <w:rsid w:val="002C4633"/>
    <w:rsid w:val="002C506F"/>
    <w:rsid w:val="002C7B61"/>
    <w:rsid w:val="002C7B6D"/>
    <w:rsid w:val="002D0B7C"/>
    <w:rsid w:val="002D0D1A"/>
    <w:rsid w:val="002D155C"/>
    <w:rsid w:val="002D15EB"/>
    <w:rsid w:val="002D1637"/>
    <w:rsid w:val="002D1688"/>
    <w:rsid w:val="002D1B69"/>
    <w:rsid w:val="002D1BA5"/>
    <w:rsid w:val="002D3043"/>
    <w:rsid w:val="002D35F5"/>
    <w:rsid w:val="002D47FE"/>
    <w:rsid w:val="002D532D"/>
    <w:rsid w:val="002D739A"/>
    <w:rsid w:val="002D76AB"/>
    <w:rsid w:val="002D786D"/>
    <w:rsid w:val="002E1545"/>
    <w:rsid w:val="002E1910"/>
    <w:rsid w:val="002E2433"/>
    <w:rsid w:val="002E28BA"/>
    <w:rsid w:val="002E361C"/>
    <w:rsid w:val="002E3943"/>
    <w:rsid w:val="002E3F7C"/>
    <w:rsid w:val="002E4254"/>
    <w:rsid w:val="002E4F13"/>
    <w:rsid w:val="002E4FB7"/>
    <w:rsid w:val="002E6712"/>
    <w:rsid w:val="002E6FDB"/>
    <w:rsid w:val="002F104B"/>
    <w:rsid w:val="002F1C09"/>
    <w:rsid w:val="002F1E70"/>
    <w:rsid w:val="002F4696"/>
    <w:rsid w:val="002F5F3B"/>
    <w:rsid w:val="002F693C"/>
    <w:rsid w:val="002F7C6D"/>
    <w:rsid w:val="003020F4"/>
    <w:rsid w:val="003023A1"/>
    <w:rsid w:val="003025C7"/>
    <w:rsid w:val="0030360F"/>
    <w:rsid w:val="00303790"/>
    <w:rsid w:val="00303984"/>
    <w:rsid w:val="00304A73"/>
    <w:rsid w:val="00304DFD"/>
    <w:rsid w:val="003057F7"/>
    <w:rsid w:val="00306864"/>
    <w:rsid w:val="003069F9"/>
    <w:rsid w:val="00310208"/>
    <w:rsid w:val="0031058F"/>
    <w:rsid w:val="0031089E"/>
    <w:rsid w:val="00310D69"/>
    <w:rsid w:val="003147B7"/>
    <w:rsid w:val="003149A9"/>
    <w:rsid w:val="0031528D"/>
    <w:rsid w:val="00317E59"/>
    <w:rsid w:val="00320465"/>
    <w:rsid w:val="00322AE7"/>
    <w:rsid w:val="00325246"/>
    <w:rsid w:val="00325D35"/>
    <w:rsid w:val="0032650F"/>
    <w:rsid w:val="003275E4"/>
    <w:rsid w:val="00330069"/>
    <w:rsid w:val="00330144"/>
    <w:rsid w:val="0033244F"/>
    <w:rsid w:val="00332EF9"/>
    <w:rsid w:val="00335707"/>
    <w:rsid w:val="00337E16"/>
    <w:rsid w:val="00340E66"/>
    <w:rsid w:val="00340F10"/>
    <w:rsid w:val="00341D56"/>
    <w:rsid w:val="00342A44"/>
    <w:rsid w:val="0034486B"/>
    <w:rsid w:val="00344D92"/>
    <w:rsid w:val="003455A2"/>
    <w:rsid w:val="00345BD4"/>
    <w:rsid w:val="003506E7"/>
    <w:rsid w:val="00350E87"/>
    <w:rsid w:val="00353B7C"/>
    <w:rsid w:val="0035438E"/>
    <w:rsid w:val="00355828"/>
    <w:rsid w:val="00356E38"/>
    <w:rsid w:val="00357CBE"/>
    <w:rsid w:val="00361487"/>
    <w:rsid w:val="00361661"/>
    <w:rsid w:val="00370BC7"/>
    <w:rsid w:val="00372E83"/>
    <w:rsid w:val="00375080"/>
    <w:rsid w:val="00377407"/>
    <w:rsid w:val="00380026"/>
    <w:rsid w:val="00381780"/>
    <w:rsid w:val="003824E4"/>
    <w:rsid w:val="00383CFE"/>
    <w:rsid w:val="00384BEF"/>
    <w:rsid w:val="003853FF"/>
    <w:rsid w:val="00385609"/>
    <w:rsid w:val="003856A4"/>
    <w:rsid w:val="00385DAB"/>
    <w:rsid w:val="0038696B"/>
    <w:rsid w:val="00387CBD"/>
    <w:rsid w:val="003900C7"/>
    <w:rsid w:val="0039039F"/>
    <w:rsid w:val="00390ED6"/>
    <w:rsid w:val="00391B5C"/>
    <w:rsid w:val="00392509"/>
    <w:rsid w:val="003925E5"/>
    <w:rsid w:val="00393FCC"/>
    <w:rsid w:val="003943E5"/>
    <w:rsid w:val="00397D8E"/>
    <w:rsid w:val="003A105C"/>
    <w:rsid w:val="003A2222"/>
    <w:rsid w:val="003A3262"/>
    <w:rsid w:val="003A5479"/>
    <w:rsid w:val="003A5C1B"/>
    <w:rsid w:val="003A7C7F"/>
    <w:rsid w:val="003B023B"/>
    <w:rsid w:val="003B0304"/>
    <w:rsid w:val="003B043F"/>
    <w:rsid w:val="003B155C"/>
    <w:rsid w:val="003B1E19"/>
    <w:rsid w:val="003B2E10"/>
    <w:rsid w:val="003B33CE"/>
    <w:rsid w:val="003B343D"/>
    <w:rsid w:val="003B391B"/>
    <w:rsid w:val="003B4936"/>
    <w:rsid w:val="003B56D7"/>
    <w:rsid w:val="003C1911"/>
    <w:rsid w:val="003C1B4F"/>
    <w:rsid w:val="003C2288"/>
    <w:rsid w:val="003C3336"/>
    <w:rsid w:val="003C39E6"/>
    <w:rsid w:val="003C6DEB"/>
    <w:rsid w:val="003C7585"/>
    <w:rsid w:val="003C7A5C"/>
    <w:rsid w:val="003D660C"/>
    <w:rsid w:val="003D73BD"/>
    <w:rsid w:val="003D7CCE"/>
    <w:rsid w:val="003E0D8C"/>
    <w:rsid w:val="003E154A"/>
    <w:rsid w:val="003E1B68"/>
    <w:rsid w:val="003E65D7"/>
    <w:rsid w:val="003F1CE1"/>
    <w:rsid w:val="003F413A"/>
    <w:rsid w:val="003F5249"/>
    <w:rsid w:val="003F54FB"/>
    <w:rsid w:val="003F6D1F"/>
    <w:rsid w:val="004036AF"/>
    <w:rsid w:val="00405316"/>
    <w:rsid w:val="0041153E"/>
    <w:rsid w:val="00412CEF"/>
    <w:rsid w:val="004141A8"/>
    <w:rsid w:val="004169D8"/>
    <w:rsid w:val="00420098"/>
    <w:rsid w:val="004201AF"/>
    <w:rsid w:val="00425FF9"/>
    <w:rsid w:val="00426328"/>
    <w:rsid w:val="00427B3B"/>
    <w:rsid w:val="00427EBF"/>
    <w:rsid w:val="00431085"/>
    <w:rsid w:val="00435269"/>
    <w:rsid w:val="004362AB"/>
    <w:rsid w:val="00441101"/>
    <w:rsid w:val="004415FB"/>
    <w:rsid w:val="00441CE3"/>
    <w:rsid w:val="004421F5"/>
    <w:rsid w:val="0044434A"/>
    <w:rsid w:val="0044437F"/>
    <w:rsid w:val="00445E76"/>
    <w:rsid w:val="00446606"/>
    <w:rsid w:val="004471BC"/>
    <w:rsid w:val="00447217"/>
    <w:rsid w:val="00451471"/>
    <w:rsid w:val="00452C60"/>
    <w:rsid w:val="00457F93"/>
    <w:rsid w:val="004617A9"/>
    <w:rsid w:val="0046384E"/>
    <w:rsid w:val="00464CF4"/>
    <w:rsid w:val="00466E73"/>
    <w:rsid w:val="0046706B"/>
    <w:rsid w:val="00467815"/>
    <w:rsid w:val="00471284"/>
    <w:rsid w:val="00472FB0"/>
    <w:rsid w:val="00473696"/>
    <w:rsid w:val="00473721"/>
    <w:rsid w:val="00473A4B"/>
    <w:rsid w:val="0047491E"/>
    <w:rsid w:val="00474A6A"/>
    <w:rsid w:val="004836D8"/>
    <w:rsid w:val="004837C6"/>
    <w:rsid w:val="00483998"/>
    <w:rsid w:val="00484250"/>
    <w:rsid w:val="00484E4C"/>
    <w:rsid w:val="004878ED"/>
    <w:rsid w:val="00491438"/>
    <w:rsid w:val="00492E3F"/>
    <w:rsid w:val="00493F5C"/>
    <w:rsid w:val="00495DB3"/>
    <w:rsid w:val="004A171B"/>
    <w:rsid w:val="004A2385"/>
    <w:rsid w:val="004A2D91"/>
    <w:rsid w:val="004A3B95"/>
    <w:rsid w:val="004A7912"/>
    <w:rsid w:val="004B0194"/>
    <w:rsid w:val="004B1113"/>
    <w:rsid w:val="004B1DC3"/>
    <w:rsid w:val="004B36AE"/>
    <w:rsid w:val="004B67A4"/>
    <w:rsid w:val="004C289A"/>
    <w:rsid w:val="004C61A3"/>
    <w:rsid w:val="004C6E03"/>
    <w:rsid w:val="004C780C"/>
    <w:rsid w:val="004D03BA"/>
    <w:rsid w:val="004D3100"/>
    <w:rsid w:val="004D3441"/>
    <w:rsid w:val="004D6A38"/>
    <w:rsid w:val="004D6C65"/>
    <w:rsid w:val="004D708E"/>
    <w:rsid w:val="004D760C"/>
    <w:rsid w:val="004D7C91"/>
    <w:rsid w:val="004E26E4"/>
    <w:rsid w:val="004E357A"/>
    <w:rsid w:val="004E3861"/>
    <w:rsid w:val="004E5000"/>
    <w:rsid w:val="004E65EB"/>
    <w:rsid w:val="004F0A27"/>
    <w:rsid w:val="004F3D4A"/>
    <w:rsid w:val="004F7174"/>
    <w:rsid w:val="004F7E98"/>
    <w:rsid w:val="00500DD0"/>
    <w:rsid w:val="005012AA"/>
    <w:rsid w:val="005012CF"/>
    <w:rsid w:val="0050355D"/>
    <w:rsid w:val="005055B5"/>
    <w:rsid w:val="00506619"/>
    <w:rsid w:val="00510257"/>
    <w:rsid w:val="00510D1D"/>
    <w:rsid w:val="00511BBF"/>
    <w:rsid w:val="00515E7B"/>
    <w:rsid w:val="00520894"/>
    <w:rsid w:val="005217F8"/>
    <w:rsid w:val="0052267A"/>
    <w:rsid w:val="005239DD"/>
    <w:rsid w:val="00523CA1"/>
    <w:rsid w:val="005266F4"/>
    <w:rsid w:val="0052675C"/>
    <w:rsid w:val="005303B5"/>
    <w:rsid w:val="00531143"/>
    <w:rsid w:val="005340EA"/>
    <w:rsid w:val="00534A44"/>
    <w:rsid w:val="00536332"/>
    <w:rsid w:val="00542821"/>
    <w:rsid w:val="00543514"/>
    <w:rsid w:val="005438A1"/>
    <w:rsid w:val="00543B81"/>
    <w:rsid w:val="00543EB8"/>
    <w:rsid w:val="00543F41"/>
    <w:rsid w:val="00544550"/>
    <w:rsid w:val="00544FCF"/>
    <w:rsid w:val="005450DC"/>
    <w:rsid w:val="00545A47"/>
    <w:rsid w:val="00545FC7"/>
    <w:rsid w:val="0054634E"/>
    <w:rsid w:val="00546B67"/>
    <w:rsid w:val="005512D3"/>
    <w:rsid w:val="00551C0E"/>
    <w:rsid w:val="00554A33"/>
    <w:rsid w:val="0055716D"/>
    <w:rsid w:val="005571A6"/>
    <w:rsid w:val="00557953"/>
    <w:rsid w:val="00560E55"/>
    <w:rsid w:val="00562E8F"/>
    <w:rsid w:val="0056301A"/>
    <w:rsid w:val="005635AD"/>
    <w:rsid w:val="005636B0"/>
    <w:rsid w:val="005640E1"/>
    <w:rsid w:val="00564EA1"/>
    <w:rsid w:val="0056534C"/>
    <w:rsid w:val="00566E81"/>
    <w:rsid w:val="00567CEE"/>
    <w:rsid w:val="005713F4"/>
    <w:rsid w:val="00571E64"/>
    <w:rsid w:val="00573D3B"/>
    <w:rsid w:val="00575CC3"/>
    <w:rsid w:val="00576018"/>
    <w:rsid w:val="00580F26"/>
    <w:rsid w:val="00581A7C"/>
    <w:rsid w:val="0058427E"/>
    <w:rsid w:val="005864FA"/>
    <w:rsid w:val="00590750"/>
    <w:rsid w:val="00590907"/>
    <w:rsid w:val="0059346F"/>
    <w:rsid w:val="00594A7B"/>
    <w:rsid w:val="00597AA7"/>
    <w:rsid w:val="005A2D82"/>
    <w:rsid w:val="005A3835"/>
    <w:rsid w:val="005A3AEC"/>
    <w:rsid w:val="005A6858"/>
    <w:rsid w:val="005A72F2"/>
    <w:rsid w:val="005B2194"/>
    <w:rsid w:val="005B2BC3"/>
    <w:rsid w:val="005B4CFA"/>
    <w:rsid w:val="005B5B3D"/>
    <w:rsid w:val="005B7112"/>
    <w:rsid w:val="005B7166"/>
    <w:rsid w:val="005B74D2"/>
    <w:rsid w:val="005C18EE"/>
    <w:rsid w:val="005C1A79"/>
    <w:rsid w:val="005C4397"/>
    <w:rsid w:val="005C7644"/>
    <w:rsid w:val="005C7BF4"/>
    <w:rsid w:val="005D1B66"/>
    <w:rsid w:val="005D1FDF"/>
    <w:rsid w:val="005D2B0F"/>
    <w:rsid w:val="005D3352"/>
    <w:rsid w:val="005D3D1E"/>
    <w:rsid w:val="005E12DD"/>
    <w:rsid w:val="005E269C"/>
    <w:rsid w:val="005E3586"/>
    <w:rsid w:val="005E386D"/>
    <w:rsid w:val="005E3EC0"/>
    <w:rsid w:val="005E4DEE"/>
    <w:rsid w:val="005E5FF1"/>
    <w:rsid w:val="005E72FB"/>
    <w:rsid w:val="005F01CE"/>
    <w:rsid w:val="005F135B"/>
    <w:rsid w:val="005F4E54"/>
    <w:rsid w:val="005F70B6"/>
    <w:rsid w:val="005F7A87"/>
    <w:rsid w:val="006011A3"/>
    <w:rsid w:val="006017DF"/>
    <w:rsid w:val="00601F0A"/>
    <w:rsid w:val="00604DBE"/>
    <w:rsid w:val="006063E1"/>
    <w:rsid w:val="006065E4"/>
    <w:rsid w:val="00606F56"/>
    <w:rsid w:val="00610039"/>
    <w:rsid w:val="00610381"/>
    <w:rsid w:val="00611B68"/>
    <w:rsid w:val="00611C07"/>
    <w:rsid w:val="00611E07"/>
    <w:rsid w:val="00612045"/>
    <w:rsid w:val="00612F12"/>
    <w:rsid w:val="00613AC9"/>
    <w:rsid w:val="00615808"/>
    <w:rsid w:val="00620E86"/>
    <w:rsid w:val="006219DD"/>
    <w:rsid w:val="00621D63"/>
    <w:rsid w:val="00623DAF"/>
    <w:rsid w:val="006242BF"/>
    <w:rsid w:val="00631FE7"/>
    <w:rsid w:val="00632ACC"/>
    <w:rsid w:val="006345C1"/>
    <w:rsid w:val="00634F76"/>
    <w:rsid w:val="00637FDD"/>
    <w:rsid w:val="00641E57"/>
    <w:rsid w:val="00643CED"/>
    <w:rsid w:val="006478E6"/>
    <w:rsid w:val="006503A5"/>
    <w:rsid w:val="00650463"/>
    <w:rsid w:val="00651660"/>
    <w:rsid w:val="00651C0A"/>
    <w:rsid w:val="00652171"/>
    <w:rsid w:val="00653133"/>
    <w:rsid w:val="006532C3"/>
    <w:rsid w:val="0065528E"/>
    <w:rsid w:val="0065606D"/>
    <w:rsid w:val="00661BD2"/>
    <w:rsid w:val="00663B35"/>
    <w:rsid w:val="00666285"/>
    <w:rsid w:val="00670FEA"/>
    <w:rsid w:val="00671DC9"/>
    <w:rsid w:val="0067252D"/>
    <w:rsid w:val="006734AA"/>
    <w:rsid w:val="006734B3"/>
    <w:rsid w:val="0067353C"/>
    <w:rsid w:val="00676163"/>
    <w:rsid w:val="006764C4"/>
    <w:rsid w:val="006777E4"/>
    <w:rsid w:val="00677C22"/>
    <w:rsid w:val="006808CC"/>
    <w:rsid w:val="00682F4C"/>
    <w:rsid w:val="00685899"/>
    <w:rsid w:val="00691611"/>
    <w:rsid w:val="00692D30"/>
    <w:rsid w:val="00695597"/>
    <w:rsid w:val="00696A89"/>
    <w:rsid w:val="00696F75"/>
    <w:rsid w:val="00697477"/>
    <w:rsid w:val="006A037E"/>
    <w:rsid w:val="006A2019"/>
    <w:rsid w:val="006A21CC"/>
    <w:rsid w:val="006A3D41"/>
    <w:rsid w:val="006A7796"/>
    <w:rsid w:val="006B0495"/>
    <w:rsid w:val="006B0DCB"/>
    <w:rsid w:val="006B2408"/>
    <w:rsid w:val="006B3AF9"/>
    <w:rsid w:val="006B414C"/>
    <w:rsid w:val="006B4B0F"/>
    <w:rsid w:val="006C32CF"/>
    <w:rsid w:val="006C335E"/>
    <w:rsid w:val="006C3A1F"/>
    <w:rsid w:val="006C54BB"/>
    <w:rsid w:val="006C5C6C"/>
    <w:rsid w:val="006C63EB"/>
    <w:rsid w:val="006C7DE0"/>
    <w:rsid w:val="006D3693"/>
    <w:rsid w:val="006D3DC7"/>
    <w:rsid w:val="006D4245"/>
    <w:rsid w:val="006D5843"/>
    <w:rsid w:val="006E0A93"/>
    <w:rsid w:val="006E4064"/>
    <w:rsid w:val="006E58EA"/>
    <w:rsid w:val="006E5BF8"/>
    <w:rsid w:val="006F0036"/>
    <w:rsid w:val="006F2F67"/>
    <w:rsid w:val="006F3CA4"/>
    <w:rsid w:val="006F4DE0"/>
    <w:rsid w:val="006F4FB2"/>
    <w:rsid w:val="006F5E2D"/>
    <w:rsid w:val="006F6483"/>
    <w:rsid w:val="006F6EEB"/>
    <w:rsid w:val="006F7332"/>
    <w:rsid w:val="007025BA"/>
    <w:rsid w:val="0070385B"/>
    <w:rsid w:val="0070407E"/>
    <w:rsid w:val="0070494F"/>
    <w:rsid w:val="00705758"/>
    <w:rsid w:val="0070717A"/>
    <w:rsid w:val="00707244"/>
    <w:rsid w:val="00712CCC"/>
    <w:rsid w:val="007136E9"/>
    <w:rsid w:val="00713DE5"/>
    <w:rsid w:val="007157A0"/>
    <w:rsid w:val="007174DA"/>
    <w:rsid w:val="00720910"/>
    <w:rsid w:val="00720F29"/>
    <w:rsid w:val="007224C2"/>
    <w:rsid w:val="00731117"/>
    <w:rsid w:val="00731409"/>
    <w:rsid w:val="007334B1"/>
    <w:rsid w:val="007339F3"/>
    <w:rsid w:val="00733EB2"/>
    <w:rsid w:val="00737FEC"/>
    <w:rsid w:val="00740292"/>
    <w:rsid w:val="007424E5"/>
    <w:rsid w:val="00742B07"/>
    <w:rsid w:val="00744619"/>
    <w:rsid w:val="0075064C"/>
    <w:rsid w:val="00752E39"/>
    <w:rsid w:val="00755956"/>
    <w:rsid w:val="00756AA0"/>
    <w:rsid w:val="00757CE6"/>
    <w:rsid w:val="00763097"/>
    <w:rsid w:val="00764CB0"/>
    <w:rsid w:val="007666D8"/>
    <w:rsid w:val="00766D03"/>
    <w:rsid w:val="007671B6"/>
    <w:rsid w:val="007671DA"/>
    <w:rsid w:val="00767C28"/>
    <w:rsid w:val="00770C72"/>
    <w:rsid w:val="007719A8"/>
    <w:rsid w:val="0077228C"/>
    <w:rsid w:val="00773CAE"/>
    <w:rsid w:val="00774593"/>
    <w:rsid w:val="00774C88"/>
    <w:rsid w:val="00776EDA"/>
    <w:rsid w:val="00777599"/>
    <w:rsid w:val="00785646"/>
    <w:rsid w:val="00785CF8"/>
    <w:rsid w:val="00796068"/>
    <w:rsid w:val="00796CC0"/>
    <w:rsid w:val="00796CF1"/>
    <w:rsid w:val="007979EA"/>
    <w:rsid w:val="007A1A35"/>
    <w:rsid w:val="007A2166"/>
    <w:rsid w:val="007A2B7F"/>
    <w:rsid w:val="007A5922"/>
    <w:rsid w:val="007A5969"/>
    <w:rsid w:val="007A7C23"/>
    <w:rsid w:val="007B1ABA"/>
    <w:rsid w:val="007B259B"/>
    <w:rsid w:val="007B3F28"/>
    <w:rsid w:val="007B471E"/>
    <w:rsid w:val="007B5018"/>
    <w:rsid w:val="007B53E7"/>
    <w:rsid w:val="007B65B3"/>
    <w:rsid w:val="007B7287"/>
    <w:rsid w:val="007B7A70"/>
    <w:rsid w:val="007C08AB"/>
    <w:rsid w:val="007C4E99"/>
    <w:rsid w:val="007C5151"/>
    <w:rsid w:val="007C546B"/>
    <w:rsid w:val="007C670D"/>
    <w:rsid w:val="007C7359"/>
    <w:rsid w:val="007D0ED0"/>
    <w:rsid w:val="007D1F01"/>
    <w:rsid w:val="007D3868"/>
    <w:rsid w:val="007D3E0E"/>
    <w:rsid w:val="007D48CF"/>
    <w:rsid w:val="007D4A4A"/>
    <w:rsid w:val="007E0B69"/>
    <w:rsid w:val="007E0E05"/>
    <w:rsid w:val="007E1DD3"/>
    <w:rsid w:val="007E209F"/>
    <w:rsid w:val="007E2878"/>
    <w:rsid w:val="007E38AE"/>
    <w:rsid w:val="007E4655"/>
    <w:rsid w:val="007E50E4"/>
    <w:rsid w:val="007E55E0"/>
    <w:rsid w:val="007E5C50"/>
    <w:rsid w:val="007E5DED"/>
    <w:rsid w:val="007F0546"/>
    <w:rsid w:val="007F1DEB"/>
    <w:rsid w:val="007F22A5"/>
    <w:rsid w:val="007F421D"/>
    <w:rsid w:val="007F5688"/>
    <w:rsid w:val="007F588F"/>
    <w:rsid w:val="007F66A5"/>
    <w:rsid w:val="0080038A"/>
    <w:rsid w:val="0080065F"/>
    <w:rsid w:val="00802DA0"/>
    <w:rsid w:val="008051DE"/>
    <w:rsid w:val="00805659"/>
    <w:rsid w:val="0080733E"/>
    <w:rsid w:val="00810CC2"/>
    <w:rsid w:val="0081324B"/>
    <w:rsid w:val="0081440E"/>
    <w:rsid w:val="00816193"/>
    <w:rsid w:val="008165E4"/>
    <w:rsid w:val="008234BD"/>
    <w:rsid w:val="00824A8C"/>
    <w:rsid w:val="00825155"/>
    <w:rsid w:val="00825EB9"/>
    <w:rsid w:val="008303E2"/>
    <w:rsid w:val="00833A8F"/>
    <w:rsid w:val="008341F8"/>
    <w:rsid w:val="008359F3"/>
    <w:rsid w:val="00835DB6"/>
    <w:rsid w:val="00836AC2"/>
    <w:rsid w:val="00837D13"/>
    <w:rsid w:val="008406D5"/>
    <w:rsid w:val="00843BED"/>
    <w:rsid w:val="008447C8"/>
    <w:rsid w:val="00844C5B"/>
    <w:rsid w:val="00847B37"/>
    <w:rsid w:val="008501A4"/>
    <w:rsid w:val="008505A1"/>
    <w:rsid w:val="00850817"/>
    <w:rsid w:val="00851D16"/>
    <w:rsid w:val="00851E54"/>
    <w:rsid w:val="0085433A"/>
    <w:rsid w:val="00854B32"/>
    <w:rsid w:val="00855F2B"/>
    <w:rsid w:val="00856252"/>
    <w:rsid w:val="00857634"/>
    <w:rsid w:val="0086124E"/>
    <w:rsid w:val="00861B74"/>
    <w:rsid w:val="00864A10"/>
    <w:rsid w:val="008652C9"/>
    <w:rsid w:val="00866992"/>
    <w:rsid w:val="00866CA9"/>
    <w:rsid w:val="00867E32"/>
    <w:rsid w:val="00872942"/>
    <w:rsid w:val="00875991"/>
    <w:rsid w:val="00875BB5"/>
    <w:rsid w:val="008771B6"/>
    <w:rsid w:val="00877FDD"/>
    <w:rsid w:val="00880FED"/>
    <w:rsid w:val="0088186D"/>
    <w:rsid w:val="008841C8"/>
    <w:rsid w:val="00885367"/>
    <w:rsid w:val="008855A4"/>
    <w:rsid w:val="00887082"/>
    <w:rsid w:val="00887C8D"/>
    <w:rsid w:val="00887DC7"/>
    <w:rsid w:val="00891FCC"/>
    <w:rsid w:val="00892BB8"/>
    <w:rsid w:val="00893014"/>
    <w:rsid w:val="0089513A"/>
    <w:rsid w:val="00896755"/>
    <w:rsid w:val="008A2417"/>
    <w:rsid w:val="008A5D49"/>
    <w:rsid w:val="008A751E"/>
    <w:rsid w:val="008A756C"/>
    <w:rsid w:val="008B0547"/>
    <w:rsid w:val="008B11A3"/>
    <w:rsid w:val="008B1FE5"/>
    <w:rsid w:val="008B2AD7"/>
    <w:rsid w:val="008B3A74"/>
    <w:rsid w:val="008B3D72"/>
    <w:rsid w:val="008B434A"/>
    <w:rsid w:val="008B5AE6"/>
    <w:rsid w:val="008B5DA7"/>
    <w:rsid w:val="008B7B55"/>
    <w:rsid w:val="008C3A5B"/>
    <w:rsid w:val="008C3D50"/>
    <w:rsid w:val="008C5B71"/>
    <w:rsid w:val="008D0E23"/>
    <w:rsid w:val="008D2382"/>
    <w:rsid w:val="008D3521"/>
    <w:rsid w:val="008D5667"/>
    <w:rsid w:val="008D6F5D"/>
    <w:rsid w:val="008E003A"/>
    <w:rsid w:val="008E15E3"/>
    <w:rsid w:val="008E2045"/>
    <w:rsid w:val="008E4C62"/>
    <w:rsid w:val="008E727E"/>
    <w:rsid w:val="008F0B17"/>
    <w:rsid w:val="008F2902"/>
    <w:rsid w:val="008F4047"/>
    <w:rsid w:val="008F4111"/>
    <w:rsid w:val="008F4593"/>
    <w:rsid w:val="008F660B"/>
    <w:rsid w:val="009005CE"/>
    <w:rsid w:val="00901376"/>
    <w:rsid w:val="0090188B"/>
    <w:rsid w:val="009021A4"/>
    <w:rsid w:val="00904305"/>
    <w:rsid w:val="00904EC5"/>
    <w:rsid w:val="0091406E"/>
    <w:rsid w:val="00914B48"/>
    <w:rsid w:val="0091511B"/>
    <w:rsid w:val="00917B6F"/>
    <w:rsid w:val="009239AA"/>
    <w:rsid w:val="009245B5"/>
    <w:rsid w:val="00925EF2"/>
    <w:rsid w:val="00935C40"/>
    <w:rsid w:val="00935F4D"/>
    <w:rsid w:val="0093795C"/>
    <w:rsid w:val="00937DCB"/>
    <w:rsid w:val="00937F7E"/>
    <w:rsid w:val="009440DE"/>
    <w:rsid w:val="009444E6"/>
    <w:rsid w:val="00944A8E"/>
    <w:rsid w:val="009455E6"/>
    <w:rsid w:val="0094589B"/>
    <w:rsid w:val="00950775"/>
    <w:rsid w:val="009509C0"/>
    <w:rsid w:val="00952B9C"/>
    <w:rsid w:val="00953B70"/>
    <w:rsid w:val="00956348"/>
    <w:rsid w:val="00956BA7"/>
    <w:rsid w:val="00956FD8"/>
    <w:rsid w:val="009575F7"/>
    <w:rsid w:val="00957E4B"/>
    <w:rsid w:val="0096021A"/>
    <w:rsid w:val="00960F73"/>
    <w:rsid w:val="009642CA"/>
    <w:rsid w:val="009652B6"/>
    <w:rsid w:val="0096655D"/>
    <w:rsid w:val="00971139"/>
    <w:rsid w:val="00972B10"/>
    <w:rsid w:val="0097401F"/>
    <w:rsid w:val="00981FA0"/>
    <w:rsid w:val="0098263A"/>
    <w:rsid w:val="00983541"/>
    <w:rsid w:val="00984366"/>
    <w:rsid w:val="00984E80"/>
    <w:rsid w:val="0098690F"/>
    <w:rsid w:val="00987EE5"/>
    <w:rsid w:val="00991CD8"/>
    <w:rsid w:val="00991EBE"/>
    <w:rsid w:val="009928B3"/>
    <w:rsid w:val="00992B6B"/>
    <w:rsid w:val="00993C2E"/>
    <w:rsid w:val="00997C8A"/>
    <w:rsid w:val="009A1339"/>
    <w:rsid w:val="009A1A95"/>
    <w:rsid w:val="009A3006"/>
    <w:rsid w:val="009A3994"/>
    <w:rsid w:val="009B2FB9"/>
    <w:rsid w:val="009B5D6F"/>
    <w:rsid w:val="009B62AF"/>
    <w:rsid w:val="009B6745"/>
    <w:rsid w:val="009B68AF"/>
    <w:rsid w:val="009B7AB9"/>
    <w:rsid w:val="009C4B6D"/>
    <w:rsid w:val="009D0928"/>
    <w:rsid w:val="009D1B99"/>
    <w:rsid w:val="009D2884"/>
    <w:rsid w:val="009D5393"/>
    <w:rsid w:val="009D5445"/>
    <w:rsid w:val="009D565F"/>
    <w:rsid w:val="009D65B9"/>
    <w:rsid w:val="009D70EE"/>
    <w:rsid w:val="009E04DC"/>
    <w:rsid w:val="009E0FB3"/>
    <w:rsid w:val="009E3B5A"/>
    <w:rsid w:val="009E5105"/>
    <w:rsid w:val="009E59A1"/>
    <w:rsid w:val="009E66EE"/>
    <w:rsid w:val="009F015D"/>
    <w:rsid w:val="009F4326"/>
    <w:rsid w:val="009F7FA6"/>
    <w:rsid w:val="00A0082F"/>
    <w:rsid w:val="00A0244C"/>
    <w:rsid w:val="00A033FF"/>
    <w:rsid w:val="00A0409E"/>
    <w:rsid w:val="00A046C7"/>
    <w:rsid w:val="00A04EDA"/>
    <w:rsid w:val="00A06137"/>
    <w:rsid w:val="00A063FE"/>
    <w:rsid w:val="00A06EDB"/>
    <w:rsid w:val="00A07ACC"/>
    <w:rsid w:val="00A11259"/>
    <w:rsid w:val="00A1329C"/>
    <w:rsid w:val="00A14503"/>
    <w:rsid w:val="00A14E25"/>
    <w:rsid w:val="00A14E81"/>
    <w:rsid w:val="00A16A60"/>
    <w:rsid w:val="00A17A3D"/>
    <w:rsid w:val="00A2062A"/>
    <w:rsid w:val="00A2066E"/>
    <w:rsid w:val="00A21E19"/>
    <w:rsid w:val="00A236A1"/>
    <w:rsid w:val="00A239A8"/>
    <w:rsid w:val="00A25B79"/>
    <w:rsid w:val="00A30683"/>
    <w:rsid w:val="00A3115F"/>
    <w:rsid w:val="00A32209"/>
    <w:rsid w:val="00A33030"/>
    <w:rsid w:val="00A378A2"/>
    <w:rsid w:val="00A407B6"/>
    <w:rsid w:val="00A40CDE"/>
    <w:rsid w:val="00A43FBD"/>
    <w:rsid w:val="00A43FD4"/>
    <w:rsid w:val="00A44703"/>
    <w:rsid w:val="00A473D7"/>
    <w:rsid w:val="00A52DA1"/>
    <w:rsid w:val="00A54CCB"/>
    <w:rsid w:val="00A5757E"/>
    <w:rsid w:val="00A60F52"/>
    <w:rsid w:val="00A61DFE"/>
    <w:rsid w:val="00A62AA8"/>
    <w:rsid w:val="00A63B4C"/>
    <w:rsid w:val="00A6526F"/>
    <w:rsid w:val="00A664AD"/>
    <w:rsid w:val="00A664E7"/>
    <w:rsid w:val="00A66E7F"/>
    <w:rsid w:val="00A67917"/>
    <w:rsid w:val="00A70904"/>
    <w:rsid w:val="00A709BB"/>
    <w:rsid w:val="00A75C52"/>
    <w:rsid w:val="00A767B2"/>
    <w:rsid w:val="00A81B11"/>
    <w:rsid w:val="00A82B9E"/>
    <w:rsid w:val="00A84186"/>
    <w:rsid w:val="00A846F1"/>
    <w:rsid w:val="00A857B4"/>
    <w:rsid w:val="00A85B14"/>
    <w:rsid w:val="00A875C0"/>
    <w:rsid w:val="00A87C15"/>
    <w:rsid w:val="00A92706"/>
    <w:rsid w:val="00A9704A"/>
    <w:rsid w:val="00A97AD0"/>
    <w:rsid w:val="00AA1377"/>
    <w:rsid w:val="00AA1D1B"/>
    <w:rsid w:val="00AA49AF"/>
    <w:rsid w:val="00AA4F2F"/>
    <w:rsid w:val="00AA57CE"/>
    <w:rsid w:val="00AA7211"/>
    <w:rsid w:val="00AA7540"/>
    <w:rsid w:val="00AB3E6B"/>
    <w:rsid w:val="00AB51C8"/>
    <w:rsid w:val="00AB5586"/>
    <w:rsid w:val="00AB7B25"/>
    <w:rsid w:val="00AC0BAE"/>
    <w:rsid w:val="00AC126F"/>
    <w:rsid w:val="00AC13F7"/>
    <w:rsid w:val="00AC3256"/>
    <w:rsid w:val="00AC43D2"/>
    <w:rsid w:val="00AC4B34"/>
    <w:rsid w:val="00AC6DE2"/>
    <w:rsid w:val="00AC737D"/>
    <w:rsid w:val="00AD05A6"/>
    <w:rsid w:val="00AD283D"/>
    <w:rsid w:val="00AD5922"/>
    <w:rsid w:val="00AD6555"/>
    <w:rsid w:val="00AE05EA"/>
    <w:rsid w:val="00AE0EDF"/>
    <w:rsid w:val="00AE1128"/>
    <w:rsid w:val="00AE1AB0"/>
    <w:rsid w:val="00AE2609"/>
    <w:rsid w:val="00AE29A8"/>
    <w:rsid w:val="00AE3960"/>
    <w:rsid w:val="00AE4074"/>
    <w:rsid w:val="00AE439A"/>
    <w:rsid w:val="00AE591D"/>
    <w:rsid w:val="00AE617A"/>
    <w:rsid w:val="00AE713F"/>
    <w:rsid w:val="00AF01CB"/>
    <w:rsid w:val="00AF09C7"/>
    <w:rsid w:val="00AF1474"/>
    <w:rsid w:val="00AF4BF4"/>
    <w:rsid w:val="00B0025D"/>
    <w:rsid w:val="00B006D8"/>
    <w:rsid w:val="00B02238"/>
    <w:rsid w:val="00B03D35"/>
    <w:rsid w:val="00B05065"/>
    <w:rsid w:val="00B05194"/>
    <w:rsid w:val="00B0688D"/>
    <w:rsid w:val="00B06B45"/>
    <w:rsid w:val="00B06D33"/>
    <w:rsid w:val="00B074B3"/>
    <w:rsid w:val="00B10AD8"/>
    <w:rsid w:val="00B154B5"/>
    <w:rsid w:val="00B17303"/>
    <w:rsid w:val="00B1744E"/>
    <w:rsid w:val="00B21343"/>
    <w:rsid w:val="00B219AA"/>
    <w:rsid w:val="00B21A5B"/>
    <w:rsid w:val="00B25143"/>
    <w:rsid w:val="00B2585D"/>
    <w:rsid w:val="00B266FA"/>
    <w:rsid w:val="00B26C40"/>
    <w:rsid w:val="00B26D82"/>
    <w:rsid w:val="00B27359"/>
    <w:rsid w:val="00B33FC2"/>
    <w:rsid w:val="00B3423E"/>
    <w:rsid w:val="00B347F1"/>
    <w:rsid w:val="00B34A99"/>
    <w:rsid w:val="00B3502B"/>
    <w:rsid w:val="00B35755"/>
    <w:rsid w:val="00B35774"/>
    <w:rsid w:val="00B3599F"/>
    <w:rsid w:val="00B35C3E"/>
    <w:rsid w:val="00B36473"/>
    <w:rsid w:val="00B408FD"/>
    <w:rsid w:val="00B40BEA"/>
    <w:rsid w:val="00B41D9D"/>
    <w:rsid w:val="00B44029"/>
    <w:rsid w:val="00B44FFA"/>
    <w:rsid w:val="00B45428"/>
    <w:rsid w:val="00B47943"/>
    <w:rsid w:val="00B50446"/>
    <w:rsid w:val="00B50A6E"/>
    <w:rsid w:val="00B512D2"/>
    <w:rsid w:val="00B527BF"/>
    <w:rsid w:val="00B52DC6"/>
    <w:rsid w:val="00B530FD"/>
    <w:rsid w:val="00B53C03"/>
    <w:rsid w:val="00B53C9C"/>
    <w:rsid w:val="00B558FE"/>
    <w:rsid w:val="00B56396"/>
    <w:rsid w:val="00B5639B"/>
    <w:rsid w:val="00B60C3E"/>
    <w:rsid w:val="00B615CB"/>
    <w:rsid w:val="00B63E30"/>
    <w:rsid w:val="00B645FA"/>
    <w:rsid w:val="00B64775"/>
    <w:rsid w:val="00B657AB"/>
    <w:rsid w:val="00B65AF9"/>
    <w:rsid w:val="00B663CD"/>
    <w:rsid w:val="00B67B4F"/>
    <w:rsid w:val="00B702CD"/>
    <w:rsid w:val="00B77BB8"/>
    <w:rsid w:val="00B81718"/>
    <w:rsid w:val="00B85A97"/>
    <w:rsid w:val="00B86AF6"/>
    <w:rsid w:val="00B86E2A"/>
    <w:rsid w:val="00B877AA"/>
    <w:rsid w:val="00B9389E"/>
    <w:rsid w:val="00B94EB5"/>
    <w:rsid w:val="00B96EA4"/>
    <w:rsid w:val="00B97282"/>
    <w:rsid w:val="00B97A3E"/>
    <w:rsid w:val="00BA2F02"/>
    <w:rsid w:val="00BA2FFD"/>
    <w:rsid w:val="00BA428A"/>
    <w:rsid w:val="00BA58B6"/>
    <w:rsid w:val="00BA62AD"/>
    <w:rsid w:val="00BB0267"/>
    <w:rsid w:val="00BB078B"/>
    <w:rsid w:val="00BB0E0C"/>
    <w:rsid w:val="00BB37AF"/>
    <w:rsid w:val="00BB4769"/>
    <w:rsid w:val="00BB4C08"/>
    <w:rsid w:val="00BB61BE"/>
    <w:rsid w:val="00BB779D"/>
    <w:rsid w:val="00BC1DBD"/>
    <w:rsid w:val="00BC526B"/>
    <w:rsid w:val="00BC5737"/>
    <w:rsid w:val="00BD1747"/>
    <w:rsid w:val="00BD3C68"/>
    <w:rsid w:val="00BD421D"/>
    <w:rsid w:val="00BD4493"/>
    <w:rsid w:val="00BD6B87"/>
    <w:rsid w:val="00BD73FC"/>
    <w:rsid w:val="00BD79B1"/>
    <w:rsid w:val="00BE04D9"/>
    <w:rsid w:val="00BE08EF"/>
    <w:rsid w:val="00BE4614"/>
    <w:rsid w:val="00BE4E6F"/>
    <w:rsid w:val="00BE5100"/>
    <w:rsid w:val="00BE529D"/>
    <w:rsid w:val="00BE53DD"/>
    <w:rsid w:val="00BE573E"/>
    <w:rsid w:val="00BE6584"/>
    <w:rsid w:val="00BE6637"/>
    <w:rsid w:val="00BF10E8"/>
    <w:rsid w:val="00BF2033"/>
    <w:rsid w:val="00BF3158"/>
    <w:rsid w:val="00BF3169"/>
    <w:rsid w:val="00BF51B7"/>
    <w:rsid w:val="00C00953"/>
    <w:rsid w:val="00C03312"/>
    <w:rsid w:val="00C039A5"/>
    <w:rsid w:val="00C03A04"/>
    <w:rsid w:val="00C03C67"/>
    <w:rsid w:val="00C046F7"/>
    <w:rsid w:val="00C064FE"/>
    <w:rsid w:val="00C066AB"/>
    <w:rsid w:val="00C06EA1"/>
    <w:rsid w:val="00C10C0B"/>
    <w:rsid w:val="00C10DD5"/>
    <w:rsid w:val="00C11F76"/>
    <w:rsid w:val="00C15A27"/>
    <w:rsid w:val="00C15FEF"/>
    <w:rsid w:val="00C165A1"/>
    <w:rsid w:val="00C1776A"/>
    <w:rsid w:val="00C20301"/>
    <w:rsid w:val="00C22519"/>
    <w:rsid w:val="00C22F12"/>
    <w:rsid w:val="00C2305C"/>
    <w:rsid w:val="00C233D0"/>
    <w:rsid w:val="00C2380D"/>
    <w:rsid w:val="00C24162"/>
    <w:rsid w:val="00C24E78"/>
    <w:rsid w:val="00C2509D"/>
    <w:rsid w:val="00C27A2E"/>
    <w:rsid w:val="00C34ABD"/>
    <w:rsid w:val="00C353CF"/>
    <w:rsid w:val="00C35F43"/>
    <w:rsid w:val="00C36C55"/>
    <w:rsid w:val="00C37088"/>
    <w:rsid w:val="00C3715E"/>
    <w:rsid w:val="00C408D5"/>
    <w:rsid w:val="00C41D3C"/>
    <w:rsid w:val="00C43801"/>
    <w:rsid w:val="00C44A07"/>
    <w:rsid w:val="00C44BDC"/>
    <w:rsid w:val="00C45BFB"/>
    <w:rsid w:val="00C45DCE"/>
    <w:rsid w:val="00C46D15"/>
    <w:rsid w:val="00C50C7D"/>
    <w:rsid w:val="00C50FF9"/>
    <w:rsid w:val="00C54B14"/>
    <w:rsid w:val="00C6352A"/>
    <w:rsid w:val="00C65B2D"/>
    <w:rsid w:val="00C65C5D"/>
    <w:rsid w:val="00C6656A"/>
    <w:rsid w:val="00C66C03"/>
    <w:rsid w:val="00C711E5"/>
    <w:rsid w:val="00C730CB"/>
    <w:rsid w:val="00C731FC"/>
    <w:rsid w:val="00C73782"/>
    <w:rsid w:val="00C80D90"/>
    <w:rsid w:val="00C81B05"/>
    <w:rsid w:val="00C83AEE"/>
    <w:rsid w:val="00C85531"/>
    <w:rsid w:val="00C85563"/>
    <w:rsid w:val="00C85AC7"/>
    <w:rsid w:val="00C85B0B"/>
    <w:rsid w:val="00C87F13"/>
    <w:rsid w:val="00C9045E"/>
    <w:rsid w:val="00C90466"/>
    <w:rsid w:val="00C906CD"/>
    <w:rsid w:val="00C90F10"/>
    <w:rsid w:val="00C9133D"/>
    <w:rsid w:val="00C934E0"/>
    <w:rsid w:val="00C96454"/>
    <w:rsid w:val="00CA0FB8"/>
    <w:rsid w:val="00CA15F3"/>
    <w:rsid w:val="00CA2680"/>
    <w:rsid w:val="00CA4D23"/>
    <w:rsid w:val="00CA522F"/>
    <w:rsid w:val="00CA6716"/>
    <w:rsid w:val="00CB036A"/>
    <w:rsid w:val="00CB0D34"/>
    <w:rsid w:val="00CB79F7"/>
    <w:rsid w:val="00CC1939"/>
    <w:rsid w:val="00CC23EB"/>
    <w:rsid w:val="00CC42D4"/>
    <w:rsid w:val="00CC4364"/>
    <w:rsid w:val="00CC64E3"/>
    <w:rsid w:val="00CC7712"/>
    <w:rsid w:val="00CD179A"/>
    <w:rsid w:val="00CD2030"/>
    <w:rsid w:val="00CD2536"/>
    <w:rsid w:val="00CD407F"/>
    <w:rsid w:val="00CD5740"/>
    <w:rsid w:val="00CD7420"/>
    <w:rsid w:val="00CE0BA7"/>
    <w:rsid w:val="00CE3FC3"/>
    <w:rsid w:val="00CE6ACB"/>
    <w:rsid w:val="00CE6D09"/>
    <w:rsid w:val="00CF0E4D"/>
    <w:rsid w:val="00CF230D"/>
    <w:rsid w:val="00CF5489"/>
    <w:rsid w:val="00CF7615"/>
    <w:rsid w:val="00CF7823"/>
    <w:rsid w:val="00D003F8"/>
    <w:rsid w:val="00D01540"/>
    <w:rsid w:val="00D01AFE"/>
    <w:rsid w:val="00D02757"/>
    <w:rsid w:val="00D02FB7"/>
    <w:rsid w:val="00D04613"/>
    <w:rsid w:val="00D05C77"/>
    <w:rsid w:val="00D10769"/>
    <w:rsid w:val="00D11642"/>
    <w:rsid w:val="00D116C7"/>
    <w:rsid w:val="00D13AC5"/>
    <w:rsid w:val="00D14E5F"/>
    <w:rsid w:val="00D14FB2"/>
    <w:rsid w:val="00D16754"/>
    <w:rsid w:val="00D17548"/>
    <w:rsid w:val="00D17CC6"/>
    <w:rsid w:val="00D2041E"/>
    <w:rsid w:val="00D20454"/>
    <w:rsid w:val="00D20D10"/>
    <w:rsid w:val="00D23801"/>
    <w:rsid w:val="00D25AEC"/>
    <w:rsid w:val="00D25B2F"/>
    <w:rsid w:val="00D341C9"/>
    <w:rsid w:val="00D3447D"/>
    <w:rsid w:val="00D3488B"/>
    <w:rsid w:val="00D35F32"/>
    <w:rsid w:val="00D361DE"/>
    <w:rsid w:val="00D37427"/>
    <w:rsid w:val="00D3793E"/>
    <w:rsid w:val="00D37FB2"/>
    <w:rsid w:val="00D41A6A"/>
    <w:rsid w:val="00D4233A"/>
    <w:rsid w:val="00D44B3D"/>
    <w:rsid w:val="00D46C4C"/>
    <w:rsid w:val="00D51F18"/>
    <w:rsid w:val="00D52DA3"/>
    <w:rsid w:val="00D53537"/>
    <w:rsid w:val="00D54E9E"/>
    <w:rsid w:val="00D551C8"/>
    <w:rsid w:val="00D55972"/>
    <w:rsid w:val="00D564BB"/>
    <w:rsid w:val="00D565FA"/>
    <w:rsid w:val="00D568ED"/>
    <w:rsid w:val="00D56BF9"/>
    <w:rsid w:val="00D6014E"/>
    <w:rsid w:val="00D630E7"/>
    <w:rsid w:val="00D66F17"/>
    <w:rsid w:val="00D700E5"/>
    <w:rsid w:val="00D70900"/>
    <w:rsid w:val="00D71B77"/>
    <w:rsid w:val="00D74A87"/>
    <w:rsid w:val="00D76186"/>
    <w:rsid w:val="00D771E9"/>
    <w:rsid w:val="00D86C20"/>
    <w:rsid w:val="00D86DD4"/>
    <w:rsid w:val="00D92529"/>
    <w:rsid w:val="00DA1613"/>
    <w:rsid w:val="00DA330A"/>
    <w:rsid w:val="00DA5AAB"/>
    <w:rsid w:val="00DA671A"/>
    <w:rsid w:val="00DA6858"/>
    <w:rsid w:val="00DA7CBB"/>
    <w:rsid w:val="00DB08FA"/>
    <w:rsid w:val="00DB1CD7"/>
    <w:rsid w:val="00DB2651"/>
    <w:rsid w:val="00DB30B1"/>
    <w:rsid w:val="00DB3ECD"/>
    <w:rsid w:val="00DB4717"/>
    <w:rsid w:val="00DC12C8"/>
    <w:rsid w:val="00DC6F31"/>
    <w:rsid w:val="00DC7FFD"/>
    <w:rsid w:val="00DD0277"/>
    <w:rsid w:val="00DD1B11"/>
    <w:rsid w:val="00DD1B33"/>
    <w:rsid w:val="00DD6D82"/>
    <w:rsid w:val="00DE045E"/>
    <w:rsid w:val="00DE1240"/>
    <w:rsid w:val="00DE1AA5"/>
    <w:rsid w:val="00DE231A"/>
    <w:rsid w:val="00DE23D6"/>
    <w:rsid w:val="00DE2825"/>
    <w:rsid w:val="00DE29B9"/>
    <w:rsid w:val="00DE2CB6"/>
    <w:rsid w:val="00DE2DDE"/>
    <w:rsid w:val="00DE395F"/>
    <w:rsid w:val="00DE5414"/>
    <w:rsid w:val="00DE7E46"/>
    <w:rsid w:val="00DF0C37"/>
    <w:rsid w:val="00DF24FD"/>
    <w:rsid w:val="00DF2506"/>
    <w:rsid w:val="00DF2F26"/>
    <w:rsid w:val="00DF301A"/>
    <w:rsid w:val="00DF3469"/>
    <w:rsid w:val="00DF3BE2"/>
    <w:rsid w:val="00DF4E2C"/>
    <w:rsid w:val="00DF4E34"/>
    <w:rsid w:val="00DF75EC"/>
    <w:rsid w:val="00E0133D"/>
    <w:rsid w:val="00E019ED"/>
    <w:rsid w:val="00E02392"/>
    <w:rsid w:val="00E0312F"/>
    <w:rsid w:val="00E04C48"/>
    <w:rsid w:val="00E05DA6"/>
    <w:rsid w:val="00E06065"/>
    <w:rsid w:val="00E07901"/>
    <w:rsid w:val="00E079C6"/>
    <w:rsid w:val="00E1273C"/>
    <w:rsid w:val="00E1434A"/>
    <w:rsid w:val="00E146CF"/>
    <w:rsid w:val="00E14BED"/>
    <w:rsid w:val="00E17711"/>
    <w:rsid w:val="00E23C05"/>
    <w:rsid w:val="00E2425F"/>
    <w:rsid w:val="00E242F0"/>
    <w:rsid w:val="00E245B0"/>
    <w:rsid w:val="00E247E2"/>
    <w:rsid w:val="00E30431"/>
    <w:rsid w:val="00E304EB"/>
    <w:rsid w:val="00E329D0"/>
    <w:rsid w:val="00E33746"/>
    <w:rsid w:val="00E342B3"/>
    <w:rsid w:val="00E3451F"/>
    <w:rsid w:val="00E34B80"/>
    <w:rsid w:val="00E36ADF"/>
    <w:rsid w:val="00E36B53"/>
    <w:rsid w:val="00E37585"/>
    <w:rsid w:val="00E41B64"/>
    <w:rsid w:val="00E42C35"/>
    <w:rsid w:val="00E469D5"/>
    <w:rsid w:val="00E46CD5"/>
    <w:rsid w:val="00E500D9"/>
    <w:rsid w:val="00E51AB5"/>
    <w:rsid w:val="00E52345"/>
    <w:rsid w:val="00E52763"/>
    <w:rsid w:val="00E563AE"/>
    <w:rsid w:val="00E662CD"/>
    <w:rsid w:val="00E67427"/>
    <w:rsid w:val="00E676F1"/>
    <w:rsid w:val="00E73271"/>
    <w:rsid w:val="00E735DA"/>
    <w:rsid w:val="00E74214"/>
    <w:rsid w:val="00E74762"/>
    <w:rsid w:val="00E74D52"/>
    <w:rsid w:val="00E75855"/>
    <w:rsid w:val="00E7609C"/>
    <w:rsid w:val="00E82556"/>
    <w:rsid w:val="00E85CBE"/>
    <w:rsid w:val="00E86566"/>
    <w:rsid w:val="00E875F5"/>
    <w:rsid w:val="00E92527"/>
    <w:rsid w:val="00E92A93"/>
    <w:rsid w:val="00E93620"/>
    <w:rsid w:val="00E97045"/>
    <w:rsid w:val="00E97DA3"/>
    <w:rsid w:val="00EA270C"/>
    <w:rsid w:val="00EA3185"/>
    <w:rsid w:val="00EA5CB5"/>
    <w:rsid w:val="00EA5CF4"/>
    <w:rsid w:val="00EB09B9"/>
    <w:rsid w:val="00EB76F7"/>
    <w:rsid w:val="00EB7CB1"/>
    <w:rsid w:val="00EC0569"/>
    <w:rsid w:val="00EC0C7B"/>
    <w:rsid w:val="00EC1C35"/>
    <w:rsid w:val="00EC5E45"/>
    <w:rsid w:val="00ED0557"/>
    <w:rsid w:val="00ED0CF0"/>
    <w:rsid w:val="00ED34D4"/>
    <w:rsid w:val="00ED3D84"/>
    <w:rsid w:val="00ED766C"/>
    <w:rsid w:val="00ED76FB"/>
    <w:rsid w:val="00EE05C2"/>
    <w:rsid w:val="00EE0D01"/>
    <w:rsid w:val="00EE30EE"/>
    <w:rsid w:val="00EE3C6D"/>
    <w:rsid w:val="00EE4C6E"/>
    <w:rsid w:val="00EE5135"/>
    <w:rsid w:val="00EE558C"/>
    <w:rsid w:val="00EE61BE"/>
    <w:rsid w:val="00EE6DE6"/>
    <w:rsid w:val="00EF057C"/>
    <w:rsid w:val="00EF1D14"/>
    <w:rsid w:val="00EF4FEE"/>
    <w:rsid w:val="00EF6873"/>
    <w:rsid w:val="00EF6F24"/>
    <w:rsid w:val="00F0080B"/>
    <w:rsid w:val="00F00BE1"/>
    <w:rsid w:val="00F01B31"/>
    <w:rsid w:val="00F03AB9"/>
    <w:rsid w:val="00F06479"/>
    <w:rsid w:val="00F076C5"/>
    <w:rsid w:val="00F120D9"/>
    <w:rsid w:val="00F124BE"/>
    <w:rsid w:val="00F125DE"/>
    <w:rsid w:val="00F14C13"/>
    <w:rsid w:val="00F24232"/>
    <w:rsid w:val="00F2526C"/>
    <w:rsid w:val="00F27170"/>
    <w:rsid w:val="00F30016"/>
    <w:rsid w:val="00F3144A"/>
    <w:rsid w:val="00F31C75"/>
    <w:rsid w:val="00F32543"/>
    <w:rsid w:val="00F33277"/>
    <w:rsid w:val="00F340CD"/>
    <w:rsid w:val="00F341CC"/>
    <w:rsid w:val="00F36B6C"/>
    <w:rsid w:val="00F36D10"/>
    <w:rsid w:val="00F40CAB"/>
    <w:rsid w:val="00F43960"/>
    <w:rsid w:val="00F459C7"/>
    <w:rsid w:val="00F47C5C"/>
    <w:rsid w:val="00F54856"/>
    <w:rsid w:val="00F55D35"/>
    <w:rsid w:val="00F56CB9"/>
    <w:rsid w:val="00F57650"/>
    <w:rsid w:val="00F579FC"/>
    <w:rsid w:val="00F60C74"/>
    <w:rsid w:val="00F62773"/>
    <w:rsid w:val="00F64F51"/>
    <w:rsid w:val="00F66122"/>
    <w:rsid w:val="00F666FD"/>
    <w:rsid w:val="00F67099"/>
    <w:rsid w:val="00F67A35"/>
    <w:rsid w:val="00F72620"/>
    <w:rsid w:val="00F759AD"/>
    <w:rsid w:val="00F765E8"/>
    <w:rsid w:val="00F8200C"/>
    <w:rsid w:val="00F85D77"/>
    <w:rsid w:val="00F86D88"/>
    <w:rsid w:val="00F87FA7"/>
    <w:rsid w:val="00F90898"/>
    <w:rsid w:val="00F914C8"/>
    <w:rsid w:val="00F92EAE"/>
    <w:rsid w:val="00F9473C"/>
    <w:rsid w:val="00FA40A3"/>
    <w:rsid w:val="00FA45CD"/>
    <w:rsid w:val="00FA5B17"/>
    <w:rsid w:val="00FB33FA"/>
    <w:rsid w:val="00FB3BA6"/>
    <w:rsid w:val="00FB4D65"/>
    <w:rsid w:val="00FB5954"/>
    <w:rsid w:val="00FB6695"/>
    <w:rsid w:val="00FC0253"/>
    <w:rsid w:val="00FC0CDF"/>
    <w:rsid w:val="00FC0D7C"/>
    <w:rsid w:val="00FC163A"/>
    <w:rsid w:val="00FC183A"/>
    <w:rsid w:val="00FC19F5"/>
    <w:rsid w:val="00FC3D1C"/>
    <w:rsid w:val="00FC64F3"/>
    <w:rsid w:val="00FD08A7"/>
    <w:rsid w:val="00FD1295"/>
    <w:rsid w:val="00FD2E55"/>
    <w:rsid w:val="00FD2FA9"/>
    <w:rsid w:val="00FD3572"/>
    <w:rsid w:val="00FD5360"/>
    <w:rsid w:val="00FD54CC"/>
    <w:rsid w:val="00FE06A2"/>
    <w:rsid w:val="00FE0CE6"/>
    <w:rsid w:val="00FE28C8"/>
    <w:rsid w:val="00FE79EF"/>
    <w:rsid w:val="00FF025A"/>
    <w:rsid w:val="00FF088B"/>
    <w:rsid w:val="00FF0AC4"/>
    <w:rsid w:val="00FF10AF"/>
    <w:rsid w:val="00FF334E"/>
    <w:rsid w:val="00FF6F14"/>
    <w:rsid w:val="00FF772A"/>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E73A8D14-7D83-49A1-9352-84FF1263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A35"/>
    <w:pPr>
      <w:spacing w:after="120"/>
      <w:ind w:left="1134"/>
      <w:jc w:val="both"/>
    </w:pPr>
    <w:rPr>
      <w:sz w:val="24"/>
      <w:szCs w:val="24"/>
      <w:lang w:eastAsia="en-US"/>
    </w:rPr>
  </w:style>
  <w:style w:type="paragraph" w:styleId="Ttulo2">
    <w:name w:val="heading 2"/>
    <w:basedOn w:val="Normal"/>
    <w:next w:val="Normal"/>
    <w:link w:val="Ttulo2Char"/>
    <w:qFormat/>
    <w:rsid w:val="00AE1AB0"/>
    <w:pPr>
      <w:keepNext/>
      <w:spacing w:after="0"/>
      <w:ind w:left="708" w:firstLine="708"/>
      <w:jc w:val="center"/>
      <w:outlineLvl w:val="1"/>
    </w:pPr>
    <w:rPr>
      <w:rFonts w:eastAsia="Times New Roman"/>
      <w:szCs w:val="20"/>
      <w:lang w:eastAsia="pt-BR"/>
    </w:rPr>
  </w:style>
  <w:style w:type="paragraph" w:styleId="Ttulo3">
    <w:name w:val="heading 3"/>
    <w:basedOn w:val="Normal"/>
    <w:next w:val="Normal"/>
    <w:link w:val="Ttulo3Char"/>
    <w:uiPriority w:val="9"/>
    <w:semiHidden/>
    <w:unhideWhenUsed/>
    <w:qFormat/>
    <w:rsid w:val="005438A1"/>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5438A1"/>
    <w:pPr>
      <w:keepNext/>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
    <w:unhideWhenUsed/>
    <w:qFormat/>
    <w:rsid w:val="005438A1"/>
    <w:pPr>
      <w:keepNext/>
      <w:keepLines/>
      <w:spacing w:before="200" w:after="0"/>
      <w:ind w:left="0"/>
      <w:jc w:val="left"/>
      <w:outlineLvl w:val="4"/>
    </w:pPr>
    <w:rPr>
      <w:rFonts w:ascii="Cambria" w:eastAsia="Times New Roman" w:hAnsi="Cambria"/>
      <w:color w:val="243F60"/>
      <w:szCs w:val="22"/>
    </w:rPr>
  </w:style>
  <w:style w:type="paragraph" w:styleId="Ttulo6">
    <w:name w:val="heading 6"/>
    <w:basedOn w:val="Normal"/>
    <w:next w:val="Normal"/>
    <w:link w:val="Ttulo6Char"/>
    <w:uiPriority w:val="9"/>
    <w:semiHidden/>
    <w:unhideWhenUsed/>
    <w:qFormat/>
    <w:rsid w:val="00E75855"/>
    <w:pPr>
      <w:spacing w:before="240" w:after="60"/>
      <w:outlineLvl w:val="5"/>
    </w:pPr>
    <w:rPr>
      <w:rFonts w:ascii="Calibri" w:eastAsia="Times New Roman" w:hAnsi="Calibri"/>
      <w:b/>
      <w:bCs/>
      <w:sz w:val="22"/>
      <w:szCs w:val="22"/>
    </w:rPr>
  </w:style>
  <w:style w:type="paragraph" w:styleId="Ttulo8">
    <w:name w:val="heading 8"/>
    <w:basedOn w:val="Normal"/>
    <w:next w:val="Normal"/>
    <w:link w:val="Ttulo8Char"/>
    <w:uiPriority w:val="9"/>
    <w:unhideWhenUsed/>
    <w:qFormat/>
    <w:rsid w:val="00515E7B"/>
    <w:pPr>
      <w:spacing w:before="240" w:after="60"/>
      <w:outlineLvl w:val="7"/>
    </w:pPr>
    <w:rPr>
      <w:rFonts w:ascii="Calibri" w:eastAsia="Times New Roman" w:hAnsi="Calibri"/>
      <w:i/>
      <w:iCs/>
    </w:rPr>
  </w:style>
  <w:style w:type="paragraph" w:styleId="Ttulo9">
    <w:name w:val="heading 9"/>
    <w:basedOn w:val="Normal"/>
    <w:next w:val="Normal"/>
    <w:link w:val="Ttulo9Char"/>
    <w:uiPriority w:val="9"/>
    <w:semiHidden/>
    <w:unhideWhenUsed/>
    <w:qFormat/>
    <w:rsid w:val="00515E7B"/>
    <w:pPr>
      <w:spacing w:before="240" w:after="60"/>
      <w:outlineLvl w:val="8"/>
    </w:pPr>
    <w:rPr>
      <w:rFonts w:ascii="Cambria" w:eastAsia="Times New Roman"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0547"/>
    <w:pPr>
      <w:tabs>
        <w:tab w:val="center" w:pos="4252"/>
        <w:tab w:val="right" w:pos="8504"/>
      </w:tabs>
      <w:spacing w:after="0"/>
    </w:pPr>
  </w:style>
  <w:style w:type="character" w:customStyle="1" w:styleId="CabealhoChar">
    <w:name w:val="Cabeçalho Char"/>
    <w:basedOn w:val="Fontepargpadro"/>
    <w:link w:val="Cabealho"/>
    <w:uiPriority w:val="99"/>
    <w:rsid w:val="008B0547"/>
  </w:style>
  <w:style w:type="paragraph" w:styleId="Rodap">
    <w:name w:val="footer"/>
    <w:basedOn w:val="Normal"/>
    <w:link w:val="RodapChar"/>
    <w:uiPriority w:val="99"/>
    <w:unhideWhenUsed/>
    <w:rsid w:val="008B0547"/>
    <w:pPr>
      <w:tabs>
        <w:tab w:val="center" w:pos="4252"/>
        <w:tab w:val="right" w:pos="8504"/>
      </w:tabs>
      <w:spacing w:after="0"/>
    </w:pPr>
  </w:style>
  <w:style w:type="character" w:customStyle="1" w:styleId="RodapChar">
    <w:name w:val="Rodapé Char"/>
    <w:basedOn w:val="Fontepargpadro"/>
    <w:link w:val="Rodap"/>
    <w:uiPriority w:val="99"/>
    <w:rsid w:val="008B0547"/>
  </w:style>
  <w:style w:type="table" w:styleId="Tabelacomgrade">
    <w:name w:val="Table Grid"/>
    <w:basedOn w:val="Tabelanormal"/>
    <w:uiPriority w:val="59"/>
    <w:rsid w:val="00E23C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UPCorpo1">
    <w:name w:val="RUP Corpo 1"/>
    <w:rsid w:val="00E23C05"/>
    <w:pPr>
      <w:spacing w:before="120"/>
      <w:ind w:firstLine="425"/>
      <w:jc w:val="both"/>
    </w:pPr>
    <w:rPr>
      <w:rFonts w:ascii="Arial" w:eastAsia="Times New Roman" w:hAnsi="Arial"/>
    </w:rPr>
  </w:style>
  <w:style w:type="character" w:customStyle="1" w:styleId="Ttulo2Char">
    <w:name w:val="Título 2 Char"/>
    <w:basedOn w:val="Fontepargpadro"/>
    <w:link w:val="Ttulo2"/>
    <w:rsid w:val="00AE1AB0"/>
    <w:rPr>
      <w:rFonts w:eastAsia="Times New Roman"/>
      <w:sz w:val="24"/>
    </w:rPr>
  </w:style>
  <w:style w:type="paragraph" w:styleId="Recuodecorpodetexto">
    <w:name w:val="Body Text Indent"/>
    <w:basedOn w:val="Normal"/>
    <w:link w:val="RecuodecorpodetextoChar"/>
    <w:semiHidden/>
    <w:rsid w:val="00AE1AB0"/>
    <w:pPr>
      <w:spacing w:after="0"/>
      <w:ind w:left="0" w:firstLine="1134"/>
      <w:jc w:val="left"/>
    </w:pPr>
    <w:rPr>
      <w:rFonts w:eastAsia="Times New Roman"/>
      <w:szCs w:val="20"/>
      <w:lang w:eastAsia="pt-BR"/>
    </w:rPr>
  </w:style>
  <w:style w:type="character" w:customStyle="1" w:styleId="RecuodecorpodetextoChar">
    <w:name w:val="Recuo de corpo de texto Char"/>
    <w:basedOn w:val="Fontepargpadro"/>
    <w:link w:val="Recuodecorpodetexto"/>
    <w:semiHidden/>
    <w:rsid w:val="00AE1AB0"/>
    <w:rPr>
      <w:rFonts w:eastAsia="Times New Roman"/>
      <w:sz w:val="24"/>
    </w:rPr>
  </w:style>
  <w:style w:type="paragraph" w:styleId="MapadoDocumento">
    <w:name w:val="Document Map"/>
    <w:basedOn w:val="Normal"/>
    <w:link w:val="MapadoDocumentoChar"/>
    <w:uiPriority w:val="99"/>
    <w:semiHidden/>
    <w:unhideWhenUsed/>
    <w:rsid w:val="00000605"/>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00605"/>
    <w:rPr>
      <w:rFonts w:ascii="Tahoma" w:hAnsi="Tahoma" w:cs="Tahoma"/>
      <w:sz w:val="16"/>
      <w:szCs w:val="16"/>
      <w:lang w:eastAsia="en-US"/>
    </w:rPr>
  </w:style>
  <w:style w:type="character" w:customStyle="1" w:styleId="Ttulo6Char">
    <w:name w:val="Título 6 Char"/>
    <w:basedOn w:val="Fontepargpadro"/>
    <w:link w:val="Ttulo6"/>
    <w:uiPriority w:val="9"/>
    <w:semiHidden/>
    <w:rsid w:val="00E75855"/>
    <w:rPr>
      <w:rFonts w:ascii="Calibri" w:eastAsia="Times New Roman" w:hAnsi="Calibri" w:cs="Times New Roman"/>
      <w:b/>
      <w:bCs/>
      <w:sz w:val="22"/>
      <w:szCs w:val="22"/>
      <w:lang w:eastAsia="en-US"/>
    </w:rPr>
  </w:style>
  <w:style w:type="paragraph" w:styleId="Corpodetexto">
    <w:name w:val="Body Text"/>
    <w:basedOn w:val="Normal"/>
    <w:link w:val="CorpodetextoChar"/>
    <w:unhideWhenUsed/>
    <w:rsid w:val="00E75855"/>
  </w:style>
  <w:style w:type="character" w:customStyle="1" w:styleId="CorpodetextoChar">
    <w:name w:val="Corpo de texto Char"/>
    <w:basedOn w:val="Fontepargpadro"/>
    <w:link w:val="Corpodetexto"/>
    <w:rsid w:val="00E75855"/>
    <w:rPr>
      <w:sz w:val="24"/>
      <w:szCs w:val="24"/>
      <w:lang w:eastAsia="en-US"/>
    </w:rPr>
  </w:style>
  <w:style w:type="paragraph" w:styleId="Corpodetexto2">
    <w:name w:val="Body Text 2"/>
    <w:basedOn w:val="Normal"/>
    <w:link w:val="Corpodetexto2Char"/>
    <w:uiPriority w:val="99"/>
    <w:semiHidden/>
    <w:unhideWhenUsed/>
    <w:rsid w:val="00E75855"/>
    <w:pPr>
      <w:spacing w:line="480" w:lineRule="auto"/>
    </w:pPr>
  </w:style>
  <w:style w:type="character" w:customStyle="1" w:styleId="Corpodetexto2Char">
    <w:name w:val="Corpo de texto 2 Char"/>
    <w:basedOn w:val="Fontepargpadro"/>
    <w:link w:val="Corpodetexto2"/>
    <w:uiPriority w:val="99"/>
    <w:semiHidden/>
    <w:rsid w:val="00E75855"/>
    <w:rPr>
      <w:sz w:val="24"/>
      <w:szCs w:val="24"/>
      <w:lang w:eastAsia="en-US"/>
    </w:rPr>
  </w:style>
  <w:style w:type="character" w:styleId="Hyperlink">
    <w:name w:val="Hyperlink"/>
    <w:basedOn w:val="Fontepargpadro"/>
    <w:uiPriority w:val="99"/>
    <w:unhideWhenUsed/>
    <w:rsid w:val="00E75855"/>
    <w:rPr>
      <w:strike w:val="0"/>
      <w:dstrike w:val="0"/>
      <w:color w:val="0000FF"/>
      <w:u w:val="none"/>
      <w:effect w:val="none"/>
    </w:rPr>
  </w:style>
  <w:style w:type="paragraph" w:styleId="NormalWeb">
    <w:name w:val="Normal (Web)"/>
    <w:basedOn w:val="Normal"/>
    <w:uiPriority w:val="99"/>
    <w:unhideWhenUsed/>
    <w:rsid w:val="00E75855"/>
    <w:pPr>
      <w:spacing w:after="0" w:line="360" w:lineRule="auto"/>
      <w:ind w:left="0" w:firstLine="1200"/>
      <w:jc w:val="left"/>
    </w:pPr>
    <w:rPr>
      <w:rFonts w:eastAsia="Times New Roman"/>
      <w:lang w:eastAsia="pt-BR"/>
    </w:rPr>
  </w:style>
  <w:style w:type="character" w:styleId="Forte">
    <w:name w:val="Strong"/>
    <w:basedOn w:val="Fontepargpadro"/>
    <w:uiPriority w:val="22"/>
    <w:qFormat/>
    <w:rsid w:val="00E75855"/>
    <w:rPr>
      <w:b/>
      <w:bCs/>
    </w:rPr>
  </w:style>
  <w:style w:type="character" w:customStyle="1" w:styleId="Ttulo8Char">
    <w:name w:val="Título 8 Char"/>
    <w:basedOn w:val="Fontepargpadro"/>
    <w:link w:val="Ttulo8"/>
    <w:uiPriority w:val="9"/>
    <w:rsid w:val="00515E7B"/>
    <w:rPr>
      <w:rFonts w:ascii="Calibri" w:eastAsia="Times New Roman" w:hAnsi="Calibri" w:cs="Times New Roman"/>
      <w:i/>
      <w:iCs/>
      <w:sz w:val="24"/>
      <w:szCs w:val="24"/>
      <w:lang w:eastAsia="en-US"/>
    </w:rPr>
  </w:style>
  <w:style w:type="character" w:customStyle="1" w:styleId="Ttulo9Char">
    <w:name w:val="Título 9 Char"/>
    <w:basedOn w:val="Fontepargpadro"/>
    <w:link w:val="Ttulo9"/>
    <w:uiPriority w:val="9"/>
    <w:semiHidden/>
    <w:rsid w:val="00515E7B"/>
    <w:rPr>
      <w:rFonts w:ascii="Cambria" w:eastAsia="Times New Roman" w:hAnsi="Cambria" w:cs="Times New Roman"/>
      <w:sz w:val="22"/>
      <w:szCs w:val="22"/>
      <w:lang w:eastAsia="en-US"/>
    </w:rPr>
  </w:style>
  <w:style w:type="paragraph" w:customStyle="1" w:styleId="indice">
    <w:name w:val="indice"/>
    <w:rsid w:val="00515E7B"/>
    <w:pPr>
      <w:autoSpaceDE w:val="0"/>
      <w:autoSpaceDN w:val="0"/>
      <w:adjustRightInd w:val="0"/>
      <w:spacing w:line="260" w:lineRule="atLeast"/>
      <w:jc w:val="both"/>
    </w:pPr>
    <w:rPr>
      <w:rFonts w:eastAsia="Times New Roman"/>
      <w:color w:val="000000"/>
      <w:sz w:val="22"/>
      <w:szCs w:val="22"/>
    </w:rPr>
  </w:style>
  <w:style w:type="paragraph" w:customStyle="1" w:styleId="tit1">
    <w:name w:val="tit1"/>
    <w:rsid w:val="00515E7B"/>
    <w:pPr>
      <w:autoSpaceDE w:val="0"/>
      <w:autoSpaceDN w:val="0"/>
      <w:adjustRightInd w:val="0"/>
      <w:spacing w:before="113" w:line="240" w:lineRule="atLeast"/>
    </w:pPr>
    <w:rPr>
      <w:rFonts w:eastAsia="Times New Roman"/>
      <w:b/>
      <w:bCs/>
      <w:i/>
      <w:iCs/>
      <w:sz w:val="22"/>
      <w:szCs w:val="22"/>
    </w:rPr>
  </w:style>
  <w:style w:type="paragraph" w:customStyle="1" w:styleId="enter-3pt">
    <w:name w:val="enter-3pt"/>
    <w:basedOn w:val="Normal"/>
    <w:rsid w:val="00515E7B"/>
    <w:pPr>
      <w:autoSpaceDE w:val="0"/>
      <w:autoSpaceDN w:val="0"/>
      <w:adjustRightInd w:val="0"/>
      <w:spacing w:after="0" w:line="60" w:lineRule="atLeast"/>
      <w:ind w:left="0"/>
    </w:pPr>
    <w:rPr>
      <w:rFonts w:eastAsia="Times New Roman"/>
      <w:sz w:val="8"/>
      <w:szCs w:val="8"/>
      <w:lang w:eastAsia="pt-BR"/>
    </w:rPr>
  </w:style>
  <w:style w:type="paragraph" w:customStyle="1" w:styleId="tita">
    <w:name w:val="tita"/>
    <w:rsid w:val="00515E7B"/>
    <w:pPr>
      <w:autoSpaceDE w:val="0"/>
      <w:autoSpaceDN w:val="0"/>
      <w:adjustRightInd w:val="0"/>
      <w:spacing w:before="170" w:after="57" w:line="240" w:lineRule="atLeast"/>
      <w:jc w:val="center"/>
    </w:pPr>
    <w:rPr>
      <w:rFonts w:eastAsia="Times New Roman"/>
      <w:b/>
      <w:bCs/>
      <w:i/>
      <w:iCs/>
      <w:sz w:val="24"/>
      <w:szCs w:val="24"/>
    </w:rPr>
  </w:style>
  <w:style w:type="paragraph" w:styleId="Textodebalo">
    <w:name w:val="Balloon Text"/>
    <w:basedOn w:val="Normal"/>
    <w:link w:val="TextodebaloChar"/>
    <w:uiPriority w:val="99"/>
    <w:semiHidden/>
    <w:unhideWhenUsed/>
    <w:rsid w:val="006F4DE0"/>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6F4DE0"/>
    <w:rPr>
      <w:rFonts w:ascii="Tahoma" w:hAnsi="Tahoma" w:cs="Tahoma"/>
      <w:sz w:val="16"/>
      <w:szCs w:val="16"/>
      <w:lang w:eastAsia="en-US"/>
    </w:rPr>
  </w:style>
  <w:style w:type="paragraph" w:customStyle="1" w:styleId="TCU-RelVoto-demais">
    <w:name w:val="TCU - Rel/Voto - demais §§"/>
    <w:basedOn w:val="Normal"/>
    <w:qFormat/>
    <w:rsid w:val="0015258E"/>
    <w:pPr>
      <w:tabs>
        <w:tab w:val="left" w:pos="1134"/>
      </w:tabs>
      <w:spacing w:after="160"/>
      <w:ind w:left="0"/>
    </w:pPr>
    <w:rPr>
      <w:rFonts w:eastAsia="Times New Roman"/>
      <w:szCs w:val="22"/>
    </w:rPr>
  </w:style>
  <w:style w:type="paragraph" w:customStyle="1" w:styleId="votonumerado">
    <w:name w:val="voto numerado"/>
    <w:basedOn w:val="Normal"/>
    <w:rsid w:val="00BE6637"/>
    <w:pPr>
      <w:numPr>
        <w:numId w:val="15"/>
      </w:numPr>
      <w:tabs>
        <w:tab w:val="clear" w:pos="360"/>
        <w:tab w:val="left" w:pos="1134"/>
      </w:tabs>
      <w:spacing w:after="0"/>
      <w:ind w:left="0"/>
    </w:pPr>
    <w:rPr>
      <w:rFonts w:eastAsia="Times New Roman"/>
      <w:szCs w:val="20"/>
      <w:lang w:eastAsia="pt-BR"/>
    </w:rPr>
  </w:style>
  <w:style w:type="paragraph" w:customStyle="1" w:styleId="Pargrafo">
    <w:name w:val="#Parágrafo"/>
    <w:basedOn w:val="Normal"/>
    <w:rsid w:val="001D74CE"/>
    <w:pPr>
      <w:widowControl w:val="0"/>
      <w:suppressAutoHyphens/>
      <w:spacing w:after="0"/>
      <w:ind w:left="0"/>
      <w:jc w:val="left"/>
    </w:pPr>
    <w:rPr>
      <w:rFonts w:eastAsia="Times New Roman"/>
      <w:szCs w:val="20"/>
      <w:lang w:eastAsia="pt-BR"/>
    </w:rPr>
  </w:style>
  <w:style w:type="paragraph" w:customStyle="1" w:styleId="Citao">
    <w:name w:val="#Citação"/>
    <w:rsid w:val="007174DA"/>
    <w:pPr>
      <w:spacing w:after="120"/>
      <w:ind w:left="1134" w:right="284" w:firstLine="567"/>
      <w:jc w:val="both"/>
    </w:pPr>
    <w:rPr>
      <w:rFonts w:eastAsia="Times New Roman" w:cs="Calibri"/>
      <w:sz w:val="22"/>
      <w:szCs w:val="22"/>
      <w:lang w:eastAsia="en-US"/>
    </w:rPr>
  </w:style>
  <w:style w:type="paragraph" w:customStyle="1" w:styleId="Normal-numerado-REL01">
    <w:name w:val="#Normal-numerado-REL_01"/>
    <w:qFormat/>
    <w:rsid w:val="007174DA"/>
    <w:pPr>
      <w:numPr>
        <w:numId w:val="16"/>
      </w:numPr>
      <w:tabs>
        <w:tab w:val="left" w:pos="1134"/>
      </w:tabs>
      <w:suppressAutoHyphens/>
      <w:spacing w:before="120" w:after="120"/>
      <w:jc w:val="both"/>
    </w:pPr>
    <w:rPr>
      <w:rFonts w:eastAsia="Times New Roman"/>
      <w:sz w:val="24"/>
      <w:szCs w:val="24"/>
      <w:lang w:eastAsia="ar-SA"/>
    </w:rPr>
  </w:style>
  <w:style w:type="paragraph" w:customStyle="1" w:styleId="Default">
    <w:name w:val="Default"/>
    <w:rsid w:val="008501A4"/>
    <w:pPr>
      <w:autoSpaceDE w:val="0"/>
      <w:autoSpaceDN w:val="0"/>
      <w:adjustRightInd w:val="0"/>
    </w:pPr>
    <w:rPr>
      <w:color w:val="000000"/>
      <w:sz w:val="24"/>
      <w:szCs w:val="24"/>
    </w:rPr>
  </w:style>
  <w:style w:type="paragraph" w:customStyle="1" w:styleId="B">
    <w:name w:val="B"/>
    <w:basedOn w:val="Normal"/>
    <w:rsid w:val="00B347F1"/>
    <w:pPr>
      <w:spacing w:after="0"/>
      <w:ind w:left="0" w:firstLine="1418"/>
    </w:pPr>
    <w:rPr>
      <w:rFonts w:eastAsia="Times New Roman"/>
      <w:szCs w:val="20"/>
      <w:lang w:eastAsia="pt-BR"/>
    </w:rPr>
  </w:style>
  <w:style w:type="paragraph" w:styleId="TextosemFormatao">
    <w:name w:val="Plain Text"/>
    <w:basedOn w:val="Normal"/>
    <w:link w:val="TextosemFormataoChar"/>
    <w:uiPriority w:val="99"/>
    <w:semiHidden/>
    <w:rsid w:val="0086124E"/>
    <w:pPr>
      <w:spacing w:after="0"/>
      <w:ind w:left="0"/>
      <w:jc w:val="left"/>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uiPriority w:val="99"/>
    <w:semiHidden/>
    <w:rsid w:val="0086124E"/>
    <w:rPr>
      <w:rFonts w:ascii="Courier New" w:eastAsia="Times New Roman" w:hAnsi="Courier New"/>
    </w:rPr>
  </w:style>
  <w:style w:type="paragraph" w:customStyle="1" w:styleId="TCU-RelVoto-1">
    <w:name w:val="TCU - Rel/Voto - 1º §"/>
    <w:basedOn w:val="Normal"/>
    <w:qFormat/>
    <w:rsid w:val="00491438"/>
    <w:pPr>
      <w:spacing w:after="160"/>
      <w:ind w:left="0" w:firstLine="1134"/>
    </w:pPr>
    <w:rPr>
      <w:rFonts w:eastAsia="Times New Roman"/>
      <w:szCs w:val="22"/>
    </w:rPr>
  </w:style>
  <w:style w:type="paragraph" w:customStyle="1" w:styleId="TCU-Transcrio">
    <w:name w:val="TCU - Transcrição"/>
    <w:basedOn w:val="Normal"/>
    <w:qFormat/>
    <w:rsid w:val="00491438"/>
    <w:pPr>
      <w:ind w:left="284" w:firstLine="567"/>
    </w:pPr>
    <w:rPr>
      <w:rFonts w:eastAsia="Times New Roman"/>
      <w:i/>
      <w:szCs w:val="22"/>
    </w:rPr>
  </w:style>
  <w:style w:type="paragraph" w:customStyle="1" w:styleId="Indentado">
    <w:name w:val="Indentado"/>
    <w:basedOn w:val="Normal"/>
    <w:qFormat/>
    <w:rsid w:val="001A60A2"/>
    <w:pPr>
      <w:tabs>
        <w:tab w:val="left" w:pos="1418"/>
        <w:tab w:val="left" w:pos="1985"/>
        <w:tab w:val="left" w:pos="2552"/>
        <w:tab w:val="left" w:pos="3402"/>
        <w:tab w:val="left" w:pos="4253"/>
        <w:tab w:val="left" w:pos="4820"/>
        <w:tab w:val="right" w:pos="9923"/>
      </w:tabs>
      <w:spacing w:after="0"/>
      <w:ind w:left="567" w:firstLine="851"/>
    </w:pPr>
    <w:rPr>
      <w:rFonts w:eastAsia="Times New Roman"/>
      <w:szCs w:val="22"/>
    </w:rPr>
  </w:style>
  <w:style w:type="paragraph" w:customStyle="1" w:styleId="TCU-Epgrafe">
    <w:name w:val="TCU - Epígrafe"/>
    <w:basedOn w:val="Normal"/>
    <w:qFormat/>
    <w:rsid w:val="00AA49AF"/>
    <w:pPr>
      <w:spacing w:after="0"/>
      <w:ind w:left="2835"/>
    </w:pPr>
    <w:rPr>
      <w:rFonts w:eastAsia="Times New Roman"/>
      <w:szCs w:val="20"/>
      <w:lang w:eastAsia="pt-BR"/>
    </w:rPr>
  </w:style>
  <w:style w:type="paragraph" w:customStyle="1" w:styleId="CorpodeTextoResumo">
    <w:name w:val="Corpo de Texto Resumo"/>
    <w:basedOn w:val="Corpodetexto"/>
    <w:rsid w:val="00A239A8"/>
    <w:pPr>
      <w:numPr>
        <w:numId w:val="18"/>
      </w:numPr>
      <w:spacing w:before="60" w:after="60"/>
      <w:ind w:left="644" w:hanging="360"/>
    </w:pPr>
    <w:rPr>
      <w:rFonts w:ascii="Times New (W1)" w:eastAsia="Times New Roman" w:hAnsi="Times New (W1)"/>
      <w:szCs w:val="20"/>
      <w:lang w:eastAsia="pt-BR"/>
    </w:rPr>
  </w:style>
  <w:style w:type="paragraph" w:customStyle="1" w:styleId="TCU-Ac-item9-">
    <w:name w:val="TCU - Ac - item 9 - §§"/>
    <w:basedOn w:val="TCU-RelVoto-1"/>
    <w:qFormat/>
    <w:rsid w:val="00A239A8"/>
    <w:pPr>
      <w:spacing w:after="0"/>
    </w:pPr>
  </w:style>
  <w:style w:type="character" w:customStyle="1" w:styleId="Ttulo3Char">
    <w:name w:val="Título 3 Char"/>
    <w:basedOn w:val="Fontepargpadro"/>
    <w:link w:val="Ttulo3"/>
    <w:uiPriority w:val="9"/>
    <w:semiHidden/>
    <w:rsid w:val="005438A1"/>
    <w:rPr>
      <w:rFonts w:ascii="Cambria" w:eastAsia="Times New Roman" w:hAnsi="Cambria" w:cs="Times New Roman"/>
      <w:b/>
      <w:bCs/>
      <w:sz w:val="26"/>
      <w:szCs w:val="26"/>
      <w:lang w:eastAsia="en-US"/>
    </w:rPr>
  </w:style>
  <w:style w:type="character" w:customStyle="1" w:styleId="Ttulo4Char">
    <w:name w:val="Título 4 Char"/>
    <w:basedOn w:val="Fontepargpadro"/>
    <w:link w:val="Ttulo4"/>
    <w:uiPriority w:val="9"/>
    <w:semiHidden/>
    <w:rsid w:val="005438A1"/>
    <w:rPr>
      <w:rFonts w:ascii="Calibri" w:eastAsia="Times New Roman" w:hAnsi="Calibri" w:cs="Times New Roman"/>
      <w:b/>
      <w:bCs/>
      <w:sz w:val="28"/>
      <w:szCs w:val="28"/>
      <w:lang w:eastAsia="en-US"/>
    </w:rPr>
  </w:style>
  <w:style w:type="character" w:customStyle="1" w:styleId="Ttulo5Char">
    <w:name w:val="Título 5 Char"/>
    <w:basedOn w:val="Fontepargpadro"/>
    <w:link w:val="Ttulo5"/>
    <w:uiPriority w:val="9"/>
    <w:rsid w:val="005438A1"/>
    <w:rPr>
      <w:rFonts w:ascii="Cambria" w:eastAsia="Times New Roman" w:hAnsi="Cambria" w:cs="Times New Roman"/>
      <w:color w:val="243F60"/>
      <w:sz w:val="24"/>
      <w:szCs w:val="22"/>
      <w:lang w:eastAsia="en-US"/>
    </w:rPr>
  </w:style>
  <w:style w:type="paragraph" w:styleId="Legenda">
    <w:name w:val="caption"/>
    <w:basedOn w:val="Normal"/>
    <w:next w:val="Normal"/>
    <w:uiPriority w:val="35"/>
    <w:qFormat/>
    <w:rsid w:val="005438A1"/>
    <w:pPr>
      <w:spacing w:before="120"/>
      <w:ind w:left="0"/>
      <w:jc w:val="center"/>
    </w:pPr>
    <w:rPr>
      <w:rFonts w:eastAsia="Times New Roman"/>
      <w:szCs w:val="20"/>
      <w:lang w:eastAsia="pt-BR"/>
    </w:rPr>
  </w:style>
  <w:style w:type="paragraph" w:customStyle="1" w:styleId="tensletras">
    <w:name w:val="Ítens letras"/>
    <w:basedOn w:val="Normal"/>
    <w:rsid w:val="005438A1"/>
    <w:pPr>
      <w:numPr>
        <w:numId w:val="19"/>
      </w:numPr>
      <w:spacing w:before="60" w:after="60"/>
    </w:pPr>
    <w:rPr>
      <w:rFonts w:eastAsia="Times New Roman"/>
      <w:szCs w:val="20"/>
      <w:lang w:eastAsia="pt-BR"/>
    </w:rPr>
  </w:style>
  <w:style w:type="paragraph" w:customStyle="1" w:styleId="Propostaletras">
    <w:name w:val="Proposta letras"/>
    <w:basedOn w:val="tensletras"/>
    <w:rsid w:val="005438A1"/>
  </w:style>
  <w:style w:type="paragraph" w:customStyle="1" w:styleId="NormalCG">
    <w:name w:val="Normal CG"/>
    <w:basedOn w:val="Corpodetexto"/>
    <w:rsid w:val="00202EAD"/>
    <w:pPr>
      <w:spacing w:before="120"/>
      <w:ind w:left="0" w:firstLine="1418"/>
    </w:pPr>
    <w:rPr>
      <w:rFonts w:eastAsia="Times New Roman"/>
      <w:szCs w:val="20"/>
      <w:lang w:eastAsia="pt-BR"/>
    </w:rPr>
  </w:style>
  <w:style w:type="paragraph" w:customStyle="1" w:styleId="Normal0">
    <w:name w:val="#Normal"/>
    <w:rsid w:val="00BD1747"/>
    <w:pPr>
      <w:spacing w:before="120" w:after="120"/>
      <w:ind w:firstLine="1134"/>
      <w:jc w:val="both"/>
    </w:pPr>
    <w:rPr>
      <w:rFonts w:eastAsia="Times New Roman"/>
      <w:sz w:val="24"/>
      <w:szCs w:val="24"/>
      <w:lang w:eastAsia="en-US"/>
    </w:rPr>
  </w:style>
  <w:style w:type="paragraph" w:customStyle="1" w:styleId="Normal-numerado-VOT01">
    <w:name w:val="#Normal-numerado-VOT_01"/>
    <w:basedOn w:val="Normal-numerado-REL01"/>
    <w:uiPriority w:val="99"/>
    <w:rsid w:val="00BD1747"/>
    <w:pPr>
      <w:numPr>
        <w:numId w:val="21"/>
      </w:numPr>
    </w:pPr>
  </w:style>
  <w:style w:type="paragraph" w:customStyle="1" w:styleId="Acordao-VISTOS-em-diante">
    <w:name w:val="#Acordao-VISTOS-em-diante"/>
    <w:uiPriority w:val="99"/>
    <w:rsid w:val="00BD1747"/>
    <w:pPr>
      <w:ind w:firstLine="1134"/>
      <w:jc w:val="both"/>
    </w:pPr>
    <w:rPr>
      <w:rFonts w:eastAsia="Times New Roman"/>
      <w:sz w:val="24"/>
      <w:szCs w:val="24"/>
      <w:lang w:eastAsia="en-US"/>
    </w:rPr>
  </w:style>
  <w:style w:type="paragraph" w:customStyle="1" w:styleId="TCU-Recuo1Linha">
    <w:name w:val="TCU - Recuo 1ª Linha"/>
    <w:basedOn w:val="Normal"/>
    <w:rsid w:val="00412CEF"/>
    <w:pPr>
      <w:spacing w:after="160"/>
      <w:ind w:left="0" w:firstLine="1134"/>
    </w:pPr>
    <w:rPr>
      <w:rFonts w:eastAsia="Times New Roman"/>
      <w:szCs w:val="20"/>
      <w:lang w:eastAsia="pt-BR"/>
    </w:rPr>
  </w:style>
  <w:style w:type="paragraph" w:customStyle="1" w:styleId="TCU-SemRecuo">
    <w:name w:val="TCU - Sem Recuo"/>
    <w:basedOn w:val="Normal"/>
    <w:rsid w:val="004E5000"/>
    <w:pPr>
      <w:tabs>
        <w:tab w:val="left" w:pos="1134"/>
      </w:tabs>
      <w:spacing w:after="160"/>
      <w:ind w:left="0"/>
    </w:pPr>
    <w:rPr>
      <w:rFonts w:eastAsia="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6427">
      <w:bodyDiv w:val="1"/>
      <w:marLeft w:val="0"/>
      <w:marRight w:val="0"/>
      <w:marTop w:val="0"/>
      <w:marBottom w:val="0"/>
      <w:divBdr>
        <w:top w:val="none" w:sz="0" w:space="0" w:color="auto"/>
        <w:left w:val="none" w:sz="0" w:space="0" w:color="auto"/>
        <w:bottom w:val="none" w:sz="0" w:space="0" w:color="auto"/>
        <w:right w:val="none" w:sz="0" w:space="0" w:color="auto"/>
      </w:divBdr>
    </w:div>
    <w:div w:id="682585240">
      <w:bodyDiv w:val="1"/>
      <w:marLeft w:val="0"/>
      <w:marRight w:val="0"/>
      <w:marTop w:val="0"/>
      <w:marBottom w:val="0"/>
      <w:divBdr>
        <w:top w:val="none" w:sz="0" w:space="0" w:color="auto"/>
        <w:left w:val="none" w:sz="0" w:space="0" w:color="auto"/>
        <w:bottom w:val="none" w:sz="0" w:space="0" w:color="auto"/>
        <w:right w:val="none" w:sz="0" w:space="0" w:color="auto"/>
      </w:divBdr>
      <w:divsChild>
        <w:div w:id="486939037">
          <w:marLeft w:val="0"/>
          <w:marRight w:val="0"/>
          <w:marTop w:val="0"/>
          <w:marBottom w:val="0"/>
          <w:divBdr>
            <w:top w:val="none" w:sz="0" w:space="0" w:color="auto"/>
            <w:left w:val="none" w:sz="0" w:space="0" w:color="auto"/>
            <w:bottom w:val="none" w:sz="0" w:space="0" w:color="auto"/>
            <w:right w:val="none" w:sz="0" w:space="0" w:color="auto"/>
          </w:divBdr>
        </w:div>
      </w:divsChild>
    </w:div>
    <w:div w:id="1731611811">
      <w:bodyDiv w:val="1"/>
      <w:marLeft w:val="0"/>
      <w:marRight w:val="0"/>
      <w:marTop w:val="0"/>
      <w:marBottom w:val="0"/>
      <w:divBdr>
        <w:top w:val="none" w:sz="0" w:space="0" w:color="auto"/>
        <w:left w:val="none" w:sz="0" w:space="0" w:color="auto"/>
        <w:bottom w:val="none" w:sz="0" w:space="0" w:color="auto"/>
        <w:right w:val="none" w:sz="0" w:space="0" w:color="auto"/>
      </w:divBdr>
    </w:div>
    <w:div w:id="1860199642">
      <w:bodyDiv w:val="1"/>
      <w:marLeft w:val="0"/>
      <w:marRight w:val="0"/>
      <w:marTop w:val="0"/>
      <w:marBottom w:val="0"/>
      <w:divBdr>
        <w:top w:val="none" w:sz="0" w:space="0" w:color="auto"/>
        <w:left w:val="none" w:sz="0" w:space="0" w:color="auto"/>
        <w:bottom w:val="none" w:sz="0" w:space="0" w:color="auto"/>
        <w:right w:val="none" w:sz="0" w:space="0" w:color="auto"/>
      </w:divBdr>
    </w:div>
    <w:div w:id="18708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uris@tcu.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3F4C3-561D-4114-916D-31D10E5A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3116</Words>
  <Characters>16831</Characters>
  <Application>Microsoft Office Word</Application>
  <DocSecurity>4</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TCU</Company>
  <LinksUpToDate>false</LinksUpToDate>
  <CharactersWithSpaces>19908</CharactersWithSpaces>
  <SharedDoc>false</SharedDoc>
  <HLinks>
    <vt:vector size="6" baseType="variant">
      <vt:variant>
        <vt:i4>7602203</vt:i4>
      </vt:variant>
      <vt:variant>
        <vt:i4>0</vt:i4>
      </vt:variant>
      <vt:variant>
        <vt:i4>0</vt:i4>
      </vt:variant>
      <vt:variant>
        <vt:i4>5</vt:i4>
      </vt:variant>
      <vt:variant>
        <vt:lpwstr>mailto:infojuris@tcu.gov.br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Porto</dc:creator>
  <cp:keywords/>
  <dc:description/>
  <cp:lastModifiedBy>LUIZ FELYPE TABOSA PORTO</cp:lastModifiedBy>
  <cp:revision>2</cp:revision>
  <cp:lastPrinted>2011-09-06T14:48:00Z</cp:lastPrinted>
  <dcterms:created xsi:type="dcterms:W3CDTF">2015-05-07T12:40:00Z</dcterms:created>
  <dcterms:modified xsi:type="dcterms:W3CDTF">2015-05-07T12:40:00Z</dcterms:modified>
</cp:coreProperties>
</file>