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AA4F2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192052">
        <w:rPr>
          <w:rFonts w:ascii="Times New Roman" w:hAnsi="Times New Roman"/>
          <w:b/>
          <w:i w:val="0"/>
          <w:color w:val="000000"/>
          <w:sz w:val="22"/>
          <w:szCs w:val="22"/>
        </w:rPr>
        <w:t>9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952B9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192052">
        <w:rPr>
          <w:rFonts w:ascii="Times New Roman" w:hAnsi="Times New Roman"/>
          <w:b/>
          <w:i w:val="0"/>
          <w:color w:val="000000"/>
          <w:sz w:val="22"/>
          <w:szCs w:val="22"/>
        </w:rPr>
        <w:t>10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</w:t>
      </w:r>
      <w:r w:rsidR="00F92EAE">
        <w:rPr>
          <w:rFonts w:ascii="Times New Roman" w:hAnsi="Times New Roman"/>
          <w:b/>
          <w:i w:val="0"/>
          <w:color w:val="000000"/>
          <w:sz w:val="22"/>
          <w:szCs w:val="22"/>
        </w:rPr>
        <w:t>agost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o 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AA4F2F">
      <w:pPr>
        <w:pBdr>
          <w:top w:val="threeDEmboss" w:sz="24" w:space="2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F36B6C" w:rsidRDefault="009444E6" w:rsidP="00B702CD">
      <w:pPr>
        <w:pStyle w:val="tita"/>
        <w:tabs>
          <w:tab w:val="left" w:pos="2590"/>
        </w:tabs>
        <w:spacing w:before="60" w:after="60" w:line="240" w:lineRule="auto"/>
        <w:jc w:val="both"/>
        <w:rPr>
          <w:i w:val="0"/>
          <w:iCs w:val="0"/>
          <w:color w:val="000000"/>
          <w:sz w:val="22"/>
          <w:szCs w:val="22"/>
        </w:rPr>
      </w:pPr>
      <w:r w:rsidRPr="00F36B6C">
        <w:rPr>
          <w:i w:val="0"/>
          <w:iCs w:val="0"/>
          <w:color w:val="000000"/>
          <w:sz w:val="22"/>
          <w:szCs w:val="22"/>
        </w:rPr>
        <w:t>Plenário</w:t>
      </w:r>
    </w:p>
    <w:p w:rsidR="00B702CD" w:rsidRPr="00B702CD" w:rsidRDefault="00B702CD" w:rsidP="002D4B78">
      <w:pPr>
        <w:spacing w:before="60" w:after="60"/>
        <w:ind w:left="0"/>
        <w:rPr>
          <w:sz w:val="22"/>
          <w:szCs w:val="22"/>
        </w:rPr>
      </w:pPr>
      <w:r w:rsidRPr="00B702CD">
        <w:rPr>
          <w:sz w:val="22"/>
          <w:szCs w:val="22"/>
        </w:rPr>
        <w:t xml:space="preserve">Pregão para contratação de serviços: </w:t>
      </w:r>
      <w:r w:rsidR="002D4B78">
        <w:rPr>
          <w:sz w:val="22"/>
          <w:szCs w:val="22"/>
        </w:rPr>
        <w:t>p</w:t>
      </w:r>
      <w:r w:rsidRPr="00B702CD">
        <w:rPr>
          <w:sz w:val="22"/>
          <w:szCs w:val="22"/>
        </w:rPr>
        <w:t>or constituir presunção relativa, suposta inexequibilidade de proposta comercial de licitante não autoriza imediata desclassificação, excetuando-se situação extremas nas quais a Administração Pública se veja diante de preços simbólicos, irrisórios ou de valor zero</w:t>
      </w:r>
      <w:r w:rsidR="002D4B78">
        <w:rPr>
          <w:sz w:val="22"/>
          <w:szCs w:val="22"/>
        </w:rPr>
        <w:t>.</w:t>
      </w:r>
    </w:p>
    <w:p w:rsidR="002D4B78" w:rsidRDefault="00B702CD" w:rsidP="002D4B78">
      <w:pPr>
        <w:tabs>
          <w:tab w:val="left" w:pos="851"/>
          <w:tab w:val="left" w:pos="3828"/>
        </w:tabs>
        <w:spacing w:before="60" w:after="60"/>
        <w:ind w:left="0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</w:p>
    <w:p w:rsidR="002D4B78" w:rsidRDefault="002D4B78" w:rsidP="002D4B78">
      <w:pPr>
        <w:spacing w:after="0"/>
        <w:ind w:left="0"/>
        <w:contextualSpacing/>
        <w:rPr>
          <w:color w:val="000000"/>
          <w:sz w:val="22"/>
          <w:szCs w:val="22"/>
        </w:rPr>
      </w:pPr>
      <w:r w:rsidRPr="002D4B78">
        <w:rPr>
          <w:color w:val="000000"/>
          <w:sz w:val="22"/>
          <w:szCs w:val="22"/>
        </w:rPr>
        <w:t>A não aferição do perfil dos profissionais indicados em substituição aos originalmente integrantes da equipe técnica apresentada por empresa contratada, a partir de licitação do tipo técnica e preço, constitui irregularidade, sujeitando o responsável pelo fato às sanções cabíveis</w:t>
      </w:r>
      <w:r>
        <w:rPr>
          <w:color w:val="000000"/>
          <w:sz w:val="22"/>
          <w:szCs w:val="22"/>
        </w:rPr>
        <w:t>.</w:t>
      </w:r>
    </w:p>
    <w:p w:rsidR="002D4B78" w:rsidRPr="002D4B78" w:rsidRDefault="002D4B78" w:rsidP="002D4B78">
      <w:pPr>
        <w:spacing w:after="0"/>
        <w:ind w:left="0"/>
        <w:contextualSpacing/>
        <w:rPr>
          <w:color w:val="000000"/>
          <w:sz w:val="22"/>
          <w:szCs w:val="22"/>
        </w:rPr>
      </w:pPr>
    </w:p>
    <w:p w:rsidR="00B702CD" w:rsidRDefault="00B702CD" w:rsidP="00B702CD">
      <w:pPr>
        <w:tabs>
          <w:tab w:val="left" w:pos="1134"/>
        </w:tabs>
        <w:autoSpaceDE w:val="0"/>
        <w:autoSpaceDN w:val="0"/>
        <w:adjustRightInd w:val="0"/>
        <w:spacing w:before="60" w:after="60"/>
        <w:ind w:left="0"/>
        <w:rPr>
          <w:sz w:val="22"/>
          <w:szCs w:val="22"/>
        </w:rPr>
      </w:pPr>
      <w:r w:rsidRPr="00B702CD">
        <w:rPr>
          <w:sz w:val="22"/>
          <w:szCs w:val="22"/>
        </w:rPr>
        <w:t xml:space="preserve">Licitação para aquisição de produtos de merenda escolar: </w:t>
      </w:r>
    </w:p>
    <w:p w:rsidR="00B702CD" w:rsidRPr="00B702CD" w:rsidRDefault="00B702CD" w:rsidP="00B702CD">
      <w:pPr>
        <w:tabs>
          <w:tab w:val="left" w:pos="851"/>
        </w:tabs>
        <w:autoSpaceDE w:val="0"/>
        <w:autoSpaceDN w:val="0"/>
        <w:adjustRightInd w:val="0"/>
        <w:spacing w:before="60" w:after="60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B702CD">
        <w:rPr>
          <w:sz w:val="22"/>
          <w:szCs w:val="22"/>
        </w:rPr>
        <w:t xml:space="preserve">1 - No caso de exigência de amostra de produto, devem ser </w:t>
      </w:r>
      <w:r w:rsidRPr="00B702CD">
        <w:rPr>
          <w:rFonts w:eastAsia="MyriadPro-Regular"/>
          <w:sz w:val="22"/>
          <w:szCs w:val="22"/>
          <w:lang w:eastAsia="pt-BR"/>
        </w:rPr>
        <w:t xml:space="preserve">estabelecidos </w:t>
      </w:r>
      <w:r w:rsidRPr="00B702CD">
        <w:rPr>
          <w:rFonts w:eastAsia="MyriadPro-Regular"/>
          <w:bCs/>
          <w:sz w:val="22"/>
          <w:szCs w:val="22"/>
          <w:lang w:eastAsia="pt-BR"/>
        </w:rPr>
        <w:t>critérios objetivos, detalhadamente especificados, de apresentação e avalia</w:t>
      </w:r>
      <w:r w:rsidRPr="00B702CD">
        <w:rPr>
          <w:rFonts w:eastAsia="MyriadPro-Regular"/>
          <w:bCs/>
          <w:sz w:val="22"/>
          <w:szCs w:val="22"/>
        </w:rPr>
        <w:t>çã</w:t>
      </w:r>
      <w:r w:rsidRPr="00B702CD">
        <w:rPr>
          <w:rFonts w:eastAsia="MyriadPro-Regular"/>
          <w:bCs/>
          <w:sz w:val="22"/>
          <w:szCs w:val="22"/>
          <w:lang w:eastAsia="pt-BR"/>
        </w:rPr>
        <w:t xml:space="preserve">o, </w:t>
      </w:r>
      <w:r w:rsidRPr="00B702CD">
        <w:rPr>
          <w:bCs/>
          <w:iCs/>
          <w:sz w:val="22"/>
          <w:szCs w:val="22"/>
          <w:lang w:eastAsia="pt-BR"/>
        </w:rPr>
        <w:t>bem como de julgamento técnico e de motivação das decisões relativas às amostras apresentadas</w:t>
      </w:r>
      <w:r w:rsidR="002D4B78">
        <w:rPr>
          <w:bCs/>
          <w:iCs/>
          <w:sz w:val="22"/>
          <w:szCs w:val="22"/>
          <w:lang w:eastAsia="pt-BR"/>
        </w:rPr>
        <w:t>;</w:t>
      </w:r>
    </w:p>
    <w:p w:rsidR="00B702CD" w:rsidRDefault="00B702CD" w:rsidP="00B702CD">
      <w:pPr>
        <w:tabs>
          <w:tab w:val="left" w:pos="851"/>
        </w:tabs>
        <w:spacing w:before="60" w:after="60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B702CD">
        <w:rPr>
          <w:sz w:val="22"/>
          <w:szCs w:val="22"/>
        </w:rPr>
        <w:t>2 - Em regra, as aquisições por parte de instituições públicas devem ocorrer por itens, sendo que no caso de opção de aquisição por lotes a composição destes deve ter justificativa plausível</w:t>
      </w:r>
      <w:r w:rsidR="002D4B78">
        <w:rPr>
          <w:sz w:val="22"/>
          <w:szCs w:val="22"/>
        </w:rPr>
        <w:t>.</w:t>
      </w:r>
    </w:p>
    <w:p w:rsidR="002D4B78" w:rsidRPr="00B702CD" w:rsidRDefault="002D4B78" w:rsidP="00B702CD">
      <w:pPr>
        <w:tabs>
          <w:tab w:val="left" w:pos="851"/>
        </w:tabs>
        <w:spacing w:before="60" w:after="60"/>
        <w:ind w:left="0"/>
        <w:rPr>
          <w:sz w:val="22"/>
          <w:szCs w:val="22"/>
        </w:rPr>
      </w:pPr>
    </w:p>
    <w:p w:rsidR="00B702CD" w:rsidRDefault="002D4B78" w:rsidP="00B702CD">
      <w:pPr>
        <w:tabs>
          <w:tab w:val="left" w:pos="1134"/>
        </w:tabs>
        <w:spacing w:before="60"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Para fins de configuração de ilicitude, basta a </w:t>
      </w:r>
      <w:r w:rsidR="00B702CD" w:rsidRPr="00B702CD">
        <w:rPr>
          <w:sz w:val="22"/>
          <w:szCs w:val="22"/>
          <w:lang w:eastAsia="pt-BR"/>
        </w:rPr>
        <w:t>utilização indevida do benefício de desempate previsto no art. 44 da Lei Complementar 123/2006</w:t>
      </w:r>
      <w:r>
        <w:rPr>
          <w:sz w:val="22"/>
          <w:szCs w:val="22"/>
          <w:lang w:eastAsia="pt-BR"/>
        </w:rPr>
        <w:t>,</w:t>
      </w:r>
      <w:r w:rsidR="00B702CD" w:rsidRPr="00B702CD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 xml:space="preserve">destinado à </w:t>
      </w:r>
      <w:r w:rsidR="00B702CD" w:rsidRPr="00B702CD">
        <w:rPr>
          <w:sz w:val="22"/>
          <w:szCs w:val="22"/>
          <w:lang w:eastAsia="pt-BR"/>
        </w:rPr>
        <w:t xml:space="preserve">empresa de pequeno porte ou microempresa, não sendo necessária a efetiva contratação para que seja declarada </w:t>
      </w:r>
      <w:r>
        <w:rPr>
          <w:sz w:val="22"/>
          <w:szCs w:val="22"/>
          <w:lang w:eastAsia="pt-BR"/>
        </w:rPr>
        <w:t>a</w:t>
      </w:r>
      <w:r w:rsidR="00B702CD" w:rsidRPr="00B702CD">
        <w:rPr>
          <w:sz w:val="22"/>
          <w:szCs w:val="22"/>
          <w:lang w:eastAsia="pt-BR"/>
        </w:rPr>
        <w:t xml:space="preserve"> inidoneidade</w:t>
      </w:r>
      <w:r>
        <w:rPr>
          <w:sz w:val="22"/>
          <w:szCs w:val="22"/>
          <w:lang w:eastAsia="pt-BR"/>
        </w:rPr>
        <w:t xml:space="preserve"> da empresa</w:t>
      </w:r>
      <w:r w:rsidR="00B702CD">
        <w:rPr>
          <w:sz w:val="22"/>
          <w:szCs w:val="22"/>
          <w:lang w:eastAsia="pt-BR"/>
        </w:rPr>
        <w:t>.</w:t>
      </w:r>
    </w:p>
    <w:p w:rsidR="002D4B78" w:rsidRPr="00B702CD" w:rsidRDefault="002D4B78" w:rsidP="00B702CD">
      <w:pPr>
        <w:tabs>
          <w:tab w:val="left" w:pos="1134"/>
        </w:tabs>
        <w:spacing w:before="60" w:after="60"/>
        <w:ind w:left="0"/>
        <w:rPr>
          <w:sz w:val="22"/>
          <w:szCs w:val="22"/>
          <w:lang w:eastAsia="pt-BR"/>
        </w:rPr>
      </w:pPr>
    </w:p>
    <w:p w:rsidR="00B702CD" w:rsidRPr="00B702CD" w:rsidRDefault="00B702CD" w:rsidP="00B702CD">
      <w:pPr>
        <w:tabs>
          <w:tab w:val="left" w:pos="1134"/>
        </w:tabs>
        <w:spacing w:before="60" w:after="60"/>
        <w:ind w:left="0"/>
        <w:rPr>
          <w:sz w:val="22"/>
          <w:szCs w:val="22"/>
        </w:rPr>
      </w:pPr>
      <w:r w:rsidRPr="00B702CD">
        <w:rPr>
          <w:sz w:val="22"/>
          <w:szCs w:val="22"/>
        </w:rPr>
        <w:t>Licitação para aquisição de produtos de merenda escolar: argumentos como a limitação de espaço para estocagem de alimentos ou o prazo de validade dos produtos perecíveis não impedem que seja utilizada a correta modalidade de licitação, desde que seja realizada a elaboração de cronograma de fornecimento, o qual deve integrar o instrumento convocatório do certame</w:t>
      </w:r>
      <w:r w:rsidR="002D4B78">
        <w:rPr>
          <w:sz w:val="22"/>
          <w:szCs w:val="22"/>
        </w:rPr>
        <w:t>.</w:t>
      </w:r>
    </w:p>
    <w:p w:rsidR="0077228C" w:rsidRPr="000807D4" w:rsidRDefault="0077228C" w:rsidP="00643CED">
      <w:pPr>
        <w:pStyle w:val="Corpodetexto"/>
        <w:tabs>
          <w:tab w:val="left" w:pos="2590"/>
        </w:tabs>
        <w:spacing w:before="60" w:after="60"/>
        <w:ind w:left="0"/>
        <w:rPr>
          <w:b/>
          <w:color w:val="FF0000"/>
          <w:sz w:val="22"/>
          <w:szCs w:val="22"/>
        </w:rPr>
      </w:pPr>
    </w:p>
    <w:p w:rsidR="003C6DEB" w:rsidRPr="000807D4" w:rsidRDefault="003C6DEB" w:rsidP="00621D63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0807D4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6D3693" w:rsidRDefault="003C6DEB" w:rsidP="006D369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7B471E" w:rsidRPr="006D3693" w:rsidRDefault="002B32DD" w:rsidP="006D3693">
      <w:pPr>
        <w:spacing w:after="0"/>
        <w:ind w:left="0"/>
        <w:rPr>
          <w:b/>
          <w:sz w:val="22"/>
          <w:szCs w:val="22"/>
        </w:rPr>
      </w:pPr>
      <w:r w:rsidRPr="006D3693">
        <w:rPr>
          <w:b/>
          <w:sz w:val="22"/>
          <w:szCs w:val="22"/>
        </w:rPr>
        <w:t xml:space="preserve">Pregão para contratação de serviços: </w:t>
      </w:r>
      <w:r w:rsidR="002D4B78">
        <w:rPr>
          <w:b/>
          <w:sz w:val="22"/>
          <w:szCs w:val="22"/>
        </w:rPr>
        <w:t>p</w:t>
      </w:r>
      <w:r w:rsidR="007E0B69" w:rsidRPr="006D3693">
        <w:rPr>
          <w:b/>
          <w:sz w:val="22"/>
          <w:szCs w:val="22"/>
        </w:rPr>
        <w:t>or constituir presunção relativa, s</w:t>
      </w:r>
      <w:r w:rsidR="00325D35" w:rsidRPr="006D3693">
        <w:rPr>
          <w:b/>
          <w:sz w:val="22"/>
          <w:szCs w:val="22"/>
        </w:rPr>
        <w:t xml:space="preserve">uposta inexequibilidade de proposta comercial de licitante não autoriza imediata desclassificação, excetuando-se situação extremas nas quais a </w:t>
      </w:r>
      <w:r w:rsidR="007E0B69" w:rsidRPr="006D3693">
        <w:rPr>
          <w:b/>
          <w:sz w:val="22"/>
          <w:szCs w:val="22"/>
        </w:rPr>
        <w:t xml:space="preserve">Administração Pública </w:t>
      </w:r>
      <w:r w:rsidR="00325D35" w:rsidRPr="006D3693">
        <w:rPr>
          <w:b/>
          <w:sz w:val="22"/>
          <w:szCs w:val="22"/>
        </w:rPr>
        <w:t>se veja diante de preços simbólicos, irrisórios ou de valor zero</w:t>
      </w:r>
    </w:p>
    <w:p w:rsidR="007B471E" w:rsidRPr="006D3693" w:rsidRDefault="007B471E" w:rsidP="006D3693">
      <w:pPr>
        <w:tabs>
          <w:tab w:val="left" w:pos="1134"/>
          <w:tab w:val="left" w:pos="3828"/>
        </w:tabs>
        <w:spacing w:after="0"/>
        <w:ind w:left="0"/>
        <w:rPr>
          <w:b/>
          <w:i/>
          <w:color w:val="000000"/>
          <w:sz w:val="22"/>
          <w:szCs w:val="22"/>
        </w:rPr>
      </w:pPr>
      <w:r w:rsidRPr="006D3693">
        <w:rPr>
          <w:sz w:val="22"/>
          <w:szCs w:val="22"/>
        </w:rPr>
        <w:t xml:space="preserve">Representação trouxe ao conhecimento do Tribunal potenciais irregularidades no edital do Pregão Eletrônico nº 9/2011, conduzido pelo Ministério da Previdência Social – (MPS), </w:t>
      </w:r>
      <w:r w:rsidR="003856A4" w:rsidRPr="006D3693">
        <w:rPr>
          <w:sz w:val="22"/>
          <w:szCs w:val="22"/>
        </w:rPr>
        <w:t>no qual</w:t>
      </w:r>
      <w:r w:rsidRPr="006D3693">
        <w:rPr>
          <w:sz w:val="22"/>
          <w:szCs w:val="22"/>
        </w:rPr>
        <w:t xml:space="preserve"> objetivou contratar empresa especializada na prestação de serviços de organização de eventos, incluindo as atividades de operacionalização, execução, acompanhamento e finalização dos mesmos, com abrangência nacional, em regime de empreitada por preço unitário. Para o relator, a controvérsia principal trazida aos autos cingiu-se à regra editalícia que levaria à desclassificação das propostas que apresentassem desconto superior a 30% do orçamento elaborado pelo Ministério da Previdência Social. Consoante o relator, após revisão do arcabouço legal das normas regentes do assunto, não haveria nenhum dispositivo que autorizaria o estabelecimento de critério de aceitabilidade de preço mínimo para o caso de serviços comuns.</w:t>
      </w:r>
      <w:r w:rsidRPr="006D3693">
        <w:rPr>
          <w:b/>
          <w:sz w:val="22"/>
          <w:szCs w:val="22"/>
        </w:rPr>
        <w:t xml:space="preserve"> </w:t>
      </w:r>
      <w:r w:rsidRPr="006D3693">
        <w:rPr>
          <w:sz w:val="22"/>
          <w:szCs w:val="22"/>
        </w:rPr>
        <w:t>Todavia, a Instrução Normativa nº 2/2008 da Secretaria de Logística e Tecnologia da Informação do Ministério do Planejamento, Orçamento e Gestão (IN/SLTI nº 2/2008) trata</w:t>
      </w:r>
      <w:r w:rsidR="003856A4" w:rsidRPr="006D3693">
        <w:rPr>
          <w:sz w:val="22"/>
          <w:szCs w:val="22"/>
        </w:rPr>
        <w:t>ria</w:t>
      </w:r>
      <w:r w:rsidRPr="006D3693">
        <w:rPr>
          <w:sz w:val="22"/>
          <w:szCs w:val="22"/>
        </w:rPr>
        <w:t xml:space="preserve"> da questão em seu art. 29, a qual deveria, então, ser interpretada a partir dos dispositivos legais de referência (inc. X do art. 40, § 3º do art. 44 e inc. II do art. 48, todos da Lei </w:t>
      </w:r>
      <w:r w:rsidRPr="006D3693">
        <w:rPr>
          <w:sz w:val="22"/>
          <w:szCs w:val="22"/>
        </w:rPr>
        <w:lastRenderedPageBreak/>
        <w:t xml:space="preserve">8.666/1993). Nesse quadro, </w:t>
      </w:r>
      <w:r w:rsidR="00802DA0" w:rsidRPr="006D3693">
        <w:rPr>
          <w:sz w:val="22"/>
          <w:szCs w:val="22"/>
        </w:rPr>
        <w:t>consignou que</w:t>
      </w:r>
      <w:r w:rsidR="00325D35" w:rsidRPr="006D3693">
        <w:rPr>
          <w:sz w:val="22"/>
          <w:szCs w:val="22"/>
        </w:rPr>
        <w:t>, apesar de o § 5º do art. 29 da IN/SLTI nº 2/2008 dar possibilidade de desclassificação imediata de propostas a partir da ocorrência das condições lá estabelecidas, “</w:t>
      </w:r>
      <w:r w:rsidR="00325D35" w:rsidRPr="006D3693">
        <w:rPr>
          <w:i/>
          <w:sz w:val="22"/>
          <w:szCs w:val="22"/>
        </w:rPr>
        <w:t>em licitação para contratação de serviços comuns, como é o caso, a Lei de Licitações não define critérios objetivos para aferição da exequibilidade das propostas”.</w:t>
      </w:r>
      <w:r w:rsidR="00325D35" w:rsidRPr="006D3693">
        <w:rPr>
          <w:sz w:val="22"/>
          <w:szCs w:val="22"/>
        </w:rPr>
        <w:t xml:space="preserve"> Caberia, então, ao administrador público exercer tal tarefa com cautela,</w:t>
      </w:r>
      <w:r w:rsidR="00325D35" w:rsidRPr="006D3693">
        <w:rPr>
          <w:i/>
          <w:sz w:val="22"/>
          <w:szCs w:val="22"/>
        </w:rPr>
        <w:t xml:space="preserve"> </w:t>
      </w:r>
      <w:r w:rsidR="00325D35" w:rsidRPr="006D3693">
        <w:rPr>
          <w:sz w:val="22"/>
          <w:szCs w:val="22"/>
        </w:rPr>
        <w:t>“</w:t>
      </w:r>
      <w:r w:rsidR="00325D35" w:rsidRPr="006D3693">
        <w:rPr>
          <w:i/>
          <w:sz w:val="22"/>
          <w:szCs w:val="22"/>
        </w:rPr>
        <w:t>sob pena de eliminar propostas exequíveis que à primeira vista se mostrem inviáveis, em descompasso com a busca pela proposta mais vantajosa e, por consequência, com o princípio da economicidade</w:t>
      </w:r>
      <w:r w:rsidR="00325D35" w:rsidRPr="006D3693">
        <w:rPr>
          <w:sz w:val="22"/>
          <w:szCs w:val="22"/>
        </w:rPr>
        <w:t xml:space="preserve">”. Assim, </w:t>
      </w:r>
      <w:r w:rsidR="003856A4" w:rsidRPr="006D3693">
        <w:rPr>
          <w:sz w:val="22"/>
          <w:szCs w:val="22"/>
        </w:rPr>
        <w:t>e</w:t>
      </w:r>
      <w:r w:rsidR="00325D35" w:rsidRPr="006D3693">
        <w:rPr>
          <w:sz w:val="22"/>
          <w:szCs w:val="22"/>
        </w:rPr>
        <w:t xml:space="preserve">xceto em situações extremas nas quais </w:t>
      </w:r>
      <w:r w:rsidR="003856A4" w:rsidRPr="006D3693">
        <w:rPr>
          <w:sz w:val="22"/>
          <w:szCs w:val="22"/>
        </w:rPr>
        <w:t xml:space="preserve">a instituição contratante </w:t>
      </w:r>
      <w:r w:rsidR="00325D35" w:rsidRPr="006D3693">
        <w:rPr>
          <w:sz w:val="22"/>
          <w:szCs w:val="22"/>
        </w:rPr>
        <w:t xml:space="preserve">se veja diante de preços simbólicos, irrisórios ou de valor zero, a teor do § 3º do art. 44 da Lei 8.666/1993, a norma não </w:t>
      </w:r>
      <w:r w:rsidR="002D4B78">
        <w:rPr>
          <w:sz w:val="22"/>
          <w:szCs w:val="22"/>
        </w:rPr>
        <w:t>t</w:t>
      </w:r>
      <w:r w:rsidR="00325D35" w:rsidRPr="006D3693">
        <w:rPr>
          <w:sz w:val="22"/>
          <w:szCs w:val="22"/>
        </w:rPr>
        <w:t>eria outorgado à comissão julgadora, ou ao pregoeiro, poder para desclassificar propostas, sem estar demonstrad</w:t>
      </w:r>
      <w:r w:rsidR="003856A4" w:rsidRPr="006D3693">
        <w:rPr>
          <w:sz w:val="22"/>
          <w:szCs w:val="22"/>
        </w:rPr>
        <w:t>a</w:t>
      </w:r>
      <w:r w:rsidR="00325D35" w:rsidRPr="006D3693">
        <w:rPr>
          <w:sz w:val="22"/>
          <w:szCs w:val="22"/>
        </w:rPr>
        <w:t xml:space="preserve">, no procedimento licitatório, a incompatibilidade entre os custos dos insumos do proponente e os custos de mercado, bem como entre os seus coeficientes de produtividade e os necessários à execução do objeto. </w:t>
      </w:r>
      <w:r w:rsidR="007E0B69" w:rsidRPr="006D3693">
        <w:rPr>
          <w:sz w:val="22"/>
          <w:szCs w:val="22"/>
        </w:rPr>
        <w:t>Destacou, ainda, que “</w:t>
      </w:r>
      <w:r w:rsidR="007E0B69" w:rsidRPr="006D3693">
        <w:rPr>
          <w:i/>
          <w:sz w:val="22"/>
          <w:szCs w:val="22"/>
        </w:rPr>
        <w:t>embora a Lei não defina parâmetro do que seja irrisório ou simbólico, cabe ao intérprete firmar tal juízo no caso concreto, em atenção ao princípio da razoabilidade</w:t>
      </w:r>
      <w:r w:rsidR="007E0B69" w:rsidRPr="006D3693">
        <w:rPr>
          <w:sz w:val="22"/>
          <w:szCs w:val="22"/>
        </w:rPr>
        <w:t>”, sendo certo que “</w:t>
      </w:r>
      <w:r w:rsidR="007E0B69" w:rsidRPr="006D3693">
        <w:rPr>
          <w:i/>
          <w:sz w:val="22"/>
          <w:szCs w:val="22"/>
        </w:rPr>
        <w:t>uma proposta nessa condição há de apresentar preços deveras destoantes da realidade, em respeito à própria adjetivação utilizada pela norma, não se podendo afastar, de plano, por exemplo, propostas cujos preços representem pouco menos de 70% do valor orçado pela Administração</w:t>
      </w:r>
      <w:r w:rsidR="007E0B69" w:rsidRPr="006D3693">
        <w:rPr>
          <w:sz w:val="22"/>
          <w:szCs w:val="22"/>
        </w:rPr>
        <w:t xml:space="preserve">”.  Assim, a despeito das disposições constantes do § 5º do art. 29 da IN/SLTI nº 2/2008, propostas supostamente inexequíveis não poderiam ser desclassificadas de maneira imediata, excetuando-se as situações extremas previstas no § 3º do art. 44 da Lei 8.666/1993 (preços simbólicos, irrisórios ou de valor zero). Por conseguinte, </w:t>
      </w:r>
      <w:r w:rsidR="00520894" w:rsidRPr="006D3693">
        <w:rPr>
          <w:sz w:val="22"/>
          <w:szCs w:val="22"/>
        </w:rPr>
        <w:t xml:space="preserve">além de outras irregularidades, </w:t>
      </w:r>
      <w:r w:rsidR="007E0B69" w:rsidRPr="006D3693">
        <w:rPr>
          <w:sz w:val="22"/>
          <w:szCs w:val="22"/>
        </w:rPr>
        <w:t>por conta da adoção indevida d</w:t>
      </w:r>
      <w:r w:rsidR="003856A4" w:rsidRPr="006D3693">
        <w:rPr>
          <w:sz w:val="22"/>
          <w:szCs w:val="22"/>
        </w:rPr>
        <w:t xml:space="preserve">e critério de desclassificação de propostas de várias licitantes, as quais não teriam tido sequer oportunidade para tentar </w:t>
      </w:r>
      <w:r w:rsidR="000B5DB2" w:rsidRPr="006D3693">
        <w:rPr>
          <w:sz w:val="22"/>
          <w:szCs w:val="22"/>
        </w:rPr>
        <w:t xml:space="preserve">evidenciar </w:t>
      </w:r>
      <w:r w:rsidR="003856A4" w:rsidRPr="006D3693">
        <w:rPr>
          <w:sz w:val="22"/>
          <w:szCs w:val="22"/>
        </w:rPr>
        <w:t>a factibilidade de suas propostas, votou o relator pela procedência da representação e por que se determinasse ao MPS, com relação ao Pregão Eletrônico nº 9/2001, a adoção de medidas com vistas à sua anulação, em face dos vícios de legalidade apurados, sem prejuízo, ainda, de se determinar ao órgão medidas corretivas para suas futuras licitações. Nos termos do voto do relator, o Plenário manifestou sua anuência. Precedentes citados: Acórdãos n</w:t>
      </w:r>
      <w:r w:rsidR="003856A4" w:rsidRPr="006D3693">
        <w:rPr>
          <w:sz w:val="22"/>
          <w:szCs w:val="22"/>
          <w:u w:val="single"/>
          <w:vertAlign w:val="superscript"/>
        </w:rPr>
        <w:t>os</w:t>
      </w:r>
      <w:r w:rsidR="003856A4" w:rsidRPr="006D3693">
        <w:rPr>
          <w:sz w:val="22"/>
          <w:szCs w:val="22"/>
        </w:rPr>
        <w:t xml:space="preserve"> 559/2009, da 1ª Câmara, 697/2006 e 363/2007, ambos do Plenário. </w:t>
      </w:r>
      <w:r w:rsidRPr="006D3693">
        <w:rPr>
          <w:b/>
          <w:i/>
          <w:color w:val="000000"/>
          <w:sz w:val="22"/>
          <w:szCs w:val="22"/>
        </w:rPr>
        <w:t>Acórdão n.º 2068/2011-Plenário, TC-015.709/2011-6, rel. Min. Augusto Nardes, 10.08.2011.</w:t>
      </w:r>
    </w:p>
    <w:p w:rsidR="007B471E" w:rsidRPr="006D3693" w:rsidRDefault="007B471E" w:rsidP="006D369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AA1D1B" w:rsidRPr="006D3693" w:rsidRDefault="00AA1D1B" w:rsidP="006D369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000000"/>
          <w:sz w:val="22"/>
          <w:szCs w:val="22"/>
        </w:rPr>
      </w:pPr>
    </w:p>
    <w:p w:rsidR="00431D0E" w:rsidRDefault="00B702CD" w:rsidP="00B702CD">
      <w:pPr>
        <w:spacing w:after="0"/>
        <w:ind w:left="0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</w:t>
      </w:r>
      <w:r w:rsidR="00AE3960">
        <w:rPr>
          <w:b/>
          <w:color w:val="000000"/>
          <w:sz w:val="22"/>
          <w:szCs w:val="22"/>
        </w:rPr>
        <w:t xml:space="preserve"> não aferição do perfil dos profissionais </w:t>
      </w:r>
      <w:r w:rsidR="00431D0E">
        <w:rPr>
          <w:b/>
          <w:color w:val="000000"/>
          <w:sz w:val="22"/>
          <w:szCs w:val="22"/>
        </w:rPr>
        <w:t>indicados em substituição aos originalmente integrantes da equipe técnica apresentada por empresa contratada, a partir de licitação do tipo técnica e preço, constitui irregularidade, sujeitando o responsável pelo fato às sanções cabíveis</w:t>
      </w:r>
    </w:p>
    <w:p w:rsidR="006478E6" w:rsidRPr="006D3693" w:rsidRDefault="002D4B78" w:rsidP="006D3693">
      <w:pPr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>Em a</w:t>
      </w:r>
      <w:r w:rsidR="0091406E" w:rsidRPr="006D3693">
        <w:rPr>
          <w:sz w:val="22"/>
          <w:szCs w:val="22"/>
        </w:rPr>
        <w:t xml:space="preserve">uditoria realizada na Superintendência Regional do Departamento Nacional de Infraestrutura Terrestre no Estado de São Paulo – (Dnit/SP), com intuito de verificar empreendimentos de infraestrutura ferroviária executados em 2009, em especial a obra </w:t>
      </w:r>
      <w:r w:rsidR="001B3BEF" w:rsidRPr="006D3693">
        <w:rPr>
          <w:sz w:val="22"/>
          <w:szCs w:val="22"/>
        </w:rPr>
        <w:t>de construção do contorno e pátio f</w:t>
      </w:r>
      <w:r w:rsidR="0091406E" w:rsidRPr="006D3693">
        <w:rPr>
          <w:sz w:val="22"/>
          <w:szCs w:val="22"/>
        </w:rPr>
        <w:t>erroviário de Tutóia – Araraquara/SP</w:t>
      </w:r>
      <w:r>
        <w:rPr>
          <w:sz w:val="22"/>
          <w:szCs w:val="22"/>
        </w:rPr>
        <w:t xml:space="preserve">, </w:t>
      </w:r>
      <w:r w:rsidR="0091406E" w:rsidRPr="006D3693">
        <w:rPr>
          <w:sz w:val="22"/>
          <w:szCs w:val="22"/>
        </w:rPr>
        <w:t>a unidade técnica</w:t>
      </w:r>
      <w:r w:rsidR="00BD3EBA">
        <w:rPr>
          <w:sz w:val="22"/>
          <w:szCs w:val="22"/>
        </w:rPr>
        <w:t xml:space="preserve"> do Tribunal</w:t>
      </w:r>
      <w:r w:rsidR="0091406E" w:rsidRPr="006D3693">
        <w:rPr>
          <w:sz w:val="22"/>
          <w:szCs w:val="22"/>
        </w:rPr>
        <w:t xml:space="preserve"> apontou como sendo irregular a </w:t>
      </w:r>
      <w:r w:rsidR="006E5BF8" w:rsidRPr="006D3693">
        <w:rPr>
          <w:sz w:val="22"/>
          <w:szCs w:val="22"/>
        </w:rPr>
        <w:t xml:space="preserve">substituição de profissionais da equipe da empresa contratada </w:t>
      </w:r>
      <w:r w:rsidR="007B7A70" w:rsidRPr="006D3693">
        <w:rPr>
          <w:sz w:val="22"/>
          <w:szCs w:val="22"/>
        </w:rPr>
        <w:t>a partir d</w:t>
      </w:r>
      <w:r w:rsidR="006E5BF8" w:rsidRPr="006D3693">
        <w:rPr>
          <w:sz w:val="22"/>
          <w:szCs w:val="22"/>
        </w:rPr>
        <w:t>a concorrência 161/2008, do tipo técnica e preço, destinada à contratação de serviços de gestão ambiental para implantação das obras, sem observância do</w:t>
      </w:r>
      <w:r w:rsidR="001B3BEF" w:rsidRPr="006D3693">
        <w:rPr>
          <w:sz w:val="22"/>
          <w:szCs w:val="22"/>
        </w:rPr>
        <w:t>s</w:t>
      </w:r>
      <w:r w:rsidR="006E5BF8" w:rsidRPr="006D3693">
        <w:rPr>
          <w:sz w:val="22"/>
          <w:szCs w:val="22"/>
        </w:rPr>
        <w:t xml:space="preserve"> critério</w:t>
      </w:r>
      <w:r w:rsidR="001B3BEF" w:rsidRPr="006D3693">
        <w:rPr>
          <w:sz w:val="22"/>
          <w:szCs w:val="22"/>
        </w:rPr>
        <w:t>s</w:t>
      </w:r>
      <w:r w:rsidR="006E5BF8" w:rsidRPr="006D3693">
        <w:rPr>
          <w:sz w:val="22"/>
          <w:szCs w:val="22"/>
        </w:rPr>
        <w:t xml:space="preserve"> estipulado</w:t>
      </w:r>
      <w:r w:rsidR="001B3BEF" w:rsidRPr="006D3693">
        <w:rPr>
          <w:sz w:val="22"/>
          <w:szCs w:val="22"/>
        </w:rPr>
        <w:t>s</w:t>
      </w:r>
      <w:r w:rsidR="006E5BF8" w:rsidRPr="006D3693">
        <w:rPr>
          <w:sz w:val="22"/>
          <w:szCs w:val="22"/>
        </w:rPr>
        <w:t xml:space="preserve"> no edital. </w:t>
      </w:r>
      <w:r w:rsidR="001B3BEF" w:rsidRPr="006D3693">
        <w:rPr>
          <w:sz w:val="22"/>
          <w:szCs w:val="22"/>
        </w:rPr>
        <w:t xml:space="preserve">O responsável ouvido </w:t>
      </w:r>
      <w:r w:rsidR="007B7A70" w:rsidRPr="006D3693">
        <w:rPr>
          <w:sz w:val="22"/>
          <w:szCs w:val="22"/>
        </w:rPr>
        <w:t>pelo fato alegou, em síntese, “</w:t>
      </w:r>
      <w:r w:rsidR="007B7A70" w:rsidRPr="006D3693">
        <w:rPr>
          <w:i/>
          <w:sz w:val="22"/>
          <w:szCs w:val="22"/>
        </w:rPr>
        <w:t>que o tempo decorrido entre a proposta técnica da contratada e o início dos serviços levou a que os profissionais da equipe original assumissem outros compromissos, dada a demanda do mercado por técnicos qualificados, e que os substitutos possuíam experiência e qualificação compatíveis com as dos substituídos, além de atenderam os requisitos do edital</w:t>
      </w:r>
      <w:r w:rsidR="007B7A70" w:rsidRPr="006D3693">
        <w:rPr>
          <w:sz w:val="22"/>
          <w:szCs w:val="22"/>
        </w:rPr>
        <w:t>”, o que foi rebatido pela unidade técnica incumbida da instrução do feito, a qual demonstrou que a pontuação destes seria inferior à da equipe original. No voto, o relator observou</w:t>
      </w:r>
      <w:r w:rsidR="004F0A27" w:rsidRPr="006D3693">
        <w:rPr>
          <w:sz w:val="22"/>
          <w:szCs w:val="22"/>
        </w:rPr>
        <w:t xml:space="preserve"> que</w:t>
      </w:r>
      <w:r w:rsidR="007B7A70" w:rsidRPr="006D3693">
        <w:rPr>
          <w:sz w:val="22"/>
          <w:szCs w:val="22"/>
        </w:rPr>
        <w:t xml:space="preserve">, sem adentrar no exame dos perfis dos profissionais contratados em substituição aos primeiros, a argumentação do responsável não elidiu o fato de que não foi feita a aferição dos currículos </w:t>
      </w:r>
      <w:r w:rsidR="004F0A27" w:rsidRPr="006D3693">
        <w:rPr>
          <w:sz w:val="22"/>
          <w:szCs w:val="22"/>
        </w:rPr>
        <w:t xml:space="preserve">dos novos profissionais, </w:t>
      </w:r>
      <w:r w:rsidR="007B7A70" w:rsidRPr="006D3693">
        <w:rPr>
          <w:sz w:val="22"/>
          <w:szCs w:val="22"/>
        </w:rPr>
        <w:t>nos termos previstos no edital, o que já caracterizaria, em sua opinião, a irregularidade da conduta. Entretanto, aditou que a gravidade da ocorrência seria ampliada ao se constatar que se tratava de licitação do tipo técnica e preço, “</w:t>
      </w:r>
      <w:r w:rsidR="007B7A70" w:rsidRPr="006D3693">
        <w:rPr>
          <w:i/>
          <w:sz w:val="22"/>
          <w:szCs w:val="22"/>
        </w:rPr>
        <w:t>na qual a técnica tinha peso elevado e na qual a empresa contratada sagrou-se vencedora do certame, apesar de não ter cotado o menor preço, em virtude de sua proposta técnica, que incluía a qualificação de sua equipe</w:t>
      </w:r>
      <w:r w:rsidR="007B7A70" w:rsidRPr="006D3693">
        <w:rPr>
          <w:sz w:val="22"/>
          <w:szCs w:val="22"/>
        </w:rPr>
        <w:t xml:space="preserve">”. Por isso, votou pela rejeição das justificativas apresentadas pelo responsável, </w:t>
      </w:r>
      <w:r w:rsidR="00BD3EBA">
        <w:rPr>
          <w:sz w:val="22"/>
          <w:szCs w:val="22"/>
        </w:rPr>
        <w:t>com</w:t>
      </w:r>
      <w:r w:rsidR="007B7A70" w:rsidRPr="006D3693">
        <w:rPr>
          <w:sz w:val="22"/>
          <w:szCs w:val="22"/>
        </w:rPr>
        <w:t xml:space="preserve"> aplicação de multa a este, sem prejuízo de se determina</w:t>
      </w:r>
      <w:r w:rsidR="00BD3EBA">
        <w:rPr>
          <w:sz w:val="22"/>
          <w:szCs w:val="22"/>
        </w:rPr>
        <w:t>r</w:t>
      </w:r>
      <w:r w:rsidR="007B7A70" w:rsidRPr="006D3693">
        <w:rPr>
          <w:sz w:val="22"/>
          <w:szCs w:val="22"/>
        </w:rPr>
        <w:t xml:space="preserve"> ao Dnit/SP que regulariz</w:t>
      </w:r>
      <w:r w:rsidR="00BD3EBA">
        <w:rPr>
          <w:sz w:val="22"/>
          <w:szCs w:val="22"/>
        </w:rPr>
        <w:t>e</w:t>
      </w:r>
      <w:r w:rsidR="007B7A70" w:rsidRPr="006D3693">
        <w:rPr>
          <w:sz w:val="22"/>
          <w:szCs w:val="22"/>
        </w:rPr>
        <w:t xml:space="preserve"> a situação dos profissionais substituídos, no que foi acompanhado pelo Plenário.</w:t>
      </w:r>
      <w:r w:rsidR="006478E6" w:rsidRPr="006D3693">
        <w:rPr>
          <w:color w:val="FF0000"/>
          <w:sz w:val="22"/>
          <w:szCs w:val="22"/>
        </w:rPr>
        <w:t xml:space="preserve"> </w:t>
      </w:r>
      <w:r w:rsidR="006478E6" w:rsidRPr="006D3693">
        <w:rPr>
          <w:b/>
          <w:i/>
          <w:sz w:val="22"/>
          <w:szCs w:val="22"/>
        </w:rPr>
        <w:t>Acórdão n.º 20</w:t>
      </w:r>
      <w:r w:rsidR="0091406E" w:rsidRPr="006D3693">
        <w:rPr>
          <w:b/>
          <w:i/>
          <w:sz w:val="22"/>
          <w:szCs w:val="22"/>
        </w:rPr>
        <w:t>91</w:t>
      </w:r>
      <w:r w:rsidR="006478E6" w:rsidRPr="006D3693">
        <w:rPr>
          <w:b/>
          <w:i/>
          <w:sz w:val="22"/>
          <w:szCs w:val="22"/>
        </w:rPr>
        <w:t>/2011-Plenário, TC-0</w:t>
      </w:r>
      <w:r w:rsidR="0091406E" w:rsidRPr="006D3693">
        <w:rPr>
          <w:b/>
          <w:i/>
          <w:sz w:val="22"/>
          <w:szCs w:val="22"/>
        </w:rPr>
        <w:t>1</w:t>
      </w:r>
      <w:r w:rsidR="006478E6" w:rsidRPr="006D3693">
        <w:rPr>
          <w:b/>
          <w:i/>
          <w:sz w:val="22"/>
          <w:szCs w:val="22"/>
        </w:rPr>
        <w:t>8.</w:t>
      </w:r>
      <w:r w:rsidR="0091406E" w:rsidRPr="006D3693">
        <w:rPr>
          <w:b/>
          <w:i/>
          <w:sz w:val="22"/>
          <w:szCs w:val="22"/>
        </w:rPr>
        <w:t>910</w:t>
      </w:r>
      <w:r w:rsidR="006478E6" w:rsidRPr="006D3693">
        <w:rPr>
          <w:b/>
          <w:i/>
          <w:sz w:val="22"/>
          <w:szCs w:val="22"/>
        </w:rPr>
        <w:t>/200</w:t>
      </w:r>
      <w:r w:rsidR="0091406E" w:rsidRPr="006D3693">
        <w:rPr>
          <w:b/>
          <w:i/>
          <w:sz w:val="22"/>
          <w:szCs w:val="22"/>
        </w:rPr>
        <w:t>9</w:t>
      </w:r>
      <w:r w:rsidR="006478E6" w:rsidRPr="006D3693">
        <w:rPr>
          <w:b/>
          <w:i/>
          <w:sz w:val="22"/>
          <w:szCs w:val="22"/>
        </w:rPr>
        <w:t>-</w:t>
      </w:r>
      <w:r w:rsidR="0091406E" w:rsidRPr="006D3693">
        <w:rPr>
          <w:b/>
          <w:i/>
          <w:sz w:val="22"/>
          <w:szCs w:val="22"/>
        </w:rPr>
        <w:t>0</w:t>
      </w:r>
      <w:r w:rsidR="006478E6" w:rsidRPr="006D3693">
        <w:rPr>
          <w:b/>
          <w:i/>
          <w:sz w:val="22"/>
          <w:szCs w:val="22"/>
        </w:rPr>
        <w:t>, rel. Min. A</w:t>
      </w:r>
      <w:r w:rsidR="00D86C20" w:rsidRPr="006D3693">
        <w:rPr>
          <w:b/>
          <w:i/>
          <w:sz w:val="22"/>
          <w:szCs w:val="22"/>
        </w:rPr>
        <w:t>roldo Cedraz</w:t>
      </w:r>
      <w:r w:rsidR="006478E6" w:rsidRPr="006D3693">
        <w:rPr>
          <w:b/>
          <w:i/>
          <w:sz w:val="22"/>
          <w:szCs w:val="22"/>
        </w:rPr>
        <w:t xml:space="preserve">, </w:t>
      </w:r>
      <w:r w:rsidR="00D86C20" w:rsidRPr="006D3693">
        <w:rPr>
          <w:b/>
          <w:i/>
          <w:sz w:val="22"/>
          <w:szCs w:val="22"/>
        </w:rPr>
        <w:t>10</w:t>
      </w:r>
      <w:r w:rsidR="006478E6" w:rsidRPr="006D3693">
        <w:rPr>
          <w:b/>
          <w:i/>
          <w:sz w:val="22"/>
          <w:szCs w:val="22"/>
        </w:rPr>
        <w:t>.08.2011.</w:t>
      </w:r>
    </w:p>
    <w:p w:rsidR="006478E6" w:rsidRPr="006D3693" w:rsidRDefault="006478E6" w:rsidP="006D369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B85A97" w:rsidRPr="006D3693" w:rsidRDefault="00B85A97" w:rsidP="006D3693">
      <w:pPr>
        <w:tabs>
          <w:tab w:val="left" w:pos="1134"/>
        </w:tabs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6D3693">
        <w:rPr>
          <w:b/>
          <w:sz w:val="22"/>
          <w:szCs w:val="22"/>
        </w:rPr>
        <w:t xml:space="preserve">Licitação para aquisição de produtos de merenda escolar: 1 - No caso de exigência de amostra de produto, devem ser </w:t>
      </w:r>
      <w:r w:rsidRPr="006D3693">
        <w:rPr>
          <w:rFonts w:eastAsia="MyriadPro-Regular"/>
          <w:b/>
          <w:sz w:val="22"/>
          <w:szCs w:val="22"/>
          <w:lang w:eastAsia="pt-BR"/>
        </w:rPr>
        <w:t xml:space="preserve">estabelecidos </w:t>
      </w:r>
      <w:r w:rsidRPr="006D3693">
        <w:rPr>
          <w:rFonts w:eastAsia="MyriadPro-Regular"/>
          <w:b/>
          <w:bCs/>
          <w:sz w:val="22"/>
          <w:szCs w:val="22"/>
          <w:lang w:eastAsia="pt-BR"/>
        </w:rPr>
        <w:t>critérios objetivos, detalhadamente especificados, de apresentação e avalia</w:t>
      </w:r>
      <w:r w:rsidRPr="006D3693">
        <w:rPr>
          <w:rFonts w:eastAsia="MyriadPro-Regular"/>
          <w:b/>
          <w:bCs/>
          <w:sz w:val="22"/>
          <w:szCs w:val="22"/>
        </w:rPr>
        <w:t>çã</w:t>
      </w:r>
      <w:r w:rsidRPr="006D3693">
        <w:rPr>
          <w:rFonts w:eastAsia="MyriadPro-Regular"/>
          <w:b/>
          <w:bCs/>
          <w:sz w:val="22"/>
          <w:szCs w:val="22"/>
          <w:lang w:eastAsia="pt-BR"/>
        </w:rPr>
        <w:t xml:space="preserve">o, </w:t>
      </w:r>
      <w:r w:rsidRPr="006D3693">
        <w:rPr>
          <w:b/>
          <w:bCs/>
          <w:iCs/>
          <w:sz w:val="22"/>
          <w:szCs w:val="22"/>
          <w:lang w:eastAsia="pt-BR"/>
        </w:rPr>
        <w:t>bem como de julgamento técnico e de motivação das decisões relativas às amostras apresentadas</w:t>
      </w:r>
    </w:p>
    <w:p w:rsidR="003506E7" w:rsidRPr="006D3693" w:rsidRDefault="003506E7" w:rsidP="006D3693">
      <w:pPr>
        <w:tabs>
          <w:tab w:val="left" w:pos="1134"/>
        </w:tabs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6D3693">
        <w:rPr>
          <w:sz w:val="22"/>
          <w:szCs w:val="22"/>
        </w:rPr>
        <w:t>Por intermédio de representação, o Tribunal tratou de possíveis irregularidades ocorridas na condução do Pregão 71/2010, realizado pela Prefeitura de Manaus, no Amazonas, cujo objeto consistiu no registro de preços para eventual aquisição de gêneros alimentícios, em lotes, da merenda escolar, para atendimento à rede municipal de ensino. Na etapa processual anterior, o Tribunal determina</w:t>
      </w:r>
      <w:r w:rsidR="00DA7CBB" w:rsidRPr="006D3693">
        <w:rPr>
          <w:sz w:val="22"/>
          <w:szCs w:val="22"/>
        </w:rPr>
        <w:t>ra cautelarmente</w:t>
      </w:r>
      <w:r w:rsidRPr="006D3693">
        <w:rPr>
          <w:sz w:val="22"/>
          <w:szCs w:val="22"/>
        </w:rPr>
        <w:t xml:space="preserve"> à Prefeitura de Manaus que se abstivesse de realizar novas aquisições, com recursos federais, de produtos constantes da Ata de Registro de Preços 11/11, decorrente do </w:t>
      </w:r>
      <w:r w:rsidR="00DA7CBB" w:rsidRPr="006D3693">
        <w:rPr>
          <w:sz w:val="22"/>
          <w:szCs w:val="22"/>
        </w:rPr>
        <w:t>certame examinado</w:t>
      </w:r>
      <w:r w:rsidRPr="006D3693">
        <w:rPr>
          <w:sz w:val="22"/>
          <w:szCs w:val="22"/>
        </w:rPr>
        <w:t xml:space="preserve">, bem como não permitisse novas adesões à mencionada Ata, até que o Tribunal deliberasse definitivamente sobre a matéria (ver informativo 63). </w:t>
      </w:r>
      <w:r w:rsidR="00DA7CBB" w:rsidRPr="006D3693">
        <w:rPr>
          <w:sz w:val="22"/>
          <w:szCs w:val="22"/>
        </w:rPr>
        <w:t xml:space="preserve">Nesse quadro, ao empreender novo exame, o relator voltou a cuidar da questão relacionada </w:t>
      </w:r>
      <w:r w:rsidR="009F015D" w:rsidRPr="006D3693">
        <w:rPr>
          <w:sz w:val="22"/>
          <w:szCs w:val="22"/>
        </w:rPr>
        <w:t>à a</w:t>
      </w:r>
      <w:r w:rsidR="009F015D" w:rsidRPr="006D3693">
        <w:rPr>
          <w:sz w:val="22"/>
          <w:szCs w:val="22"/>
          <w:lang w:eastAsia="pt-BR"/>
        </w:rPr>
        <w:t xml:space="preserve">usência de </w:t>
      </w:r>
      <w:r w:rsidR="009F015D" w:rsidRPr="006D3693">
        <w:rPr>
          <w:bCs/>
          <w:sz w:val="22"/>
          <w:szCs w:val="22"/>
          <w:lang w:eastAsia="pt-BR"/>
        </w:rPr>
        <w:t xml:space="preserve">critérios técnicos e objetivos de avaliação das amostras. </w:t>
      </w:r>
      <w:r w:rsidR="00BE08EF" w:rsidRPr="006D3693">
        <w:rPr>
          <w:bCs/>
          <w:sz w:val="22"/>
          <w:szCs w:val="22"/>
          <w:lang w:eastAsia="pt-BR"/>
        </w:rPr>
        <w:t>Para ele, em linha com o decidido quando da prolação do julgado anterior (</w:t>
      </w:r>
      <w:r w:rsidR="00BE08EF" w:rsidRPr="006D3693">
        <w:rPr>
          <w:sz w:val="22"/>
          <w:szCs w:val="22"/>
        </w:rPr>
        <w:t>Acórdão n.º 1291/2011-Plenário), teria ocorrido falta de transparência dos procedimentos adotados para eliminação de certas amostras, sendo que, no curso da licitação, em determinadas situações, foi mencionado apenas que o produto não atenderia ao especificado no edital ou que havia divergência na qualidade, sem especificar as falhas. A ausência de motivação nas decisões da comissão avaliadora das amostras, de acordo com o relator, “</w:t>
      </w:r>
      <w:r w:rsidR="00BE08EF" w:rsidRPr="006D3693">
        <w:rPr>
          <w:i/>
          <w:sz w:val="22"/>
          <w:szCs w:val="22"/>
        </w:rPr>
        <w:t>tolheu a possibilidade de apresentação de recursos pelos participantes</w:t>
      </w:r>
      <w:r w:rsidR="00BE08EF" w:rsidRPr="006D3693">
        <w:rPr>
          <w:sz w:val="22"/>
          <w:szCs w:val="22"/>
        </w:rPr>
        <w:t>”. Destacou, ainda, não ter sido identificada qualquer referência aos critérios de apresentação das amostras, aos parâmetros técnicos de aferição dos produtos, como aspectos visuais, formas de acondicionamento e limites de variação aceitáveis, haja vista a utilização de termos imprecisos</w:t>
      </w:r>
      <w:r w:rsidR="001D35B4" w:rsidRPr="006D3693">
        <w:rPr>
          <w:sz w:val="22"/>
          <w:szCs w:val="22"/>
        </w:rPr>
        <w:t xml:space="preserve"> para fundamentar as análises, tais como, com relação a certos produtos, “pesando aproximadamente” e “no mínimo”. Noutro giro, o relator consignou em seu voto ter acontecido a </w:t>
      </w:r>
      <w:r w:rsidR="00BE08EF" w:rsidRPr="006D3693">
        <w:rPr>
          <w:sz w:val="22"/>
          <w:szCs w:val="22"/>
        </w:rPr>
        <w:t>desclassificação de produtos fundamentada apenas na qualidade imprópria para o consumo ou na ausência de acondicionamento e refrigeração correto</w:t>
      </w:r>
      <w:r w:rsidR="00B85A97" w:rsidRPr="006D3693">
        <w:rPr>
          <w:sz w:val="22"/>
          <w:szCs w:val="22"/>
        </w:rPr>
        <w:t>s</w:t>
      </w:r>
      <w:r w:rsidR="00BE08EF" w:rsidRPr="006D3693">
        <w:rPr>
          <w:sz w:val="22"/>
          <w:szCs w:val="22"/>
        </w:rPr>
        <w:t>.</w:t>
      </w:r>
      <w:r w:rsidR="001D35B4" w:rsidRPr="006D3693">
        <w:rPr>
          <w:sz w:val="22"/>
          <w:szCs w:val="22"/>
        </w:rPr>
        <w:t xml:space="preserve"> Todavia, não teriam </w:t>
      </w:r>
      <w:r w:rsidR="00B85A97" w:rsidRPr="006D3693">
        <w:rPr>
          <w:sz w:val="22"/>
          <w:szCs w:val="22"/>
        </w:rPr>
        <w:t xml:space="preserve">sido </w:t>
      </w:r>
      <w:r w:rsidR="001D35B4" w:rsidRPr="006D3693">
        <w:rPr>
          <w:sz w:val="22"/>
          <w:szCs w:val="22"/>
        </w:rPr>
        <w:t>apontadas quais as características do produto encontravam-se divergentes</w:t>
      </w:r>
      <w:r w:rsidR="00AC6DE2" w:rsidRPr="006D3693">
        <w:rPr>
          <w:sz w:val="22"/>
          <w:szCs w:val="22"/>
        </w:rPr>
        <w:t xml:space="preserve"> </w:t>
      </w:r>
      <w:r w:rsidR="00B85A97" w:rsidRPr="006D3693">
        <w:rPr>
          <w:sz w:val="22"/>
          <w:szCs w:val="22"/>
        </w:rPr>
        <w:t xml:space="preserve">e </w:t>
      </w:r>
      <w:r w:rsidR="00AC6DE2" w:rsidRPr="006D3693">
        <w:rPr>
          <w:sz w:val="22"/>
          <w:szCs w:val="22"/>
        </w:rPr>
        <w:t>que supostamente haveriam sido determinadas pela instituição contratante</w:t>
      </w:r>
      <w:r w:rsidR="001D35B4" w:rsidRPr="006D3693">
        <w:rPr>
          <w:sz w:val="22"/>
          <w:szCs w:val="22"/>
        </w:rPr>
        <w:t xml:space="preserve">, </w:t>
      </w:r>
      <w:r w:rsidR="00AC6DE2" w:rsidRPr="006D3693">
        <w:rPr>
          <w:sz w:val="22"/>
          <w:szCs w:val="22"/>
        </w:rPr>
        <w:t>evidenci</w:t>
      </w:r>
      <w:r w:rsidR="001D35B4" w:rsidRPr="006D3693">
        <w:rPr>
          <w:sz w:val="22"/>
          <w:szCs w:val="22"/>
        </w:rPr>
        <w:t>ando, de novo, a ausência de transparência</w:t>
      </w:r>
      <w:r w:rsidR="00AC6DE2" w:rsidRPr="006D3693">
        <w:rPr>
          <w:sz w:val="22"/>
          <w:szCs w:val="22"/>
        </w:rPr>
        <w:t xml:space="preserve"> na análise das amostras</w:t>
      </w:r>
      <w:r w:rsidR="001D35B4" w:rsidRPr="006D3693">
        <w:rPr>
          <w:sz w:val="22"/>
          <w:szCs w:val="22"/>
        </w:rPr>
        <w:t xml:space="preserve">. </w:t>
      </w:r>
      <w:r w:rsidR="00AC6DE2" w:rsidRPr="006D3693">
        <w:rPr>
          <w:sz w:val="22"/>
          <w:szCs w:val="22"/>
        </w:rPr>
        <w:t xml:space="preserve">Contudo, </w:t>
      </w:r>
      <w:r w:rsidR="007A7C23" w:rsidRPr="006D3693">
        <w:rPr>
          <w:sz w:val="22"/>
          <w:szCs w:val="22"/>
        </w:rPr>
        <w:t>considerando que</w:t>
      </w:r>
      <w:r w:rsidR="00AC6DE2" w:rsidRPr="006D3693">
        <w:rPr>
          <w:sz w:val="22"/>
          <w:szCs w:val="22"/>
        </w:rPr>
        <w:t xml:space="preserve"> </w:t>
      </w:r>
      <w:r w:rsidR="007A7C23" w:rsidRPr="006D3693">
        <w:rPr>
          <w:sz w:val="22"/>
          <w:szCs w:val="22"/>
        </w:rPr>
        <w:t xml:space="preserve">as </w:t>
      </w:r>
      <w:r w:rsidR="00AC6DE2" w:rsidRPr="006D3693">
        <w:rPr>
          <w:rFonts w:eastAsia="MyriadPro-Regular"/>
          <w:sz w:val="22"/>
          <w:szCs w:val="22"/>
          <w:lang w:eastAsia="pt-BR"/>
        </w:rPr>
        <w:t xml:space="preserve">falhas nos critérios de avaliação das amostras não </w:t>
      </w:r>
      <w:r w:rsidR="007A7C23" w:rsidRPr="006D3693">
        <w:rPr>
          <w:rFonts w:eastAsia="MyriadPro-Regular"/>
          <w:sz w:val="22"/>
          <w:szCs w:val="22"/>
          <w:lang w:eastAsia="pt-BR"/>
        </w:rPr>
        <w:t>teriam sido</w:t>
      </w:r>
      <w:r w:rsidR="00AC6DE2" w:rsidRPr="006D3693">
        <w:rPr>
          <w:rFonts w:eastAsia="MyriadPro-Regular"/>
          <w:sz w:val="22"/>
          <w:szCs w:val="22"/>
          <w:lang w:eastAsia="pt-BR"/>
        </w:rPr>
        <w:t xml:space="preserve"> constatadas em todas as desclassificações</w:t>
      </w:r>
      <w:r w:rsidR="007A7C23" w:rsidRPr="006D3693">
        <w:rPr>
          <w:rFonts w:eastAsia="MyriadPro-Regular"/>
          <w:sz w:val="22"/>
          <w:szCs w:val="22"/>
          <w:lang w:eastAsia="pt-BR"/>
        </w:rPr>
        <w:t xml:space="preserve"> e que </w:t>
      </w:r>
      <w:r w:rsidR="009B6745" w:rsidRPr="006D3693">
        <w:rPr>
          <w:rFonts w:eastAsia="MyriadPro-Regular"/>
          <w:sz w:val="22"/>
          <w:szCs w:val="22"/>
          <w:lang w:eastAsia="pt-BR"/>
        </w:rPr>
        <w:t xml:space="preserve">o </w:t>
      </w:r>
      <w:r w:rsidR="00AC6DE2" w:rsidRPr="006D3693">
        <w:rPr>
          <w:rFonts w:eastAsia="MyriadPro-Regular"/>
          <w:sz w:val="22"/>
          <w:szCs w:val="22"/>
          <w:lang w:eastAsia="pt-BR"/>
        </w:rPr>
        <w:t>encaminhamento final a ser conferido ao processo</w:t>
      </w:r>
      <w:r w:rsidR="009B6745" w:rsidRPr="006D3693">
        <w:rPr>
          <w:rFonts w:eastAsia="MyriadPro-Regular"/>
          <w:sz w:val="22"/>
          <w:szCs w:val="22"/>
          <w:lang w:eastAsia="pt-BR"/>
        </w:rPr>
        <w:t xml:space="preserve"> seria pela</w:t>
      </w:r>
      <w:r w:rsidR="00AC6DE2" w:rsidRPr="006D3693">
        <w:rPr>
          <w:rFonts w:eastAsia="MyriadPro-Regular"/>
          <w:sz w:val="22"/>
          <w:szCs w:val="22"/>
          <w:lang w:eastAsia="pt-BR"/>
        </w:rPr>
        <w:t xml:space="preserve"> anulação da ata de registro de preços,</w:t>
      </w:r>
      <w:r w:rsidR="009B6745" w:rsidRPr="006D3693">
        <w:rPr>
          <w:rFonts w:eastAsia="MyriadPro-Regular"/>
          <w:sz w:val="22"/>
          <w:szCs w:val="22"/>
          <w:lang w:eastAsia="pt-BR"/>
        </w:rPr>
        <w:t xml:space="preserve"> tendo em conta a gama de outros fatos irregulares verificados, </w:t>
      </w:r>
      <w:r w:rsidR="00AC6DE2" w:rsidRPr="006D3693">
        <w:rPr>
          <w:rFonts w:eastAsia="MyriadPro-Regular"/>
          <w:sz w:val="22"/>
          <w:szCs w:val="22"/>
          <w:lang w:eastAsia="pt-BR"/>
        </w:rPr>
        <w:t>considero</w:t>
      </w:r>
      <w:r w:rsidR="009B6745" w:rsidRPr="006D3693">
        <w:rPr>
          <w:rFonts w:eastAsia="MyriadPro-Regular"/>
          <w:sz w:val="22"/>
          <w:szCs w:val="22"/>
          <w:lang w:eastAsia="pt-BR"/>
        </w:rPr>
        <w:t>u</w:t>
      </w:r>
      <w:r w:rsidR="00AC6DE2" w:rsidRPr="006D3693">
        <w:rPr>
          <w:rFonts w:eastAsia="MyriadPro-Regular"/>
          <w:sz w:val="22"/>
          <w:szCs w:val="22"/>
          <w:lang w:eastAsia="pt-BR"/>
        </w:rPr>
        <w:t xml:space="preserve"> suficiente dar ciência à </w:t>
      </w:r>
      <w:r w:rsidR="009B6745" w:rsidRPr="006D3693">
        <w:rPr>
          <w:rFonts w:eastAsia="MyriadPro-Regular"/>
          <w:sz w:val="22"/>
          <w:szCs w:val="22"/>
          <w:lang w:eastAsia="pt-BR"/>
        </w:rPr>
        <w:t>P</w:t>
      </w:r>
      <w:r w:rsidR="00AC6DE2" w:rsidRPr="006D3693">
        <w:rPr>
          <w:rFonts w:eastAsia="MyriadPro-Regular"/>
          <w:sz w:val="22"/>
          <w:szCs w:val="22"/>
          <w:lang w:eastAsia="pt-BR"/>
        </w:rPr>
        <w:t xml:space="preserve">refeitura </w:t>
      </w:r>
      <w:r w:rsidR="009B6745" w:rsidRPr="006D3693">
        <w:rPr>
          <w:rFonts w:eastAsia="MyriadPro-Regular"/>
          <w:sz w:val="22"/>
          <w:szCs w:val="22"/>
          <w:lang w:eastAsia="pt-BR"/>
        </w:rPr>
        <w:t xml:space="preserve">de Manaus </w:t>
      </w:r>
      <w:r w:rsidR="00AC6DE2" w:rsidRPr="006D3693">
        <w:rPr>
          <w:rFonts w:eastAsia="MyriadPro-Regular"/>
          <w:sz w:val="22"/>
          <w:szCs w:val="22"/>
          <w:lang w:eastAsia="pt-BR"/>
        </w:rPr>
        <w:t>das irregularidades</w:t>
      </w:r>
      <w:r w:rsidR="009B6745" w:rsidRPr="006D3693">
        <w:rPr>
          <w:rFonts w:eastAsia="MyriadPro-Regular"/>
          <w:sz w:val="22"/>
          <w:szCs w:val="22"/>
          <w:lang w:eastAsia="pt-BR"/>
        </w:rPr>
        <w:t xml:space="preserve"> relativas às amostras, para que, em futuros editais de licitações, quando do estabelecimento de tal exigência, sejam estabelecidos </w:t>
      </w:r>
      <w:r w:rsidR="009B6745" w:rsidRPr="006D3693">
        <w:rPr>
          <w:rFonts w:eastAsia="MyriadPro-Regular"/>
          <w:bCs/>
          <w:sz w:val="22"/>
          <w:szCs w:val="22"/>
          <w:lang w:eastAsia="pt-BR"/>
        </w:rPr>
        <w:t>critérios objetivos, detalhadamente especificados, de apresentação e avalia</w:t>
      </w:r>
      <w:r w:rsidR="009B6745" w:rsidRPr="006D3693">
        <w:rPr>
          <w:rFonts w:eastAsia="MyriadPro-Regular"/>
          <w:bCs/>
          <w:sz w:val="22"/>
          <w:szCs w:val="22"/>
        </w:rPr>
        <w:t>çã</w:t>
      </w:r>
      <w:r w:rsidR="009B6745" w:rsidRPr="006D3693">
        <w:rPr>
          <w:rFonts w:eastAsia="MyriadPro-Regular"/>
          <w:bCs/>
          <w:sz w:val="22"/>
          <w:szCs w:val="22"/>
          <w:lang w:eastAsia="pt-BR"/>
        </w:rPr>
        <w:t xml:space="preserve">o de amostras, </w:t>
      </w:r>
      <w:r w:rsidR="009B6745" w:rsidRPr="006D3693">
        <w:rPr>
          <w:bCs/>
          <w:iCs/>
          <w:sz w:val="22"/>
          <w:szCs w:val="22"/>
          <w:lang w:eastAsia="pt-BR"/>
        </w:rPr>
        <w:t>bem como de julgamento técnico e de motivação das decisões, apresentando voto nesse sentido, que foi acolhido pelo Plenário</w:t>
      </w:r>
      <w:r w:rsidR="00AC6DE2" w:rsidRPr="006D3693">
        <w:rPr>
          <w:rFonts w:eastAsia="MyriadPro-Regular"/>
          <w:sz w:val="22"/>
          <w:szCs w:val="22"/>
          <w:lang w:eastAsia="pt-BR"/>
        </w:rPr>
        <w:t>.</w:t>
      </w:r>
      <w:r w:rsidR="007E50E4" w:rsidRPr="006D3693">
        <w:rPr>
          <w:rFonts w:eastAsia="MyriadPro-Regular"/>
          <w:sz w:val="22"/>
          <w:szCs w:val="22"/>
          <w:lang w:eastAsia="pt-BR"/>
        </w:rPr>
        <w:t xml:space="preserve"> Precedentes citados: </w:t>
      </w:r>
      <w:r w:rsidR="007E50E4" w:rsidRPr="006D3693">
        <w:rPr>
          <w:bCs/>
          <w:iCs/>
          <w:sz w:val="22"/>
          <w:szCs w:val="22"/>
          <w:lang w:eastAsia="pt-BR"/>
        </w:rPr>
        <w:t>Acórdãos n</w:t>
      </w:r>
      <w:r w:rsidR="007E50E4" w:rsidRPr="006D3693">
        <w:rPr>
          <w:bCs/>
          <w:iCs/>
          <w:sz w:val="22"/>
          <w:szCs w:val="22"/>
          <w:u w:val="single"/>
          <w:vertAlign w:val="superscript"/>
          <w:lang w:eastAsia="pt-BR"/>
        </w:rPr>
        <w:t>os</w:t>
      </w:r>
      <w:r w:rsidR="007E50E4" w:rsidRPr="006D3693">
        <w:rPr>
          <w:rFonts w:eastAsia="MyriadPro-Regular"/>
          <w:sz w:val="22"/>
          <w:szCs w:val="22"/>
          <w:lang w:eastAsia="pt-BR"/>
        </w:rPr>
        <w:t xml:space="preserve"> 1168/2009 e</w:t>
      </w:r>
      <w:r w:rsidR="007E50E4" w:rsidRPr="006D3693">
        <w:rPr>
          <w:rFonts w:eastAsia="MyriadPro-Regular"/>
          <w:bCs/>
          <w:sz w:val="22"/>
          <w:szCs w:val="22"/>
          <w:lang w:eastAsia="pt-BR"/>
        </w:rPr>
        <w:t xml:space="preserve"> </w:t>
      </w:r>
      <w:r w:rsidR="007E50E4" w:rsidRPr="006D3693">
        <w:rPr>
          <w:sz w:val="22"/>
          <w:szCs w:val="22"/>
          <w:lang w:eastAsia="pt-BR"/>
        </w:rPr>
        <w:t>1512/2009, ambos do Plenário.</w:t>
      </w:r>
      <w:r w:rsidR="009B6745" w:rsidRPr="006D3693">
        <w:rPr>
          <w:rFonts w:eastAsia="MyriadPro-Regular"/>
          <w:sz w:val="22"/>
          <w:szCs w:val="22"/>
          <w:lang w:eastAsia="pt-BR"/>
        </w:rPr>
        <w:t xml:space="preserve"> </w:t>
      </w:r>
      <w:r w:rsidRPr="006D3693">
        <w:rPr>
          <w:b/>
          <w:i/>
          <w:sz w:val="22"/>
          <w:szCs w:val="22"/>
        </w:rPr>
        <w:t>Acórdão n.º 2077/2011-Plenário, TC-004.835/2011-5, rel. Min.-Subst. Augusto Sherman Cavalcanti, 10.08.2011.</w:t>
      </w:r>
    </w:p>
    <w:p w:rsidR="003506E7" w:rsidRPr="006D3693" w:rsidRDefault="003506E7" w:rsidP="006D3693">
      <w:pPr>
        <w:tabs>
          <w:tab w:val="left" w:pos="1134"/>
        </w:tabs>
        <w:spacing w:after="0"/>
        <w:ind w:left="0"/>
        <w:rPr>
          <w:iCs/>
          <w:color w:val="FF0000"/>
          <w:sz w:val="22"/>
          <w:szCs w:val="22"/>
        </w:rPr>
      </w:pPr>
    </w:p>
    <w:p w:rsidR="00DA330A" w:rsidRPr="006D3693" w:rsidRDefault="00DA330A" w:rsidP="006D3693">
      <w:pPr>
        <w:spacing w:after="0"/>
        <w:ind w:left="0"/>
        <w:rPr>
          <w:b/>
          <w:sz w:val="22"/>
          <w:szCs w:val="22"/>
        </w:rPr>
      </w:pPr>
      <w:r w:rsidRPr="006D3693">
        <w:rPr>
          <w:b/>
          <w:sz w:val="22"/>
          <w:szCs w:val="22"/>
        </w:rPr>
        <w:t>Licitação para aquisição de produtos de merenda escolar: 2 - Em regra, as aquisições por parte de instituições públicas devem ocorrer por itens, sendo que no caso de opção de aquisição por lotes a composição destes deve ter justificativa plausível</w:t>
      </w:r>
    </w:p>
    <w:p w:rsidR="009B6745" w:rsidRPr="006D3693" w:rsidRDefault="009B6745" w:rsidP="006D3693">
      <w:pPr>
        <w:tabs>
          <w:tab w:val="left" w:pos="1701"/>
        </w:tabs>
        <w:spacing w:after="0"/>
        <w:ind w:left="0"/>
        <w:rPr>
          <w:b/>
          <w:i/>
          <w:sz w:val="22"/>
          <w:szCs w:val="22"/>
        </w:rPr>
      </w:pPr>
      <w:r w:rsidRPr="006D3693">
        <w:rPr>
          <w:sz w:val="22"/>
          <w:szCs w:val="22"/>
        </w:rPr>
        <w:t>Ainda na representação que tratou de possíveis irregularidades ocorridas na condução do Pregão 71/2010, analisou-se a escolha, por parte da Prefeitura de Manaus, de aquisição dos produtos por lotes e não por ite</w:t>
      </w:r>
      <w:r w:rsidR="00B85A97" w:rsidRPr="006D3693">
        <w:rPr>
          <w:sz w:val="22"/>
          <w:szCs w:val="22"/>
        </w:rPr>
        <w:t>ns</w:t>
      </w:r>
      <w:r w:rsidRPr="006D3693">
        <w:rPr>
          <w:sz w:val="22"/>
          <w:szCs w:val="22"/>
        </w:rPr>
        <w:t xml:space="preserve">, em aparente desacordo com o art. 15, inciso IV, da Lei 8.666/1993, bem como com a Súmula TCU 247. </w:t>
      </w:r>
      <w:r w:rsidR="007E50E4" w:rsidRPr="006D3693">
        <w:rPr>
          <w:sz w:val="22"/>
          <w:szCs w:val="22"/>
        </w:rPr>
        <w:t>A a</w:t>
      </w:r>
      <w:r w:rsidR="007E50E4" w:rsidRPr="006D3693">
        <w:rPr>
          <w:bCs/>
          <w:sz w:val="22"/>
          <w:szCs w:val="22"/>
          <w:lang w:eastAsia="pt-BR"/>
        </w:rPr>
        <w:t xml:space="preserve">djudicação dos bens, divididos em grandes lotes, já tinha sido </w:t>
      </w:r>
      <w:r w:rsidR="00B85A97" w:rsidRPr="006D3693">
        <w:rPr>
          <w:bCs/>
          <w:sz w:val="22"/>
          <w:szCs w:val="22"/>
          <w:lang w:eastAsia="pt-BR"/>
        </w:rPr>
        <w:t>examin</w:t>
      </w:r>
      <w:r w:rsidR="007E50E4" w:rsidRPr="006D3693">
        <w:rPr>
          <w:bCs/>
          <w:sz w:val="22"/>
          <w:szCs w:val="22"/>
          <w:lang w:eastAsia="pt-BR"/>
        </w:rPr>
        <w:t>ada na</w:t>
      </w:r>
      <w:r w:rsidR="008447C8" w:rsidRPr="006D3693">
        <w:rPr>
          <w:bCs/>
          <w:sz w:val="22"/>
          <w:szCs w:val="22"/>
          <w:lang w:eastAsia="pt-BR"/>
        </w:rPr>
        <w:t xml:space="preserve"> ocasião da prolação do julgado anterior (</w:t>
      </w:r>
      <w:r w:rsidR="008447C8" w:rsidRPr="006D3693">
        <w:rPr>
          <w:sz w:val="22"/>
          <w:szCs w:val="22"/>
        </w:rPr>
        <w:t xml:space="preserve">Acórdão n.º 1291/2011-Plenário - ver informativo 63), tendo sido considerada irregular por diversas razões, tendo o relator destacado, na presente etapa processual, que o problema não teria sido a aquisição, em si, dos produtos divididos por lotes, mas sim a composição destes, </w:t>
      </w:r>
      <w:r w:rsidR="008447C8" w:rsidRPr="006D3693">
        <w:rPr>
          <w:sz w:val="22"/>
          <w:szCs w:val="22"/>
          <w:lang w:eastAsia="pt-BR"/>
        </w:rPr>
        <w:t xml:space="preserve">os quais previram volumosas quantidades de produtos, envolvendo elevados montantes. Ilustrou destacando dois lotes que previam, respectivamente, as quantidades de 2.400.000 (dois milhões e quatrocentas mil) toneladas de produtos e 925.000 (novecentos e vinte e cinco mil) toneladas de gêneros alimentícios e alcançaram mais de 10 milhões de reais, cada um. No caso concreto, de modo a garantir a </w:t>
      </w:r>
      <w:r w:rsidR="008447C8" w:rsidRPr="006D3693">
        <w:rPr>
          <w:bCs/>
          <w:sz w:val="22"/>
          <w:szCs w:val="22"/>
          <w:lang w:eastAsia="ar-SA"/>
        </w:rPr>
        <w:t>competitividade do certame e a obtenção da proposta mais vantajosa à Administração</w:t>
      </w:r>
      <w:r w:rsidR="008447C8" w:rsidRPr="006D3693">
        <w:rPr>
          <w:sz w:val="22"/>
          <w:szCs w:val="22"/>
          <w:lang w:eastAsia="pt-BR"/>
        </w:rPr>
        <w:t>, haveria</w:t>
      </w:r>
      <w:r w:rsidR="005D1B66" w:rsidRPr="006D3693">
        <w:rPr>
          <w:sz w:val="22"/>
          <w:szCs w:val="22"/>
          <w:lang w:eastAsia="pt-BR"/>
        </w:rPr>
        <w:t xml:space="preserve">, no ponto de vista do relator, que se ter uma definição de número maior de lotes, </w:t>
      </w:r>
      <w:r w:rsidR="005D1B66" w:rsidRPr="006D3693">
        <w:rPr>
          <w:bCs/>
          <w:sz w:val="22"/>
          <w:szCs w:val="22"/>
          <w:lang w:eastAsia="ar-SA"/>
        </w:rPr>
        <w:t>contendo menos produtos e quantidades</w:t>
      </w:r>
      <w:r w:rsidR="00B85A97" w:rsidRPr="006D3693">
        <w:rPr>
          <w:bCs/>
          <w:sz w:val="22"/>
          <w:szCs w:val="22"/>
          <w:lang w:eastAsia="ar-SA"/>
        </w:rPr>
        <w:t xml:space="preserve"> em cada um</w:t>
      </w:r>
      <w:r w:rsidR="005D1B66" w:rsidRPr="006D3693">
        <w:rPr>
          <w:bCs/>
          <w:sz w:val="22"/>
          <w:szCs w:val="22"/>
          <w:lang w:eastAsia="ar-SA"/>
        </w:rPr>
        <w:t>. De outra parte, caso a definição dos lotes trouxesse produtos com características mais próximas, poderia, concomitantemente, atender aos anseios da prefeitura e cumprir</w:t>
      </w:r>
      <w:r w:rsidR="00B85A97" w:rsidRPr="006D3693">
        <w:rPr>
          <w:bCs/>
          <w:sz w:val="22"/>
          <w:szCs w:val="22"/>
          <w:lang w:eastAsia="ar-SA"/>
        </w:rPr>
        <w:t>-se com ordenamento jurídico relacionado ao assunto</w:t>
      </w:r>
      <w:r w:rsidR="005D1B66" w:rsidRPr="006D3693">
        <w:rPr>
          <w:bCs/>
          <w:sz w:val="22"/>
          <w:szCs w:val="22"/>
          <w:lang w:eastAsia="ar-SA"/>
        </w:rPr>
        <w:t xml:space="preserve">. Citando decisão anterior do Tribunal, realçou o relator a necessidade de se determinar à Prefeitura de Manaus que, em suas futuras licitações, </w:t>
      </w:r>
      <w:r w:rsidR="005D1B66" w:rsidRPr="006D3693">
        <w:rPr>
          <w:sz w:val="22"/>
          <w:szCs w:val="22"/>
          <w:lang w:eastAsia="pt-BR"/>
        </w:rPr>
        <w:t>caso opte pela licitação em lotes, proced</w:t>
      </w:r>
      <w:r w:rsidR="00DA330A" w:rsidRPr="006D3693">
        <w:rPr>
          <w:sz w:val="22"/>
          <w:szCs w:val="22"/>
          <w:lang w:eastAsia="pt-BR"/>
        </w:rPr>
        <w:t>esse</w:t>
      </w:r>
      <w:r w:rsidR="005D1B66" w:rsidRPr="006D3693">
        <w:rPr>
          <w:sz w:val="22"/>
          <w:szCs w:val="22"/>
          <w:lang w:eastAsia="pt-BR"/>
        </w:rPr>
        <w:t xml:space="preserve"> à análise mais detida quanto à real necessidade e </w:t>
      </w:r>
      <w:r w:rsidR="00B85A97" w:rsidRPr="006D3693">
        <w:rPr>
          <w:sz w:val="22"/>
          <w:szCs w:val="22"/>
          <w:lang w:eastAsia="pt-BR"/>
        </w:rPr>
        <w:t xml:space="preserve">à </w:t>
      </w:r>
      <w:r w:rsidR="005D1B66" w:rsidRPr="006D3693">
        <w:rPr>
          <w:sz w:val="22"/>
          <w:szCs w:val="22"/>
          <w:lang w:eastAsia="pt-BR"/>
        </w:rPr>
        <w:t xml:space="preserve">conveniência de se agrupar itens, de modo a evitar a reunião em mesmo lote de produtos que poderiam ser licitados isoladamente ou compondo lote distinto, com vistas a possibilitar maior competitividade no certame e obtenção de proposta mais vantajosa para a administração, fazendo constar nos autos o estudo que demonstre a vantajosidade desse modo de contratação. </w:t>
      </w:r>
      <w:r w:rsidR="00DA330A" w:rsidRPr="006D3693">
        <w:rPr>
          <w:sz w:val="22"/>
          <w:szCs w:val="22"/>
        </w:rPr>
        <w:t>Entendeu o relator, ainda</w:t>
      </w:r>
      <w:r w:rsidRPr="006D3693">
        <w:rPr>
          <w:sz w:val="22"/>
          <w:szCs w:val="22"/>
        </w:rPr>
        <w:t xml:space="preserve">, </w:t>
      </w:r>
      <w:r w:rsidR="00DA330A" w:rsidRPr="006D3693">
        <w:rPr>
          <w:bCs/>
          <w:sz w:val="22"/>
          <w:szCs w:val="22"/>
          <w:lang w:eastAsia="ar-SA"/>
        </w:rPr>
        <w:t>embora tenham sido observadas deficiências na composição dos lotes, não ser o caso de aplicar multa aos responsáveis, sendo a determinação à prefeitura o bastante para a correção das falhas na próxima licitação</w:t>
      </w:r>
      <w:r w:rsidRPr="006D3693">
        <w:rPr>
          <w:bCs/>
          <w:iCs/>
          <w:sz w:val="22"/>
          <w:szCs w:val="22"/>
          <w:lang w:eastAsia="pt-BR"/>
        </w:rPr>
        <w:t>, apresentando voto nesse sentido, que foi acolhido pelo Plenário</w:t>
      </w:r>
      <w:r w:rsidRPr="006D3693">
        <w:rPr>
          <w:rFonts w:eastAsia="MyriadPro-Regular"/>
          <w:sz w:val="22"/>
          <w:szCs w:val="22"/>
          <w:lang w:eastAsia="pt-BR"/>
        </w:rPr>
        <w:t xml:space="preserve">. </w:t>
      </w:r>
      <w:r w:rsidR="00DA330A" w:rsidRPr="006D3693">
        <w:rPr>
          <w:rFonts w:eastAsia="MyriadPro-Regular"/>
          <w:sz w:val="22"/>
          <w:szCs w:val="22"/>
          <w:lang w:eastAsia="pt-BR"/>
        </w:rPr>
        <w:t xml:space="preserve">Precedente citado: </w:t>
      </w:r>
      <w:r w:rsidR="00DA330A" w:rsidRPr="006D3693">
        <w:rPr>
          <w:bCs/>
          <w:iCs/>
          <w:sz w:val="22"/>
          <w:szCs w:val="22"/>
          <w:lang w:eastAsia="pt-BR"/>
        </w:rPr>
        <w:t>Acórdão n</w:t>
      </w:r>
      <w:r w:rsidR="00DA330A" w:rsidRPr="006D3693">
        <w:rPr>
          <w:bCs/>
          <w:iCs/>
          <w:sz w:val="22"/>
          <w:szCs w:val="22"/>
          <w:u w:val="single"/>
          <w:vertAlign w:val="superscript"/>
          <w:lang w:eastAsia="pt-BR"/>
        </w:rPr>
        <w:t>o</w:t>
      </w:r>
      <w:r w:rsidR="00DA330A" w:rsidRPr="006D3693">
        <w:rPr>
          <w:rFonts w:eastAsia="MyriadPro-Regular"/>
          <w:sz w:val="22"/>
          <w:szCs w:val="22"/>
          <w:lang w:eastAsia="pt-BR"/>
        </w:rPr>
        <w:t xml:space="preserve"> 3891/2011</w:t>
      </w:r>
      <w:r w:rsidR="00DA330A" w:rsidRPr="006D3693">
        <w:rPr>
          <w:sz w:val="22"/>
          <w:szCs w:val="22"/>
          <w:lang w:eastAsia="pt-BR"/>
        </w:rPr>
        <w:t>do Plenário.</w:t>
      </w:r>
      <w:r w:rsidRPr="006D3693">
        <w:rPr>
          <w:b/>
          <w:i/>
          <w:sz w:val="22"/>
          <w:szCs w:val="22"/>
        </w:rPr>
        <w:t>Acórdão n.º 2077/2011-Plenário, TC-004.835/2011-5, rel. Min.-Subst. Augusto Sherman Cavalcanti, 10.08.2011.</w:t>
      </w:r>
    </w:p>
    <w:p w:rsidR="00AE4074" w:rsidRPr="006D3693" w:rsidRDefault="00AE4074" w:rsidP="006D369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2D4B78" w:rsidRDefault="002D4B78" w:rsidP="002D4B78">
      <w:pPr>
        <w:tabs>
          <w:tab w:val="left" w:pos="1134"/>
        </w:tabs>
        <w:spacing w:before="60" w:after="60"/>
        <w:ind w:left="0"/>
        <w:rPr>
          <w:sz w:val="22"/>
          <w:szCs w:val="22"/>
          <w:lang w:eastAsia="pt-BR"/>
        </w:rPr>
      </w:pPr>
      <w:r w:rsidRPr="002D4B78">
        <w:rPr>
          <w:b/>
          <w:sz w:val="22"/>
          <w:szCs w:val="22"/>
          <w:lang w:eastAsia="pt-BR"/>
        </w:rPr>
        <w:t>Para fins de configuração de ilicitude, basta a utilização indevida do benefício de desempate previsto no art. 44 da Lei Complementar 123/2006, destinado à empresa de pequeno porte ou microempresa, não sendo necessária a efetiva contratação para que seja declarada a inidoneidade da empresa</w:t>
      </w:r>
    </w:p>
    <w:p w:rsidR="00AE4074" w:rsidRPr="006D3693" w:rsidRDefault="00F55D35" w:rsidP="006D3693">
      <w:pPr>
        <w:tabs>
          <w:tab w:val="left" w:pos="1134"/>
        </w:tabs>
        <w:spacing w:after="0"/>
        <w:ind w:left="0"/>
        <w:rPr>
          <w:sz w:val="22"/>
          <w:szCs w:val="22"/>
        </w:rPr>
      </w:pPr>
      <w:r w:rsidRPr="006D3693">
        <w:rPr>
          <w:sz w:val="22"/>
          <w:szCs w:val="22"/>
          <w:lang w:eastAsia="pt-BR"/>
        </w:rPr>
        <w:t>Por meio de processo de r</w:t>
      </w:r>
      <w:r w:rsidR="00AE4074" w:rsidRPr="006D3693">
        <w:rPr>
          <w:sz w:val="22"/>
          <w:szCs w:val="22"/>
          <w:lang w:eastAsia="pt-BR"/>
        </w:rPr>
        <w:t>epresentação</w:t>
      </w:r>
      <w:r w:rsidRPr="006D3693">
        <w:rPr>
          <w:sz w:val="22"/>
          <w:szCs w:val="22"/>
          <w:lang w:eastAsia="pt-BR"/>
        </w:rPr>
        <w:t>,</w:t>
      </w:r>
      <w:r w:rsidR="00AE4074" w:rsidRPr="006D3693">
        <w:rPr>
          <w:sz w:val="22"/>
          <w:szCs w:val="22"/>
          <w:lang w:eastAsia="pt-BR"/>
        </w:rPr>
        <w:t xml:space="preserve"> o TCU </w:t>
      </w:r>
      <w:r w:rsidRPr="006D3693">
        <w:rPr>
          <w:sz w:val="22"/>
          <w:szCs w:val="22"/>
          <w:lang w:eastAsia="pt-BR"/>
        </w:rPr>
        <w:t xml:space="preserve">identificou no </w:t>
      </w:r>
      <w:r w:rsidRPr="006D3693">
        <w:rPr>
          <w:color w:val="000000"/>
          <w:sz w:val="22"/>
          <w:szCs w:val="22"/>
          <w:lang w:eastAsia="pt-BR"/>
        </w:rPr>
        <w:t xml:space="preserve">Sistema Integrado de Administração de Serviços Gerais </w:t>
      </w:r>
      <w:r w:rsidRPr="006D3693">
        <w:rPr>
          <w:sz w:val="22"/>
          <w:szCs w:val="22"/>
          <w:lang w:eastAsia="pt-BR"/>
        </w:rPr>
        <w:t>–</w:t>
      </w:r>
      <w:r w:rsidRPr="006D3693">
        <w:rPr>
          <w:color w:val="000000"/>
          <w:sz w:val="22"/>
          <w:szCs w:val="22"/>
          <w:lang w:eastAsia="pt-BR"/>
        </w:rPr>
        <w:t xml:space="preserve"> (Siasg)</w:t>
      </w:r>
      <w:r w:rsidRPr="006D3693">
        <w:rPr>
          <w:sz w:val="22"/>
          <w:szCs w:val="22"/>
          <w:lang w:eastAsia="pt-BR"/>
        </w:rPr>
        <w:t xml:space="preserve"> e no Portal de Compras do Governo Federal – (Comprasnet) que diversas </w:t>
      </w:r>
      <w:r w:rsidR="00B85A97" w:rsidRPr="006D3693">
        <w:rPr>
          <w:sz w:val="22"/>
          <w:szCs w:val="22"/>
          <w:lang w:eastAsia="pt-BR"/>
        </w:rPr>
        <w:t>empresas de pequeno porte – (</w:t>
      </w:r>
      <w:r w:rsidRPr="006D3693">
        <w:rPr>
          <w:sz w:val="22"/>
          <w:szCs w:val="22"/>
          <w:lang w:eastAsia="pt-BR"/>
        </w:rPr>
        <w:t>EPP</w:t>
      </w:r>
      <w:r w:rsidR="00B85A97" w:rsidRPr="006D3693">
        <w:rPr>
          <w:sz w:val="22"/>
          <w:szCs w:val="22"/>
          <w:lang w:eastAsia="pt-BR"/>
        </w:rPr>
        <w:t>)</w:t>
      </w:r>
      <w:r w:rsidRPr="006D3693">
        <w:rPr>
          <w:sz w:val="22"/>
          <w:szCs w:val="22"/>
          <w:lang w:eastAsia="pt-BR"/>
        </w:rPr>
        <w:t xml:space="preserve"> e microempresas – (ME) </w:t>
      </w:r>
      <w:r w:rsidR="00B85A97" w:rsidRPr="006D3693">
        <w:rPr>
          <w:sz w:val="22"/>
          <w:szCs w:val="22"/>
          <w:lang w:eastAsia="pt-BR"/>
        </w:rPr>
        <w:t xml:space="preserve">teriam se </w:t>
      </w:r>
      <w:r w:rsidRPr="006D3693">
        <w:rPr>
          <w:sz w:val="22"/>
          <w:szCs w:val="22"/>
          <w:lang w:eastAsia="pt-BR"/>
        </w:rPr>
        <w:t>utiliza</w:t>
      </w:r>
      <w:r w:rsidR="00B85A97" w:rsidRPr="006D3693">
        <w:rPr>
          <w:sz w:val="22"/>
          <w:szCs w:val="22"/>
          <w:lang w:eastAsia="pt-BR"/>
        </w:rPr>
        <w:t>do</w:t>
      </w:r>
      <w:r w:rsidRPr="006D3693">
        <w:rPr>
          <w:sz w:val="22"/>
          <w:szCs w:val="22"/>
          <w:lang w:eastAsia="pt-BR"/>
        </w:rPr>
        <w:t xml:space="preserve"> indevidamente </w:t>
      </w:r>
      <w:r w:rsidR="00B85A97" w:rsidRPr="006D3693">
        <w:rPr>
          <w:sz w:val="22"/>
          <w:szCs w:val="22"/>
          <w:lang w:eastAsia="pt-BR"/>
        </w:rPr>
        <w:t>d</w:t>
      </w:r>
      <w:r w:rsidRPr="006D3693">
        <w:rPr>
          <w:sz w:val="22"/>
          <w:szCs w:val="22"/>
          <w:lang w:eastAsia="pt-BR"/>
        </w:rPr>
        <w:t>o benefício do critério preferencial de desempate em licitações públicas, fixado pelo art. 44 da Lei Complementar n</w:t>
      </w:r>
      <w:r w:rsidR="002B32DD" w:rsidRPr="006D3693">
        <w:rPr>
          <w:sz w:val="22"/>
          <w:szCs w:val="22"/>
          <w:lang w:eastAsia="pt-BR"/>
        </w:rPr>
        <w:t>º</w:t>
      </w:r>
      <w:r w:rsidRPr="006D3693">
        <w:rPr>
          <w:sz w:val="22"/>
          <w:szCs w:val="22"/>
          <w:lang w:eastAsia="pt-BR"/>
        </w:rPr>
        <w:t xml:space="preserve"> 123/2006, dado que apresentavam receita bruta anual superior ao permitido em lei para o enquadramento em tal categoria. Ao averiguar os fatos, a unidade técnica responsável pelo feito apontou que uma dessas empresas apresentou faturamento superior ao máximo permitido em lei para enquadramento como ME ou EPP por três anos seguidos, utilizando-se do benefício </w:t>
      </w:r>
      <w:r w:rsidR="00273058" w:rsidRPr="006D3693">
        <w:rPr>
          <w:sz w:val="22"/>
          <w:szCs w:val="22"/>
          <w:lang w:eastAsia="pt-BR"/>
        </w:rPr>
        <w:t xml:space="preserve">da </w:t>
      </w:r>
      <w:r w:rsidR="00273058" w:rsidRPr="006D3693">
        <w:rPr>
          <w:color w:val="000000"/>
          <w:sz w:val="22"/>
          <w:szCs w:val="22"/>
          <w:lang w:eastAsia="pt-BR"/>
        </w:rPr>
        <w:t xml:space="preserve">preferência de desempate em </w:t>
      </w:r>
      <w:r w:rsidR="00273058" w:rsidRPr="006D3693">
        <w:rPr>
          <w:sz w:val="22"/>
          <w:szCs w:val="22"/>
          <w:lang w:eastAsia="pt-BR"/>
        </w:rPr>
        <w:t xml:space="preserve">85 oportunidades. Em sua oitiva, a empresa beneficiada alegou, dentre outros argumentos, que não </w:t>
      </w:r>
      <w:r w:rsidR="00273058" w:rsidRPr="006D3693">
        <w:rPr>
          <w:color w:val="000000"/>
          <w:sz w:val="22"/>
          <w:szCs w:val="22"/>
          <w:lang w:eastAsia="pt-BR"/>
        </w:rPr>
        <w:t xml:space="preserve">fora demonstrado, nos autos, a </w:t>
      </w:r>
      <w:r w:rsidR="00273058" w:rsidRPr="006D3693">
        <w:rPr>
          <w:sz w:val="22"/>
          <w:szCs w:val="22"/>
          <w:lang w:eastAsia="pt-BR"/>
        </w:rPr>
        <w:t>utilização efetiva do benefício do lance de desempate, “</w:t>
      </w:r>
      <w:r w:rsidR="00273058" w:rsidRPr="006D3693">
        <w:rPr>
          <w:i/>
          <w:sz w:val="22"/>
          <w:szCs w:val="22"/>
          <w:lang w:eastAsia="pt-BR"/>
        </w:rPr>
        <w:t>uma vez que não constam informações de contratações entabuladas pela empresa</w:t>
      </w:r>
      <w:r w:rsidR="00273058" w:rsidRPr="006D3693">
        <w:rPr>
          <w:sz w:val="22"/>
          <w:szCs w:val="22"/>
          <w:lang w:eastAsia="pt-BR"/>
        </w:rPr>
        <w:t>”. Consoante o relator, todavia, “</w:t>
      </w:r>
      <w:r w:rsidR="00273058" w:rsidRPr="006D3693">
        <w:rPr>
          <w:i/>
          <w:sz w:val="22"/>
          <w:szCs w:val="22"/>
          <w:lang w:eastAsia="pt-BR"/>
        </w:rPr>
        <w:t xml:space="preserve">a sociedade empresária lançou mão do privilégio de desempate em 85 (oitenta e cinco) oportunidades, tendo sido identificados 4 (quatro) certames em que a empresa utilizou-se do lance de desempate para vencer o torneio licitatório, o que indica </w:t>
      </w:r>
      <w:r w:rsidR="00273058" w:rsidRPr="006D3693">
        <w:rPr>
          <w:i/>
          <w:color w:val="000000"/>
          <w:sz w:val="22"/>
          <w:szCs w:val="22"/>
          <w:lang w:eastAsia="pt-BR"/>
        </w:rPr>
        <w:t>fraude à licitação, nos termos do art. 90 da Lei n. 8.666/1993</w:t>
      </w:r>
      <w:r w:rsidR="00273058" w:rsidRPr="006D3693">
        <w:rPr>
          <w:color w:val="000000"/>
          <w:sz w:val="22"/>
          <w:szCs w:val="22"/>
          <w:lang w:eastAsia="pt-BR"/>
        </w:rPr>
        <w:t>”. Além disso, ainda para o relator, “</w:t>
      </w:r>
      <w:r w:rsidR="00273058" w:rsidRPr="006D3693">
        <w:rPr>
          <w:i/>
          <w:sz w:val="22"/>
          <w:szCs w:val="22"/>
          <w:lang w:eastAsia="pt-BR"/>
        </w:rPr>
        <w:t>a concretização de avenças ulteriores decorrentes das disputas é irrelevante, pois basta verificar a ocorrência de utilização indevida do benefício preferencial do empate, haja vista que a empresa usou a benesse legal para sagrar-se vencedora de certames públicos, para fins de configuração da ilicitude em exame</w:t>
      </w:r>
      <w:r w:rsidR="00273058" w:rsidRPr="006D3693">
        <w:rPr>
          <w:sz w:val="22"/>
          <w:szCs w:val="22"/>
          <w:lang w:eastAsia="pt-BR"/>
        </w:rPr>
        <w:t xml:space="preserve">”. Por conseguinte, propôs, e o Tribunal acolheu, que a empresa que utilizou indevidamente o benefício do desempate fosse declarada inidônea </w:t>
      </w:r>
      <w:r w:rsidR="00273058" w:rsidRPr="006D3693">
        <w:rPr>
          <w:color w:val="000000"/>
          <w:sz w:val="22"/>
          <w:szCs w:val="22"/>
          <w:lang w:eastAsia="pt-BR"/>
        </w:rPr>
        <w:t>para participar de licitação na Administração Pública Federal pelo prazo de um ano, ante a conduta fraudulenta percebida</w:t>
      </w:r>
      <w:r w:rsidR="00273058" w:rsidRPr="006D3693">
        <w:rPr>
          <w:sz w:val="22"/>
          <w:szCs w:val="22"/>
          <w:lang w:eastAsia="pt-BR"/>
        </w:rPr>
        <w:t>.</w:t>
      </w:r>
      <w:r w:rsidR="00AE4074" w:rsidRPr="006D3693">
        <w:rPr>
          <w:sz w:val="22"/>
          <w:szCs w:val="22"/>
        </w:rPr>
        <w:t xml:space="preserve"> </w:t>
      </w:r>
      <w:r w:rsidR="00AE4074" w:rsidRPr="006D3693">
        <w:rPr>
          <w:b/>
          <w:i/>
          <w:sz w:val="22"/>
          <w:szCs w:val="22"/>
        </w:rPr>
        <w:t>Acórdão n.º 2101/2011, TC-019.543/2010-7, rel. Min.-Subst. Marcos Bemquere</w:t>
      </w:r>
      <w:r w:rsidR="00273058" w:rsidRPr="006D3693">
        <w:rPr>
          <w:b/>
          <w:i/>
          <w:sz w:val="22"/>
          <w:szCs w:val="22"/>
        </w:rPr>
        <w:t>r</w:t>
      </w:r>
      <w:r w:rsidR="00AE4074" w:rsidRPr="006D3693">
        <w:rPr>
          <w:b/>
          <w:i/>
          <w:sz w:val="22"/>
          <w:szCs w:val="22"/>
        </w:rPr>
        <w:t xml:space="preserve"> Costa, 10.08.2011.</w:t>
      </w:r>
    </w:p>
    <w:p w:rsidR="00AE4074" w:rsidRPr="006D3693" w:rsidRDefault="00AE4074" w:rsidP="006D3693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2B32DD" w:rsidRPr="006D3693" w:rsidRDefault="002B32DD" w:rsidP="006D3693">
      <w:pPr>
        <w:tabs>
          <w:tab w:val="left" w:pos="1134"/>
        </w:tabs>
        <w:spacing w:after="0"/>
        <w:ind w:left="0"/>
        <w:rPr>
          <w:b/>
          <w:sz w:val="22"/>
          <w:szCs w:val="22"/>
        </w:rPr>
      </w:pPr>
      <w:r w:rsidRPr="006D3693">
        <w:rPr>
          <w:b/>
          <w:sz w:val="22"/>
          <w:szCs w:val="22"/>
        </w:rPr>
        <w:t>Licitação para aquisição de produtos de merenda escolar: argumentos como a limitação de espaço para estocagem de alimentos ou o prazo de validade dos produtos perecíveis não impedem que seja utilizada a correta modalidade de licitação</w:t>
      </w:r>
      <w:r w:rsidR="006D3693" w:rsidRPr="006D3693">
        <w:rPr>
          <w:b/>
          <w:sz w:val="22"/>
          <w:szCs w:val="22"/>
        </w:rPr>
        <w:t>, desde que seja realizada a elaboração de cronograma de fornecimento, o qual deve integrar o instrumento convocatório do certame</w:t>
      </w:r>
    </w:p>
    <w:p w:rsidR="000807D4" w:rsidRPr="006D3693" w:rsidRDefault="00192052" w:rsidP="006D3693">
      <w:pPr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6D3693">
        <w:rPr>
          <w:sz w:val="22"/>
          <w:szCs w:val="22"/>
        </w:rPr>
        <w:t xml:space="preserve">Denúncia noticiou ao Tribunal possíveis irregularidades na gestão de recursos federais despendidos pelo Município de Maués/AM à conta de diversos Programas, dentre eles, o Nacional de Merenda Escolar – (PNAE). Após o exame dos fatos, a unidade técnica concluiu que </w:t>
      </w:r>
      <w:r w:rsidR="006011A3" w:rsidRPr="006D3693">
        <w:rPr>
          <w:sz w:val="22"/>
          <w:szCs w:val="22"/>
        </w:rPr>
        <w:t>haveria irregularidade nas aquisições de merenda escolar nos anos de 2009 e 2010, consistente na realização de licitações sob as modalidades convite e tomada de preços, quando deveria ter realizado concorrência, em razão dos valores totais envolvidos. Teria, ocorrido, portanto, fracionamento indevido de despesa, na opinião da unidade técnica, que chegou a essa conclusão após examinar argumentos do responsável no sentido de que a realização de diversas licitações deveu-se, além de outros motivos, “</w:t>
      </w:r>
      <w:r w:rsidR="006011A3" w:rsidRPr="006D3693">
        <w:rPr>
          <w:i/>
          <w:sz w:val="22"/>
          <w:szCs w:val="22"/>
        </w:rPr>
        <w:t>à dificuldade de estocagem dos alimentos adquiridos, bem assim à necessidade de observância do prazo de validade dos produtos perecíveis, que, se comprados em uma única licitação, certamente resultariam em perdas no decurso do ano letivo</w:t>
      </w:r>
      <w:r w:rsidR="006011A3" w:rsidRPr="006D3693">
        <w:rPr>
          <w:sz w:val="22"/>
          <w:szCs w:val="22"/>
        </w:rPr>
        <w:t>”. O relator, ao concordar com os exames da unidade técnica, destacou, em sua proposta, “</w:t>
      </w:r>
      <w:r w:rsidR="006011A3" w:rsidRPr="006D3693">
        <w:rPr>
          <w:i/>
          <w:sz w:val="22"/>
          <w:szCs w:val="22"/>
        </w:rPr>
        <w:t>a soma dos valores das aquisições de merenda escolar realizadas pelo Município de Maués/AM indica a adoção da concorrência como modalidade licitatória, e não de convite ou tomada de preços, conforme aconteceu</w:t>
      </w:r>
      <w:r w:rsidR="006011A3" w:rsidRPr="006D3693">
        <w:rPr>
          <w:sz w:val="22"/>
          <w:szCs w:val="22"/>
        </w:rPr>
        <w:t>”. Ainda consoante o relator, “</w:t>
      </w:r>
      <w:r w:rsidR="006011A3" w:rsidRPr="006D3693">
        <w:rPr>
          <w:i/>
          <w:sz w:val="22"/>
          <w:szCs w:val="22"/>
        </w:rPr>
        <w:t>a limitação de espaço para estocagem de alimentos e a necessidade de observância dos prazos de validade poderiam ser facilmente contornadas mediante a elaboração de um cronograma de fornecimento, o qual deveria integrar o instrumento convocatório da licitação”</w:t>
      </w:r>
      <w:r w:rsidR="006011A3" w:rsidRPr="006D3693">
        <w:rPr>
          <w:sz w:val="22"/>
          <w:szCs w:val="22"/>
        </w:rPr>
        <w:t>.</w:t>
      </w:r>
      <w:r w:rsidR="00992B6B" w:rsidRPr="006D3693">
        <w:rPr>
          <w:sz w:val="22"/>
          <w:szCs w:val="22"/>
        </w:rPr>
        <w:t xml:space="preserve"> Por conseguinte, considerou que a utilização de modalidade licitatória distinta de concorrência prejudicara a obtenção de proposta mais vantajosa à administração municipal, tendo em conta que a compra fracionada dos alimentos afastara a possibilidade de ganhos provenientes de economia de escala. Propôs</w:t>
      </w:r>
      <w:r w:rsidR="006D3693" w:rsidRPr="006D3693">
        <w:rPr>
          <w:sz w:val="22"/>
          <w:szCs w:val="22"/>
        </w:rPr>
        <w:t xml:space="preserve"> o relator, então</w:t>
      </w:r>
      <w:r w:rsidR="00992B6B" w:rsidRPr="006D3693">
        <w:rPr>
          <w:sz w:val="22"/>
          <w:szCs w:val="22"/>
        </w:rPr>
        <w:t xml:space="preserve">, </w:t>
      </w:r>
      <w:r w:rsidR="006D3693" w:rsidRPr="006D3693">
        <w:rPr>
          <w:sz w:val="22"/>
          <w:szCs w:val="22"/>
        </w:rPr>
        <w:t>a rejeição das justificativas do responsável, sem prejuízo de encaminhar sugestão de que lhe fosse aplicado multa, tendo em face a irregularidade ocorrida, o que foi aprovado pelo Plenário</w:t>
      </w:r>
      <w:r w:rsidR="00992B6B" w:rsidRPr="006D3693">
        <w:rPr>
          <w:sz w:val="22"/>
          <w:szCs w:val="22"/>
        </w:rPr>
        <w:t xml:space="preserve">. </w:t>
      </w:r>
      <w:r w:rsidR="000807D4" w:rsidRPr="006D3693">
        <w:rPr>
          <w:b/>
          <w:i/>
          <w:sz w:val="22"/>
          <w:szCs w:val="22"/>
        </w:rPr>
        <w:t xml:space="preserve">Acórdão n.º </w:t>
      </w:r>
      <w:r w:rsidR="00A664AD" w:rsidRPr="006D3693">
        <w:rPr>
          <w:b/>
          <w:i/>
          <w:sz w:val="22"/>
          <w:szCs w:val="22"/>
        </w:rPr>
        <w:t>2</w:t>
      </w:r>
      <w:r w:rsidRPr="006D3693">
        <w:rPr>
          <w:b/>
          <w:i/>
          <w:sz w:val="22"/>
          <w:szCs w:val="22"/>
        </w:rPr>
        <w:t>1</w:t>
      </w:r>
      <w:r w:rsidR="00A664AD" w:rsidRPr="006D3693">
        <w:rPr>
          <w:b/>
          <w:i/>
          <w:sz w:val="22"/>
          <w:szCs w:val="22"/>
        </w:rPr>
        <w:t>0</w:t>
      </w:r>
      <w:r w:rsidRPr="006D3693">
        <w:rPr>
          <w:b/>
          <w:i/>
          <w:sz w:val="22"/>
          <w:szCs w:val="22"/>
        </w:rPr>
        <w:t>9</w:t>
      </w:r>
      <w:r w:rsidR="000807D4" w:rsidRPr="006D3693">
        <w:rPr>
          <w:b/>
          <w:i/>
          <w:sz w:val="22"/>
          <w:szCs w:val="22"/>
        </w:rPr>
        <w:t>/2011, TC-0</w:t>
      </w:r>
      <w:r w:rsidRPr="006D3693">
        <w:rPr>
          <w:b/>
          <w:i/>
          <w:sz w:val="22"/>
          <w:szCs w:val="22"/>
        </w:rPr>
        <w:t>11</w:t>
      </w:r>
      <w:r w:rsidR="000807D4" w:rsidRPr="006D3693">
        <w:rPr>
          <w:b/>
          <w:i/>
          <w:sz w:val="22"/>
          <w:szCs w:val="22"/>
        </w:rPr>
        <w:t>.</w:t>
      </w:r>
      <w:r w:rsidRPr="006D3693">
        <w:rPr>
          <w:b/>
          <w:i/>
          <w:sz w:val="22"/>
          <w:szCs w:val="22"/>
        </w:rPr>
        <w:t>886</w:t>
      </w:r>
      <w:r w:rsidR="000807D4" w:rsidRPr="006D3693">
        <w:rPr>
          <w:b/>
          <w:i/>
          <w:sz w:val="22"/>
          <w:szCs w:val="22"/>
        </w:rPr>
        <w:t>/20</w:t>
      </w:r>
      <w:r w:rsidRPr="006D3693">
        <w:rPr>
          <w:b/>
          <w:i/>
          <w:sz w:val="22"/>
          <w:szCs w:val="22"/>
        </w:rPr>
        <w:t>1</w:t>
      </w:r>
      <w:r w:rsidR="00A664AD" w:rsidRPr="006D3693">
        <w:rPr>
          <w:b/>
          <w:i/>
          <w:sz w:val="22"/>
          <w:szCs w:val="22"/>
        </w:rPr>
        <w:t>0</w:t>
      </w:r>
      <w:r w:rsidR="000807D4" w:rsidRPr="006D3693">
        <w:rPr>
          <w:b/>
          <w:i/>
          <w:sz w:val="22"/>
          <w:szCs w:val="22"/>
        </w:rPr>
        <w:t>-</w:t>
      </w:r>
      <w:r w:rsidRPr="006D3693">
        <w:rPr>
          <w:b/>
          <w:i/>
          <w:sz w:val="22"/>
          <w:szCs w:val="22"/>
        </w:rPr>
        <w:t>2</w:t>
      </w:r>
      <w:r w:rsidR="000807D4" w:rsidRPr="006D3693">
        <w:rPr>
          <w:b/>
          <w:i/>
          <w:sz w:val="22"/>
          <w:szCs w:val="22"/>
        </w:rPr>
        <w:t xml:space="preserve">, rel. Min.-Subst. </w:t>
      </w:r>
      <w:r w:rsidRPr="006D3693">
        <w:rPr>
          <w:b/>
          <w:i/>
          <w:sz w:val="22"/>
          <w:szCs w:val="22"/>
        </w:rPr>
        <w:t>André Luís de Carvalho</w:t>
      </w:r>
      <w:r w:rsidR="000807D4" w:rsidRPr="006D3693">
        <w:rPr>
          <w:b/>
          <w:i/>
          <w:sz w:val="22"/>
          <w:szCs w:val="22"/>
        </w:rPr>
        <w:t xml:space="preserve">, </w:t>
      </w:r>
      <w:r w:rsidRPr="006D3693">
        <w:rPr>
          <w:b/>
          <w:i/>
          <w:sz w:val="22"/>
          <w:szCs w:val="22"/>
        </w:rPr>
        <w:t>1</w:t>
      </w:r>
      <w:r w:rsidR="00A664AD" w:rsidRPr="006D3693">
        <w:rPr>
          <w:b/>
          <w:i/>
          <w:sz w:val="22"/>
          <w:szCs w:val="22"/>
        </w:rPr>
        <w:t>0</w:t>
      </w:r>
      <w:r w:rsidR="000807D4" w:rsidRPr="006D3693">
        <w:rPr>
          <w:b/>
          <w:i/>
          <w:sz w:val="22"/>
          <w:szCs w:val="22"/>
        </w:rPr>
        <w:t>.0</w:t>
      </w:r>
      <w:r w:rsidR="00A664AD" w:rsidRPr="006D3693">
        <w:rPr>
          <w:b/>
          <w:i/>
          <w:sz w:val="22"/>
          <w:szCs w:val="22"/>
        </w:rPr>
        <w:t>8</w:t>
      </w:r>
      <w:r w:rsidR="000807D4" w:rsidRPr="006D3693">
        <w:rPr>
          <w:b/>
          <w:i/>
          <w:sz w:val="22"/>
          <w:szCs w:val="22"/>
        </w:rPr>
        <w:t>.2011.</w:t>
      </w:r>
    </w:p>
    <w:p w:rsidR="006D3693" w:rsidRPr="002B32DD" w:rsidRDefault="006D3693" w:rsidP="00AE4074">
      <w:pPr>
        <w:tabs>
          <w:tab w:val="left" w:pos="1134"/>
        </w:tabs>
        <w:ind w:left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805659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2E6712" w:rsidRDefault="00C10DD5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E6712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2E6712" w:rsidRDefault="007334B1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2E6712"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 w:rsidRPr="002E6712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805659" w:rsidRDefault="007334B1" w:rsidP="00805659">
      <w:pPr>
        <w:pStyle w:val="enter-3pt"/>
        <w:tabs>
          <w:tab w:val="left" w:pos="2590"/>
        </w:tabs>
        <w:spacing w:line="240" w:lineRule="auto"/>
        <w:jc w:val="center"/>
        <w:rPr>
          <w:b/>
          <w:color w:val="FF0000"/>
          <w:sz w:val="22"/>
          <w:szCs w:val="22"/>
        </w:rPr>
      </w:pPr>
    </w:p>
    <w:sectPr w:rsidR="007334B1" w:rsidRPr="00805659" w:rsidSect="00F340CD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82" w:rsidRDefault="00EA6582" w:rsidP="008B0547">
      <w:pPr>
        <w:spacing w:after="0"/>
      </w:pPr>
      <w:r>
        <w:separator/>
      </w:r>
    </w:p>
  </w:endnote>
  <w:endnote w:type="continuationSeparator" w:id="0">
    <w:p w:rsidR="00EA6582" w:rsidRDefault="00EA6582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8E167A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82" w:rsidRDefault="00EA6582" w:rsidP="008B0547">
      <w:pPr>
        <w:spacing w:after="0"/>
      </w:pPr>
      <w:r>
        <w:separator/>
      </w:r>
    </w:p>
  </w:footnote>
  <w:footnote w:type="continuationSeparator" w:id="0">
    <w:p w:rsidR="00EA6582" w:rsidRDefault="00EA6582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734D36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734D36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8261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837D13">
      <w:rPr>
        <w:rFonts w:ascii="Arial" w:hAnsi="Arial" w:cs="Arial"/>
        <w:noProof/>
        <w:lang w:eastAsia="pt-BR"/>
      </w:rPr>
      <w:t>7</w:t>
    </w:r>
    <w:r w:rsidR="00192052">
      <w:rPr>
        <w:rFonts w:ascii="Arial" w:hAnsi="Arial" w:cs="Arial"/>
        <w:noProof/>
        <w:lang w:eastAsia="pt-BR"/>
      </w:rPr>
      <w:t>5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0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4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5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6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0"/>
  </w:num>
  <w:num w:numId="5">
    <w:abstractNumId w:val="10"/>
  </w:num>
  <w:num w:numId="6">
    <w:abstractNumId w:val="17"/>
  </w:num>
  <w:num w:numId="7">
    <w:abstractNumId w:val="24"/>
  </w:num>
  <w:num w:numId="8">
    <w:abstractNumId w:val="22"/>
  </w:num>
  <w:num w:numId="9">
    <w:abstractNumId w:val="19"/>
  </w:num>
  <w:num w:numId="10">
    <w:abstractNumId w:val="6"/>
  </w:num>
  <w:num w:numId="11">
    <w:abstractNumId w:val="26"/>
  </w:num>
  <w:num w:numId="12">
    <w:abstractNumId w:val="4"/>
  </w:num>
  <w:num w:numId="13">
    <w:abstractNumId w:val="16"/>
  </w:num>
  <w:num w:numId="14">
    <w:abstractNumId w:val="23"/>
  </w:num>
  <w:num w:numId="15">
    <w:abstractNumId w:val="14"/>
  </w:num>
  <w:num w:numId="16">
    <w:abstractNumId w:val="2"/>
  </w:num>
  <w:num w:numId="17">
    <w:abstractNumId w:val="12"/>
  </w:num>
  <w:num w:numId="18">
    <w:abstractNumId w:val="25"/>
    <w:lvlOverride w:ilvl="0">
      <w:startOverride w:val="1"/>
    </w:lvlOverride>
  </w:num>
  <w:num w:numId="19">
    <w:abstractNumId w:val="20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18CC"/>
    <w:rsid w:val="00011D5A"/>
    <w:rsid w:val="00012468"/>
    <w:rsid w:val="0001636D"/>
    <w:rsid w:val="00020C27"/>
    <w:rsid w:val="00020C75"/>
    <w:rsid w:val="00023D72"/>
    <w:rsid w:val="000253D1"/>
    <w:rsid w:val="00025450"/>
    <w:rsid w:val="000271FA"/>
    <w:rsid w:val="00032198"/>
    <w:rsid w:val="00033551"/>
    <w:rsid w:val="00037DCE"/>
    <w:rsid w:val="00041450"/>
    <w:rsid w:val="000438FC"/>
    <w:rsid w:val="000460E4"/>
    <w:rsid w:val="0004660A"/>
    <w:rsid w:val="0005205F"/>
    <w:rsid w:val="00052B15"/>
    <w:rsid w:val="0005356E"/>
    <w:rsid w:val="000540FC"/>
    <w:rsid w:val="0005412B"/>
    <w:rsid w:val="00054432"/>
    <w:rsid w:val="00054FBE"/>
    <w:rsid w:val="000562CD"/>
    <w:rsid w:val="00056A5A"/>
    <w:rsid w:val="00056D51"/>
    <w:rsid w:val="0006028E"/>
    <w:rsid w:val="00060CE3"/>
    <w:rsid w:val="00061C2E"/>
    <w:rsid w:val="000622E0"/>
    <w:rsid w:val="00065E95"/>
    <w:rsid w:val="00070785"/>
    <w:rsid w:val="0007259B"/>
    <w:rsid w:val="00074384"/>
    <w:rsid w:val="00074AC5"/>
    <w:rsid w:val="00077A56"/>
    <w:rsid w:val="00080148"/>
    <w:rsid w:val="000807D4"/>
    <w:rsid w:val="000835D8"/>
    <w:rsid w:val="00084282"/>
    <w:rsid w:val="00084727"/>
    <w:rsid w:val="00086A39"/>
    <w:rsid w:val="00086BAA"/>
    <w:rsid w:val="00087006"/>
    <w:rsid w:val="0009133A"/>
    <w:rsid w:val="000916AF"/>
    <w:rsid w:val="00092C2E"/>
    <w:rsid w:val="00094C5B"/>
    <w:rsid w:val="00095D98"/>
    <w:rsid w:val="0009748C"/>
    <w:rsid w:val="00097863"/>
    <w:rsid w:val="00097BF6"/>
    <w:rsid w:val="000A0EF8"/>
    <w:rsid w:val="000A152A"/>
    <w:rsid w:val="000A1EBD"/>
    <w:rsid w:val="000A2C56"/>
    <w:rsid w:val="000A47EA"/>
    <w:rsid w:val="000A57DA"/>
    <w:rsid w:val="000A599E"/>
    <w:rsid w:val="000A6269"/>
    <w:rsid w:val="000A62BD"/>
    <w:rsid w:val="000B0ECB"/>
    <w:rsid w:val="000B0FEA"/>
    <w:rsid w:val="000B2AFA"/>
    <w:rsid w:val="000B5DB2"/>
    <w:rsid w:val="000B639F"/>
    <w:rsid w:val="000B6BC1"/>
    <w:rsid w:val="000C02AD"/>
    <w:rsid w:val="000C22C0"/>
    <w:rsid w:val="000C3DAB"/>
    <w:rsid w:val="000C4A10"/>
    <w:rsid w:val="000C7D11"/>
    <w:rsid w:val="000D1878"/>
    <w:rsid w:val="000D1B91"/>
    <w:rsid w:val="000D1EF5"/>
    <w:rsid w:val="000D1FD7"/>
    <w:rsid w:val="000D6418"/>
    <w:rsid w:val="000D7DB6"/>
    <w:rsid w:val="000D7DED"/>
    <w:rsid w:val="000E020F"/>
    <w:rsid w:val="000E12F7"/>
    <w:rsid w:val="000E2D47"/>
    <w:rsid w:val="000E3B31"/>
    <w:rsid w:val="000E504D"/>
    <w:rsid w:val="000E7FD4"/>
    <w:rsid w:val="000F2133"/>
    <w:rsid w:val="000F2F92"/>
    <w:rsid w:val="000F6D85"/>
    <w:rsid w:val="000F7CEE"/>
    <w:rsid w:val="000F7D84"/>
    <w:rsid w:val="00102D37"/>
    <w:rsid w:val="001041ED"/>
    <w:rsid w:val="001104BA"/>
    <w:rsid w:val="00112676"/>
    <w:rsid w:val="00112A5F"/>
    <w:rsid w:val="0011373A"/>
    <w:rsid w:val="00113A1F"/>
    <w:rsid w:val="00114511"/>
    <w:rsid w:val="00115911"/>
    <w:rsid w:val="00116BAB"/>
    <w:rsid w:val="001203BE"/>
    <w:rsid w:val="00125F9A"/>
    <w:rsid w:val="00126026"/>
    <w:rsid w:val="00130A0C"/>
    <w:rsid w:val="00133EA9"/>
    <w:rsid w:val="00137B22"/>
    <w:rsid w:val="00140FED"/>
    <w:rsid w:val="00141D7A"/>
    <w:rsid w:val="001420D1"/>
    <w:rsid w:val="00142C16"/>
    <w:rsid w:val="001444A2"/>
    <w:rsid w:val="00151F92"/>
    <w:rsid w:val="0015258E"/>
    <w:rsid w:val="00152ECC"/>
    <w:rsid w:val="001532E4"/>
    <w:rsid w:val="00156A48"/>
    <w:rsid w:val="00156DDB"/>
    <w:rsid w:val="00157614"/>
    <w:rsid w:val="00157AFE"/>
    <w:rsid w:val="00157C0F"/>
    <w:rsid w:val="00171E89"/>
    <w:rsid w:val="001737F7"/>
    <w:rsid w:val="001744E7"/>
    <w:rsid w:val="00176375"/>
    <w:rsid w:val="001766A9"/>
    <w:rsid w:val="00181339"/>
    <w:rsid w:val="00192052"/>
    <w:rsid w:val="00195F77"/>
    <w:rsid w:val="001A0B42"/>
    <w:rsid w:val="001A0CC1"/>
    <w:rsid w:val="001A330B"/>
    <w:rsid w:val="001A58D8"/>
    <w:rsid w:val="001A60A2"/>
    <w:rsid w:val="001A79D3"/>
    <w:rsid w:val="001B3BEF"/>
    <w:rsid w:val="001B3E8E"/>
    <w:rsid w:val="001B4F90"/>
    <w:rsid w:val="001B5426"/>
    <w:rsid w:val="001B6823"/>
    <w:rsid w:val="001B7F4F"/>
    <w:rsid w:val="001C0575"/>
    <w:rsid w:val="001C1568"/>
    <w:rsid w:val="001C437E"/>
    <w:rsid w:val="001C5C51"/>
    <w:rsid w:val="001C71E3"/>
    <w:rsid w:val="001D03C7"/>
    <w:rsid w:val="001D1478"/>
    <w:rsid w:val="001D1E52"/>
    <w:rsid w:val="001D35B4"/>
    <w:rsid w:val="001D56C3"/>
    <w:rsid w:val="001D74CE"/>
    <w:rsid w:val="001E0BF1"/>
    <w:rsid w:val="001E1E28"/>
    <w:rsid w:val="001E2620"/>
    <w:rsid w:val="001E4147"/>
    <w:rsid w:val="001E7019"/>
    <w:rsid w:val="001E71F9"/>
    <w:rsid w:val="001E747D"/>
    <w:rsid w:val="001E7C3D"/>
    <w:rsid w:val="001F00DF"/>
    <w:rsid w:val="001F1E8F"/>
    <w:rsid w:val="001F553C"/>
    <w:rsid w:val="00200260"/>
    <w:rsid w:val="002002CE"/>
    <w:rsid w:val="0020066F"/>
    <w:rsid w:val="0020107A"/>
    <w:rsid w:val="0020135D"/>
    <w:rsid w:val="00201FED"/>
    <w:rsid w:val="00202EAD"/>
    <w:rsid w:val="00203A6F"/>
    <w:rsid w:val="00211816"/>
    <w:rsid w:val="00217B1B"/>
    <w:rsid w:val="00225D42"/>
    <w:rsid w:val="00226AEF"/>
    <w:rsid w:val="00226D9D"/>
    <w:rsid w:val="00227776"/>
    <w:rsid w:val="00232158"/>
    <w:rsid w:val="002328F9"/>
    <w:rsid w:val="0023395B"/>
    <w:rsid w:val="00233CE3"/>
    <w:rsid w:val="002343BF"/>
    <w:rsid w:val="0023535F"/>
    <w:rsid w:val="00235D4C"/>
    <w:rsid w:val="00236F05"/>
    <w:rsid w:val="002415A6"/>
    <w:rsid w:val="00242061"/>
    <w:rsid w:val="002435FC"/>
    <w:rsid w:val="002442D9"/>
    <w:rsid w:val="00244BA7"/>
    <w:rsid w:val="002453D1"/>
    <w:rsid w:val="0024593F"/>
    <w:rsid w:val="002476B6"/>
    <w:rsid w:val="00247E76"/>
    <w:rsid w:val="002510D5"/>
    <w:rsid w:val="00253242"/>
    <w:rsid w:val="00254590"/>
    <w:rsid w:val="00257D8A"/>
    <w:rsid w:val="00261488"/>
    <w:rsid w:val="00262359"/>
    <w:rsid w:val="0026362E"/>
    <w:rsid w:val="002639CA"/>
    <w:rsid w:val="002649A7"/>
    <w:rsid w:val="00264FC3"/>
    <w:rsid w:val="002663B7"/>
    <w:rsid w:val="002666C5"/>
    <w:rsid w:val="00271CD7"/>
    <w:rsid w:val="00271CF2"/>
    <w:rsid w:val="00271D81"/>
    <w:rsid w:val="0027213F"/>
    <w:rsid w:val="00273058"/>
    <w:rsid w:val="00273E72"/>
    <w:rsid w:val="00274068"/>
    <w:rsid w:val="0027498E"/>
    <w:rsid w:val="0027686D"/>
    <w:rsid w:val="00276DC0"/>
    <w:rsid w:val="00277F47"/>
    <w:rsid w:val="00280F3D"/>
    <w:rsid w:val="002810D9"/>
    <w:rsid w:val="00281830"/>
    <w:rsid w:val="002830F6"/>
    <w:rsid w:val="00287326"/>
    <w:rsid w:val="0029043B"/>
    <w:rsid w:val="00290A06"/>
    <w:rsid w:val="0029211E"/>
    <w:rsid w:val="0029450E"/>
    <w:rsid w:val="00297A00"/>
    <w:rsid w:val="002A03ED"/>
    <w:rsid w:val="002A040F"/>
    <w:rsid w:val="002A190F"/>
    <w:rsid w:val="002A2129"/>
    <w:rsid w:val="002A3796"/>
    <w:rsid w:val="002A3B3F"/>
    <w:rsid w:val="002A5A02"/>
    <w:rsid w:val="002A6CE6"/>
    <w:rsid w:val="002B059A"/>
    <w:rsid w:val="002B1AD6"/>
    <w:rsid w:val="002B32DD"/>
    <w:rsid w:val="002B409B"/>
    <w:rsid w:val="002B4392"/>
    <w:rsid w:val="002B56C3"/>
    <w:rsid w:val="002B5AD5"/>
    <w:rsid w:val="002B5C5A"/>
    <w:rsid w:val="002B6422"/>
    <w:rsid w:val="002B71BA"/>
    <w:rsid w:val="002C208E"/>
    <w:rsid w:val="002C4633"/>
    <w:rsid w:val="002C506F"/>
    <w:rsid w:val="002C7B61"/>
    <w:rsid w:val="002C7B6D"/>
    <w:rsid w:val="002D0B7C"/>
    <w:rsid w:val="002D0D1A"/>
    <w:rsid w:val="002D155C"/>
    <w:rsid w:val="002D1637"/>
    <w:rsid w:val="002D1688"/>
    <w:rsid w:val="002D1B69"/>
    <w:rsid w:val="002D1BA5"/>
    <w:rsid w:val="002D35F5"/>
    <w:rsid w:val="002D47FE"/>
    <w:rsid w:val="002D4B78"/>
    <w:rsid w:val="002D532D"/>
    <w:rsid w:val="002D739A"/>
    <w:rsid w:val="002D76AB"/>
    <w:rsid w:val="002D786D"/>
    <w:rsid w:val="002E1545"/>
    <w:rsid w:val="002E1910"/>
    <w:rsid w:val="002E28BA"/>
    <w:rsid w:val="002E361C"/>
    <w:rsid w:val="002E3943"/>
    <w:rsid w:val="002E3F7C"/>
    <w:rsid w:val="002E4254"/>
    <w:rsid w:val="002E4F13"/>
    <w:rsid w:val="002E4FB7"/>
    <w:rsid w:val="002E6712"/>
    <w:rsid w:val="002E6FDB"/>
    <w:rsid w:val="002F104B"/>
    <w:rsid w:val="002F1C09"/>
    <w:rsid w:val="002F1E70"/>
    <w:rsid w:val="002F4696"/>
    <w:rsid w:val="002F5F3B"/>
    <w:rsid w:val="002F693C"/>
    <w:rsid w:val="002F7C6D"/>
    <w:rsid w:val="003020F4"/>
    <w:rsid w:val="003023A1"/>
    <w:rsid w:val="003025C7"/>
    <w:rsid w:val="0030360F"/>
    <w:rsid w:val="00303790"/>
    <w:rsid w:val="00303984"/>
    <w:rsid w:val="00304A73"/>
    <w:rsid w:val="00304DFD"/>
    <w:rsid w:val="003057F7"/>
    <w:rsid w:val="00306864"/>
    <w:rsid w:val="003069F9"/>
    <w:rsid w:val="00310208"/>
    <w:rsid w:val="0031058F"/>
    <w:rsid w:val="0031089E"/>
    <w:rsid w:val="00310D69"/>
    <w:rsid w:val="003147B7"/>
    <w:rsid w:val="003149A9"/>
    <w:rsid w:val="0031528D"/>
    <w:rsid w:val="00317E59"/>
    <w:rsid w:val="00320465"/>
    <w:rsid w:val="00322AE7"/>
    <w:rsid w:val="00325246"/>
    <w:rsid w:val="00325D35"/>
    <w:rsid w:val="003275E4"/>
    <w:rsid w:val="00330069"/>
    <w:rsid w:val="00330144"/>
    <w:rsid w:val="0033244F"/>
    <w:rsid w:val="00337E16"/>
    <w:rsid w:val="00340E66"/>
    <w:rsid w:val="00340F10"/>
    <w:rsid w:val="00341D56"/>
    <w:rsid w:val="00342A44"/>
    <w:rsid w:val="0034486B"/>
    <w:rsid w:val="00344D92"/>
    <w:rsid w:val="003455A2"/>
    <w:rsid w:val="00345BD4"/>
    <w:rsid w:val="003506E7"/>
    <w:rsid w:val="00350E87"/>
    <w:rsid w:val="00353B7C"/>
    <w:rsid w:val="0035438E"/>
    <w:rsid w:val="00355828"/>
    <w:rsid w:val="00356E38"/>
    <w:rsid w:val="00357CBE"/>
    <w:rsid w:val="00361487"/>
    <w:rsid w:val="00361661"/>
    <w:rsid w:val="00370BC7"/>
    <w:rsid w:val="00372E83"/>
    <w:rsid w:val="00375080"/>
    <w:rsid w:val="00377407"/>
    <w:rsid w:val="00380026"/>
    <w:rsid w:val="00381780"/>
    <w:rsid w:val="003824E4"/>
    <w:rsid w:val="00383CFE"/>
    <w:rsid w:val="00384BEF"/>
    <w:rsid w:val="003853FF"/>
    <w:rsid w:val="00385609"/>
    <w:rsid w:val="003856A4"/>
    <w:rsid w:val="00385DAB"/>
    <w:rsid w:val="0038696B"/>
    <w:rsid w:val="00387CBD"/>
    <w:rsid w:val="003900C7"/>
    <w:rsid w:val="0039039F"/>
    <w:rsid w:val="00390ED6"/>
    <w:rsid w:val="00391B5C"/>
    <w:rsid w:val="00392509"/>
    <w:rsid w:val="003925E5"/>
    <w:rsid w:val="00393FCC"/>
    <w:rsid w:val="003943E5"/>
    <w:rsid w:val="00397D8E"/>
    <w:rsid w:val="003A105C"/>
    <w:rsid w:val="003A2222"/>
    <w:rsid w:val="003A3262"/>
    <w:rsid w:val="003A5479"/>
    <w:rsid w:val="003A5C1B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936"/>
    <w:rsid w:val="003B56D7"/>
    <w:rsid w:val="003C1911"/>
    <w:rsid w:val="003C1B4F"/>
    <w:rsid w:val="003C2288"/>
    <w:rsid w:val="003C3336"/>
    <w:rsid w:val="003C39E6"/>
    <w:rsid w:val="003C6DEB"/>
    <w:rsid w:val="003C7585"/>
    <w:rsid w:val="003C7A5C"/>
    <w:rsid w:val="003D660C"/>
    <w:rsid w:val="003D73BD"/>
    <w:rsid w:val="003D7CCE"/>
    <w:rsid w:val="003E0D8C"/>
    <w:rsid w:val="003E154A"/>
    <w:rsid w:val="003E1B68"/>
    <w:rsid w:val="003E65D7"/>
    <w:rsid w:val="003F1CE1"/>
    <w:rsid w:val="003F413A"/>
    <w:rsid w:val="003F5249"/>
    <w:rsid w:val="003F54FB"/>
    <w:rsid w:val="003F6D1F"/>
    <w:rsid w:val="00405316"/>
    <w:rsid w:val="0041153E"/>
    <w:rsid w:val="00412CEF"/>
    <w:rsid w:val="004141A8"/>
    <w:rsid w:val="004169D8"/>
    <w:rsid w:val="004201AF"/>
    <w:rsid w:val="00425FF9"/>
    <w:rsid w:val="00426328"/>
    <w:rsid w:val="00427B3B"/>
    <w:rsid w:val="00427EBF"/>
    <w:rsid w:val="00431085"/>
    <w:rsid w:val="00431D0E"/>
    <w:rsid w:val="00435269"/>
    <w:rsid w:val="004362AB"/>
    <w:rsid w:val="00441101"/>
    <w:rsid w:val="004415FB"/>
    <w:rsid w:val="00441CE3"/>
    <w:rsid w:val="004421F5"/>
    <w:rsid w:val="0044434A"/>
    <w:rsid w:val="0044437F"/>
    <w:rsid w:val="00445E76"/>
    <w:rsid w:val="00446606"/>
    <w:rsid w:val="004471BC"/>
    <w:rsid w:val="00447217"/>
    <w:rsid w:val="00451471"/>
    <w:rsid w:val="00452C60"/>
    <w:rsid w:val="00457F93"/>
    <w:rsid w:val="004617A9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491E"/>
    <w:rsid w:val="00474A6A"/>
    <w:rsid w:val="004836D8"/>
    <w:rsid w:val="004837C6"/>
    <w:rsid w:val="00483998"/>
    <w:rsid w:val="00484250"/>
    <w:rsid w:val="00484E4C"/>
    <w:rsid w:val="004878ED"/>
    <w:rsid w:val="00491438"/>
    <w:rsid w:val="00492E3F"/>
    <w:rsid w:val="00493F5C"/>
    <w:rsid w:val="00495DB3"/>
    <w:rsid w:val="004A171B"/>
    <w:rsid w:val="004A2385"/>
    <w:rsid w:val="004A2D91"/>
    <w:rsid w:val="004A3B95"/>
    <w:rsid w:val="004A7912"/>
    <w:rsid w:val="004B0194"/>
    <w:rsid w:val="004B1113"/>
    <w:rsid w:val="004B1DC3"/>
    <w:rsid w:val="004B36AE"/>
    <w:rsid w:val="004B67A4"/>
    <w:rsid w:val="004C289A"/>
    <w:rsid w:val="004C61A3"/>
    <w:rsid w:val="004C6E03"/>
    <w:rsid w:val="004C780C"/>
    <w:rsid w:val="004D03BA"/>
    <w:rsid w:val="004D3100"/>
    <w:rsid w:val="004D3441"/>
    <w:rsid w:val="004D6A38"/>
    <w:rsid w:val="004D6C65"/>
    <w:rsid w:val="004D708E"/>
    <w:rsid w:val="004D760C"/>
    <w:rsid w:val="004D7C91"/>
    <w:rsid w:val="004E26E4"/>
    <w:rsid w:val="004E357A"/>
    <w:rsid w:val="004E3861"/>
    <w:rsid w:val="004E5000"/>
    <w:rsid w:val="004E65EB"/>
    <w:rsid w:val="004F0A27"/>
    <w:rsid w:val="004F3D4A"/>
    <w:rsid w:val="004F7174"/>
    <w:rsid w:val="004F7E98"/>
    <w:rsid w:val="00500DD0"/>
    <w:rsid w:val="005012AA"/>
    <w:rsid w:val="005012CF"/>
    <w:rsid w:val="0050355D"/>
    <w:rsid w:val="005055B5"/>
    <w:rsid w:val="00506619"/>
    <w:rsid w:val="00510D1D"/>
    <w:rsid w:val="00511BBF"/>
    <w:rsid w:val="00515E7B"/>
    <w:rsid w:val="00520894"/>
    <w:rsid w:val="005217F8"/>
    <w:rsid w:val="0052267A"/>
    <w:rsid w:val="005239DD"/>
    <w:rsid w:val="00523CA1"/>
    <w:rsid w:val="005266F4"/>
    <w:rsid w:val="0052675C"/>
    <w:rsid w:val="005303B5"/>
    <w:rsid w:val="00531143"/>
    <w:rsid w:val="005340EA"/>
    <w:rsid w:val="00534A44"/>
    <w:rsid w:val="00536332"/>
    <w:rsid w:val="00542821"/>
    <w:rsid w:val="00543514"/>
    <w:rsid w:val="005438A1"/>
    <w:rsid w:val="00543B81"/>
    <w:rsid w:val="00543EB8"/>
    <w:rsid w:val="00543F41"/>
    <w:rsid w:val="00544550"/>
    <w:rsid w:val="00544FCF"/>
    <w:rsid w:val="005450DC"/>
    <w:rsid w:val="00545A47"/>
    <w:rsid w:val="00545FC7"/>
    <w:rsid w:val="0054634E"/>
    <w:rsid w:val="00546B67"/>
    <w:rsid w:val="005512D3"/>
    <w:rsid w:val="00551C0E"/>
    <w:rsid w:val="00554A33"/>
    <w:rsid w:val="0055716D"/>
    <w:rsid w:val="005571A6"/>
    <w:rsid w:val="00557953"/>
    <w:rsid w:val="00560E55"/>
    <w:rsid w:val="00562E8F"/>
    <w:rsid w:val="0056301A"/>
    <w:rsid w:val="005635AD"/>
    <w:rsid w:val="005636B0"/>
    <w:rsid w:val="005640E1"/>
    <w:rsid w:val="00564EA1"/>
    <w:rsid w:val="0056534C"/>
    <w:rsid w:val="00566E81"/>
    <w:rsid w:val="00567CEE"/>
    <w:rsid w:val="005713F4"/>
    <w:rsid w:val="00571E64"/>
    <w:rsid w:val="00573D3B"/>
    <w:rsid w:val="00575CC3"/>
    <w:rsid w:val="00576018"/>
    <w:rsid w:val="00580F26"/>
    <w:rsid w:val="00581A7C"/>
    <w:rsid w:val="0058427E"/>
    <w:rsid w:val="005864FA"/>
    <w:rsid w:val="00590750"/>
    <w:rsid w:val="00590907"/>
    <w:rsid w:val="0059346F"/>
    <w:rsid w:val="00594A7B"/>
    <w:rsid w:val="00597AA7"/>
    <w:rsid w:val="005A2D82"/>
    <w:rsid w:val="005A3835"/>
    <w:rsid w:val="005A3AEC"/>
    <w:rsid w:val="005A6858"/>
    <w:rsid w:val="005A6CD7"/>
    <w:rsid w:val="005A72F2"/>
    <w:rsid w:val="005B2194"/>
    <w:rsid w:val="005B2BC3"/>
    <w:rsid w:val="005B4CFA"/>
    <w:rsid w:val="005B5B3D"/>
    <w:rsid w:val="005B7112"/>
    <w:rsid w:val="005B7166"/>
    <w:rsid w:val="005C18EE"/>
    <w:rsid w:val="005C1A79"/>
    <w:rsid w:val="005C7644"/>
    <w:rsid w:val="005C7BF4"/>
    <w:rsid w:val="005D1B66"/>
    <w:rsid w:val="005D1FDF"/>
    <w:rsid w:val="005D2B0F"/>
    <w:rsid w:val="005D3352"/>
    <w:rsid w:val="005D3D1E"/>
    <w:rsid w:val="005E12DD"/>
    <w:rsid w:val="005E269C"/>
    <w:rsid w:val="005E3586"/>
    <w:rsid w:val="005E386D"/>
    <w:rsid w:val="005E3EC0"/>
    <w:rsid w:val="005E4DEE"/>
    <w:rsid w:val="005E5FF1"/>
    <w:rsid w:val="005E72FB"/>
    <w:rsid w:val="005F01CE"/>
    <w:rsid w:val="005F135B"/>
    <w:rsid w:val="005F4E54"/>
    <w:rsid w:val="005F70B6"/>
    <w:rsid w:val="005F7A87"/>
    <w:rsid w:val="006011A3"/>
    <w:rsid w:val="006017DF"/>
    <w:rsid w:val="00601F0A"/>
    <w:rsid w:val="00604DBE"/>
    <w:rsid w:val="006063E1"/>
    <w:rsid w:val="006065E4"/>
    <w:rsid w:val="00606F56"/>
    <w:rsid w:val="00610039"/>
    <w:rsid w:val="00610381"/>
    <w:rsid w:val="00611C07"/>
    <w:rsid w:val="00611E07"/>
    <w:rsid w:val="00612045"/>
    <w:rsid w:val="00612F12"/>
    <w:rsid w:val="00613AC9"/>
    <w:rsid w:val="00615808"/>
    <w:rsid w:val="00620E86"/>
    <w:rsid w:val="006219DD"/>
    <w:rsid w:val="00621D63"/>
    <w:rsid w:val="00623DAF"/>
    <w:rsid w:val="006242BF"/>
    <w:rsid w:val="00631FE7"/>
    <w:rsid w:val="00632ACC"/>
    <w:rsid w:val="006345C1"/>
    <w:rsid w:val="00637FDD"/>
    <w:rsid w:val="00641E57"/>
    <w:rsid w:val="00642555"/>
    <w:rsid w:val="00643CED"/>
    <w:rsid w:val="006478E6"/>
    <w:rsid w:val="006503A5"/>
    <w:rsid w:val="00650463"/>
    <w:rsid w:val="00651660"/>
    <w:rsid w:val="00651C0A"/>
    <w:rsid w:val="00652171"/>
    <w:rsid w:val="00653133"/>
    <w:rsid w:val="006532C3"/>
    <w:rsid w:val="00661BD2"/>
    <w:rsid w:val="00666285"/>
    <w:rsid w:val="00670FEA"/>
    <w:rsid w:val="00671DC9"/>
    <w:rsid w:val="0067252D"/>
    <w:rsid w:val="006734AA"/>
    <w:rsid w:val="006734B3"/>
    <w:rsid w:val="0067353C"/>
    <w:rsid w:val="00676163"/>
    <w:rsid w:val="006764C4"/>
    <w:rsid w:val="006777E4"/>
    <w:rsid w:val="00677C22"/>
    <w:rsid w:val="006808CC"/>
    <w:rsid w:val="00682F4C"/>
    <w:rsid w:val="00685899"/>
    <w:rsid w:val="00692D30"/>
    <w:rsid w:val="00695597"/>
    <w:rsid w:val="00696A89"/>
    <w:rsid w:val="00696F75"/>
    <w:rsid w:val="00697477"/>
    <w:rsid w:val="006A037E"/>
    <w:rsid w:val="006A2019"/>
    <w:rsid w:val="006A21CC"/>
    <w:rsid w:val="006A3D41"/>
    <w:rsid w:val="006A7796"/>
    <w:rsid w:val="006B0495"/>
    <w:rsid w:val="006B0DCB"/>
    <w:rsid w:val="006B2408"/>
    <w:rsid w:val="006B3AF9"/>
    <w:rsid w:val="006B414C"/>
    <w:rsid w:val="006B4B0F"/>
    <w:rsid w:val="006C32CF"/>
    <w:rsid w:val="006C335E"/>
    <w:rsid w:val="006C3A1F"/>
    <w:rsid w:val="006C54BB"/>
    <w:rsid w:val="006C5C6C"/>
    <w:rsid w:val="006C7DE0"/>
    <w:rsid w:val="006D3693"/>
    <w:rsid w:val="006D3DC7"/>
    <w:rsid w:val="006D4245"/>
    <w:rsid w:val="006D5843"/>
    <w:rsid w:val="006E0A93"/>
    <w:rsid w:val="006E4064"/>
    <w:rsid w:val="006E58EA"/>
    <w:rsid w:val="006E5BF8"/>
    <w:rsid w:val="006F0036"/>
    <w:rsid w:val="006F2F67"/>
    <w:rsid w:val="006F3CA4"/>
    <w:rsid w:val="006F4DE0"/>
    <w:rsid w:val="006F4FB2"/>
    <w:rsid w:val="006F5E2D"/>
    <w:rsid w:val="006F6483"/>
    <w:rsid w:val="006F6EEB"/>
    <w:rsid w:val="006F7332"/>
    <w:rsid w:val="007025BA"/>
    <w:rsid w:val="0070385B"/>
    <w:rsid w:val="0070407E"/>
    <w:rsid w:val="0070494F"/>
    <w:rsid w:val="00705758"/>
    <w:rsid w:val="0070717A"/>
    <w:rsid w:val="00707244"/>
    <w:rsid w:val="00712CCC"/>
    <w:rsid w:val="007136E9"/>
    <w:rsid w:val="00713DE5"/>
    <w:rsid w:val="007157A0"/>
    <w:rsid w:val="007174DA"/>
    <w:rsid w:val="00720910"/>
    <w:rsid w:val="00720F29"/>
    <w:rsid w:val="007224C2"/>
    <w:rsid w:val="00731409"/>
    <w:rsid w:val="007334B1"/>
    <w:rsid w:val="007339F3"/>
    <w:rsid w:val="00733EB2"/>
    <w:rsid w:val="00734D36"/>
    <w:rsid w:val="00737FEC"/>
    <w:rsid w:val="00740292"/>
    <w:rsid w:val="007424E5"/>
    <w:rsid w:val="00742B07"/>
    <w:rsid w:val="0075064C"/>
    <w:rsid w:val="00752E39"/>
    <w:rsid w:val="00755956"/>
    <w:rsid w:val="00756AA0"/>
    <w:rsid w:val="00757CE6"/>
    <w:rsid w:val="00763097"/>
    <w:rsid w:val="00764CB0"/>
    <w:rsid w:val="007666D8"/>
    <w:rsid w:val="00766D03"/>
    <w:rsid w:val="007671B6"/>
    <w:rsid w:val="007671DA"/>
    <w:rsid w:val="00767C28"/>
    <w:rsid w:val="00770C72"/>
    <w:rsid w:val="007719A8"/>
    <w:rsid w:val="0077228C"/>
    <w:rsid w:val="00773CAE"/>
    <w:rsid w:val="00774593"/>
    <w:rsid w:val="00776EDA"/>
    <w:rsid w:val="00777599"/>
    <w:rsid w:val="00785646"/>
    <w:rsid w:val="00785CF8"/>
    <w:rsid w:val="00796068"/>
    <w:rsid w:val="00796CC0"/>
    <w:rsid w:val="00796CF1"/>
    <w:rsid w:val="007979EA"/>
    <w:rsid w:val="007A1A35"/>
    <w:rsid w:val="007A2166"/>
    <w:rsid w:val="007A2B7F"/>
    <w:rsid w:val="007A5922"/>
    <w:rsid w:val="007A7C23"/>
    <w:rsid w:val="007B1ABA"/>
    <w:rsid w:val="007B259B"/>
    <w:rsid w:val="007B3F28"/>
    <w:rsid w:val="007B471E"/>
    <w:rsid w:val="007B5018"/>
    <w:rsid w:val="007B53E7"/>
    <w:rsid w:val="007B65B3"/>
    <w:rsid w:val="007B7287"/>
    <w:rsid w:val="007B7A70"/>
    <w:rsid w:val="007C08AB"/>
    <w:rsid w:val="007C4E99"/>
    <w:rsid w:val="007C5151"/>
    <w:rsid w:val="007C546B"/>
    <w:rsid w:val="007C670D"/>
    <w:rsid w:val="007C7359"/>
    <w:rsid w:val="007D0ED0"/>
    <w:rsid w:val="007D1F01"/>
    <w:rsid w:val="007D3868"/>
    <w:rsid w:val="007D3E0E"/>
    <w:rsid w:val="007D48CF"/>
    <w:rsid w:val="007D4A4A"/>
    <w:rsid w:val="007E0B69"/>
    <w:rsid w:val="007E0E05"/>
    <w:rsid w:val="007E1DD3"/>
    <w:rsid w:val="007E209F"/>
    <w:rsid w:val="007E2878"/>
    <w:rsid w:val="007E4655"/>
    <w:rsid w:val="007E50E4"/>
    <w:rsid w:val="007E55E0"/>
    <w:rsid w:val="007E5C50"/>
    <w:rsid w:val="007F0546"/>
    <w:rsid w:val="007F1DEB"/>
    <w:rsid w:val="007F22A5"/>
    <w:rsid w:val="007F421D"/>
    <w:rsid w:val="007F5688"/>
    <w:rsid w:val="007F588F"/>
    <w:rsid w:val="007F66A5"/>
    <w:rsid w:val="0080038A"/>
    <w:rsid w:val="0080065F"/>
    <w:rsid w:val="00802DA0"/>
    <w:rsid w:val="008051DE"/>
    <w:rsid w:val="00805659"/>
    <w:rsid w:val="0080733E"/>
    <w:rsid w:val="00810CC2"/>
    <w:rsid w:val="0081324B"/>
    <w:rsid w:val="0081440E"/>
    <w:rsid w:val="00816193"/>
    <w:rsid w:val="008165E4"/>
    <w:rsid w:val="008234BD"/>
    <w:rsid w:val="00824A8C"/>
    <w:rsid w:val="00825155"/>
    <w:rsid w:val="00825EB9"/>
    <w:rsid w:val="008303E2"/>
    <w:rsid w:val="00833A8F"/>
    <w:rsid w:val="008341F8"/>
    <w:rsid w:val="008359F3"/>
    <w:rsid w:val="00835DB6"/>
    <w:rsid w:val="00836AC2"/>
    <w:rsid w:val="00837D13"/>
    <w:rsid w:val="008406D5"/>
    <w:rsid w:val="00843BED"/>
    <w:rsid w:val="008447C8"/>
    <w:rsid w:val="00844C5B"/>
    <w:rsid w:val="00847B37"/>
    <w:rsid w:val="008501A4"/>
    <w:rsid w:val="008505A1"/>
    <w:rsid w:val="00850817"/>
    <w:rsid w:val="00851D16"/>
    <w:rsid w:val="00851E54"/>
    <w:rsid w:val="0085433A"/>
    <w:rsid w:val="00854B32"/>
    <w:rsid w:val="00855F2B"/>
    <w:rsid w:val="00856252"/>
    <w:rsid w:val="00857634"/>
    <w:rsid w:val="0086124E"/>
    <w:rsid w:val="00861B74"/>
    <w:rsid w:val="00864A10"/>
    <w:rsid w:val="008652C9"/>
    <w:rsid w:val="00866992"/>
    <w:rsid w:val="00866CA9"/>
    <w:rsid w:val="00867E32"/>
    <w:rsid w:val="00872942"/>
    <w:rsid w:val="00875991"/>
    <w:rsid w:val="00875BB5"/>
    <w:rsid w:val="008771B6"/>
    <w:rsid w:val="00877FDD"/>
    <w:rsid w:val="00880FED"/>
    <w:rsid w:val="0088186D"/>
    <w:rsid w:val="008841C8"/>
    <w:rsid w:val="00885367"/>
    <w:rsid w:val="008855A4"/>
    <w:rsid w:val="00887082"/>
    <w:rsid w:val="00887C8D"/>
    <w:rsid w:val="00887DC7"/>
    <w:rsid w:val="00891FCC"/>
    <w:rsid w:val="00892BB8"/>
    <w:rsid w:val="00893014"/>
    <w:rsid w:val="0089513A"/>
    <w:rsid w:val="00896755"/>
    <w:rsid w:val="008A2417"/>
    <w:rsid w:val="008A5D49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3A5B"/>
    <w:rsid w:val="008C3D50"/>
    <w:rsid w:val="008C5B71"/>
    <w:rsid w:val="008D2382"/>
    <w:rsid w:val="008D3521"/>
    <w:rsid w:val="008D5667"/>
    <w:rsid w:val="008D6F5D"/>
    <w:rsid w:val="008E003A"/>
    <w:rsid w:val="008E15E3"/>
    <w:rsid w:val="008E167A"/>
    <w:rsid w:val="008E2045"/>
    <w:rsid w:val="008E4C62"/>
    <w:rsid w:val="008E727E"/>
    <w:rsid w:val="008F0B17"/>
    <w:rsid w:val="008F2902"/>
    <w:rsid w:val="008F4047"/>
    <w:rsid w:val="008F4111"/>
    <w:rsid w:val="008F4593"/>
    <w:rsid w:val="008F660B"/>
    <w:rsid w:val="009005CE"/>
    <w:rsid w:val="00901376"/>
    <w:rsid w:val="0090188B"/>
    <w:rsid w:val="009021A4"/>
    <w:rsid w:val="00904305"/>
    <w:rsid w:val="00904EC5"/>
    <w:rsid w:val="0091406E"/>
    <w:rsid w:val="00914B48"/>
    <w:rsid w:val="0091511B"/>
    <w:rsid w:val="00917B6F"/>
    <w:rsid w:val="009239AA"/>
    <w:rsid w:val="009245B5"/>
    <w:rsid w:val="00925EF2"/>
    <w:rsid w:val="00935C40"/>
    <w:rsid w:val="00935F4D"/>
    <w:rsid w:val="0093795C"/>
    <w:rsid w:val="00937DCB"/>
    <w:rsid w:val="00937F7E"/>
    <w:rsid w:val="009440DE"/>
    <w:rsid w:val="009444E6"/>
    <w:rsid w:val="00944A8E"/>
    <w:rsid w:val="009455E6"/>
    <w:rsid w:val="0094589B"/>
    <w:rsid w:val="009509C0"/>
    <w:rsid w:val="00952B9C"/>
    <w:rsid w:val="00953B70"/>
    <w:rsid w:val="00956BA7"/>
    <w:rsid w:val="00956FD8"/>
    <w:rsid w:val="009575F7"/>
    <w:rsid w:val="00957E4B"/>
    <w:rsid w:val="0096021A"/>
    <w:rsid w:val="00960F73"/>
    <w:rsid w:val="009642CA"/>
    <w:rsid w:val="009652B6"/>
    <w:rsid w:val="0096655D"/>
    <w:rsid w:val="00971139"/>
    <w:rsid w:val="00972B10"/>
    <w:rsid w:val="0097401F"/>
    <w:rsid w:val="00981FA0"/>
    <w:rsid w:val="0098263A"/>
    <w:rsid w:val="00983541"/>
    <w:rsid w:val="00984366"/>
    <w:rsid w:val="00984E80"/>
    <w:rsid w:val="0098690F"/>
    <w:rsid w:val="00987EE5"/>
    <w:rsid w:val="00991CD8"/>
    <w:rsid w:val="00991EBE"/>
    <w:rsid w:val="009928B3"/>
    <w:rsid w:val="00992B6B"/>
    <w:rsid w:val="00993C2E"/>
    <w:rsid w:val="00997C8A"/>
    <w:rsid w:val="009A1339"/>
    <w:rsid w:val="009A1A95"/>
    <w:rsid w:val="009A3006"/>
    <w:rsid w:val="009A3994"/>
    <w:rsid w:val="009B2FB9"/>
    <w:rsid w:val="009B5D6F"/>
    <w:rsid w:val="009B62AF"/>
    <w:rsid w:val="009B6745"/>
    <w:rsid w:val="009B7AB9"/>
    <w:rsid w:val="009C4B6D"/>
    <w:rsid w:val="009D0928"/>
    <w:rsid w:val="009D1B99"/>
    <w:rsid w:val="009D2884"/>
    <w:rsid w:val="009D5393"/>
    <w:rsid w:val="009D5445"/>
    <w:rsid w:val="009D565F"/>
    <w:rsid w:val="009D65B9"/>
    <w:rsid w:val="009D70EE"/>
    <w:rsid w:val="009E04DC"/>
    <w:rsid w:val="009E0FB3"/>
    <w:rsid w:val="009E3B5A"/>
    <w:rsid w:val="009E5105"/>
    <w:rsid w:val="009E59A1"/>
    <w:rsid w:val="009E66EE"/>
    <w:rsid w:val="009F015D"/>
    <w:rsid w:val="009F4326"/>
    <w:rsid w:val="009F7FA6"/>
    <w:rsid w:val="00A0082F"/>
    <w:rsid w:val="00A0244C"/>
    <w:rsid w:val="00A033FF"/>
    <w:rsid w:val="00A0409E"/>
    <w:rsid w:val="00A046C7"/>
    <w:rsid w:val="00A04EDA"/>
    <w:rsid w:val="00A06137"/>
    <w:rsid w:val="00A063FE"/>
    <w:rsid w:val="00A06EDB"/>
    <w:rsid w:val="00A07ACC"/>
    <w:rsid w:val="00A11259"/>
    <w:rsid w:val="00A1329C"/>
    <w:rsid w:val="00A14503"/>
    <w:rsid w:val="00A14E25"/>
    <w:rsid w:val="00A16A60"/>
    <w:rsid w:val="00A17A3D"/>
    <w:rsid w:val="00A2062A"/>
    <w:rsid w:val="00A2066E"/>
    <w:rsid w:val="00A21E19"/>
    <w:rsid w:val="00A236A1"/>
    <w:rsid w:val="00A239A8"/>
    <w:rsid w:val="00A25B79"/>
    <w:rsid w:val="00A30683"/>
    <w:rsid w:val="00A3115F"/>
    <w:rsid w:val="00A32209"/>
    <w:rsid w:val="00A33030"/>
    <w:rsid w:val="00A378A2"/>
    <w:rsid w:val="00A407B6"/>
    <w:rsid w:val="00A40CDE"/>
    <w:rsid w:val="00A43FBD"/>
    <w:rsid w:val="00A43FD4"/>
    <w:rsid w:val="00A44703"/>
    <w:rsid w:val="00A52DA1"/>
    <w:rsid w:val="00A5384E"/>
    <w:rsid w:val="00A54CCB"/>
    <w:rsid w:val="00A5757E"/>
    <w:rsid w:val="00A60F52"/>
    <w:rsid w:val="00A61DFE"/>
    <w:rsid w:val="00A62AA8"/>
    <w:rsid w:val="00A63B4C"/>
    <w:rsid w:val="00A6526F"/>
    <w:rsid w:val="00A664AD"/>
    <w:rsid w:val="00A664E7"/>
    <w:rsid w:val="00A66E7F"/>
    <w:rsid w:val="00A67917"/>
    <w:rsid w:val="00A70904"/>
    <w:rsid w:val="00A709BB"/>
    <w:rsid w:val="00A75C52"/>
    <w:rsid w:val="00A767B2"/>
    <w:rsid w:val="00A81B11"/>
    <w:rsid w:val="00A82B9E"/>
    <w:rsid w:val="00A84186"/>
    <w:rsid w:val="00A846F1"/>
    <w:rsid w:val="00A857B4"/>
    <w:rsid w:val="00A85B14"/>
    <w:rsid w:val="00A875C0"/>
    <w:rsid w:val="00A87C15"/>
    <w:rsid w:val="00A92706"/>
    <w:rsid w:val="00A9704A"/>
    <w:rsid w:val="00A97AD0"/>
    <w:rsid w:val="00AA1377"/>
    <w:rsid w:val="00AA1D1B"/>
    <w:rsid w:val="00AA49AF"/>
    <w:rsid w:val="00AA4F2F"/>
    <w:rsid w:val="00AA57CE"/>
    <w:rsid w:val="00AA7211"/>
    <w:rsid w:val="00AA7540"/>
    <w:rsid w:val="00AB3E6B"/>
    <w:rsid w:val="00AB51C8"/>
    <w:rsid w:val="00AB5586"/>
    <w:rsid w:val="00AB7B25"/>
    <w:rsid w:val="00AC0BAE"/>
    <w:rsid w:val="00AC126F"/>
    <w:rsid w:val="00AC13F7"/>
    <w:rsid w:val="00AC3256"/>
    <w:rsid w:val="00AC43D2"/>
    <w:rsid w:val="00AC4B34"/>
    <w:rsid w:val="00AC6DE2"/>
    <w:rsid w:val="00AC737D"/>
    <w:rsid w:val="00AD05A6"/>
    <w:rsid w:val="00AD283D"/>
    <w:rsid w:val="00AD3C25"/>
    <w:rsid w:val="00AD6555"/>
    <w:rsid w:val="00AE05EA"/>
    <w:rsid w:val="00AE0EDF"/>
    <w:rsid w:val="00AE1128"/>
    <w:rsid w:val="00AE1AB0"/>
    <w:rsid w:val="00AE2609"/>
    <w:rsid w:val="00AE29A8"/>
    <w:rsid w:val="00AE3960"/>
    <w:rsid w:val="00AE4074"/>
    <w:rsid w:val="00AE439A"/>
    <w:rsid w:val="00AE591D"/>
    <w:rsid w:val="00AE617A"/>
    <w:rsid w:val="00AE713F"/>
    <w:rsid w:val="00AF01CB"/>
    <w:rsid w:val="00AF09C7"/>
    <w:rsid w:val="00AF4BF4"/>
    <w:rsid w:val="00B0025D"/>
    <w:rsid w:val="00B006D8"/>
    <w:rsid w:val="00B02238"/>
    <w:rsid w:val="00B03D35"/>
    <w:rsid w:val="00B05065"/>
    <w:rsid w:val="00B05194"/>
    <w:rsid w:val="00B0688D"/>
    <w:rsid w:val="00B06B45"/>
    <w:rsid w:val="00B06D33"/>
    <w:rsid w:val="00B074B3"/>
    <w:rsid w:val="00B10AD8"/>
    <w:rsid w:val="00B154B5"/>
    <w:rsid w:val="00B17303"/>
    <w:rsid w:val="00B1744E"/>
    <w:rsid w:val="00B21343"/>
    <w:rsid w:val="00B219AA"/>
    <w:rsid w:val="00B21A5B"/>
    <w:rsid w:val="00B25143"/>
    <w:rsid w:val="00B2585D"/>
    <w:rsid w:val="00B266FA"/>
    <w:rsid w:val="00B26C40"/>
    <w:rsid w:val="00B26D82"/>
    <w:rsid w:val="00B27359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BEA"/>
    <w:rsid w:val="00B41D9D"/>
    <w:rsid w:val="00B44029"/>
    <w:rsid w:val="00B44FFA"/>
    <w:rsid w:val="00B45428"/>
    <w:rsid w:val="00B47943"/>
    <w:rsid w:val="00B50446"/>
    <w:rsid w:val="00B50A6E"/>
    <w:rsid w:val="00B512D2"/>
    <w:rsid w:val="00B527BF"/>
    <w:rsid w:val="00B52DC6"/>
    <w:rsid w:val="00B530FD"/>
    <w:rsid w:val="00B53C03"/>
    <w:rsid w:val="00B53C9C"/>
    <w:rsid w:val="00B558FE"/>
    <w:rsid w:val="00B56396"/>
    <w:rsid w:val="00B5639B"/>
    <w:rsid w:val="00B60C3E"/>
    <w:rsid w:val="00B615CB"/>
    <w:rsid w:val="00B63E30"/>
    <w:rsid w:val="00B645FA"/>
    <w:rsid w:val="00B64775"/>
    <w:rsid w:val="00B663CD"/>
    <w:rsid w:val="00B67B4F"/>
    <w:rsid w:val="00B702CD"/>
    <w:rsid w:val="00B77BB8"/>
    <w:rsid w:val="00B81718"/>
    <w:rsid w:val="00B85A97"/>
    <w:rsid w:val="00B86AF6"/>
    <w:rsid w:val="00B86E2A"/>
    <w:rsid w:val="00B877AA"/>
    <w:rsid w:val="00B9389E"/>
    <w:rsid w:val="00B94EB5"/>
    <w:rsid w:val="00B96EA4"/>
    <w:rsid w:val="00B97282"/>
    <w:rsid w:val="00B97A3E"/>
    <w:rsid w:val="00BA2F02"/>
    <w:rsid w:val="00BA2FFD"/>
    <w:rsid w:val="00BA428A"/>
    <w:rsid w:val="00BA58B6"/>
    <w:rsid w:val="00BA62AD"/>
    <w:rsid w:val="00BB0267"/>
    <w:rsid w:val="00BB078B"/>
    <w:rsid w:val="00BB37AF"/>
    <w:rsid w:val="00BB4769"/>
    <w:rsid w:val="00BB4C08"/>
    <w:rsid w:val="00BB61BE"/>
    <w:rsid w:val="00BB779D"/>
    <w:rsid w:val="00BC1DBD"/>
    <w:rsid w:val="00BC5737"/>
    <w:rsid w:val="00BD1747"/>
    <w:rsid w:val="00BD3C68"/>
    <w:rsid w:val="00BD3EBA"/>
    <w:rsid w:val="00BD421D"/>
    <w:rsid w:val="00BD4493"/>
    <w:rsid w:val="00BD6B87"/>
    <w:rsid w:val="00BD73FC"/>
    <w:rsid w:val="00BD79B1"/>
    <w:rsid w:val="00BE04D9"/>
    <w:rsid w:val="00BE08EF"/>
    <w:rsid w:val="00BE4614"/>
    <w:rsid w:val="00BE4E6F"/>
    <w:rsid w:val="00BE5100"/>
    <w:rsid w:val="00BE529D"/>
    <w:rsid w:val="00BE53DD"/>
    <w:rsid w:val="00BE573E"/>
    <w:rsid w:val="00BE6637"/>
    <w:rsid w:val="00BF10E8"/>
    <w:rsid w:val="00BF2033"/>
    <w:rsid w:val="00BF3158"/>
    <w:rsid w:val="00BF3169"/>
    <w:rsid w:val="00BF51B7"/>
    <w:rsid w:val="00C000AF"/>
    <w:rsid w:val="00C00953"/>
    <w:rsid w:val="00C03312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F76"/>
    <w:rsid w:val="00C15A27"/>
    <w:rsid w:val="00C15FEF"/>
    <w:rsid w:val="00C165A1"/>
    <w:rsid w:val="00C1776A"/>
    <w:rsid w:val="00C20301"/>
    <w:rsid w:val="00C22519"/>
    <w:rsid w:val="00C2305C"/>
    <w:rsid w:val="00C233D0"/>
    <w:rsid w:val="00C2380D"/>
    <w:rsid w:val="00C24162"/>
    <w:rsid w:val="00C24E78"/>
    <w:rsid w:val="00C2509D"/>
    <w:rsid w:val="00C27A2E"/>
    <w:rsid w:val="00C34ABD"/>
    <w:rsid w:val="00C353CF"/>
    <w:rsid w:val="00C35F43"/>
    <w:rsid w:val="00C36C55"/>
    <w:rsid w:val="00C37088"/>
    <w:rsid w:val="00C3715E"/>
    <w:rsid w:val="00C408D5"/>
    <w:rsid w:val="00C41D3C"/>
    <w:rsid w:val="00C43801"/>
    <w:rsid w:val="00C44A07"/>
    <w:rsid w:val="00C44BDC"/>
    <w:rsid w:val="00C45BFB"/>
    <w:rsid w:val="00C45DCE"/>
    <w:rsid w:val="00C46D15"/>
    <w:rsid w:val="00C50C7D"/>
    <w:rsid w:val="00C50FF9"/>
    <w:rsid w:val="00C54B14"/>
    <w:rsid w:val="00C6352A"/>
    <w:rsid w:val="00C65B2D"/>
    <w:rsid w:val="00C65C5D"/>
    <w:rsid w:val="00C6656A"/>
    <w:rsid w:val="00C66C03"/>
    <w:rsid w:val="00C711E5"/>
    <w:rsid w:val="00C730CB"/>
    <w:rsid w:val="00C731FC"/>
    <w:rsid w:val="00C73782"/>
    <w:rsid w:val="00C80D90"/>
    <w:rsid w:val="00C81B05"/>
    <w:rsid w:val="00C83AEE"/>
    <w:rsid w:val="00C85531"/>
    <w:rsid w:val="00C85563"/>
    <w:rsid w:val="00C85AC7"/>
    <w:rsid w:val="00C85B0B"/>
    <w:rsid w:val="00C87F13"/>
    <w:rsid w:val="00C9045E"/>
    <w:rsid w:val="00C906CD"/>
    <w:rsid w:val="00C9133D"/>
    <w:rsid w:val="00C934E0"/>
    <w:rsid w:val="00C96454"/>
    <w:rsid w:val="00CA0FB8"/>
    <w:rsid w:val="00CA15F3"/>
    <w:rsid w:val="00CA2680"/>
    <w:rsid w:val="00CA4D23"/>
    <w:rsid w:val="00CA6716"/>
    <w:rsid w:val="00CB036A"/>
    <w:rsid w:val="00CB0D34"/>
    <w:rsid w:val="00CB79F7"/>
    <w:rsid w:val="00CC1939"/>
    <w:rsid w:val="00CC42D4"/>
    <w:rsid w:val="00CC4364"/>
    <w:rsid w:val="00CC64E3"/>
    <w:rsid w:val="00CC7712"/>
    <w:rsid w:val="00CD179A"/>
    <w:rsid w:val="00CD2030"/>
    <w:rsid w:val="00CD2536"/>
    <w:rsid w:val="00CD407F"/>
    <w:rsid w:val="00CD5740"/>
    <w:rsid w:val="00CD7420"/>
    <w:rsid w:val="00CE0BA7"/>
    <w:rsid w:val="00CE6ACB"/>
    <w:rsid w:val="00CE6D09"/>
    <w:rsid w:val="00CF0E4D"/>
    <w:rsid w:val="00CF230D"/>
    <w:rsid w:val="00CF5489"/>
    <w:rsid w:val="00CF7615"/>
    <w:rsid w:val="00CF7823"/>
    <w:rsid w:val="00D003F8"/>
    <w:rsid w:val="00D01540"/>
    <w:rsid w:val="00D01AFE"/>
    <w:rsid w:val="00D02757"/>
    <w:rsid w:val="00D02FB7"/>
    <w:rsid w:val="00D04613"/>
    <w:rsid w:val="00D05C77"/>
    <w:rsid w:val="00D10769"/>
    <w:rsid w:val="00D11642"/>
    <w:rsid w:val="00D116C7"/>
    <w:rsid w:val="00D13AC5"/>
    <w:rsid w:val="00D14E5F"/>
    <w:rsid w:val="00D14FB2"/>
    <w:rsid w:val="00D16754"/>
    <w:rsid w:val="00D17548"/>
    <w:rsid w:val="00D17CC6"/>
    <w:rsid w:val="00D2041E"/>
    <w:rsid w:val="00D20454"/>
    <w:rsid w:val="00D20D10"/>
    <w:rsid w:val="00D23801"/>
    <w:rsid w:val="00D25AEC"/>
    <w:rsid w:val="00D25B2F"/>
    <w:rsid w:val="00D341C9"/>
    <w:rsid w:val="00D3447D"/>
    <w:rsid w:val="00D3488B"/>
    <w:rsid w:val="00D35F32"/>
    <w:rsid w:val="00D361DE"/>
    <w:rsid w:val="00D37427"/>
    <w:rsid w:val="00D3793E"/>
    <w:rsid w:val="00D37FB2"/>
    <w:rsid w:val="00D41A6A"/>
    <w:rsid w:val="00D4233A"/>
    <w:rsid w:val="00D44B3D"/>
    <w:rsid w:val="00D46C4C"/>
    <w:rsid w:val="00D51F18"/>
    <w:rsid w:val="00D52DA3"/>
    <w:rsid w:val="00D53537"/>
    <w:rsid w:val="00D54E9E"/>
    <w:rsid w:val="00D551C8"/>
    <w:rsid w:val="00D55972"/>
    <w:rsid w:val="00D564BB"/>
    <w:rsid w:val="00D565FA"/>
    <w:rsid w:val="00D568ED"/>
    <w:rsid w:val="00D56BF9"/>
    <w:rsid w:val="00D6014E"/>
    <w:rsid w:val="00D630E7"/>
    <w:rsid w:val="00D66F17"/>
    <w:rsid w:val="00D700E5"/>
    <w:rsid w:val="00D70900"/>
    <w:rsid w:val="00D71B77"/>
    <w:rsid w:val="00D74A87"/>
    <w:rsid w:val="00D76186"/>
    <w:rsid w:val="00D771E9"/>
    <w:rsid w:val="00D86C20"/>
    <w:rsid w:val="00D86DD4"/>
    <w:rsid w:val="00D92529"/>
    <w:rsid w:val="00DA1613"/>
    <w:rsid w:val="00DA330A"/>
    <w:rsid w:val="00DA5AAB"/>
    <w:rsid w:val="00DA671A"/>
    <w:rsid w:val="00DA6858"/>
    <w:rsid w:val="00DA7CBB"/>
    <w:rsid w:val="00DB1CD7"/>
    <w:rsid w:val="00DB2651"/>
    <w:rsid w:val="00DB30B1"/>
    <w:rsid w:val="00DB3ECD"/>
    <w:rsid w:val="00DB4717"/>
    <w:rsid w:val="00DC12C8"/>
    <w:rsid w:val="00DC6F31"/>
    <w:rsid w:val="00DC7FFD"/>
    <w:rsid w:val="00DD0277"/>
    <w:rsid w:val="00DD1B11"/>
    <w:rsid w:val="00DD1B33"/>
    <w:rsid w:val="00DD6D82"/>
    <w:rsid w:val="00DE045E"/>
    <w:rsid w:val="00DE1240"/>
    <w:rsid w:val="00DE1AA5"/>
    <w:rsid w:val="00DE231A"/>
    <w:rsid w:val="00DE23D6"/>
    <w:rsid w:val="00DE2825"/>
    <w:rsid w:val="00DE2CB6"/>
    <w:rsid w:val="00DE2DDE"/>
    <w:rsid w:val="00DE395F"/>
    <w:rsid w:val="00DE5414"/>
    <w:rsid w:val="00DE7E46"/>
    <w:rsid w:val="00DF0C37"/>
    <w:rsid w:val="00DF24FD"/>
    <w:rsid w:val="00DF2506"/>
    <w:rsid w:val="00DF2F26"/>
    <w:rsid w:val="00DF301A"/>
    <w:rsid w:val="00DF3469"/>
    <w:rsid w:val="00DF3BE2"/>
    <w:rsid w:val="00DF4E2C"/>
    <w:rsid w:val="00DF4E34"/>
    <w:rsid w:val="00DF75EC"/>
    <w:rsid w:val="00E0133D"/>
    <w:rsid w:val="00E019ED"/>
    <w:rsid w:val="00E02392"/>
    <w:rsid w:val="00E0312F"/>
    <w:rsid w:val="00E04C48"/>
    <w:rsid w:val="00E06065"/>
    <w:rsid w:val="00E079C6"/>
    <w:rsid w:val="00E1273C"/>
    <w:rsid w:val="00E1434A"/>
    <w:rsid w:val="00E146CF"/>
    <w:rsid w:val="00E14BED"/>
    <w:rsid w:val="00E17711"/>
    <w:rsid w:val="00E23C05"/>
    <w:rsid w:val="00E2425F"/>
    <w:rsid w:val="00E242F0"/>
    <w:rsid w:val="00E245B0"/>
    <w:rsid w:val="00E247E2"/>
    <w:rsid w:val="00E30431"/>
    <w:rsid w:val="00E304EB"/>
    <w:rsid w:val="00E329D0"/>
    <w:rsid w:val="00E33746"/>
    <w:rsid w:val="00E342B3"/>
    <w:rsid w:val="00E3451F"/>
    <w:rsid w:val="00E34B80"/>
    <w:rsid w:val="00E36ADF"/>
    <w:rsid w:val="00E36B53"/>
    <w:rsid w:val="00E37585"/>
    <w:rsid w:val="00E41B64"/>
    <w:rsid w:val="00E42C35"/>
    <w:rsid w:val="00E469D5"/>
    <w:rsid w:val="00E46CD5"/>
    <w:rsid w:val="00E500D9"/>
    <w:rsid w:val="00E51AB5"/>
    <w:rsid w:val="00E52345"/>
    <w:rsid w:val="00E52763"/>
    <w:rsid w:val="00E563AE"/>
    <w:rsid w:val="00E662CD"/>
    <w:rsid w:val="00E67427"/>
    <w:rsid w:val="00E676F1"/>
    <w:rsid w:val="00E73271"/>
    <w:rsid w:val="00E735DA"/>
    <w:rsid w:val="00E74214"/>
    <w:rsid w:val="00E74762"/>
    <w:rsid w:val="00E74D52"/>
    <w:rsid w:val="00E75855"/>
    <w:rsid w:val="00E7609C"/>
    <w:rsid w:val="00E82556"/>
    <w:rsid w:val="00E85CBE"/>
    <w:rsid w:val="00E86566"/>
    <w:rsid w:val="00E875F5"/>
    <w:rsid w:val="00E92527"/>
    <w:rsid w:val="00E92A93"/>
    <w:rsid w:val="00E93620"/>
    <w:rsid w:val="00E97045"/>
    <w:rsid w:val="00E97DA3"/>
    <w:rsid w:val="00EA270C"/>
    <w:rsid w:val="00EA3185"/>
    <w:rsid w:val="00EA5CB5"/>
    <w:rsid w:val="00EA5CF4"/>
    <w:rsid w:val="00EA6582"/>
    <w:rsid w:val="00EB09B9"/>
    <w:rsid w:val="00EB76F7"/>
    <w:rsid w:val="00EB7CB1"/>
    <w:rsid w:val="00EC0569"/>
    <w:rsid w:val="00EC0C7B"/>
    <w:rsid w:val="00EC1C35"/>
    <w:rsid w:val="00EC5E45"/>
    <w:rsid w:val="00ED0557"/>
    <w:rsid w:val="00ED0CF0"/>
    <w:rsid w:val="00ED34D4"/>
    <w:rsid w:val="00ED3D84"/>
    <w:rsid w:val="00ED766C"/>
    <w:rsid w:val="00ED76FB"/>
    <w:rsid w:val="00EE05C2"/>
    <w:rsid w:val="00EE0D01"/>
    <w:rsid w:val="00EE30EE"/>
    <w:rsid w:val="00EE3C6D"/>
    <w:rsid w:val="00EE4C6E"/>
    <w:rsid w:val="00EE5135"/>
    <w:rsid w:val="00EE61BE"/>
    <w:rsid w:val="00EE6DE6"/>
    <w:rsid w:val="00EF057C"/>
    <w:rsid w:val="00EF1D14"/>
    <w:rsid w:val="00EF4FEE"/>
    <w:rsid w:val="00EF6873"/>
    <w:rsid w:val="00EF6F24"/>
    <w:rsid w:val="00F0080B"/>
    <w:rsid w:val="00F00BE1"/>
    <w:rsid w:val="00F01B31"/>
    <w:rsid w:val="00F03AB9"/>
    <w:rsid w:val="00F06479"/>
    <w:rsid w:val="00F076C5"/>
    <w:rsid w:val="00F120D9"/>
    <w:rsid w:val="00F124BE"/>
    <w:rsid w:val="00F125DE"/>
    <w:rsid w:val="00F14C13"/>
    <w:rsid w:val="00F24232"/>
    <w:rsid w:val="00F2526C"/>
    <w:rsid w:val="00F27170"/>
    <w:rsid w:val="00F30016"/>
    <w:rsid w:val="00F3144A"/>
    <w:rsid w:val="00F31C75"/>
    <w:rsid w:val="00F32543"/>
    <w:rsid w:val="00F33277"/>
    <w:rsid w:val="00F340CD"/>
    <w:rsid w:val="00F341CC"/>
    <w:rsid w:val="00F36B6C"/>
    <w:rsid w:val="00F36D10"/>
    <w:rsid w:val="00F40CAB"/>
    <w:rsid w:val="00F43960"/>
    <w:rsid w:val="00F459C7"/>
    <w:rsid w:val="00F47C5C"/>
    <w:rsid w:val="00F54856"/>
    <w:rsid w:val="00F55D35"/>
    <w:rsid w:val="00F57650"/>
    <w:rsid w:val="00F579FC"/>
    <w:rsid w:val="00F60C74"/>
    <w:rsid w:val="00F62773"/>
    <w:rsid w:val="00F64F51"/>
    <w:rsid w:val="00F66122"/>
    <w:rsid w:val="00F666FD"/>
    <w:rsid w:val="00F67099"/>
    <w:rsid w:val="00F67A35"/>
    <w:rsid w:val="00F72620"/>
    <w:rsid w:val="00F759AD"/>
    <w:rsid w:val="00F765E8"/>
    <w:rsid w:val="00F8200C"/>
    <w:rsid w:val="00F85D77"/>
    <w:rsid w:val="00F86D88"/>
    <w:rsid w:val="00F87FA7"/>
    <w:rsid w:val="00F90898"/>
    <w:rsid w:val="00F914C8"/>
    <w:rsid w:val="00F92EAE"/>
    <w:rsid w:val="00F9473C"/>
    <w:rsid w:val="00FA40A3"/>
    <w:rsid w:val="00FA45CD"/>
    <w:rsid w:val="00FA5B17"/>
    <w:rsid w:val="00FB33FA"/>
    <w:rsid w:val="00FB3BA6"/>
    <w:rsid w:val="00FB4D65"/>
    <w:rsid w:val="00FB5954"/>
    <w:rsid w:val="00FB6695"/>
    <w:rsid w:val="00FC0253"/>
    <w:rsid w:val="00FC0CDF"/>
    <w:rsid w:val="00FC0D7C"/>
    <w:rsid w:val="00FC163A"/>
    <w:rsid w:val="00FC183A"/>
    <w:rsid w:val="00FC19F5"/>
    <w:rsid w:val="00FC3D1C"/>
    <w:rsid w:val="00FC64F3"/>
    <w:rsid w:val="00FD08A7"/>
    <w:rsid w:val="00FD1295"/>
    <w:rsid w:val="00FD2E55"/>
    <w:rsid w:val="00FD2FA9"/>
    <w:rsid w:val="00FD3572"/>
    <w:rsid w:val="00FD54CC"/>
    <w:rsid w:val="00FE06A2"/>
    <w:rsid w:val="00FE0CE6"/>
    <w:rsid w:val="00FE28C8"/>
    <w:rsid w:val="00FE79EF"/>
    <w:rsid w:val="00FF025A"/>
    <w:rsid w:val="00FF088B"/>
    <w:rsid w:val="00FF0AC4"/>
    <w:rsid w:val="00FF10AF"/>
    <w:rsid w:val="00FF334E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943BADF-BF11-4A5C-B498-F8D54AB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3264</Words>
  <Characters>17627</Characters>
  <Application>Microsoft Office Word</Application>
  <DocSecurity>4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20850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2011-08-25T20:09:00Z</cp:lastPrinted>
  <dcterms:created xsi:type="dcterms:W3CDTF">2015-05-07T12:40:00Z</dcterms:created>
  <dcterms:modified xsi:type="dcterms:W3CDTF">2015-05-07T12:40:00Z</dcterms:modified>
</cp:coreProperties>
</file>