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0807D4">
        <w:rPr>
          <w:rFonts w:ascii="Times New Roman" w:hAnsi="Times New Roman"/>
          <w:b/>
          <w:i w:val="0"/>
          <w:color w:val="000000"/>
          <w:sz w:val="22"/>
          <w:szCs w:val="22"/>
        </w:rPr>
        <w:t>26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952B9C">
        <w:rPr>
          <w:rFonts w:ascii="Times New Roman" w:hAnsi="Times New Roman"/>
          <w:b/>
          <w:i w:val="0"/>
          <w:color w:val="000000"/>
          <w:sz w:val="22"/>
          <w:szCs w:val="22"/>
        </w:rPr>
        <w:t>e 2</w:t>
      </w:r>
      <w:r w:rsidR="000807D4">
        <w:rPr>
          <w:rFonts w:ascii="Times New Roman" w:hAnsi="Times New Roman"/>
          <w:b/>
          <w:i w:val="0"/>
          <w:color w:val="000000"/>
          <w:sz w:val="22"/>
          <w:szCs w:val="22"/>
        </w:rPr>
        <w:t>7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ju</w:t>
      </w:r>
      <w:r w:rsidR="00837D13">
        <w:rPr>
          <w:rFonts w:ascii="Times New Roman" w:hAnsi="Times New Roman"/>
          <w:b/>
          <w:i w:val="0"/>
          <w:color w:val="000000"/>
          <w:sz w:val="22"/>
          <w:szCs w:val="22"/>
        </w:rPr>
        <w:t>l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ho 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1D5EC0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F36B6C" w:rsidRDefault="009444E6" w:rsidP="001D5EC0">
      <w:pPr>
        <w:pStyle w:val="tita"/>
        <w:tabs>
          <w:tab w:val="left" w:pos="2590"/>
        </w:tabs>
        <w:spacing w:before="60" w:after="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F36B6C">
        <w:rPr>
          <w:i w:val="0"/>
          <w:iCs w:val="0"/>
          <w:color w:val="000000"/>
          <w:sz w:val="22"/>
          <w:szCs w:val="22"/>
        </w:rPr>
        <w:t>Plenário</w:t>
      </w:r>
    </w:p>
    <w:p w:rsidR="00DE2825" w:rsidRPr="00FC64F3" w:rsidRDefault="00DE2825" w:rsidP="001D5EC0">
      <w:pPr>
        <w:spacing w:before="60" w:after="0"/>
        <w:ind w:left="0"/>
        <w:rPr>
          <w:sz w:val="22"/>
          <w:szCs w:val="22"/>
        </w:rPr>
      </w:pPr>
      <w:r w:rsidRPr="00FC64F3">
        <w:rPr>
          <w:sz w:val="22"/>
          <w:szCs w:val="22"/>
        </w:rPr>
        <w:t xml:space="preserve">Licitação sob a modalidade pregão: </w:t>
      </w:r>
    </w:p>
    <w:p w:rsidR="00DE2825" w:rsidRPr="00FC64F3" w:rsidRDefault="00DE2825" w:rsidP="001D5EC0">
      <w:pPr>
        <w:spacing w:before="60" w:after="0"/>
        <w:ind w:left="0" w:firstLine="851"/>
        <w:rPr>
          <w:sz w:val="22"/>
          <w:szCs w:val="22"/>
        </w:rPr>
      </w:pPr>
      <w:r w:rsidRPr="00FC64F3">
        <w:rPr>
          <w:sz w:val="22"/>
          <w:szCs w:val="22"/>
        </w:rPr>
        <w:t>1 - As informações demandad</w:t>
      </w:r>
      <w:r w:rsidR="00FD4FEE">
        <w:rPr>
          <w:sz w:val="22"/>
          <w:szCs w:val="22"/>
        </w:rPr>
        <w:t>a</w:t>
      </w:r>
      <w:r w:rsidRPr="00FC64F3">
        <w:rPr>
          <w:sz w:val="22"/>
          <w:szCs w:val="22"/>
        </w:rPr>
        <w:t xml:space="preserve">s nos atestados a serem apresentados por licitantes, para o fim de comprovação de capacidade técnica, devem ser dotadas de clareza, sendo que, no caso de dúvidas, cabe ao gestor público valer-se da faculdade contida no § 3º art. 43 da Lei 8.666/1993, promovendo diligências, para saneamento dos fatos, se necessário; </w:t>
      </w:r>
    </w:p>
    <w:p w:rsidR="006D5843" w:rsidRPr="00FC64F3" w:rsidRDefault="00DE2825" w:rsidP="001D5EC0">
      <w:pPr>
        <w:pStyle w:val="TCU-RelVoto-1"/>
        <w:spacing w:before="60" w:after="0"/>
        <w:ind w:firstLine="851"/>
        <w:rPr>
          <w:color w:val="FF0000"/>
          <w:sz w:val="22"/>
        </w:rPr>
      </w:pPr>
      <w:r w:rsidRPr="00FC64F3">
        <w:rPr>
          <w:sz w:val="22"/>
        </w:rPr>
        <w:t>2 – A exigência de aposição de Declaração de Habilitação Profissional nos documentos contábeis das licitantes é indevida.</w:t>
      </w:r>
    </w:p>
    <w:p w:rsidR="00566E81" w:rsidRPr="00FC64F3" w:rsidRDefault="00566E81" w:rsidP="001D5EC0">
      <w:pPr>
        <w:tabs>
          <w:tab w:val="left" w:pos="851"/>
        </w:tabs>
        <w:spacing w:before="60" w:after="0"/>
        <w:ind w:left="0"/>
        <w:rPr>
          <w:sz w:val="22"/>
          <w:szCs w:val="22"/>
        </w:rPr>
      </w:pPr>
      <w:r w:rsidRPr="00FC64F3">
        <w:rPr>
          <w:sz w:val="22"/>
          <w:szCs w:val="22"/>
        </w:rPr>
        <w:t xml:space="preserve">Concorrência pública para a contratação de serviços e fornecimento de materiais: </w:t>
      </w:r>
    </w:p>
    <w:p w:rsidR="00DE2825" w:rsidRPr="00FC64F3" w:rsidRDefault="00FC64F3" w:rsidP="001D5EC0">
      <w:pPr>
        <w:tabs>
          <w:tab w:val="left" w:pos="851"/>
        </w:tabs>
        <w:spacing w:before="60" w:after="0"/>
        <w:ind w:left="0"/>
        <w:rPr>
          <w:snapToGrid w:val="0"/>
          <w:color w:val="FF0000"/>
          <w:sz w:val="22"/>
        </w:rPr>
      </w:pPr>
      <w:r>
        <w:rPr>
          <w:sz w:val="22"/>
          <w:szCs w:val="22"/>
        </w:rPr>
        <w:tab/>
      </w:r>
      <w:r w:rsidR="00566E81" w:rsidRPr="00FC64F3">
        <w:rPr>
          <w:sz w:val="22"/>
          <w:szCs w:val="22"/>
        </w:rPr>
        <w:t xml:space="preserve">1 - </w:t>
      </w:r>
      <w:r w:rsidR="00DE2825" w:rsidRPr="00FC64F3">
        <w:rPr>
          <w:sz w:val="22"/>
          <w:szCs w:val="22"/>
        </w:rPr>
        <w:t>A exigência de número mínimo de atestados de capacidade técnica em processo licitatório é inadmissível, a não ser que a especificidade do objeto o recomende, ocasião em que os motivos de fato e de direito deverão estar devidamente explicitados no processo administrativo do certame</w:t>
      </w:r>
      <w:r w:rsidR="00566E81" w:rsidRPr="00FC64F3">
        <w:rPr>
          <w:sz w:val="22"/>
          <w:szCs w:val="22"/>
        </w:rPr>
        <w:t>;</w:t>
      </w:r>
    </w:p>
    <w:p w:rsidR="00566E81" w:rsidRPr="00FC64F3" w:rsidRDefault="00FC64F3" w:rsidP="001D5EC0">
      <w:pPr>
        <w:tabs>
          <w:tab w:val="left" w:pos="851"/>
        </w:tabs>
        <w:spacing w:before="60" w:after="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566E81" w:rsidRPr="00FC64F3">
        <w:rPr>
          <w:sz w:val="22"/>
          <w:szCs w:val="22"/>
        </w:rPr>
        <w:t>2 – A realização de vistoria técnica não deve estar limitada a um único dia e horário;</w:t>
      </w:r>
    </w:p>
    <w:p w:rsidR="00566E81" w:rsidRPr="00FC64F3" w:rsidRDefault="00FC64F3" w:rsidP="001D5EC0">
      <w:pPr>
        <w:tabs>
          <w:tab w:val="left" w:pos="851"/>
        </w:tabs>
        <w:spacing w:before="60" w:after="0"/>
        <w:ind w:left="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566E81" w:rsidRPr="00FC64F3">
        <w:rPr>
          <w:sz w:val="22"/>
          <w:szCs w:val="22"/>
        </w:rPr>
        <w:t>3 - Em se tratando de regime de empreitada por preço global, é necessária a disponibilização por parte da instituição contratante de cronograma físico-financeiro detalhado, no qual estejam definidas as etapas/fases da obra a executar e os serviços/atividades que as compõem.</w:t>
      </w:r>
    </w:p>
    <w:p w:rsidR="00FC64F3" w:rsidRPr="00FC64F3" w:rsidRDefault="00FC64F3" w:rsidP="001D5EC0">
      <w:pPr>
        <w:pStyle w:val="Acordao-VISTOS-em-diante"/>
        <w:spacing w:before="60"/>
        <w:ind w:firstLine="0"/>
        <w:rPr>
          <w:sz w:val="22"/>
          <w:szCs w:val="22"/>
        </w:rPr>
      </w:pPr>
      <w:r w:rsidRPr="00FC64F3">
        <w:rPr>
          <w:sz w:val="22"/>
          <w:szCs w:val="22"/>
        </w:rPr>
        <w:t>A seleção da instituição financeira à qual será concedida exclusividade para a prestação dos serviços de pagamento de remunerações a servidores deverá ser feita por meio de licitação, sendo que o potencial benefício econômico inerente à incorporação dos servidores à base de clientes do banco deve ser previamente estimado pela administração, para balizar o procedimento licitatório</w:t>
      </w:r>
      <w:r>
        <w:rPr>
          <w:sz w:val="22"/>
          <w:szCs w:val="22"/>
        </w:rPr>
        <w:t>.</w:t>
      </w:r>
    </w:p>
    <w:p w:rsidR="006D5843" w:rsidRPr="00FC64F3" w:rsidRDefault="00FC64F3" w:rsidP="001D5EC0">
      <w:pPr>
        <w:pStyle w:val="Default"/>
        <w:spacing w:before="60"/>
        <w:jc w:val="both"/>
        <w:rPr>
          <w:sz w:val="22"/>
          <w:szCs w:val="22"/>
        </w:rPr>
      </w:pPr>
      <w:r w:rsidRPr="00FC64F3">
        <w:rPr>
          <w:sz w:val="22"/>
          <w:szCs w:val="22"/>
        </w:rPr>
        <w:t xml:space="preserve">A exigência de apresentação de certidões negativas de débitos salariais e de infrações trabalhistas junto à Delegacia Regional do </w:t>
      </w:r>
      <w:r w:rsidRPr="00FC64F3">
        <w:rPr>
          <w:color w:val="auto"/>
          <w:sz w:val="22"/>
          <w:szCs w:val="22"/>
        </w:rPr>
        <w:t>Trabalho é indevida</w:t>
      </w:r>
      <w:r w:rsidR="006D5843" w:rsidRPr="00FC64F3">
        <w:rPr>
          <w:snapToGrid w:val="0"/>
          <w:color w:val="auto"/>
          <w:sz w:val="22"/>
          <w:szCs w:val="22"/>
        </w:rPr>
        <w:t>.</w:t>
      </w:r>
    </w:p>
    <w:p w:rsidR="006242BF" w:rsidRPr="000807D4" w:rsidRDefault="006242BF" w:rsidP="00FC64F3">
      <w:pPr>
        <w:pStyle w:val="Corpodetexto"/>
        <w:tabs>
          <w:tab w:val="left" w:pos="2590"/>
        </w:tabs>
        <w:spacing w:before="60" w:after="60"/>
        <w:ind w:left="0"/>
        <w:rPr>
          <w:b/>
          <w:color w:val="FF0000"/>
          <w:sz w:val="22"/>
          <w:szCs w:val="22"/>
        </w:rPr>
      </w:pPr>
    </w:p>
    <w:p w:rsidR="003C6DEB" w:rsidRPr="000807D4" w:rsidRDefault="003C6DEB" w:rsidP="00621D6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0807D4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D52DA3" w:rsidRDefault="003C6DEB" w:rsidP="00D52DA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7424E5" w:rsidRPr="007424E5" w:rsidRDefault="00DE2825" w:rsidP="007424E5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Licitação sob a modalidade pregão: 1 - </w:t>
      </w:r>
      <w:r w:rsidR="007424E5" w:rsidRPr="007424E5">
        <w:rPr>
          <w:b/>
          <w:sz w:val="22"/>
          <w:szCs w:val="22"/>
        </w:rPr>
        <w:t xml:space="preserve">As informações </w:t>
      </w:r>
      <w:r w:rsidR="007424E5">
        <w:rPr>
          <w:b/>
          <w:sz w:val="22"/>
          <w:szCs w:val="22"/>
        </w:rPr>
        <w:t>demandad</w:t>
      </w:r>
      <w:r w:rsidR="00FD4FEE">
        <w:rPr>
          <w:b/>
          <w:sz w:val="22"/>
          <w:szCs w:val="22"/>
        </w:rPr>
        <w:t>a</w:t>
      </w:r>
      <w:r w:rsidR="007424E5">
        <w:rPr>
          <w:b/>
          <w:sz w:val="22"/>
          <w:szCs w:val="22"/>
        </w:rPr>
        <w:t>s nos</w:t>
      </w:r>
      <w:r w:rsidR="007424E5" w:rsidRPr="007424E5">
        <w:rPr>
          <w:b/>
          <w:sz w:val="22"/>
          <w:szCs w:val="22"/>
        </w:rPr>
        <w:t xml:space="preserve"> atestados a serem apresentados por licitantes, para o fim de comprovação de capacidade técnica, devem ser dotadas de clareza, sendo que, no caso de dúvidas, cabe ao gestor </w:t>
      </w:r>
      <w:r w:rsidR="007424E5">
        <w:rPr>
          <w:b/>
          <w:sz w:val="22"/>
          <w:szCs w:val="22"/>
        </w:rPr>
        <w:t xml:space="preserve">público </w:t>
      </w:r>
      <w:r w:rsidR="007424E5" w:rsidRPr="007424E5">
        <w:rPr>
          <w:b/>
          <w:sz w:val="22"/>
          <w:szCs w:val="22"/>
        </w:rPr>
        <w:t>valer-se da faculdade contida no § 3º art. 43 da Lei 8.666/1993, promovendo diligências, para saneamento dos fatos</w:t>
      </w:r>
      <w:r w:rsidR="007424E5">
        <w:rPr>
          <w:b/>
          <w:sz w:val="22"/>
          <w:szCs w:val="22"/>
        </w:rPr>
        <w:t>, se necessário</w:t>
      </w:r>
      <w:r w:rsidR="007424E5" w:rsidRPr="007424E5">
        <w:rPr>
          <w:b/>
          <w:sz w:val="22"/>
          <w:szCs w:val="22"/>
        </w:rPr>
        <w:t xml:space="preserve"> </w:t>
      </w:r>
    </w:p>
    <w:p w:rsidR="00AA1D1B" w:rsidRPr="00D52DA3" w:rsidRDefault="00FD4FEE" w:rsidP="007424E5">
      <w:pPr>
        <w:pStyle w:val="Corpodetexto"/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Representação</w:t>
      </w:r>
      <w:r w:rsidR="005E72FB" w:rsidRPr="00D52DA3">
        <w:rPr>
          <w:sz w:val="22"/>
          <w:szCs w:val="22"/>
        </w:rPr>
        <w:t xml:space="preserve"> formulada ao Tribunal em face do Pregão Eletrônico nº 26/2010</w:t>
      </w:r>
      <w:r w:rsidR="00D52DA3">
        <w:rPr>
          <w:sz w:val="22"/>
          <w:szCs w:val="22"/>
        </w:rPr>
        <w:t>,</w:t>
      </w:r>
      <w:r w:rsidR="005E72FB" w:rsidRPr="00D52DA3">
        <w:rPr>
          <w:sz w:val="22"/>
          <w:szCs w:val="22"/>
        </w:rPr>
        <w:t xml:space="preserve"> promovido pela Companhia Energética de Alagoas - (Ceal) para a contratação de empresa especializada em gestão, operação, administração, projeto, implementação, implantação, treinamento, suporte técnico e operacional para atendimento de consumidores e cidadãos em geral, com cobertura de todas as áreas de concessão das Empresas de Distribuição da Eletrobrás (EDEs), mediante o fornecimento de teleatendimento ativo e receptivo (</w:t>
      </w:r>
      <w:r w:rsidR="005E72FB" w:rsidRPr="00D52DA3">
        <w:rPr>
          <w:b/>
          <w:sz w:val="22"/>
          <w:szCs w:val="22"/>
        </w:rPr>
        <w:t>call center</w:t>
      </w:r>
      <w:r w:rsidR="005E72FB" w:rsidRPr="00D52DA3">
        <w:rPr>
          <w:sz w:val="22"/>
          <w:szCs w:val="22"/>
        </w:rPr>
        <w:t>), na forma humana e eletrônica, disponibilizando instalações físicas, mobiliário, pessoal, treinamento, telefonia, equipamentos, aplicativos (</w:t>
      </w:r>
      <w:r w:rsidR="005E72FB" w:rsidRPr="00D52DA3">
        <w:rPr>
          <w:b/>
          <w:sz w:val="22"/>
          <w:szCs w:val="22"/>
        </w:rPr>
        <w:t>hardware e software</w:t>
      </w:r>
      <w:r w:rsidR="005E72FB" w:rsidRPr="00D52DA3">
        <w:rPr>
          <w:sz w:val="22"/>
          <w:szCs w:val="22"/>
        </w:rPr>
        <w:t xml:space="preserve">) e os demais recursos necessários à prestação dos serviços. Dentre as potenciais irregularidades, averiguou-se a inabilitação de empresa participante do certame, em razão de não ter supostamente apresentado atestado ou certidão de capacidade operacional, fornecidos por pessoas jurídicas de direito público ou privado, e no qual deveria estar comprovado que a licitante desempenha (ou desempenhou) para essas pessoas jurídicas, de forma satisfatória, serviços de natureza e vulto compatíveis em características com o objeto desta licitação, qual seja, a execução de serviços especializados de teleatendimento receptivo, abrangendo todos os recursos necessários a sua operacionalização, inclusive instalações físicas, infraestrutura, rede interna, linhas telefônicas, linhas de comunicação para voz, circuitos para interligação das redes, adequações ambientais, equipamentos, aplicativos, </w:t>
      </w:r>
      <w:r w:rsidR="005E72FB" w:rsidRPr="00D52DA3">
        <w:rPr>
          <w:b/>
          <w:sz w:val="22"/>
          <w:szCs w:val="22"/>
        </w:rPr>
        <w:t>softwares</w:t>
      </w:r>
      <w:r w:rsidR="005E72FB" w:rsidRPr="00D52DA3">
        <w:rPr>
          <w:sz w:val="22"/>
          <w:szCs w:val="22"/>
        </w:rPr>
        <w:t xml:space="preserve"> básicos e mobiliário, para uma operação, de no mínimo</w:t>
      </w:r>
      <w:r w:rsidR="007F588F" w:rsidRPr="00D52DA3">
        <w:rPr>
          <w:sz w:val="22"/>
          <w:szCs w:val="22"/>
        </w:rPr>
        <w:t>,</w:t>
      </w:r>
      <w:r w:rsidR="005E72FB" w:rsidRPr="00D52DA3">
        <w:rPr>
          <w:sz w:val="22"/>
          <w:szCs w:val="22"/>
        </w:rPr>
        <w:t xml:space="preserve"> 300 Postos de Atendimento</w:t>
      </w:r>
      <w:r w:rsidR="007F588F" w:rsidRPr="00D52DA3">
        <w:rPr>
          <w:sz w:val="22"/>
          <w:szCs w:val="22"/>
        </w:rPr>
        <w:t xml:space="preserve"> – (PA)</w:t>
      </w:r>
      <w:r w:rsidR="005E72FB" w:rsidRPr="00D52DA3">
        <w:rPr>
          <w:sz w:val="22"/>
          <w:szCs w:val="22"/>
        </w:rPr>
        <w:t>.</w:t>
      </w:r>
      <w:r w:rsidR="007F588F" w:rsidRPr="00D52DA3">
        <w:rPr>
          <w:sz w:val="22"/>
          <w:szCs w:val="22"/>
        </w:rPr>
        <w:t xml:space="preserve"> De acordo com a empresa inabilitada, o atestado por ela apresentado registrou que em determinada oportunidade disponibilizara </w:t>
      </w:r>
      <w:r w:rsidR="00D52DA3">
        <w:rPr>
          <w:sz w:val="22"/>
          <w:szCs w:val="22"/>
        </w:rPr>
        <w:t>a uma</w:t>
      </w:r>
      <w:r w:rsidR="007F588F" w:rsidRPr="00D52DA3">
        <w:rPr>
          <w:sz w:val="22"/>
          <w:szCs w:val="22"/>
        </w:rPr>
        <w:t xml:space="preserve"> entidade pública 315 PA, e, portanto, não deveria ter sido inabilitada. Todavia, a CEAL entendeu que a exigência diria respeito a 300 PAS ofertados simultaneamente, ou seja, em célula única, com o compartilhamento dos diversos recursos necessários a sua operacionalização, tais como instalações físicas, redes internas, softwares e outros. Todavia, para o relator, faltaria clareza ao edital quanto a esse aspecto, pois não tra</w:t>
      </w:r>
      <w:r>
        <w:rPr>
          <w:sz w:val="22"/>
          <w:szCs w:val="22"/>
        </w:rPr>
        <w:t>z</w:t>
      </w:r>
      <w:r w:rsidR="007F588F" w:rsidRPr="00D52DA3">
        <w:rPr>
          <w:sz w:val="22"/>
          <w:szCs w:val="22"/>
        </w:rPr>
        <w:t>ia nenhuma expressão semelhante à “operação simultânea”, mas tão-somente “operação”.  Mesmo admitindo, ainda consoante o relator, “</w:t>
      </w:r>
      <w:r w:rsidR="007F588F" w:rsidRPr="00D52DA3">
        <w:rPr>
          <w:i/>
          <w:sz w:val="22"/>
          <w:szCs w:val="22"/>
        </w:rPr>
        <w:t>que fosse necessária a comprovação da operação simultânea dos 315 PA em uma única instalação física para a aferição da capacidade técnica, não é possível afirmar que isso não ocorreu a partir do que está escrito no atestado em questão</w:t>
      </w:r>
      <w:r w:rsidR="007F588F" w:rsidRPr="00D52DA3">
        <w:rPr>
          <w:sz w:val="22"/>
          <w:szCs w:val="22"/>
        </w:rPr>
        <w:t xml:space="preserve">”. Nesse ponto haveria, </w:t>
      </w:r>
      <w:r w:rsidR="00D52DA3">
        <w:rPr>
          <w:sz w:val="22"/>
          <w:szCs w:val="22"/>
        </w:rPr>
        <w:t>destarte</w:t>
      </w:r>
      <w:r w:rsidR="007F588F" w:rsidRPr="00D52DA3">
        <w:rPr>
          <w:sz w:val="22"/>
          <w:szCs w:val="22"/>
        </w:rPr>
        <w:t xml:space="preserve">, inferência </w:t>
      </w:r>
      <w:r w:rsidR="00D52DA3" w:rsidRPr="00D52DA3">
        <w:rPr>
          <w:sz w:val="22"/>
          <w:szCs w:val="22"/>
        </w:rPr>
        <w:t xml:space="preserve">por parte da CEAL </w:t>
      </w:r>
      <w:r w:rsidR="007F588F" w:rsidRPr="00D52DA3">
        <w:rPr>
          <w:sz w:val="22"/>
          <w:szCs w:val="22"/>
        </w:rPr>
        <w:t>baseada em interpretação restritiva do texto do atestado. Destacou o relator que “</w:t>
      </w:r>
      <w:r w:rsidR="007F588F" w:rsidRPr="00D52DA3">
        <w:rPr>
          <w:i/>
          <w:sz w:val="22"/>
          <w:szCs w:val="22"/>
        </w:rPr>
        <w:t>se havia dúvidas a respeito do conteúdo do atestado, caberia ao gestor, zeloso, recorrer ao permissivo contido no § 3º do art. 43 da Lei nº 8.666/1993 e efetuar diligência à (...) para esclarecê-las, providência que não foi tomada</w:t>
      </w:r>
      <w:r w:rsidR="007F588F" w:rsidRPr="00D52DA3">
        <w:rPr>
          <w:sz w:val="22"/>
          <w:szCs w:val="22"/>
        </w:rPr>
        <w:t xml:space="preserve">.” Indevida, portanto, na forma de ver do relator, a inabilitação da empresa, o que levou-o a votar por que se </w:t>
      </w:r>
      <w:r w:rsidR="007F588F" w:rsidRPr="00D52DA3">
        <w:rPr>
          <w:color w:val="000000"/>
          <w:sz w:val="22"/>
          <w:szCs w:val="22"/>
        </w:rPr>
        <w:t xml:space="preserve">determinasse à </w:t>
      </w:r>
      <w:r w:rsidR="007F588F" w:rsidRPr="00D52DA3">
        <w:rPr>
          <w:sz w:val="22"/>
          <w:szCs w:val="22"/>
        </w:rPr>
        <w:t xml:space="preserve">CEAL </w:t>
      </w:r>
      <w:r w:rsidR="007F588F" w:rsidRPr="00D52DA3">
        <w:rPr>
          <w:color w:val="000000"/>
          <w:sz w:val="22"/>
          <w:szCs w:val="22"/>
        </w:rPr>
        <w:t>que adotasse as providências necessárias no sentido de tornar nulos os atos administrativos que inabilitaram e desclassificaram a proposta da empresa</w:t>
      </w:r>
      <w:r w:rsidR="000A599E" w:rsidRPr="00D52DA3">
        <w:rPr>
          <w:color w:val="000000"/>
          <w:sz w:val="22"/>
          <w:szCs w:val="22"/>
        </w:rPr>
        <w:t xml:space="preserve">, o que foi aprovado pelo Plenário. Precedente citado: Acórdão nº 2521/2003, Plenário. </w:t>
      </w:r>
      <w:r w:rsidR="00AA1D1B" w:rsidRPr="00D52DA3">
        <w:rPr>
          <w:b/>
          <w:i/>
          <w:sz w:val="22"/>
          <w:szCs w:val="22"/>
        </w:rPr>
        <w:t>Acórdão n.º 1</w:t>
      </w:r>
      <w:r w:rsidR="005E72FB" w:rsidRPr="00D52DA3">
        <w:rPr>
          <w:b/>
          <w:i/>
          <w:sz w:val="22"/>
          <w:szCs w:val="22"/>
        </w:rPr>
        <w:t>924</w:t>
      </w:r>
      <w:r w:rsidR="00AA1D1B" w:rsidRPr="00D52DA3">
        <w:rPr>
          <w:b/>
          <w:i/>
          <w:sz w:val="22"/>
          <w:szCs w:val="22"/>
        </w:rPr>
        <w:t>/2011-Plenário, TC-0</w:t>
      </w:r>
      <w:r w:rsidR="005E72FB" w:rsidRPr="00D52DA3">
        <w:rPr>
          <w:b/>
          <w:i/>
          <w:sz w:val="22"/>
          <w:szCs w:val="22"/>
        </w:rPr>
        <w:t>00</w:t>
      </w:r>
      <w:r w:rsidR="00AA1D1B" w:rsidRPr="00D52DA3">
        <w:rPr>
          <w:b/>
          <w:i/>
          <w:sz w:val="22"/>
          <w:szCs w:val="22"/>
        </w:rPr>
        <w:t>.</w:t>
      </w:r>
      <w:r w:rsidR="005E72FB" w:rsidRPr="00D52DA3">
        <w:rPr>
          <w:b/>
          <w:i/>
          <w:sz w:val="22"/>
          <w:szCs w:val="22"/>
        </w:rPr>
        <w:t>312</w:t>
      </w:r>
      <w:r w:rsidR="00AA1D1B" w:rsidRPr="00D52DA3">
        <w:rPr>
          <w:b/>
          <w:i/>
          <w:sz w:val="22"/>
          <w:szCs w:val="22"/>
        </w:rPr>
        <w:t>/2011-8, rel. Min. Raimundo Carreiro, 2</w:t>
      </w:r>
      <w:r w:rsidR="005E72FB" w:rsidRPr="00D52DA3">
        <w:rPr>
          <w:b/>
          <w:i/>
          <w:sz w:val="22"/>
          <w:szCs w:val="22"/>
        </w:rPr>
        <w:t>7</w:t>
      </w:r>
      <w:r w:rsidR="00AA1D1B" w:rsidRPr="00D52DA3">
        <w:rPr>
          <w:b/>
          <w:i/>
          <w:sz w:val="22"/>
          <w:szCs w:val="22"/>
        </w:rPr>
        <w:t>.07.2011.</w:t>
      </w:r>
    </w:p>
    <w:p w:rsidR="00AA1D1B" w:rsidRPr="00D52DA3" w:rsidRDefault="00AA1D1B" w:rsidP="00D52DA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DE2825" w:rsidRDefault="00DE2825" w:rsidP="00DE2825">
      <w:pPr>
        <w:pStyle w:val="Corpodetexto"/>
        <w:tabs>
          <w:tab w:val="left" w:pos="1134"/>
        </w:tabs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Licitação sob a modalidade pregão: 2 – A </w:t>
      </w:r>
      <w:r w:rsidRPr="00DE2825">
        <w:rPr>
          <w:b/>
          <w:sz w:val="22"/>
          <w:szCs w:val="22"/>
        </w:rPr>
        <w:t>exigência de aposição de Declaração de Habilitação Profissional nos documentos contábeis das licitantes é indevida</w:t>
      </w:r>
    </w:p>
    <w:p w:rsidR="000A599E" w:rsidRPr="00D52DA3" w:rsidRDefault="00FD4FEE" w:rsidP="00DE2825">
      <w:pPr>
        <w:pStyle w:val="Corpodetexto"/>
        <w:tabs>
          <w:tab w:val="left" w:pos="1134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Ainda na representação </w:t>
      </w:r>
      <w:r w:rsidR="000A599E" w:rsidRPr="00D52DA3">
        <w:rPr>
          <w:sz w:val="22"/>
          <w:szCs w:val="22"/>
        </w:rPr>
        <w:t>formulada ao Tribunal em face do Pregão Eletrônico nº 26/2010</w:t>
      </w:r>
      <w:r w:rsidR="00DE2825">
        <w:rPr>
          <w:sz w:val="22"/>
          <w:szCs w:val="22"/>
        </w:rPr>
        <w:t>,</w:t>
      </w:r>
      <w:r w:rsidR="000A599E" w:rsidRPr="00D52DA3">
        <w:rPr>
          <w:sz w:val="22"/>
          <w:szCs w:val="22"/>
        </w:rPr>
        <w:t xml:space="preserve"> promovido pela Companhia Energética de Alagoas - (Ceal)</w:t>
      </w:r>
      <w:r w:rsidR="00EA3185" w:rsidRPr="00D52DA3">
        <w:rPr>
          <w:sz w:val="22"/>
          <w:szCs w:val="22"/>
        </w:rPr>
        <w:t>, constatou-se a inabilitação de empresa privada, em razão do não atendimento do item 7.12.4 do edital do certame, que exigia que diversos índices contábeis a serem informados pelas licitantes fossem devidamente confirmados pelo responsável por sua contabilidade, mediante sua assinatura, a constar, ainda, a indicação do nome e do número de registro do profissional no Conselho Regional de Contabilidade – (CRC), comprovando com o selo de Habilitação Profissional. Quanto a essa questão, a CEAL argumentou que a exigência não seria excessiva, “</w:t>
      </w:r>
      <w:r w:rsidR="00EA3185" w:rsidRPr="00D52DA3">
        <w:rPr>
          <w:i/>
          <w:sz w:val="22"/>
          <w:szCs w:val="22"/>
        </w:rPr>
        <w:t>por garantir a idoneidade do participante e por ser possível a obtenção da Declaração de Habilitação Profissional (DHP) por qualquer profissional de contabilidade junto ao CRC de sua inscrição</w:t>
      </w:r>
      <w:r w:rsidR="00EA3185" w:rsidRPr="00D52DA3">
        <w:rPr>
          <w:sz w:val="22"/>
          <w:szCs w:val="22"/>
        </w:rPr>
        <w:t xml:space="preserve">”. Todavia, para o relator, a jurisprudência do TCU seria clara quanto à impertinência da exigência de aposição de DHP nos documentos contábeis das licitantes, entendimento corroborado, inclusive, pelo Supremo Tribunal Federal. Indevida, portanto, na forma de ver do relator, a inabilitação da empresa também sob este aspecto, o que </w:t>
      </w:r>
      <w:r w:rsidR="00DE2825">
        <w:rPr>
          <w:sz w:val="22"/>
          <w:szCs w:val="22"/>
        </w:rPr>
        <w:t xml:space="preserve">o </w:t>
      </w:r>
      <w:r w:rsidR="00EA3185" w:rsidRPr="00D52DA3">
        <w:rPr>
          <w:sz w:val="22"/>
          <w:szCs w:val="22"/>
        </w:rPr>
        <w:t>levou</w:t>
      </w:r>
      <w:r>
        <w:rPr>
          <w:sz w:val="22"/>
          <w:szCs w:val="22"/>
        </w:rPr>
        <w:t xml:space="preserve"> </w:t>
      </w:r>
      <w:r w:rsidR="00EA3185" w:rsidRPr="00D52DA3">
        <w:rPr>
          <w:sz w:val="22"/>
          <w:szCs w:val="22"/>
        </w:rPr>
        <w:t xml:space="preserve">a votar por que se </w:t>
      </w:r>
      <w:r w:rsidR="00EA3185" w:rsidRPr="00D52DA3">
        <w:rPr>
          <w:color w:val="000000"/>
          <w:sz w:val="22"/>
          <w:szCs w:val="22"/>
        </w:rPr>
        <w:t xml:space="preserve">determinasse à </w:t>
      </w:r>
      <w:r w:rsidR="00EA3185" w:rsidRPr="00D52DA3">
        <w:rPr>
          <w:sz w:val="22"/>
          <w:szCs w:val="22"/>
        </w:rPr>
        <w:t xml:space="preserve">CEAL </w:t>
      </w:r>
      <w:r w:rsidR="00EA3185" w:rsidRPr="00D52DA3">
        <w:rPr>
          <w:color w:val="000000"/>
          <w:sz w:val="22"/>
          <w:szCs w:val="22"/>
        </w:rPr>
        <w:t xml:space="preserve">que adotasse as providências necessárias no sentido de tornar nulos os atos administrativos que inabilitaram e desclassificaram a proposta da empresa, </w:t>
      </w:r>
      <w:r w:rsidR="00551C0E" w:rsidRPr="00D52DA3">
        <w:rPr>
          <w:color w:val="000000"/>
          <w:sz w:val="22"/>
          <w:szCs w:val="22"/>
        </w:rPr>
        <w:t xml:space="preserve">sem prejuízo de propor, ainda, que tal item não fosse mais incluído no edital, no caso de retomada do </w:t>
      </w:r>
      <w:r w:rsidR="00551C0E" w:rsidRPr="00D52DA3">
        <w:rPr>
          <w:sz w:val="22"/>
          <w:szCs w:val="22"/>
        </w:rPr>
        <w:t xml:space="preserve">Pregão Eletrônico nº 26/2010. Nos termos do voto do relator, o Plenário manifestou sua anuência. </w:t>
      </w:r>
      <w:r w:rsidR="000A599E" w:rsidRPr="00D52DA3">
        <w:rPr>
          <w:b/>
          <w:i/>
          <w:sz w:val="22"/>
          <w:szCs w:val="22"/>
        </w:rPr>
        <w:t>Acórdão n.º 1924/2011-Plenário, TC-000.312/2011-8, rel. Min. Raimundo Carreiro, 27.07.2011.</w:t>
      </w:r>
    </w:p>
    <w:p w:rsidR="000A599E" w:rsidRPr="00D52DA3" w:rsidRDefault="000A599E" w:rsidP="00D52DA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DE2825" w:rsidRPr="00DE2825" w:rsidRDefault="00566E81" w:rsidP="00D52DA3">
      <w:pPr>
        <w:pStyle w:val="Recuodecorpodetexto"/>
        <w:tabs>
          <w:tab w:val="left" w:pos="-851"/>
        </w:tabs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Concorrência pública para a contratação de serviços e fornecimento de materiais: 1 - </w:t>
      </w:r>
      <w:r w:rsidR="00DE2825" w:rsidRPr="00DE2825">
        <w:rPr>
          <w:b/>
          <w:sz w:val="22"/>
          <w:szCs w:val="22"/>
        </w:rPr>
        <w:t>A exigência de número mínimo de atestados de capacidade técnica em processo licitatório é inadmissível, a não ser que a especificidade do objeto o recomende, ocasião em que os motivos de fato e de direito deverão estar devidamente explicitados no processo administrativo do certame</w:t>
      </w:r>
    </w:p>
    <w:p w:rsidR="000807D4" w:rsidRPr="00D52DA3" w:rsidRDefault="000807D4" w:rsidP="00D52DA3">
      <w:pPr>
        <w:pStyle w:val="Recuodecorpodetexto"/>
        <w:tabs>
          <w:tab w:val="left" w:pos="-851"/>
        </w:tabs>
        <w:ind w:firstLine="0"/>
        <w:jc w:val="both"/>
        <w:rPr>
          <w:b/>
          <w:i/>
          <w:sz w:val="22"/>
          <w:szCs w:val="22"/>
        </w:rPr>
      </w:pPr>
      <w:r w:rsidRPr="00D52DA3">
        <w:rPr>
          <w:sz w:val="22"/>
          <w:szCs w:val="22"/>
        </w:rPr>
        <w:t>Representação noticiou ao Tribunal possíve</w:t>
      </w:r>
      <w:r w:rsidR="002F1E70" w:rsidRPr="00D52DA3">
        <w:rPr>
          <w:sz w:val="22"/>
          <w:szCs w:val="22"/>
        </w:rPr>
        <w:t>is</w:t>
      </w:r>
      <w:r w:rsidRPr="00D52DA3">
        <w:rPr>
          <w:sz w:val="22"/>
          <w:szCs w:val="22"/>
        </w:rPr>
        <w:t xml:space="preserve"> </w:t>
      </w:r>
      <w:r w:rsidR="00F14C13" w:rsidRPr="00D52DA3">
        <w:rPr>
          <w:sz w:val="22"/>
          <w:szCs w:val="22"/>
        </w:rPr>
        <w:t>irregularidades</w:t>
      </w:r>
      <w:r w:rsidRPr="00D52DA3">
        <w:rPr>
          <w:sz w:val="22"/>
          <w:szCs w:val="22"/>
        </w:rPr>
        <w:t xml:space="preserve"> no edital da Concorrência nº 002/2011, realizada pelo Serviço Nacional de Aprendizagem Comercial – (Senac-DR/ES), e cujo objeto consistiu na contratação de empresa para prestação de serviços e fornecimento de todo o material para a reforma e ampliação dos Blocos A, B e C do prédio localizado na cidade de Vitória – ES. </w:t>
      </w:r>
      <w:r w:rsidR="00F14C13" w:rsidRPr="00D52DA3">
        <w:rPr>
          <w:sz w:val="22"/>
          <w:szCs w:val="22"/>
        </w:rPr>
        <w:t>Dentre tais irregularidades, constou a exigência de apresentação de</w:t>
      </w:r>
      <w:r w:rsidR="00AC13F7" w:rsidRPr="00D52DA3">
        <w:rPr>
          <w:sz w:val="22"/>
          <w:szCs w:val="22"/>
        </w:rPr>
        <w:t>,</w:t>
      </w:r>
      <w:r w:rsidR="00F14C13" w:rsidRPr="00D52DA3">
        <w:rPr>
          <w:sz w:val="22"/>
          <w:szCs w:val="22"/>
        </w:rPr>
        <w:t xml:space="preserve"> no mínimo</w:t>
      </w:r>
      <w:r w:rsidR="00AC13F7" w:rsidRPr="00D52DA3">
        <w:rPr>
          <w:sz w:val="22"/>
          <w:szCs w:val="22"/>
        </w:rPr>
        <w:t>,</w:t>
      </w:r>
      <w:r w:rsidR="00F14C13" w:rsidRPr="00D52DA3">
        <w:rPr>
          <w:sz w:val="22"/>
          <w:szCs w:val="22"/>
        </w:rPr>
        <w:t xml:space="preserve"> dois atestados da capacidade por parte das empresas participantes da licitação, para o fim de comprovação de requisito de qualificação</w:t>
      </w:r>
      <w:r w:rsidR="00AC13F7" w:rsidRPr="00D52DA3">
        <w:rPr>
          <w:sz w:val="22"/>
          <w:szCs w:val="22"/>
        </w:rPr>
        <w:t xml:space="preserve"> técnica</w:t>
      </w:r>
      <w:r w:rsidR="00F14C13" w:rsidRPr="00D52DA3">
        <w:rPr>
          <w:sz w:val="22"/>
          <w:szCs w:val="22"/>
        </w:rPr>
        <w:t>, na fase de habilitação do certame</w:t>
      </w:r>
      <w:r w:rsidRPr="00D52DA3">
        <w:rPr>
          <w:sz w:val="22"/>
          <w:szCs w:val="22"/>
        </w:rPr>
        <w:t>.</w:t>
      </w:r>
      <w:r w:rsidR="00F14C13" w:rsidRPr="00D52DA3">
        <w:rPr>
          <w:sz w:val="22"/>
          <w:szCs w:val="22"/>
        </w:rPr>
        <w:t xml:space="preserve"> </w:t>
      </w:r>
      <w:r w:rsidR="00C165A1" w:rsidRPr="00D52DA3">
        <w:rPr>
          <w:sz w:val="22"/>
          <w:szCs w:val="22"/>
        </w:rPr>
        <w:t xml:space="preserve">Para a unidade técnica, </w:t>
      </w:r>
      <w:r w:rsidR="002F1E70" w:rsidRPr="00D52DA3">
        <w:rPr>
          <w:sz w:val="22"/>
          <w:szCs w:val="22"/>
        </w:rPr>
        <w:t>no caso concreto, “</w:t>
      </w:r>
      <w:r w:rsidR="002F1E70" w:rsidRPr="00D52DA3">
        <w:rPr>
          <w:i/>
          <w:sz w:val="22"/>
          <w:szCs w:val="22"/>
        </w:rPr>
        <w:t>não foi justificada a necessidade da apresentação de 2 (dois) atestados, não tendo sido demonstrado no que isso contribuiria para uma melhor execução do objeto contratual, razão por que essa exigência deve ser considerada restritiva</w:t>
      </w:r>
      <w:r w:rsidR="002F1E70" w:rsidRPr="00D52DA3">
        <w:rPr>
          <w:sz w:val="22"/>
          <w:szCs w:val="22"/>
        </w:rPr>
        <w:t xml:space="preserve">”. A exigência de mais de um atestado de capacidade técnica, ainda para a unidade instrutiva, só seria admissível caso fosse necessário à garantia da execução do contrato, à segurança e perfeição da obra ou do serviço, à regularidade do fornecimento ou ao atendimento de qualquer outro interesse público, o que não restara demonstrado. </w:t>
      </w:r>
      <w:r w:rsidR="00F14C13" w:rsidRPr="00D52DA3">
        <w:rPr>
          <w:sz w:val="22"/>
          <w:szCs w:val="22"/>
        </w:rPr>
        <w:t xml:space="preserve">Nesse contexto, citando jurisprudência anterior do TCU, </w:t>
      </w:r>
      <w:r w:rsidR="002F1E70" w:rsidRPr="00D52DA3">
        <w:rPr>
          <w:sz w:val="22"/>
          <w:szCs w:val="22"/>
        </w:rPr>
        <w:t xml:space="preserve">o relator </w:t>
      </w:r>
      <w:r w:rsidR="00F14C13" w:rsidRPr="00D52DA3">
        <w:rPr>
          <w:sz w:val="22"/>
          <w:szCs w:val="22"/>
        </w:rPr>
        <w:t xml:space="preserve">destacou que </w:t>
      </w:r>
      <w:r w:rsidR="00AC13F7" w:rsidRPr="00D52DA3">
        <w:rPr>
          <w:sz w:val="22"/>
          <w:szCs w:val="22"/>
        </w:rPr>
        <w:t>“</w:t>
      </w:r>
      <w:r w:rsidR="00AC13F7" w:rsidRPr="00D52DA3">
        <w:rPr>
          <w:i/>
          <w:sz w:val="22"/>
          <w:szCs w:val="22"/>
        </w:rPr>
        <w:t>o estabelecimento de uma quantidade mínima e/ou certa de atestados fere o preceito constitucional da isonomia porque desiguala injustamente concorrentes que apresentam as mesmas condições de qualificação técnica. Como dizer que um licitante detentor de um atestado de aptidão é menos capaz do que o licitante que dispõe de dois? Ora, a capacidade técnica de realizar o objeto existe, independentemente do número de vezes que tenha sido exercitada, ou não existe. Garantida a capacitação por meio de um atestado, não vejo como a Administração exigir algo a mais sem exorbitar as limitações constitucionais</w:t>
      </w:r>
      <w:r w:rsidR="00AC13F7" w:rsidRPr="00D52DA3">
        <w:rPr>
          <w:sz w:val="22"/>
          <w:szCs w:val="22"/>
        </w:rPr>
        <w:t>”.</w:t>
      </w:r>
      <w:r w:rsidR="00C165A1" w:rsidRPr="00D52DA3">
        <w:rPr>
          <w:sz w:val="22"/>
          <w:szCs w:val="22"/>
        </w:rPr>
        <w:t xml:space="preserve"> </w:t>
      </w:r>
      <w:r w:rsidR="002F1E70" w:rsidRPr="00D52DA3">
        <w:rPr>
          <w:sz w:val="22"/>
          <w:szCs w:val="22"/>
        </w:rPr>
        <w:t>Por conseguinte,</w:t>
      </w:r>
      <w:r w:rsidR="00C165A1" w:rsidRPr="00D52DA3">
        <w:rPr>
          <w:sz w:val="22"/>
          <w:szCs w:val="22"/>
        </w:rPr>
        <w:t xml:space="preserve"> o relator, ao concordar com a unidade técnica, votou, e o Plenário aprovou, por que o Tribunal determinasse </w:t>
      </w:r>
      <w:r w:rsidR="002F1E70" w:rsidRPr="00D52DA3">
        <w:rPr>
          <w:sz w:val="22"/>
          <w:szCs w:val="22"/>
        </w:rPr>
        <w:t>ao Senac-DR/ES que se abstivesse de estabelecer número mínimo de atestados de capacidade técnica, “</w:t>
      </w:r>
      <w:r w:rsidR="002F1E70" w:rsidRPr="00D52DA3">
        <w:rPr>
          <w:i/>
          <w:sz w:val="22"/>
          <w:szCs w:val="22"/>
        </w:rPr>
        <w:t>a não ser que a especificidade do objeto o recomende, situação em que os motivos de fato e de direito deverão estar devidamente explicitados no processo administrativo da licitação</w:t>
      </w:r>
      <w:r w:rsidR="002F1E70" w:rsidRPr="00D52DA3">
        <w:rPr>
          <w:sz w:val="22"/>
          <w:szCs w:val="22"/>
        </w:rPr>
        <w:t>”</w:t>
      </w:r>
      <w:r w:rsidR="00F14C13" w:rsidRPr="00D52DA3">
        <w:rPr>
          <w:sz w:val="22"/>
          <w:szCs w:val="22"/>
        </w:rPr>
        <w:t xml:space="preserve">. </w:t>
      </w:r>
      <w:r w:rsidR="00304DFD" w:rsidRPr="00D52DA3">
        <w:rPr>
          <w:sz w:val="22"/>
          <w:szCs w:val="22"/>
        </w:rPr>
        <w:t xml:space="preserve">Votou o relator, ainda, pela fixação de prazo para que o Senac-DR/ES adotasse as devidas medidas, com vistas à anulação do certame, o que também foi aprovado pelos demais membros do Plenário. </w:t>
      </w:r>
      <w:r w:rsidR="00F14C13" w:rsidRPr="00D52DA3">
        <w:rPr>
          <w:sz w:val="22"/>
          <w:szCs w:val="22"/>
        </w:rPr>
        <w:t>Precedentes citados: Acórdãos n</w:t>
      </w:r>
      <w:r w:rsidR="00F14C13" w:rsidRPr="00D52DA3">
        <w:rPr>
          <w:sz w:val="22"/>
          <w:szCs w:val="22"/>
          <w:u w:val="single"/>
          <w:vertAlign w:val="superscript"/>
        </w:rPr>
        <w:t>os</w:t>
      </w:r>
      <w:r w:rsidR="00F14C13" w:rsidRPr="00D52DA3">
        <w:rPr>
          <w:sz w:val="22"/>
          <w:szCs w:val="22"/>
        </w:rPr>
        <w:t xml:space="preserve"> 3157/2004, da 1ª Câmara e 124/2002, 1937/2003, 1341/2006, 2143/2007, 1.557/2009 e 534/2011, todos do Plenário. </w:t>
      </w:r>
      <w:r w:rsidRPr="00D52DA3">
        <w:rPr>
          <w:b/>
          <w:i/>
          <w:sz w:val="22"/>
          <w:szCs w:val="22"/>
        </w:rPr>
        <w:t>Acórdão n.º 1948/2011</w:t>
      </w:r>
      <w:r w:rsidR="00FD4FEE">
        <w:rPr>
          <w:b/>
          <w:i/>
          <w:sz w:val="22"/>
          <w:szCs w:val="22"/>
        </w:rPr>
        <w:t>-Plenário</w:t>
      </w:r>
      <w:r w:rsidRPr="00D52DA3">
        <w:rPr>
          <w:b/>
          <w:i/>
          <w:sz w:val="22"/>
          <w:szCs w:val="22"/>
        </w:rPr>
        <w:t>, TC-005.929/2011-3, rel. Min.-Subst. Marcos Bemquerer Costa, 27.07.2011.</w:t>
      </w:r>
    </w:p>
    <w:p w:rsidR="003B4936" w:rsidRPr="00D52DA3" w:rsidRDefault="003B4936" w:rsidP="00D52DA3">
      <w:pPr>
        <w:pStyle w:val="TCU-Ac-item9-"/>
        <w:ind w:firstLine="0"/>
        <w:rPr>
          <w:b/>
          <w:color w:val="FF0000"/>
          <w:sz w:val="22"/>
        </w:rPr>
      </w:pPr>
    </w:p>
    <w:p w:rsidR="002F1E70" w:rsidRPr="00D52DA3" w:rsidRDefault="00566E81" w:rsidP="00D52DA3">
      <w:pPr>
        <w:tabs>
          <w:tab w:val="left" w:pos="709"/>
        </w:tabs>
        <w:spacing w:after="0"/>
        <w:ind w:left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Concorrência pública para a contratação de serviços e fornecimento de materiais: 2 – A </w:t>
      </w:r>
      <w:r w:rsidRPr="00566E81">
        <w:rPr>
          <w:b/>
          <w:sz w:val="22"/>
          <w:szCs w:val="22"/>
        </w:rPr>
        <w:t>realização de vistoria técnica não deve estar limitada a um único dia e horário</w:t>
      </w:r>
    </w:p>
    <w:p w:rsidR="002F1E70" w:rsidRPr="00D52DA3" w:rsidRDefault="002F1E70" w:rsidP="00D52DA3">
      <w:pPr>
        <w:pStyle w:val="Recuodecorpodetexto"/>
        <w:tabs>
          <w:tab w:val="left" w:pos="-851"/>
        </w:tabs>
        <w:ind w:firstLine="0"/>
        <w:jc w:val="both"/>
        <w:rPr>
          <w:b/>
          <w:i/>
          <w:sz w:val="22"/>
          <w:szCs w:val="22"/>
        </w:rPr>
      </w:pPr>
      <w:r w:rsidRPr="00D52DA3">
        <w:rPr>
          <w:sz w:val="22"/>
          <w:szCs w:val="22"/>
        </w:rPr>
        <w:t>Ainda na representação que noticiou ao Tribunal possíveis irregularidades no edital da Concorrência nº 002/2011, realizada pelo Serviço Nacional de Aprendizagem Comercial – (Senac-DR/ES), tratou-se</w:t>
      </w:r>
      <w:r w:rsidR="00113A1F" w:rsidRPr="00D52DA3">
        <w:rPr>
          <w:sz w:val="22"/>
          <w:szCs w:val="22"/>
        </w:rPr>
        <w:t xml:space="preserve"> da necessidade de realização de visita técnica por parte das licitantes, em horário pré-determinado pelo Senac-DR/ES, ou, a critério da entidade, </w:t>
      </w:r>
      <w:r w:rsidR="006F3CA4" w:rsidRPr="00D52DA3">
        <w:rPr>
          <w:sz w:val="22"/>
          <w:szCs w:val="22"/>
        </w:rPr>
        <w:t xml:space="preserve">e a depender de sua disponibilidade, </w:t>
      </w:r>
      <w:r w:rsidR="00113A1F" w:rsidRPr="00D52DA3">
        <w:rPr>
          <w:sz w:val="22"/>
          <w:szCs w:val="22"/>
        </w:rPr>
        <w:t>em data e hora alternativos</w:t>
      </w:r>
      <w:r w:rsidR="006F3CA4" w:rsidRPr="00D52DA3">
        <w:rPr>
          <w:sz w:val="22"/>
          <w:szCs w:val="22"/>
        </w:rPr>
        <w:t xml:space="preserve">. Promovida a oitiva </w:t>
      </w:r>
      <w:r w:rsidR="00D01540" w:rsidRPr="00D52DA3">
        <w:rPr>
          <w:sz w:val="22"/>
          <w:szCs w:val="22"/>
        </w:rPr>
        <w:t>do Senac-DR/ES</w:t>
      </w:r>
      <w:r w:rsidR="006F3CA4" w:rsidRPr="00D52DA3">
        <w:rPr>
          <w:sz w:val="22"/>
          <w:szCs w:val="22"/>
        </w:rPr>
        <w:t xml:space="preserve">, </w:t>
      </w:r>
      <w:r w:rsidR="00D01540" w:rsidRPr="00D52DA3">
        <w:rPr>
          <w:sz w:val="22"/>
          <w:szCs w:val="22"/>
        </w:rPr>
        <w:t>foi informado pela entidade que “</w:t>
      </w:r>
      <w:r w:rsidR="00D01540" w:rsidRPr="00D52DA3">
        <w:rPr>
          <w:i/>
          <w:sz w:val="22"/>
          <w:szCs w:val="22"/>
        </w:rPr>
        <w:t>a</w:t>
      </w:r>
      <w:r w:rsidR="00D01540" w:rsidRPr="00D52DA3">
        <w:rPr>
          <w:i/>
          <w:color w:val="131313"/>
          <w:sz w:val="22"/>
          <w:szCs w:val="22"/>
        </w:rPr>
        <w:t xml:space="preserve"> prévia definição de data e horário</w:t>
      </w:r>
      <w:r w:rsidR="00566E81">
        <w:rPr>
          <w:i/>
          <w:color w:val="131313"/>
          <w:sz w:val="22"/>
          <w:szCs w:val="22"/>
        </w:rPr>
        <w:t xml:space="preserve"> </w:t>
      </w:r>
      <w:r w:rsidR="00566E81">
        <w:rPr>
          <w:color w:val="131313"/>
          <w:sz w:val="22"/>
          <w:szCs w:val="22"/>
        </w:rPr>
        <w:t>[para a realização da visita técnica]</w:t>
      </w:r>
      <w:r w:rsidR="00D01540" w:rsidRPr="00D52DA3">
        <w:rPr>
          <w:i/>
          <w:color w:val="131313"/>
          <w:sz w:val="22"/>
          <w:szCs w:val="22"/>
        </w:rPr>
        <w:t xml:space="preserve"> visa a minimizar os custos com referido procedimento, além possibilitar uma economia de tempo aos funcionários destacados a acompanhar referido ato</w:t>
      </w:r>
      <w:r w:rsidR="00D01540" w:rsidRPr="00D52DA3">
        <w:rPr>
          <w:color w:val="131313"/>
          <w:sz w:val="22"/>
          <w:szCs w:val="22"/>
        </w:rPr>
        <w:t xml:space="preserve">”. No entanto, para o </w:t>
      </w:r>
      <w:r w:rsidR="00D01540" w:rsidRPr="00D52DA3">
        <w:rPr>
          <w:sz w:val="22"/>
          <w:szCs w:val="22"/>
        </w:rPr>
        <w:t>Senac-DR/ES</w:t>
      </w:r>
      <w:r w:rsidR="00D01540" w:rsidRPr="00D52DA3">
        <w:rPr>
          <w:color w:val="2A2A2A"/>
          <w:sz w:val="22"/>
          <w:szCs w:val="22"/>
        </w:rPr>
        <w:t>, “</w:t>
      </w:r>
      <w:r w:rsidR="00D01540" w:rsidRPr="00D52DA3">
        <w:rPr>
          <w:i/>
          <w:color w:val="131313"/>
          <w:sz w:val="22"/>
          <w:szCs w:val="22"/>
        </w:rPr>
        <w:t>o edital não impede a realização da visita em horário e data diferente da anteriormente definida</w:t>
      </w:r>
      <w:r w:rsidR="00D01540" w:rsidRPr="00D52DA3">
        <w:rPr>
          <w:color w:val="131313"/>
          <w:sz w:val="22"/>
          <w:szCs w:val="22"/>
        </w:rPr>
        <w:t>”</w:t>
      </w:r>
      <w:r w:rsidR="00566E81">
        <w:rPr>
          <w:color w:val="131313"/>
          <w:sz w:val="22"/>
          <w:szCs w:val="22"/>
        </w:rPr>
        <w:t>, e não constituiria, por consequência, irregularidade</w:t>
      </w:r>
      <w:r w:rsidR="00D01540" w:rsidRPr="00D52DA3">
        <w:rPr>
          <w:color w:val="131313"/>
          <w:sz w:val="22"/>
          <w:szCs w:val="22"/>
        </w:rPr>
        <w:t>. A unidade técnica, inicialmente, registrou a divergência jurisprudencial havida no Tribunal a respeito da necessidade de visita técnica por parte de licitantes: para uma linha, seria abusiva a necessidade de visita técnica, “</w:t>
      </w:r>
      <w:r w:rsidR="00D01540" w:rsidRPr="00D52DA3">
        <w:rPr>
          <w:i/>
          <w:sz w:val="22"/>
          <w:szCs w:val="22"/>
        </w:rPr>
        <w:t>porquanto a declaração do licitante de que tem pleno conhecimento das condições de prestação dos serviços bastaria à Administração como prevenção contra possíveis alegações futuras da impossibilidade de execução do contrato, com o quê as consequências de vistoriar ou não o local da obra faria parte da álea ordinária do fornecedor</w:t>
      </w:r>
      <w:r w:rsidR="00D01540" w:rsidRPr="00D52DA3">
        <w:rPr>
          <w:sz w:val="22"/>
          <w:szCs w:val="22"/>
        </w:rPr>
        <w:t xml:space="preserve">”; para outra tendência jurisprudencial, seria admissível a exigência de visita técnica, </w:t>
      </w:r>
      <w:r w:rsidR="00D01540" w:rsidRPr="00D52DA3">
        <w:rPr>
          <w:color w:val="131313"/>
          <w:sz w:val="22"/>
          <w:szCs w:val="22"/>
        </w:rPr>
        <w:t xml:space="preserve"> </w:t>
      </w:r>
      <w:r w:rsidR="00CC4364" w:rsidRPr="00D52DA3">
        <w:rPr>
          <w:color w:val="131313"/>
          <w:sz w:val="22"/>
          <w:szCs w:val="22"/>
        </w:rPr>
        <w:t>“</w:t>
      </w:r>
      <w:r w:rsidR="00CC4364" w:rsidRPr="00D52DA3">
        <w:rPr>
          <w:i/>
          <w:sz w:val="22"/>
          <w:szCs w:val="22"/>
        </w:rPr>
        <w:t>desde que não venha acompanhada de condicionantes que resultem em ônus desnecessário às proponentes, restringindo indevidamente a competitividade, como parece ser o caso da fixação de dia e hora pré-determinados</w:t>
      </w:r>
      <w:r w:rsidR="00CC4364" w:rsidRPr="00D52DA3">
        <w:rPr>
          <w:sz w:val="22"/>
          <w:szCs w:val="22"/>
        </w:rPr>
        <w:t>”. Em seguida, apontou a unidade responsável pelo feito possíveis implicações para a visita técnica em horário pré-determinado: ônus indevido às interessadas, porque lhes cercearia o direito de definir o melhor momento para o cumprimento da obrigação; antagonismo com diversos julgados do Tribunal (</w:t>
      </w:r>
      <w:r w:rsidR="00CC4364" w:rsidRPr="00D52DA3">
        <w:rPr>
          <w:i/>
          <w:sz w:val="22"/>
          <w:szCs w:val="22"/>
        </w:rPr>
        <w:t>v.g.</w:t>
      </w:r>
      <w:r w:rsidR="00CC4364" w:rsidRPr="00D52DA3">
        <w:rPr>
          <w:sz w:val="22"/>
          <w:szCs w:val="22"/>
        </w:rPr>
        <w:t xml:space="preserve"> nos Acórdãos n</w:t>
      </w:r>
      <w:r w:rsidR="00CC4364" w:rsidRPr="00D52DA3">
        <w:rPr>
          <w:sz w:val="22"/>
          <w:szCs w:val="22"/>
          <w:u w:val="single"/>
          <w:vertAlign w:val="superscript"/>
        </w:rPr>
        <w:t>os</w:t>
      </w:r>
      <w:r w:rsidR="00CC4364" w:rsidRPr="00D52DA3">
        <w:rPr>
          <w:sz w:val="22"/>
          <w:szCs w:val="22"/>
        </w:rPr>
        <w:t xml:space="preserve"> 1.332/2006, 1631/2007 e 326/2010, todos do Plenário); potencialização da possibilidade de formação de concertos prévios entre os pretensos licitantes, haja vista a fixação de visita ao local das obras de dia e hora certos</w:t>
      </w:r>
      <w:r w:rsidR="00B52DC6" w:rsidRPr="00D52DA3">
        <w:rPr>
          <w:sz w:val="22"/>
          <w:szCs w:val="22"/>
        </w:rPr>
        <w:t>, dentre outra</w:t>
      </w:r>
      <w:r w:rsidR="00304DFD" w:rsidRPr="00D52DA3">
        <w:rPr>
          <w:sz w:val="22"/>
          <w:szCs w:val="22"/>
        </w:rPr>
        <w:t xml:space="preserve">s. </w:t>
      </w:r>
      <w:r w:rsidR="00B52DC6" w:rsidRPr="00D52DA3">
        <w:rPr>
          <w:sz w:val="22"/>
          <w:szCs w:val="22"/>
        </w:rPr>
        <w:t xml:space="preserve">Ao examinar ao assunto, o relator consignou em seu voto que, conquanto não considerasse abusiva a </w:t>
      </w:r>
      <w:r w:rsidR="00CD2030" w:rsidRPr="00D52DA3">
        <w:rPr>
          <w:sz w:val="22"/>
          <w:szCs w:val="22"/>
        </w:rPr>
        <w:t xml:space="preserve">necessidade de </w:t>
      </w:r>
      <w:r w:rsidR="00B52DC6" w:rsidRPr="00D52DA3">
        <w:rPr>
          <w:sz w:val="22"/>
          <w:szCs w:val="22"/>
        </w:rPr>
        <w:t>vistoria por parte das licitantes interessadas, no caso concreto poderia ter</w:t>
      </w:r>
      <w:r w:rsidR="00FD4FEE">
        <w:rPr>
          <w:sz w:val="22"/>
          <w:szCs w:val="22"/>
        </w:rPr>
        <w:t xml:space="preserve"> ocorrido</w:t>
      </w:r>
      <w:r w:rsidR="00B52DC6" w:rsidRPr="00D52DA3">
        <w:rPr>
          <w:sz w:val="22"/>
          <w:szCs w:val="22"/>
        </w:rPr>
        <w:t xml:space="preserve"> restrição desnecessária à competição do procedimento licitatório</w:t>
      </w:r>
      <w:r w:rsidR="00CD2030" w:rsidRPr="00D52DA3">
        <w:rPr>
          <w:sz w:val="22"/>
          <w:szCs w:val="22"/>
        </w:rPr>
        <w:t xml:space="preserve">, </w:t>
      </w:r>
      <w:r w:rsidR="00FD4FEE">
        <w:rPr>
          <w:sz w:val="22"/>
          <w:szCs w:val="22"/>
        </w:rPr>
        <w:t xml:space="preserve">em </w:t>
      </w:r>
      <w:r w:rsidR="00CD2030" w:rsidRPr="00D52DA3">
        <w:rPr>
          <w:sz w:val="22"/>
          <w:szCs w:val="22"/>
        </w:rPr>
        <w:t xml:space="preserve">face </w:t>
      </w:r>
      <w:r w:rsidR="00FD4FEE">
        <w:rPr>
          <w:sz w:val="22"/>
          <w:szCs w:val="22"/>
        </w:rPr>
        <w:t>da</w:t>
      </w:r>
      <w:r w:rsidR="00CD2030" w:rsidRPr="00D52DA3">
        <w:rPr>
          <w:sz w:val="22"/>
          <w:szCs w:val="22"/>
        </w:rPr>
        <w:t>s consequências decorrentes da exigência</w:t>
      </w:r>
      <w:r w:rsidR="00B52DC6" w:rsidRPr="00D52DA3">
        <w:rPr>
          <w:sz w:val="22"/>
          <w:szCs w:val="22"/>
        </w:rPr>
        <w:t xml:space="preserve">. Votou, então, por que se determinasse ao Senac-DR/ES que, em suas futuras licitações, deixasse de limitar a realização de vistoria técnica a um único dia e horário, sem prejuízo de propor a fixação de prazo para que entidade adotasse as devidas medidas, com vistas à anulação do certame, o que foi aprovado pelos demais membros do Plenário. </w:t>
      </w:r>
      <w:r w:rsidR="00CC4364" w:rsidRPr="00D52DA3">
        <w:rPr>
          <w:sz w:val="22"/>
          <w:szCs w:val="22"/>
        </w:rPr>
        <w:t>Precedentes citados: Acórdãos n</w:t>
      </w:r>
      <w:r w:rsidR="00CC4364" w:rsidRPr="00D52DA3">
        <w:rPr>
          <w:sz w:val="22"/>
          <w:szCs w:val="22"/>
          <w:u w:val="single"/>
          <w:vertAlign w:val="superscript"/>
        </w:rPr>
        <w:t>os</w:t>
      </w:r>
      <w:r w:rsidRPr="00D52DA3">
        <w:rPr>
          <w:sz w:val="22"/>
          <w:szCs w:val="22"/>
        </w:rPr>
        <w:t xml:space="preserve"> </w:t>
      </w:r>
      <w:r w:rsidR="00CC4364" w:rsidRPr="00D52DA3">
        <w:rPr>
          <w:sz w:val="22"/>
          <w:szCs w:val="22"/>
        </w:rPr>
        <w:t>2028/2006-1ª Câmara, 1450/2009-2ª Câmara, e 874/2007, 2477/2009,  2583/2010 e 3197/2010, todos do Plenário.</w:t>
      </w:r>
      <w:r w:rsidR="00CC4364" w:rsidRPr="00D52DA3">
        <w:rPr>
          <w:b/>
          <w:i/>
          <w:sz w:val="22"/>
          <w:szCs w:val="22"/>
        </w:rPr>
        <w:t xml:space="preserve"> </w:t>
      </w:r>
      <w:r w:rsidRPr="00D52DA3">
        <w:rPr>
          <w:b/>
          <w:i/>
          <w:sz w:val="22"/>
          <w:szCs w:val="22"/>
        </w:rPr>
        <w:t>Acórdão n.º 1948/2011</w:t>
      </w:r>
      <w:r w:rsidR="00FD4FEE">
        <w:rPr>
          <w:b/>
          <w:i/>
          <w:sz w:val="22"/>
          <w:szCs w:val="22"/>
        </w:rPr>
        <w:t>-Plenário</w:t>
      </w:r>
      <w:r w:rsidRPr="00D52DA3">
        <w:rPr>
          <w:b/>
          <w:i/>
          <w:sz w:val="22"/>
          <w:szCs w:val="22"/>
        </w:rPr>
        <w:t>, TC-005.929/2011-3, rel. Min.-Subst. Marcos Bemquerer Costa, 27.07.2011.</w:t>
      </w:r>
    </w:p>
    <w:p w:rsidR="00F459C7" w:rsidRPr="00D52DA3" w:rsidRDefault="00F459C7" w:rsidP="00D52DA3">
      <w:pPr>
        <w:pStyle w:val="Recuodecorpodetexto"/>
        <w:tabs>
          <w:tab w:val="left" w:pos="-851"/>
        </w:tabs>
        <w:ind w:firstLine="0"/>
        <w:jc w:val="both"/>
        <w:rPr>
          <w:b/>
          <w:sz w:val="22"/>
          <w:szCs w:val="22"/>
        </w:rPr>
      </w:pPr>
    </w:p>
    <w:p w:rsidR="00F459C7" w:rsidRPr="00D52DA3" w:rsidRDefault="00566E81" w:rsidP="00D52DA3">
      <w:pPr>
        <w:tabs>
          <w:tab w:val="left" w:pos="709"/>
        </w:tabs>
        <w:spacing w:after="0"/>
        <w:ind w:left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Concorrência pública para a contratação de serviços e fornecimento de materiais: 3 - </w:t>
      </w:r>
      <w:r w:rsidRPr="00566E81">
        <w:rPr>
          <w:b/>
          <w:sz w:val="22"/>
          <w:szCs w:val="22"/>
        </w:rPr>
        <w:t>Em se tratando de regime de empreitada por preço global, é necessária a disponibilização por parte da instituição contratante de cronograma físico-financeiro detalhado, no qual estejam definidas as etapas/fases da obra a executar e os serviços/atividades que as compõem</w:t>
      </w:r>
    </w:p>
    <w:p w:rsidR="00F459C7" w:rsidRPr="00D52DA3" w:rsidRDefault="00F459C7" w:rsidP="00D52DA3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D52DA3">
        <w:rPr>
          <w:sz w:val="22"/>
          <w:szCs w:val="22"/>
        </w:rPr>
        <w:t xml:space="preserve">Na mesma representação que noticiou ao Tribunal possíveis irregularidades no edital da Concorrência nº 002/2011, realizada pelo Serviço Nacional de Aprendizagem Comercial – (Senac-DR/ES), </w:t>
      </w:r>
      <w:r w:rsidR="00CD2030" w:rsidRPr="00D52DA3">
        <w:rPr>
          <w:sz w:val="22"/>
          <w:szCs w:val="22"/>
        </w:rPr>
        <w:t xml:space="preserve">analisou-se a não elaboração prévia do cronograma físico-financeiro, transferindo-se a responsabilidade por sua confecção à proponente, que deveria apresentá-lo por ocasião da proposta comercial. Nos argumentos apresentados a partir de sua oitiva, o Senac-DR/ES entendeu não haver qualquer irregularidade na situação, </w:t>
      </w:r>
      <w:r w:rsidR="00CD2030" w:rsidRPr="00D52DA3">
        <w:rPr>
          <w:color w:val="131313"/>
          <w:sz w:val="22"/>
          <w:szCs w:val="22"/>
        </w:rPr>
        <w:t>com a ausência de prévia elaboração do cronograma físico-financeiro</w:t>
      </w:r>
      <w:r w:rsidR="00CD2030" w:rsidRPr="00D52DA3">
        <w:rPr>
          <w:color w:val="262626"/>
          <w:sz w:val="22"/>
          <w:szCs w:val="22"/>
        </w:rPr>
        <w:t xml:space="preserve">, </w:t>
      </w:r>
      <w:r w:rsidR="00D35F32" w:rsidRPr="00D52DA3">
        <w:rPr>
          <w:color w:val="131313"/>
          <w:sz w:val="22"/>
          <w:szCs w:val="22"/>
        </w:rPr>
        <w:t>pois “</w:t>
      </w:r>
      <w:r w:rsidR="00CD2030" w:rsidRPr="00D52DA3">
        <w:rPr>
          <w:i/>
          <w:color w:val="131313"/>
          <w:sz w:val="22"/>
          <w:szCs w:val="22"/>
        </w:rPr>
        <w:t>qualquer pagamento somente será autorizado a partir das medições realizadas pela fiscalização da obra</w:t>
      </w:r>
      <w:r w:rsidR="00D35F32" w:rsidRPr="00D52DA3">
        <w:rPr>
          <w:color w:val="131313"/>
          <w:sz w:val="22"/>
          <w:szCs w:val="22"/>
        </w:rPr>
        <w:t>”, tal qual estabelecido em cláusulas constantes do instrumento convocatório do certame</w:t>
      </w:r>
      <w:r w:rsidR="002D0D1A" w:rsidRPr="00D52DA3">
        <w:rPr>
          <w:color w:val="131313"/>
          <w:sz w:val="22"/>
          <w:szCs w:val="22"/>
        </w:rPr>
        <w:t>, bem como no contrato consequencial</w:t>
      </w:r>
      <w:r w:rsidR="00CD2030" w:rsidRPr="00D52DA3">
        <w:rPr>
          <w:color w:val="262626"/>
          <w:sz w:val="22"/>
          <w:szCs w:val="22"/>
        </w:rPr>
        <w:t>.</w:t>
      </w:r>
      <w:r w:rsidR="00D35F32" w:rsidRPr="00D52DA3">
        <w:rPr>
          <w:color w:val="262626"/>
          <w:sz w:val="22"/>
          <w:szCs w:val="22"/>
        </w:rPr>
        <w:t xml:space="preserve"> Todavia,</w:t>
      </w:r>
      <w:r w:rsidR="00566E81">
        <w:rPr>
          <w:color w:val="262626"/>
          <w:sz w:val="22"/>
          <w:szCs w:val="22"/>
        </w:rPr>
        <w:t xml:space="preserve"> a unidade técnica discordou do</w:t>
      </w:r>
      <w:r w:rsidR="00D35F32" w:rsidRPr="00D52DA3">
        <w:rPr>
          <w:color w:val="262626"/>
          <w:sz w:val="22"/>
          <w:szCs w:val="22"/>
        </w:rPr>
        <w:t xml:space="preserve"> </w:t>
      </w:r>
      <w:r w:rsidR="00566E81">
        <w:rPr>
          <w:color w:val="262626"/>
          <w:sz w:val="22"/>
          <w:szCs w:val="22"/>
        </w:rPr>
        <w:t>afirmad</w:t>
      </w:r>
      <w:r w:rsidR="00D35F32" w:rsidRPr="00D52DA3">
        <w:rPr>
          <w:color w:val="262626"/>
          <w:sz w:val="22"/>
          <w:szCs w:val="22"/>
        </w:rPr>
        <w:t>o</w:t>
      </w:r>
      <w:r w:rsidR="00566E81">
        <w:rPr>
          <w:color w:val="262626"/>
          <w:sz w:val="22"/>
          <w:szCs w:val="22"/>
        </w:rPr>
        <w:t>, pois,</w:t>
      </w:r>
      <w:r w:rsidR="00D35F32" w:rsidRPr="00D52DA3">
        <w:rPr>
          <w:color w:val="262626"/>
          <w:sz w:val="22"/>
          <w:szCs w:val="22"/>
        </w:rPr>
        <w:t xml:space="preserve"> </w:t>
      </w:r>
      <w:r w:rsidR="00566E81">
        <w:rPr>
          <w:color w:val="262626"/>
          <w:sz w:val="22"/>
          <w:szCs w:val="22"/>
        </w:rPr>
        <w:t>p</w:t>
      </w:r>
      <w:r w:rsidR="00D35F32" w:rsidRPr="00D52DA3">
        <w:rPr>
          <w:color w:val="262626"/>
          <w:sz w:val="22"/>
          <w:szCs w:val="22"/>
        </w:rPr>
        <w:t>ara ela, o cronograma físico-financeiro “</w:t>
      </w:r>
      <w:r w:rsidR="00D35F32" w:rsidRPr="00D52DA3">
        <w:rPr>
          <w:i/>
          <w:sz w:val="22"/>
          <w:szCs w:val="22"/>
        </w:rPr>
        <w:t>se presta a refletir o ritmo com que a Administração pretende ver desenvolvida a obra, consideradas suas especificidades e de acordo com as disponibilidades orçamentárias e financeiras existentes, servindo de norte para a formulação das propostas pelos licitantes</w:t>
      </w:r>
      <w:r w:rsidR="00D35F32" w:rsidRPr="00D52DA3">
        <w:rPr>
          <w:sz w:val="22"/>
          <w:szCs w:val="22"/>
        </w:rPr>
        <w:t>”.</w:t>
      </w:r>
      <w:r w:rsidR="002D0D1A" w:rsidRPr="00D52DA3">
        <w:rPr>
          <w:sz w:val="22"/>
          <w:szCs w:val="22"/>
        </w:rPr>
        <w:t xml:space="preserve"> Assim, as previsões editalícias e contratuais não supririam a elaboração do documento por parte do Senac-DR/ES, sendo que a ausência de disponibilização do cronograma, o que deveria ocorrer já no momento da publicação da licitação, em anexo próprio, “</w:t>
      </w:r>
      <w:r w:rsidR="002D0D1A" w:rsidRPr="00D52DA3">
        <w:rPr>
          <w:i/>
          <w:sz w:val="22"/>
          <w:szCs w:val="22"/>
        </w:rPr>
        <w:t>permite que as propostas apresentadas destoem da realidade orçamentário-financeira da entidade, o que pode vir a gerar eventuais desequilíbrios contratuais. E mais: ao deixar a cargo das proponentes a sua elaboração, fere o princípio da isonomia, pois o montante a ser auferido e o momento da percepção desse valor tem inequívoca repercussão nos preços ofertados (a mensuração do quanto e do quando receber impacta na proposta)</w:t>
      </w:r>
      <w:r w:rsidR="002D0D1A" w:rsidRPr="00D52DA3">
        <w:rPr>
          <w:sz w:val="22"/>
          <w:szCs w:val="22"/>
        </w:rPr>
        <w:t>”. Para o relator, assistiria razão à unidade técnica, considerando-se, ainda, precedente da jurisprudência do Tribunal. Para ele, “</w:t>
      </w:r>
      <w:r w:rsidR="002D0D1A" w:rsidRPr="00D52DA3">
        <w:rPr>
          <w:i/>
          <w:sz w:val="22"/>
          <w:szCs w:val="22"/>
        </w:rPr>
        <w:t>o cronograma físico-financeiro impacta diretamente na definição dos custos da obra, estando intrinsecamente ligado ao respectivo projeto básico. Por essa razão, trata-se de item que, em situações como a que se examina – na qual foi adotado o regime de execução de empreitada por preço global – deve ser elaborado previamente à licitação, não podendo ficar exclusivamente a cargo dos proponentes</w:t>
      </w:r>
      <w:r w:rsidR="002D0D1A" w:rsidRPr="00D52DA3">
        <w:rPr>
          <w:sz w:val="22"/>
          <w:szCs w:val="22"/>
        </w:rPr>
        <w:t>”. Votou, em consequência,</w:t>
      </w:r>
      <w:r w:rsidR="00FD4FEE">
        <w:rPr>
          <w:sz w:val="22"/>
          <w:szCs w:val="22"/>
        </w:rPr>
        <w:t xml:space="preserve"> pela </w:t>
      </w:r>
      <w:r w:rsidR="00FD4FEE" w:rsidRPr="00D52DA3">
        <w:rPr>
          <w:sz w:val="22"/>
          <w:szCs w:val="22"/>
        </w:rPr>
        <w:t>fixação de prazo para que</w:t>
      </w:r>
      <w:r w:rsidR="00FD4FEE">
        <w:rPr>
          <w:sz w:val="22"/>
          <w:szCs w:val="22"/>
        </w:rPr>
        <w:t xml:space="preserve"> a</w:t>
      </w:r>
      <w:r w:rsidR="00FD4FEE" w:rsidRPr="00D52DA3">
        <w:rPr>
          <w:sz w:val="22"/>
          <w:szCs w:val="22"/>
        </w:rPr>
        <w:t xml:space="preserve"> entidade adotasse as devidas medidas, com vistas à anulação do certame</w:t>
      </w:r>
      <w:r w:rsidR="00FD4FEE">
        <w:rPr>
          <w:sz w:val="22"/>
          <w:szCs w:val="22"/>
        </w:rPr>
        <w:t xml:space="preserve">, </w:t>
      </w:r>
      <w:r w:rsidR="00FD4FEE" w:rsidRPr="00D52DA3">
        <w:rPr>
          <w:sz w:val="22"/>
          <w:szCs w:val="22"/>
        </w:rPr>
        <w:t xml:space="preserve">sem prejuízo de propor </w:t>
      </w:r>
      <w:r w:rsidR="002D0D1A" w:rsidRPr="00D52DA3">
        <w:rPr>
          <w:sz w:val="22"/>
          <w:szCs w:val="22"/>
        </w:rPr>
        <w:t>que fosse determinado ao Senac-DR/ES que, em suas futuras licitações, elaborasse, em se tratando de regime de empreitada por preço global, cronograma físico-financeiro detalhado, no qual estejam definidas as etapas/fases da obra a executar e os serviços/atividades que as compõem, e utilize esse instrumento para controle da execução dos serviços e apuração da remuneração devida ao contratado,</w:t>
      </w:r>
      <w:r w:rsidRPr="00D52DA3">
        <w:rPr>
          <w:sz w:val="22"/>
          <w:szCs w:val="22"/>
        </w:rPr>
        <w:t xml:space="preserve"> o que foi aprovado pelos demais membros do Plenário. Precedente citado: Acórdão n</w:t>
      </w:r>
      <w:r w:rsidRPr="00D52DA3">
        <w:rPr>
          <w:sz w:val="22"/>
          <w:szCs w:val="22"/>
          <w:u w:val="single"/>
          <w:vertAlign w:val="superscript"/>
        </w:rPr>
        <w:t>o</w:t>
      </w:r>
      <w:r w:rsidRPr="00D52DA3">
        <w:rPr>
          <w:sz w:val="22"/>
          <w:szCs w:val="22"/>
        </w:rPr>
        <w:t xml:space="preserve"> 534/2010, do Plenário.</w:t>
      </w:r>
      <w:r w:rsidRPr="00D52DA3">
        <w:rPr>
          <w:b/>
          <w:i/>
          <w:sz w:val="22"/>
          <w:szCs w:val="22"/>
        </w:rPr>
        <w:t xml:space="preserve"> Acórdão n.º 1948/2011</w:t>
      </w:r>
      <w:r w:rsidR="00FD4FEE">
        <w:rPr>
          <w:b/>
          <w:i/>
          <w:sz w:val="22"/>
          <w:szCs w:val="22"/>
        </w:rPr>
        <w:t>-Plenário</w:t>
      </w:r>
      <w:r w:rsidRPr="00D52DA3">
        <w:rPr>
          <w:b/>
          <w:i/>
          <w:sz w:val="22"/>
          <w:szCs w:val="22"/>
        </w:rPr>
        <w:t>, TC-005.929/2011-3, rel. Min.-Subst. Marcos Bemquerer Costa, 27.07.2011.</w:t>
      </w:r>
    </w:p>
    <w:p w:rsidR="00DD0277" w:rsidRPr="00D52DA3" w:rsidRDefault="00DD0277" w:rsidP="00D52DA3">
      <w:pPr>
        <w:tabs>
          <w:tab w:val="left" w:pos="709"/>
        </w:tabs>
        <w:spacing w:after="0"/>
        <w:ind w:left="0"/>
        <w:rPr>
          <w:b/>
          <w:snapToGrid w:val="0"/>
          <w:color w:val="FF0000"/>
          <w:sz w:val="22"/>
          <w:szCs w:val="22"/>
        </w:rPr>
      </w:pPr>
    </w:p>
    <w:p w:rsidR="00FC64F3" w:rsidRPr="00FC64F3" w:rsidRDefault="00FC64F3" w:rsidP="00566E81">
      <w:pPr>
        <w:pStyle w:val="Acordao-VISTOS-em-diante"/>
        <w:ind w:firstLine="0"/>
        <w:rPr>
          <w:b/>
          <w:sz w:val="22"/>
          <w:szCs w:val="22"/>
        </w:rPr>
      </w:pPr>
      <w:r w:rsidRPr="00FC64F3">
        <w:rPr>
          <w:b/>
          <w:sz w:val="22"/>
          <w:szCs w:val="22"/>
        </w:rPr>
        <w:t xml:space="preserve">A seleção da instituição financeira </w:t>
      </w:r>
      <w:r>
        <w:rPr>
          <w:b/>
          <w:sz w:val="22"/>
          <w:szCs w:val="22"/>
        </w:rPr>
        <w:t xml:space="preserve">à qual será concedida </w:t>
      </w:r>
      <w:r w:rsidRPr="00FC64F3">
        <w:rPr>
          <w:b/>
          <w:sz w:val="22"/>
          <w:szCs w:val="22"/>
        </w:rPr>
        <w:t xml:space="preserve">exclusividade para a prestação dos serviços de pagamento de </w:t>
      </w:r>
      <w:r>
        <w:rPr>
          <w:b/>
          <w:sz w:val="22"/>
          <w:szCs w:val="22"/>
        </w:rPr>
        <w:t>remunerações a servidores</w:t>
      </w:r>
      <w:r w:rsidRPr="00FC64F3">
        <w:rPr>
          <w:b/>
          <w:sz w:val="22"/>
          <w:szCs w:val="22"/>
        </w:rPr>
        <w:t xml:space="preserve"> deverá ser feita por meio de licitação, </w:t>
      </w:r>
      <w:r>
        <w:rPr>
          <w:b/>
          <w:sz w:val="22"/>
          <w:szCs w:val="22"/>
        </w:rPr>
        <w:t xml:space="preserve">sendo que </w:t>
      </w:r>
      <w:r w:rsidRPr="00FC64F3">
        <w:rPr>
          <w:b/>
          <w:sz w:val="22"/>
          <w:szCs w:val="22"/>
        </w:rPr>
        <w:t>o potencial benefício econômico inerente à incorporação dos servidores à base de clientes do banco deve ser previamente estimado pela administração</w:t>
      </w:r>
      <w:r>
        <w:rPr>
          <w:b/>
          <w:sz w:val="22"/>
          <w:szCs w:val="22"/>
        </w:rPr>
        <w:t>,</w:t>
      </w:r>
      <w:r w:rsidRPr="00FC64F3">
        <w:rPr>
          <w:b/>
          <w:sz w:val="22"/>
          <w:szCs w:val="22"/>
        </w:rPr>
        <w:t xml:space="preserve"> para balizar o procedimento licitatório</w:t>
      </w:r>
    </w:p>
    <w:p w:rsidR="00E30431" w:rsidRPr="00D52DA3" w:rsidRDefault="005512D3" w:rsidP="00566E81">
      <w:pPr>
        <w:pStyle w:val="Acordao-VISTOS-em-diante"/>
        <w:ind w:firstLine="0"/>
        <w:rPr>
          <w:b/>
          <w:i/>
          <w:sz w:val="22"/>
          <w:szCs w:val="22"/>
        </w:rPr>
      </w:pPr>
      <w:r w:rsidRPr="00D52DA3">
        <w:rPr>
          <w:sz w:val="22"/>
          <w:szCs w:val="22"/>
        </w:rPr>
        <w:t>Por</w:t>
      </w:r>
      <w:r w:rsidR="008F4047" w:rsidRPr="00D52DA3">
        <w:rPr>
          <w:sz w:val="22"/>
          <w:szCs w:val="22"/>
        </w:rPr>
        <w:t xml:space="preserve"> intermédio de r</w:t>
      </w:r>
      <w:r w:rsidR="00E30431" w:rsidRPr="00D52DA3">
        <w:rPr>
          <w:sz w:val="22"/>
          <w:szCs w:val="22"/>
        </w:rPr>
        <w:t>epresentação</w:t>
      </w:r>
      <w:r w:rsidR="008F4047" w:rsidRPr="00D52DA3">
        <w:rPr>
          <w:sz w:val="22"/>
          <w:szCs w:val="22"/>
        </w:rPr>
        <w:t xml:space="preserve">, o TCU </w:t>
      </w:r>
      <w:r w:rsidRPr="00D52DA3">
        <w:rPr>
          <w:sz w:val="22"/>
          <w:szCs w:val="22"/>
        </w:rPr>
        <w:t>analisou a determinação feita pelo Tribunal Regional do Trabalho - 15ª Região - (TRT15), aos servidores e pensionistas de seu quadro de abertura e manutenção de conta corrente junto à Caixa Econômica Federal – (CEF) ou Banco do Brasil – (BB), para percepção das respectivas remunerações. Nesse contexto, as duas instituições bancárias, escolhidas sem procedimento licitatório, deveriam</w:t>
      </w:r>
      <w:r w:rsidR="00566E81">
        <w:rPr>
          <w:sz w:val="22"/>
          <w:szCs w:val="22"/>
        </w:rPr>
        <w:t>,</w:t>
      </w:r>
      <w:r w:rsidRPr="00D52DA3">
        <w:rPr>
          <w:sz w:val="22"/>
          <w:szCs w:val="22"/>
        </w:rPr>
        <w:t xml:space="preserve"> </w:t>
      </w:r>
      <w:r w:rsidR="00566E81" w:rsidRPr="00D52DA3">
        <w:rPr>
          <w:sz w:val="22"/>
          <w:szCs w:val="22"/>
        </w:rPr>
        <w:t>em contrapartida</w:t>
      </w:r>
      <w:r w:rsidR="00566E81">
        <w:rPr>
          <w:sz w:val="22"/>
          <w:szCs w:val="22"/>
        </w:rPr>
        <w:t>,</w:t>
      </w:r>
      <w:r w:rsidR="00566E81" w:rsidRPr="00D52DA3">
        <w:rPr>
          <w:sz w:val="22"/>
          <w:szCs w:val="22"/>
        </w:rPr>
        <w:t xml:space="preserve"> </w:t>
      </w:r>
      <w:r w:rsidRPr="00D52DA3">
        <w:rPr>
          <w:sz w:val="22"/>
          <w:szCs w:val="22"/>
        </w:rPr>
        <w:t>custear o aluguel mensal da sede do TRT15</w:t>
      </w:r>
      <w:r w:rsidR="008F4047" w:rsidRPr="00D52DA3">
        <w:rPr>
          <w:sz w:val="22"/>
          <w:szCs w:val="22"/>
        </w:rPr>
        <w:t>.</w:t>
      </w:r>
      <w:r w:rsidR="003023A1" w:rsidRPr="00D52DA3">
        <w:rPr>
          <w:sz w:val="22"/>
          <w:szCs w:val="22"/>
        </w:rPr>
        <w:t xml:space="preserve"> Para a unidade técnica, não haveria irregularidade no fato, apesar da inexistência de norma legal que servisse de subsídio à situação. No voto, o relator, após destacar a complexidade da matéria, registrou que a questão, no mérito, “</w:t>
      </w:r>
      <w:r w:rsidR="003023A1" w:rsidRPr="00D52DA3">
        <w:rPr>
          <w:i/>
          <w:sz w:val="22"/>
          <w:szCs w:val="22"/>
        </w:rPr>
        <w:t>remete ao dilema entre o direito de os servidores escolherem a instituição bancária que melhor lhes aprouver para o recebimento da remuneração e a possibilidade de o órgão conceder a exclusividade do serviço de pagamento de salários a instituições bancárias específicas, tendo em vista dificuldades operacionais para viabilizar a livre escolha dos servidores</w:t>
      </w:r>
      <w:r w:rsidR="003023A1" w:rsidRPr="00D52DA3">
        <w:rPr>
          <w:sz w:val="22"/>
          <w:szCs w:val="22"/>
        </w:rPr>
        <w:t xml:space="preserve">”. Citando </w:t>
      </w:r>
      <w:r w:rsidR="00DD0277" w:rsidRPr="00D52DA3">
        <w:rPr>
          <w:sz w:val="22"/>
          <w:szCs w:val="22"/>
        </w:rPr>
        <w:t>Recurso em Mandado de Segurança nº 27.428 - GO</w:t>
      </w:r>
      <w:r w:rsidR="003023A1" w:rsidRPr="00D52DA3">
        <w:rPr>
          <w:sz w:val="22"/>
          <w:szCs w:val="22"/>
        </w:rPr>
        <w:t xml:space="preserve"> </w:t>
      </w:r>
      <w:r w:rsidR="00DD0277" w:rsidRPr="00D52DA3">
        <w:rPr>
          <w:sz w:val="22"/>
          <w:szCs w:val="22"/>
        </w:rPr>
        <w:t xml:space="preserve">apreciado pelo </w:t>
      </w:r>
      <w:r w:rsidR="003023A1" w:rsidRPr="00D52DA3">
        <w:rPr>
          <w:sz w:val="22"/>
          <w:szCs w:val="22"/>
        </w:rPr>
        <w:t xml:space="preserve">Superior Tribunal de Justiça, </w:t>
      </w:r>
      <w:r w:rsidR="00DD0277" w:rsidRPr="00D52DA3">
        <w:rPr>
          <w:sz w:val="22"/>
          <w:szCs w:val="22"/>
        </w:rPr>
        <w:t xml:space="preserve">ocasião em que aquela corte debateu a legalidade do procedimento de determinação a servidores públicos de abertura de conta corrente em instituição financeira pré-determinada por parte da Administração, </w:t>
      </w:r>
      <w:r w:rsidR="003023A1" w:rsidRPr="00D52DA3">
        <w:rPr>
          <w:sz w:val="22"/>
          <w:szCs w:val="22"/>
        </w:rPr>
        <w:t xml:space="preserve">consignou o relator que </w:t>
      </w:r>
      <w:r w:rsidR="00DD0277" w:rsidRPr="00D52DA3">
        <w:rPr>
          <w:sz w:val="22"/>
          <w:szCs w:val="22"/>
        </w:rPr>
        <w:t>“</w:t>
      </w:r>
      <w:r w:rsidR="00DD0277" w:rsidRPr="00D52DA3">
        <w:rPr>
          <w:i/>
          <w:sz w:val="22"/>
          <w:szCs w:val="22"/>
        </w:rPr>
        <w:t>a liberdade de escolha da instituição bancária que o servidor receberá sua remuneração não pode se contrapor ao princípio da eficiência, que exige do Administrador soluções que alcancem os resultados almejados do modo menos oneroso ao aparelho estatal</w:t>
      </w:r>
      <w:r w:rsidR="00DD0277" w:rsidRPr="00D52DA3">
        <w:rPr>
          <w:sz w:val="22"/>
          <w:szCs w:val="22"/>
        </w:rPr>
        <w:t>”. Assim, para o relator, “</w:t>
      </w:r>
      <w:r w:rsidR="00DD0277" w:rsidRPr="00D52DA3">
        <w:rPr>
          <w:i/>
          <w:sz w:val="22"/>
          <w:szCs w:val="22"/>
        </w:rPr>
        <w:t>a prerrogativa de o órgão predeterminar a instituição financeira encarregada de prestar os serviços de pagamento de remuneração, e, por conseguinte, restringindo a opção dos servidores sobre a instituição em que desejam recebê-la, vincula-se à demonstração de que seria operacionalmente inviável, ou pelo menos ineficiente, facultar a seus servidores a escolha do banco de sua preferência</w:t>
      </w:r>
      <w:r w:rsidR="00DD0277" w:rsidRPr="00D52DA3">
        <w:rPr>
          <w:sz w:val="22"/>
          <w:szCs w:val="22"/>
        </w:rPr>
        <w:t>”.</w:t>
      </w:r>
      <w:r w:rsidR="00DE7E46" w:rsidRPr="00D52DA3">
        <w:rPr>
          <w:sz w:val="22"/>
          <w:szCs w:val="22"/>
        </w:rPr>
        <w:t xml:space="preserve"> E quando a hipótese restasse configurada, ainda consoante o relator, “</w:t>
      </w:r>
      <w:r w:rsidR="00DE7E46" w:rsidRPr="00D52DA3">
        <w:rPr>
          <w:i/>
          <w:sz w:val="22"/>
          <w:szCs w:val="22"/>
        </w:rPr>
        <w:t>a seleção da instituição financeira à qual será concedida a exclusividade para a prestação dos serviços de pagamento de salários e similares deverá ser feita por meio de licitação, e o potencial benefício econômico inerente à incorporação dos servidores à base de clientes do banco deve ser previamente estimado pela administração para balizar o procedimento licitatório</w:t>
      </w:r>
      <w:r w:rsidR="00DE7E46" w:rsidRPr="00D52DA3">
        <w:rPr>
          <w:sz w:val="22"/>
          <w:szCs w:val="22"/>
        </w:rPr>
        <w:t>”. Votou, então, por que o Tribunal determinasse ao TRT15 que promovesse a licitação para a referida contratação, se assim fosse necessário, a partir de conclusões a serem obtidas em face de estudos que demonstrassem ser operacionalmente inviável, ou economicamente ineficiente, possibilitar a seus servidores a livre escolha da instituição em que desejassem receber a remuneração, caso em que o procedimento licitatório deveria ser precedido das necessárias avaliações do potencial benefício econômico a ser auferido pela instituição que vier a ser selecionada</w:t>
      </w:r>
      <w:r w:rsidR="00D52DA3" w:rsidRPr="00D52DA3">
        <w:rPr>
          <w:sz w:val="22"/>
          <w:szCs w:val="22"/>
        </w:rPr>
        <w:t>,</w:t>
      </w:r>
      <w:r w:rsidR="00DE7E46" w:rsidRPr="00D52DA3">
        <w:rPr>
          <w:sz w:val="22"/>
          <w:szCs w:val="22"/>
        </w:rPr>
        <w:t xml:space="preserve"> </w:t>
      </w:r>
      <w:r w:rsidR="00D52DA3" w:rsidRPr="00D52DA3">
        <w:rPr>
          <w:sz w:val="22"/>
          <w:szCs w:val="22"/>
        </w:rPr>
        <w:t>tendo em conta a</w:t>
      </w:r>
      <w:r w:rsidR="00DE7E46" w:rsidRPr="00D52DA3">
        <w:rPr>
          <w:sz w:val="22"/>
          <w:szCs w:val="22"/>
        </w:rPr>
        <w:t xml:space="preserve"> incorporação dos servidores à sua cliente</w:t>
      </w:r>
      <w:r w:rsidR="00D52DA3" w:rsidRPr="00D52DA3">
        <w:rPr>
          <w:sz w:val="22"/>
          <w:szCs w:val="22"/>
        </w:rPr>
        <w:t xml:space="preserve">la. O Plenário manifestou sua anuência. </w:t>
      </w:r>
      <w:r w:rsidR="00E30431" w:rsidRPr="00D52DA3">
        <w:rPr>
          <w:b/>
          <w:i/>
          <w:sz w:val="22"/>
          <w:szCs w:val="22"/>
        </w:rPr>
        <w:t>Acórdão n.º 1952/2011</w:t>
      </w:r>
      <w:r w:rsidR="00FD4FEE">
        <w:rPr>
          <w:b/>
          <w:i/>
          <w:sz w:val="22"/>
          <w:szCs w:val="22"/>
        </w:rPr>
        <w:t>-Plenário</w:t>
      </w:r>
      <w:r w:rsidR="00E30431" w:rsidRPr="00D52DA3">
        <w:rPr>
          <w:b/>
          <w:i/>
          <w:sz w:val="22"/>
          <w:szCs w:val="22"/>
        </w:rPr>
        <w:t>, TC-010.882/2009-7, rel. Min.-Subst. Weder de Oliveira, 27.07.2011.</w:t>
      </w:r>
    </w:p>
    <w:p w:rsidR="00E30431" w:rsidRPr="00D52DA3" w:rsidRDefault="00E30431" w:rsidP="00D52DA3">
      <w:pPr>
        <w:pStyle w:val="Recuodecorpodetexto"/>
        <w:tabs>
          <w:tab w:val="left" w:pos="-851"/>
        </w:tabs>
        <w:ind w:firstLine="0"/>
        <w:jc w:val="both"/>
        <w:rPr>
          <w:b/>
          <w:i/>
          <w:sz w:val="22"/>
          <w:szCs w:val="22"/>
        </w:rPr>
      </w:pPr>
    </w:p>
    <w:p w:rsidR="00FC64F3" w:rsidRPr="00FC64F3" w:rsidRDefault="00FC64F3" w:rsidP="00D52DA3">
      <w:pPr>
        <w:pStyle w:val="Default"/>
        <w:jc w:val="both"/>
        <w:rPr>
          <w:b/>
          <w:sz w:val="22"/>
          <w:szCs w:val="22"/>
        </w:rPr>
      </w:pPr>
      <w:r w:rsidRPr="00FC64F3">
        <w:rPr>
          <w:b/>
          <w:sz w:val="22"/>
          <w:szCs w:val="22"/>
        </w:rPr>
        <w:t xml:space="preserve">A exigência de apresentação de certidões negativas de débitos salariais e de infrações trabalhistas junto à Delegacia Regional do Trabalho </w:t>
      </w:r>
      <w:r>
        <w:rPr>
          <w:b/>
          <w:sz w:val="22"/>
          <w:szCs w:val="22"/>
        </w:rPr>
        <w:t>é indevida</w:t>
      </w:r>
    </w:p>
    <w:p w:rsidR="00AC43D2" w:rsidRPr="00D52DA3" w:rsidRDefault="00752E39" w:rsidP="00D52DA3">
      <w:pPr>
        <w:pStyle w:val="Default"/>
        <w:jc w:val="both"/>
        <w:rPr>
          <w:b/>
          <w:i/>
          <w:sz w:val="22"/>
          <w:szCs w:val="22"/>
        </w:rPr>
      </w:pPr>
      <w:r w:rsidRPr="00D52DA3">
        <w:rPr>
          <w:sz w:val="22"/>
          <w:szCs w:val="22"/>
        </w:rPr>
        <w:t>Representação trouxe ao conhecimento do Tribunal possíveis irregularidades no Pregão 016/2011, realizado pelo 1º Batalhão de Engenharia de Construção – (1º BEC), objetivando a contratação de serviço de locação de viaturas para atender demandas referentes à obra de construção do novo complexo aeroportuário da grande Natal e à obra de duplicação do corredor nordeste da BR-l01/RN (lote 1).</w:t>
      </w:r>
      <w:r w:rsidR="00AC43D2" w:rsidRPr="00D52DA3">
        <w:rPr>
          <w:b/>
          <w:i/>
          <w:sz w:val="22"/>
          <w:szCs w:val="22"/>
        </w:rPr>
        <w:t xml:space="preserve"> </w:t>
      </w:r>
      <w:r w:rsidRPr="00D52DA3">
        <w:rPr>
          <w:sz w:val="22"/>
          <w:szCs w:val="22"/>
        </w:rPr>
        <w:t>Dentre tais irregularidades,</w:t>
      </w:r>
      <w:r w:rsidRPr="00D52DA3">
        <w:rPr>
          <w:b/>
          <w:i/>
          <w:sz w:val="22"/>
          <w:szCs w:val="22"/>
        </w:rPr>
        <w:t xml:space="preserve"> </w:t>
      </w:r>
      <w:r w:rsidRPr="00D52DA3">
        <w:rPr>
          <w:sz w:val="22"/>
          <w:szCs w:val="22"/>
        </w:rPr>
        <w:t>constou a exigência de apresentação de certidões negativas de débitos salariais e de infrações trabalhistas junto à Delegacia Regional do Trabalho</w:t>
      </w:r>
      <w:r w:rsidR="00BD4493" w:rsidRPr="00D52DA3">
        <w:rPr>
          <w:sz w:val="22"/>
          <w:szCs w:val="22"/>
        </w:rPr>
        <w:t xml:space="preserve"> – (DRT), o que seria descabido, na forma de ver da representante</w:t>
      </w:r>
      <w:r w:rsidR="00FC64F3">
        <w:rPr>
          <w:sz w:val="22"/>
          <w:szCs w:val="22"/>
        </w:rPr>
        <w:t>, com o que concordou a</w:t>
      </w:r>
      <w:r w:rsidR="00BD4493" w:rsidRPr="00D52DA3">
        <w:rPr>
          <w:sz w:val="22"/>
          <w:szCs w:val="22"/>
        </w:rPr>
        <w:t xml:space="preserve"> unidade técnica responsável pelo feito</w:t>
      </w:r>
      <w:r w:rsidR="00FD4FEE">
        <w:rPr>
          <w:sz w:val="22"/>
          <w:szCs w:val="22"/>
        </w:rPr>
        <w:t xml:space="preserve">, </w:t>
      </w:r>
      <w:r w:rsidR="00BD4493" w:rsidRPr="00D52DA3">
        <w:rPr>
          <w:sz w:val="22"/>
          <w:szCs w:val="22"/>
        </w:rPr>
        <w:t>na linha da jurisprudência do Tribunal. Consignou</w:t>
      </w:r>
      <w:r w:rsidR="00FC64F3">
        <w:rPr>
          <w:sz w:val="22"/>
          <w:szCs w:val="22"/>
        </w:rPr>
        <w:t xml:space="preserve"> a unidade instrutiva</w:t>
      </w:r>
      <w:r w:rsidR="00BD4493" w:rsidRPr="00D52DA3">
        <w:rPr>
          <w:sz w:val="22"/>
          <w:szCs w:val="22"/>
        </w:rPr>
        <w:t xml:space="preserve">, ainda, que tampouco a edição da Lei 12.440, que alterou o art. 27 e 29 da Lei 8.666/1993, incluindo a apresentação de documentação relativa à regularidade trabalhista, serviria para amparar a exigência preconizada no edital, dado que a norma em questão estabeleceu que a prova de inexistência de débitos inadimplidos deveria ser buscada junto à justiça trabalhista, mediante a apresentação de certidão negativa, e não junto à DRT da sede da licitante, como previsto no edital examinado. Aditou a unidade técnica que a lei ainda não se encontra em vigência, o que deverá acontecer em 180 (cento e oitenta) dias após a data de sua publicação. </w:t>
      </w:r>
      <w:r w:rsidR="007B53E7" w:rsidRPr="00D52DA3">
        <w:rPr>
          <w:sz w:val="22"/>
          <w:szCs w:val="22"/>
        </w:rPr>
        <w:t xml:space="preserve">Por conseguinte, por essa e por outras irregularidades, propôs ao relator que o Pregão 016/2011 fosse cautelarmente suspenso, sem prejuízo de sugerir, ainda, a oitiva dos responsáveis envolvidos, o que foi acolhido pelo relator e aprovado pelo Plenário. Precedente </w:t>
      </w:r>
      <w:r w:rsidR="00BD4493" w:rsidRPr="00D52DA3">
        <w:rPr>
          <w:sz w:val="22"/>
          <w:szCs w:val="22"/>
        </w:rPr>
        <w:t xml:space="preserve">citado: Acórdão 667/2006, do Plenário, e 434/2010, da 2ª Câmara. </w:t>
      </w:r>
      <w:r w:rsidRPr="00D52DA3">
        <w:rPr>
          <w:b/>
          <w:i/>
          <w:sz w:val="22"/>
          <w:szCs w:val="22"/>
        </w:rPr>
        <w:t xml:space="preserve">Decisão monocrática no </w:t>
      </w:r>
      <w:r w:rsidR="00AC43D2" w:rsidRPr="00D52DA3">
        <w:rPr>
          <w:b/>
          <w:i/>
          <w:sz w:val="22"/>
          <w:szCs w:val="22"/>
        </w:rPr>
        <w:t>TC-0</w:t>
      </w:r>
      <w:r w:rsidRPr="00D52DA3">
        <w:rPr>
          <w:b/>
          <w:i/>
          <w:sz w:val="22"/>
          <w:szCs w:val="22"/>
        </w:rPr>
        <w:t>19</w:t>
      </w:r>
      <w:r w:rsidR="00AC43D2" w:rsidRPr="00D52DA3">
        <w:rPr>
          <w:b/>
          <w:i/>
          <w:sz w:val="22"/>
          <w:szCs w:val="22"/>
        </w:rPr>
        <w:t>.</w:t>
      </w:r>
      <w:r w:rsidRPr="00D52DA3">
        <w:rPr>
          <w:b/>
          <w:i/>
          <w:sz w:val="22"/>
          <w:szCs w:val="22"/>
        </w:rPr>
        <w:t>450</w:t>
      </w:r>
      <w:r w:rsidR="00AC43D2" w:rsidRPr="00D52DA3">
        <w:rPr>
          <w:b/>
          <w:i/>
          <w:sz w:val="22"/>
          <w:szCs w:val="22"/>
        </w:rPr>
        <w:t>/2011-</w:t>
      </w:r>
      <w:r w:rsidRPr="00D52DA3">
        <w:rPr>
          <w:b/>
          <w:i/>
          <w:sz w:val="22"/>
          <w:szCs w:val="22"/>
        </w:rPr>
        <w:t>7</w:t>
      </w:r>
      <w:r w:rsidR="00AC43D2" w:rsidRPr="00D52DA3">
        <w:rPr>
          <w:b/>
          <w:i/>
          <w:sz w:val="22"/>
          <w:szCs w:val="22"/>
        </w:rPr>
        <w:t xml:space="preserve">, rel. Min.-Subst. </w:t>
      </w:r>
      <w:r w:rsidR="007B53E7" w:rsidRPr="00D52DA3">
        <w:rPr>
          <w:b/>
          <w:i/>
          <w:sz w:val="22"/>
          <w:szCs w:val="22"/>
        </w:rPr>
        <w:t>Weder de Oliveira</w:t>
      </w:r>
      <w:r w:rsidR="00AC43D2" w:rsidRPr="00D52DA3">
        <w:rPr>
          <w:b/>
          <w:i/>
          <w:sz w:val="22"/>
          <w:szCs w:val="22"/>
        </w:rPr>
        <w:t>, 27.07.2011.</w:t>
      </w:r>
    </w:p>
    <w:p w:rsidR="002F1E70" w:rsidRPr="002F1E70" w:rsidRDefault="002F1E70" w:rsidP="000807D4">
      <w:pPr>
        <w:pStyle w:val="TCU-Ac-item9-"/>
        <w:ind w:firstLine="0"/>
        <w:rPr>
          <w:b/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80565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2E6712" w:rsidRDefault="00C10DD5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E6712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2E6712" w:rsidRDefault="007334B1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E6712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2E6712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Default="007334B1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p w:rsidR="001F2096" w:rsidRDefault="001F2096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p w:rsidR="001F2096" w:rsidRPr="00805659" w:rsidRDefault="001F2096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1F2096" w:rsidRPr="00805659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49" w:rsidRDefault="00900649" w:rsidP="008B0547">
      <w:pPr>
        <w:spacing w:after="0"/>
      </w:pPr>
      <w:r>
        <w:separator/>
      </w:r>
    </w:p>
  </w:endnote>
  <w:endnote w:type="continuationSeparator" w:id="0">
    <w:p w:rsidR="00900649" w:rsidRDefault="00900649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D2D4E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49" w:rsidRDefault="00900649" w:rsidP="008B0547">
      <w:pPr>
        <w:spacing w:after="0"/>
      </w:pPr>
      <w:r>
        <w:separator/>
      </w:r>
    </w:p>
  </w:footnote>
  <w:footnote w:type="continuationSeparator" w:id="0">
    <w:p w:rsidR="00900649" w:rsidRDefault="00900649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9971BA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9971BA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D37F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837D13">
      <w:rPr>
        <w:rFonts w:ascii="Arial" w:hAnsi="Arial" w:cs="Arial"/>
        <w:noProof/>
        <w:lang w:eastAsia="pt-BR"/>
      </w:rPr>
      <w:t>7</w:t>
    </w:r>
    <w:r w:rsidR="000807D4">
      <w:rPr>
        <w:rFonts w:ascii="Arial" w:hAnsi="Arial" w:cs="Arial"/>
        <w:noProof/>
        <w:lang w:eastAsia="pt-BR"/>
      </w:rPr>
      <w:t>3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6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7"/>
  </w:num>
  <w:num w:numId="7">
    <w:abstractNumId w:val="24"/>
  </w:num>
  <w:num w:numId="8">
    <w:abstractNumId w:val="22"/>
  </w:num>
  <w:num w:numId="9">
    <w:abstractNumId w:val="19"/>
  </w:num>
  <w:num w:numId="10">
    <w:abstractNumId w:val="6"/>
  </w:num>
  <w:num w:numId="11">
    <w:abstractNumId w:val="26"/>
  </w:num>
  <w:num w:numId="12">
    <w:abstractNumId w:val="4"/>
  </w:num>
  <w:num w:numId="13">
    <w:abstractNumId w:val="16"/>
  </w:num>
  <w:num w:numId="14">
    <w:abstractNumId w:val="23"/>
  </w:num>
  <w:num w:numId="15">
    <w:abstractNumId w:val="14"/>
  </w:num>
  <w:num w:numId="16">
    <w:abstractNumId w:val="2"/>
  </w:num>
  <w:num w:numId="17">
    <w:abstractNumId w:val="12"/>
  </w:num>
  <w:num w:numId="18">
    <w:abstractNumId w:val="25"/>
    <w:lvlOverride w:ilvl="0">
      <w:startOverride w:val="1"/>
    </w:lvlOverride>
  </w:num>
  <w:num w:numId="19">
    <w:abstractNumId w:val="20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18CC"/>
    <w:rsid w:val="00011D5A"/>
    <w:rsid w:val="00012468"/>
    <w:rsid w:val="0001636D"/>
    <w:rsid w:val="00020C27"/>
    <w:rsid w:val="00020C75"/>
    <w:rsid w:val="00023D72"/>
    <w:rsid w:val="000253D1"/>
    <w:rsid w:val="00025450"/>
    <w:rsid w:val="000271FA"/>
    <w:rsid w:val="00032198"/>
    <w:rsid w:val="00033551"/>
    <w:rsid w:val="00036877"/>
    <w:rsid w:val="00037DCE"/>
    <w:rsid w:val="00041450"/>
    <w:rsid w:val="000438FC"/>
    <w:rsid w:val="000460E4"/>
    <w:rsid w:val="0004660A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5E95"/>
    <w:rsid w:val="00070785"/>
    <w:rsid w:val="0007259B"/>
    <w:rsid w:val="00074384"/>
    <w:rsid w:val="00074AC5"/>
    <w:rsid w:val="00077A56"/>
    <w:rsid w:val="00080148"/>
    <w:rsid w:val="000807D4"/>
    <w:rsid w:val="000835D8"/>
    <w:rsid w:val="00084282"/>
    <w:rsid w:val="00084727"/>
    <w:rsid w:val="00086A39"/>
    <w:rsid w:val="00087006"/>
    <w:rsid w:val="00090CAA"/>
    <w:rsid w:val="0009133A"/>
    <w:rsid w:val="000916AF"/>
    <w:rsid w:val="00092C2E"/>
    <w:rsid w:val="00094C5B"/>
    <w:rsid w:val="00095D98"/>
    <w:rsid w:val="0009748C"/>
    <w:rsid w:val="00097863"/>
    <w:rsid w:val="00097BF6"/>
    <w:rsid w:val="000A0EF8"/>
    <w:rsid w:val="000A152A"/>
    <w:rsid w:val="000A1EBD"/>
    <w:rsid w:val="000A2C56"/>
    <w:rsid w:val="000A47EA"/>
    <w:rsid w:val="000A599E"/>
    <w:rsid w:val="000A6269"/>
    <w:rsid w:val="000A62BD"/>
    <w:rsid w:val="000B0ECB"/>
    <w:rsid w:val="000B0FEA"/>
    <w:rsid w:val="000B2AFA"/>
    <w:rsid w:val="000B639F"/>
    <w:rsid w:val="000B6BC1"/>
    <w:rsid w:val="000C02AD"/>
    <w:rsid w:val="000C4A10"/>
    <w:rsid w:val="000D1878"/>
    <w:rsid w:val="000D1B91"/>
    <w:rsid w:val="000D1EF5"/>
    <w:rsid w:val="000D1FD7"/>
    <w:rsid w:val="000D6418"/>
    <w:rsid w:val="000D7DB6"/>
    <w:rsid w:val="000D7DED"/>
    <w:rsid w:val="000E020F"/>
    <w:rsid w:val="000E12F7"/>
    <w:rsid w:val="000E2D47"/>
    <w:rsid w:val="000E3B31"/>
    <w:rsid w:val="000E504D"/>
    <w:rsid w:val="000E7FD4"/>
    <w:rsid w:val="000F2133"/>
    <w:rsid w:val="000F2F92"/>
    <w:rsid w:val="000F6D85"/>
    <w:rsid w:val="000F7CEE"/>
    <w:rsid w:val="000F7D84"/>
    <w:rsid w:val="00102D37"/>
    <w:rsid w:val="001041ED"/>
    <w:rsid w:val="001104BA"/>
    <w:rsid w:val="00112676"/>
    <w:rsid w:val="00112A5F"/>
    <w:rsid w:val="0011373A"/>
    <w:rsid w:val="00113A1F"/>
    <w:rsid w:val="00114511"/>
    <w:rsid w:val="00116BAB"/>
    <w:rsid w:val="001203BE"/>
    <w:rsid w:val="00125F9A"/>
    <w:rsid w:val="00126026"/>
    <w:rsid w:val="00130A0C"/>
    <w:rsid w:val="00133EA9"/>
    <w:rsid w:val="00137B22"/>
    <w:rsid w:val="00140FED"/>
    <w:rsid w:val="00141D7A"/>
    <w:rsid w:val="001420D1"/>
    <w:rsid w:val="00142C16"/>
    <w:rsid w:val="001444A2"/>
    <w:rsid w:val="00151F92"/>
    <w:rsid w:val="0015258E"/>
    <w:rsid w:val="00152ECC"/>
    <w:rsid w:val="001532E4"/>
    <w:rsid w:val="00156A48"/>
    <w:rsid w:val="00156DDB"/>
    <w:rsid w:val="00157614"/>
    <w:rsid w:val="00157AFE"/>
    <w:rsid w:val="00157C0F"/>
    <w:rsid w:val="00171E89"/>
    <w:rsid w:val="001737F7"/>
    <w:rsid w:val="001744E7"/>
    <w:rsid w:val="00176375"/>
    <w:rsid w:val="001766A9"/>
    <w:rsid w:val="00181339"/>
    <w:rsid w:val="00195F77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5EC0"/>
    <w:rsid w:val="001D74CE"/>
    <w:rsid w:val="001E0BF1"/>
    <w:rsid w:val="001E1E28"/>
    <w:rsid w:val="001E2620"/>
    <w:rsid w:val="001E4147"/>
    <w:rsid w:val="001E7019"/>
    <w:rsid w:val="001E71F9"/>
    <w:rsid w:val="001E747D"/>
    <w:rsid w:val="001E7C3D"/>
    <w:rsid w:val="001F00DF"/>
    <w:rsid w:val="001F1E8F"/>
    <w:rsid w:val="001F2096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17B1B"/>
    <w:rsid w:val="00225D42"/>
    <w:rsid w:val="00226AEF"/>
    <w:rsid w:val="00226D9D"/>
    <w:rsid w:val="00227776"/>
    <w:rsid w:val="00232158"/>
    <w:rsid w:val="002328F9"/>
    <w:rsid w:val="0023395B"/>
    <w:rsid w:val="00233CE3"/>
    <w:rsid w:val="002343BF"/>
    <w:rsid w:val="0023535F"/>
    <w:rsid w:val="00236F05"/>
    <w:rsid w:val="002415A6"/>
    <w:rsid w:val="00242061"/>
    <w:rsid w:val="002435FC"/>
    <w:rsid w:val="002442D9"/>
    <w:rsid w:val="00244BA7"/>
    <w:rsid w:val="0024593F"/>
    <w:rsid w:val="002476B6"/>
    <w:rsid w:val="00247E76"/>
    <w:rsid w:val="00253242"/>
    <w:rsid w:val="00254590"/>
    <w:rsid w:val="00257D8A"/>
    <w:rsid w:val="00261488"/>
    <w:rsid w:val="00262359"/>
    <w:rsid w:val="0026362E"/>
    <w:rsid w:val="002639CA"/>
    <w:rsid w:val="002649A7"/>
    <w:rsid w:val="00264FC3"/>
    <w:rsid w:val="002663B7"/>
    <w:rsid w:val="002666C5"/>
    <w:rsid w:val="00271CD7"/>
    <w:rsid w:val="00271D81"/>
    <w:rsid w:val="0027213F"/>
    <w:rsid w:val="00273E72"/>
    <w:rsid w:val="00274068"/>
    <w:rsid w:val="0027498E"/>
    <w:rsid w:val="0027686D"/>
    <w:rsid w:val="00276DC0"/>
    <w:rsid w:val="00277F47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040F"/>
    <w:rsid w:val="002A190F"/>
    <w:rsid w:val="002A2129"/>
    <w:rsid w:val="002A3796"/>
    <w:rsid w:val="002A3B3F"/>
    <w:rsid w:val="002A5A02"/>
    <w:rsid w:val="002A6CE6"/>
    <w:rsid w:val="002B059A"/>
    <w:rsid w:val="002B1AD6"/>
    <w:rsid w:val="002B409B"/>
    <w:rsid w:val="002B4392"/>
    <w:rsid w:val="002B56C3"/>
    <w:rsid w:val="002B5AD5"/>
    <w:rsid w:val="002B5C5A"/>
    <w:rsid w:val="002B6422"/>
    <w:rsid w:val="002B71BA"/>
    <w:rsid w:val="002C208E"/>
    <w:rsid w:val="002C506F"/>
    <w:rsid w:val="002C7B61"/>
    <w:rsid w:val="002C7B6D"/>
    <w:rsid w:val="002D0D1A"/>
    <w:rsid w:val="002D155C"/>
    <w:rsid w:val="002D1637"/>
    <w:rsid w:val="002D1688"/>
    <w:rsid w:val="002D1B69"/>
    <w:rsid w:val="002D1BA5"/>
    <w:rsid w:val="002D35F5"/>
    <w:rsid w:val="002D47FE"/>
    <w:rsid w:val="002D532D"/>
    <w:rsid w:val="002D739A"/>
    <w:rsid w:val="002D76AB"/>
    <w:rsid w:val="002D786D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E6712"/>
    <w:rsid w:val="002F104B"/>
    <w:rsid w:val="002F1C09"/>
    <w:rsid w:val="002F1E70"/>
    <w:rsid w:val="002F4696"/>
    <w:rsid w:val="002F5F3B"/>
    <w:rsid w:val="002F693C"/>
    <w:rsid w:val="002F7C6D"/>
    <w:rsid w:val="003020F4"/>
    <w:rsid w:val="003023A1"/>
    <w:rsid w:val="003025C7"/>
    <w:rsid w:val="0030360F"/>
    <w:rsid w:val="00303790"/>
    <w:rsid w:val="00303984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9A9"/>
    <w:rsid w:val="0031528D"/>
    <w:rsid w:val="00317E59"/>
    <w:rsid w:val="00320465"/>
    <w:rsid w:val="00322AE7"/>
    <w:rsid w:val="00325246"/>
    <w:rsid w:val="003275E4"/>
    <w:rsid w:val="00330069"/>
    <w:rsid w:val="00330144"/>
    <w:rsid w:val="0033244F"/>
    <w:rsid w:val="00337E16"/>
    <w:rsid w:val="00340E66"/>
    <w:rsid w:val="00340F10"/>
    <w:rsid w:val="00341D56"/>
    <w:rsid w:val="00342A44"/>
    <w:rsid w:val="0034486B"/>
    <w:rsid w:val="00344D92"/>
    <w:rsid w:val="003455A2"/>
    <w:rsid w:val="00345BD4"/>
    <w:rsid w:val="00350E87"/>
    <w:rsid w:val="00353B7C"/>
    <w:rsid w:val="0035438E"/>
    <w:rsid w:val="00355828"/>
    <w:rsid w:val="00356E38"/>
    <w:rsid w:val="00357CBE"/>
    <w:rsid w:val="00361487"/>
    <w:rsid w:val="00361661"/>
    <w:rsid w:val="00370BC7"/>
    <w:rsid w:val="00372E83"/>
    <w:rsid w:val="00375080"/>
    <w:rsid w:val="00377407"/>
    <w:rsid w:val="00381780"/>
    <w:rsid w:val="003824E4"/>
    <w:rsid w:val="00383CFE"/>
    <w:rsid w:val="003853FF"/>
    <w:rsid w:val="00385609"/>
    <w:rsid w:val="00385DAB"/>
    <w:rsid w:val="0038696B"/>
    <w:rsid w:val="00387CBD"/>
    <w:rsid w:val="003900C7"/>
    <w:rsid w:val="0039039F"/>
    <w:rsid w:val="00390ED6"/>
    <w:rsid w:val="00391B5C"/>
    <w:rsid w:val="00392509"/>
    <w:rsid w:val="003925E5"/>
    <w:rsid w:val="00393FCC"/>
    <w:rsid w:val="003943E5"/>
    <w:rsid w:val="00397D8E"/>
    <w:rsid w:val="003A105C"/>
    <w:rsid w:val="003A2222"/>
    <w:rsid w:val="003A3262"/>
    <w:rsid w:val="003A5479"/>
    <w:rsid w:val="003A5C1B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153E"/>
    <w:rsid w:val="00412CEF"/>
    <w:rsid w:val="004141A8"/>
    <w:rsid w:val="004169D8"/>
    <w:rsid w:val="004201AF"/>
    <w:rsid w:val="00425FF9"/>
    <w:rsid w:val="00427B3B"/>
    <w:rsid w:val="00427EBF"/>
    <w:rsid w:val="00431085"/>
    <w:rsid w:val="00435269"/>
    <w:rsid w:val="004362AB"/>
    <w:rsid w:val="00441101"/>
    <w:rsid w:val="004415FB"/>
    <w:rsid w:val="00441CE3"/>
    <w:rsid w:val="004421F5"/>
    <w:rsid w:val="0044434A"/>
    <w:rsid w:val="0044437F"/>
    <w:rsid w:val="00445E76"/>
    <w:rsid w:val="00446606"/>
    <w:rsid w:val="004471BC"/>
    <w:rsid w:val="00447217"/>
    <w:rsid w:val="00451471"/>
    <w:rsid w:val="00452C60"/>
    <w:rsid w:val="00457F93"/>
    <w:rsid w:val="004617A9"/>
    <w:rsid w:val="004618C4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836D8"/>
    <w:rsid w:val="004837C6"/>
    <w:rsid w:val="00483998"/>
    <w:rsid w:val="00484E4C"/>
    <w:rsid w:val="004878ED"/>
    <w:rsid w:val="00491438"/>
    <w:rsid w:val="00492E3F"/>
    <w:rsid w:val="00493F5C"/>
    <w:rsid w:val="00495DB3"/>
    <w:rsid w:val="004A171B"/>
    <w:rsid w:val="004A2385"/>
    <w:rsid w:val="004A2D91"/>
    <w:rsid w:val="004A3B95"/>
    <w:rsid w:val="004A7912"/>
    <w:rsid w:val="004B0194"/>
    <w:rsid w:val="004B1113"/>
    <w:rsid w:val="004B1DC3"/>
    <w:rsid w:val="004B36AE"/>
    <w:rsid w:val="004C61A3"/>
    <w:rsid w:val="004C6E03"/>
    <w:rsid w:val="004C780C"/>
    <w:rsid w:val="004D03BA"/>
    <w:rsid w:val="004D3441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65EB"/>
    <w:rsid w:val="004F3D4A"/>
    <w:rsid w:val="004F7174"/>
    <w:rsid w:val="004F7E98"/>
    <w:rsid w:val="00500DD0"/>
    <w:rsid w:val="005012AA"/>
    <w:rsid w:val="005012CF"/>
    <w:rsid w:val="0050355D"/>
    <w:rsid w:val="005055B5"/>
    <w:rsid w:val="00506619"/>
    <w:rsid w:val="00510D1D"/>
    <w:rsid w:val="00511BBF"/>
    <w:rsid w:val="00515E7B"/>
    <w:rsid w:val="005217F8"/>
    <w:rsid w:val="0052267A"/>
    <w:rsid w:val="005239DD"/>
    <w:rsid w:val="00523CA1"/>
    <w:rsid w:val="005266F4"/>
    <w:rsid w:val="0052675C"/>
    <w:rsid w:val="005303B5"/>
    <w:rsid w:val="00531143"/>
    <w:rsid w:val="005340EA"/>
    <w:rsid w:val="00534A44"/>
    <w:rsid w:val="00536332"/>
    <w:rsid w:val="00542821"/>
    <w:rsid w:val="00543514"/>
    <w:rsid w:val="005438A1"/>
    <w:rsid w:val="00543B81"/>
    <w:rsid w:val="00543EB8"/>
    <w:rsid w:val="00543F41"/>
    <w:rsid w:val="00544550"/>
    <w:rsid w:val="00544FCF"/>
    <w:rsid w:val="005450DC"/>
    <w:rsid w:val="00545A47"/>
    <w:rsid w:val="00545FC7"/>
    <w:rsid w:val="0054634E"/>
    <w:rsid w:val="00546B67"/>
    <w:rsid w:val="005512D3"/>
    <w:rsid w:val="00551C0E"/>
    <w:rsid w:val="00554A33"/>
    <w:rsid w:val="0055716D"/>
    <w:rsid w:val="005571A6"/>
    <w:rsid w:val="00557953"/>
    <w:rsid w:val="00560E55"/>
    <w:rsid w:val="00562E8F"/>
    <w:rsid w:val="0056301A"/>
    <w:rsid w:val="005635AD"/>
    <w:rsid w:val="005640E1"/>
    <w:rsid w:val="00564EA1"/>
    <w:rsid w:val="0056534C"/>
    <w:rsid w:val="00566E81"/>
    <w:rsid w:val="00567CEE"/>
    <w:rsid w:val="005713F4"/>
    <w:rsid w:val="00571E64"/>
    <w:rsid w:val="00573D3B"/>
    <w:rsid w:val="00575CC3"/>
    <w:rsid w:val="00576018"/>
    <w:rsid w:val="00580F26"/>
    <w:rsid w:val="00581A7C"/>
    <w:rsid w:val="0058427E"/>
    <w:rsid w:val="005864FA"/>
    <w:rsid w:val="00590750"/>
    <w:rsid w:val="00590907"/>
    <w:rsid w:val="0059346F"/>
    <w:rsid w:val="00594A7B"/>
    <w:rsid w:val="005A2D82"/>
    <w:rsid w:val="005A3835"/>
    <w:rsid w:val="005A3AEC"/>
    <w:rsid w:val="005A6858"/>
    <w:rsid w:val="005A72F2"/>
    <w:rsid w:val="005B2194"/>
    <w:rsid w:val="005B2BC3"/>
    <w:rsid w:val="005B4CFA"/>
    <w:rsid w:val="005B5B3D"/>
    <w:rsid w:val="005B7112"/>
    <w:rsid w:val="005B7166"/>
    <w:rsid w:val="005C18EE"/>
    <w:rsid w:val="005C1A79"/>
    <w:rsid w:val="005C7644"/>
    <w:rsid w:val="005C7BF4"/>
    <w:rsid w:val="005D2B0F"/>
    <w:rsid w:val="005D3352"/>
    <w:rsid w:val="005D3D1E"/>
    <w:rsid w:val="005E12DD"/>
    <w:rsid w:val="005E269C"/>
    <w:rsid w:val="005E3586"/>
    <w:rsid w:val="005E386D"/>
    <w:rsid w:val="005E3EC0"/>
    <w:rsid w:val="005E4DEE"/>
    <w:rsid w:val="005E5FF1"/>
    <w:rsid w:val="005E72FB"/>
    <w:rsid w:val="005F01CE"/>
    <w:rsid w:val="005F135B"/>
    <w:rsid w:val="005F4E54"/>
    <w:rsid w:val="005F70B6"/>
    <w:rsid w:val="005F7A87"/>
    <w:rsid w:val="006017DF"/>
    <w:rsid w:val="00601F0A"/>
    <w:rsid w:val="00604DBE"/>
    <w:rsid w:val="006063E1"/>
    <w:rsid w:val="006065E4"/>
    <w:rsid w:val="00606F56"/>
    <w:rsid w:val="00610039"/>
    <w:rsid w:val="00610381"/>
    <w:rsid w:val="00611C07"/>
    <w:rsid w:val="00611E07"/>
    <w:rsid w:val="00612045"/>
    <w:rsid w:val="00612F12"/>
    <w:rsid w:val="00613AC9"/>
    <w:rsid w:val="00615808"/>
    <w:rsid w:val="00620E86"/>
    <w:rsid w:val="006219DD"/>
    <w:rsid w:val="00621D63"/>
    <w:rsid w:val="00623DAF"/>
    <w:rsid w:val="006242BF"/>
    <w:rsid w:val="00631FE7"/>
    <w:rsid w:val="00632ACC"/>
    <w:rsid w:val="006345C1"/>
    <w:rsid w:val="00637FDD"/>
    <w:rsid w:val="00641E57"/>
    <w:rsid w:val="006503A5"/>
    <w:rsid w:val="00650463"/>
    <w:rsid w:val="00651660"/>
    <w:rsid w:val="00652171"/>
    <w:rsid w:val="006532C3"/>
    <w:rsid w:val="00661BD2"/>
    <w:rsid w:val="00666285"/>
    <w:rsid w:val="00670FEA"/>
    <w:rsid w:val="00671DC9"/>
    <w:rsid w:val="0067252D"/>
    <w:rsid w:val="006734AA"/>
    <w:rsid w:val="006734B3"/>
    <w:rsid w:val="0067353C"/>
    <w:rsid w:val="00676163"/>
    <w:rsid w:val="006764C4"/>
    <w:rsid w:val="006777E4"/>
    <w:rsid w:val="00677C22"/>
    <w:rsid w:val="006808CC"/>
    <w:rsid w:val="00685899"/>
    <w:rsid w:val="00692D30"/>
    <w:rsid w:val="00695597"/>
    <w:rsid w:val="00696A89"/>
    <w:rsid w:val="00696F75"/>
    <w:rsid w:val="00697477"/>
    <w:rsid w:val="006A037E"/>
    <w:rsid w:val="006A2019"/>
    <w:rsid w:val="006A21CC"/>
    <w:rsid w:val="006A3D41"/>
    <w:rsid w:val="006A7796"/>
    <w:rsid w:val="006B0495"/>
    <w:rsid w:val="006B0DCB"/>
    <w:rsid w:val="006B2408"/>
    <w:rsid w:val="006B3AF9"/>
    <w:rsid w:val="006B414C"/>
    <w:rsid w:val="006B4B0F"/>
    <w:rsid w:val="006C32CF"/>
    <w:rsid w:val="006C335E"/>
    <w:rsid w:val="006C3A1F"/>
    <w:rsid w:val="006C54BB"/>
    <w:rsid w:val="006C5C6C"/>
    <w:rsid w:val="006C7DE0"/>
    <w:rsid w:val="006D3DC7"/>
    <w:rsid w:val="006D4245"/>
    <w:rsid w:val="006D5843"/>
    <w:rsid w:val="006E0A93"/>
    <w:rsid w:val="006E4064"/>
    <w:rsid w:val="006E58EA"/>
    <w:rsid w:val="006F0036"/>
    <w:rsid w:val="006F2F67"/>
    <w:rsid w:val="006F3CA4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5758"/>
    <w:rsid w:val="0070717A"/>
    <w:rsid w:val="00707244"/>
    <w:rsid w:val="00712CCC"/>
    <w:rsid w:val="007136E9"/>
    <w:rsid w:val="00713DE5"/>
    <w:rsid w:val="007157A0"/>
    <w:rsid w:val="007174DA"/>
    <w:rsid w:val="00720910"/>
    <w:rsid w:val="00720F29"/>
    <w:rsid w:val="007224C2"/>
    <w:rsid w:val="00731409"/>
    <w:rsid w:val="007334B1"/>
    <w:rsid w:val="007339F3"/>
    <w:rsid w:val="00733EB2"/>
    <w:rsid w:val="00737FEC"/>
    <w:rsid w:val="00740292"/>
    <w:rsid w:val="007424E5"/>
    <w:rsid w:val="00742B07"/>
    <w:rsid w:val="0075064C"/>
    <w:rsid w:val="00752E39"/>
    <w:rsid w:val="00755956"/>
    <w:rsid w:val="00756AA0"/>
    <w:rsid w:val="00757CE6"/>
    <w:rsid w:val="00763097"/>
    <w:rsid w:val="00764CB0"/>
    <w:rsid w:val="007666D8"/>
    <w:rsid w:val="00766D03"/>
    <w:rsid w:val="007671B6"/>
    <w:rsid w:val="007671DA"/>
    <w:rsid w:val="00767C28"/>
    <w:rsid w:val="00770C72"/>
    <w:rsid w:val="007719A8"/>
    <w:rsid w:val="00773CAE"/>
    <w:rsid w:val="00774593"/>
    <w:rsid w:val="00776EDA"/>
    <w:rsid w:val="00777599"/>
    <w:rsid w:val="00785646"/>
    <w:rsid w:val="00785CF8"/>
    <w:rsid w:val="00796068"/>
    <w:rsid w:val="00796CC0"/>
    <w:rsid w:val="00796CF1"/>
    <w:rsid w:val="007979EA"/>
    <w:rsid w:val="007A1A35"/>
    <w:rsid w:val="007A2166"/>
    <w:rsid w:val="007A2B7F"/>
    <w:rsid w:val="007A5922"/>
    <w:rsid w:val="007B1ABA"/>
    <w:rsid w:val="007B259B"/>
    <w:rsid w:val="007B3F28"/>
    <w:rsid w:val="007B5018"/>
    <w:rsid w:val="007B53E7"/>
    <w:rsid w:val="007B65B3"/>
    <w:rsid w:val="007C08AB"/>
    <w:rsid w:val="007C4E99"/>
    <w:rsid w:val="007C5151"/>
    <w:rsid w:val="007C546B"/>
    <w:rsid w:val="007C670D"/>
    <w:rsid w:val="007C7359"/>
    <w:rsid w:val="007D0ED0"/>
    <w:rsid w:val="007D1F01"/>
    <w:rsid w:val="007D279C"/>
    <w:rsid w:val="007D3E0E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1DEB"/>
    <w:rsid w:val="007F22A5"/>
    <w:rsid w:val="007F421D"/>
    <w:rsid w:val="007F5688"/>
    <w:rsid w:val="007F588F"/>
    <w:rsid w:val="0080038A"/>
    <w:rsid w:val="0080065F"/>
    <w:rsid w:val="008051DE"/>
    <w:rsid w:val="00805659"/>
    <w:rsid w:val="0080733E"/>
    <w:rsid w:val="00810CC2"/>
    <w:rsid w:val="0081324B"/>
    <w:rsid w:val="0081440E"/>
    <w:rsid w:val="00816193"/>
    <w:rsid w:val="008165E4"/>
    <w:rsid w:val="008234BD"/>
    <w:rsid w:val="00824A8C"/>
    <w:rsid w:val="00825155"/>
    <w:rsid w:val="00825EB9"/>
    <w:rsid w:val="008303E2"/>
    <w:rsid w:val="00833A8F"/>
    <w:rsid w:val="008341F8"/>
    <w:rsid w:val="008359F3"/>
    <w:rsid w:val="00835DB6"/>
    <w:rsid w:val="00836AC2"/>
    <w:rsid w:val="00837D13"/>
    <w:rsid w:val="008406D5"/>
    <w:rsid w:val="00843BED"/>
    <w:rsid w:val="00844C5B"/>
    <w:rsid w:val="00847B37"/>
    <w:rsid w:val="008501A4"/>
    <w:rsid w:val="008505A1"/>
    <w:rsid w:val="00850817"/>
    <w:rsid w:val="00851D16"/>
    <w:rsid w:val="00851E54"/>
    <w:rsid w:val="0085433A"/>
    <w:rsid w:val="00854B32"/>
    <w:rsid w:val="00855F2B"/>
    <w:rsid w:val="00856252"/>
    <w:rsid w:val="00857634"/>
    <w:rsid w:val="0086124E"/>
    <w:rsid w:val="00861B74"/>
    <w:rsid w:val="00864A10"/>
    <w:rsid w:val="008652C9"/>
    <w:rsid w:val="00866992"/>
    <w:rsid w:val="00866CA9"/>
    <w:rsid w:val="00867E32"/>
    <w:rsid w:val="00872942"/>
    <w:rsid w:val="00875991"/>
    <w:rsid w:val="00875BB5"/>
    <w:rsid w:val="008771B6"/>
    <w:rsid w:val="00877FDD"/>
    <w:rsid w:val="00880FED"/>
    <w:rsid w:val="0088186D"/>
    <w:rsid w:val="008841C8"/>
    <w:rsid w:val="00885367"/>
    <w:rsid w:val="008855A4"/>
    <w:rsid w:val="00887082"/>
    <w:rsid w:val="00887DC7"/>
    <w:rsid w:val="00891FCC"/>
    <w:rsid w:val="00892BB8"/>
    <w:rsid w:val="00893014"/>
    <w:rsid w:val="0089513A"/>
    <w:rsid w:val="00896755"/>
    <w:rsid w:val="008A2417"/>
    <w:rsid w:val="008A5D49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3A5B"/>
    <w:rsid w:val="008C3D50"/>
    <w:rsid w:val="008C5B71"/>
    <w:rsid w:val="008D2382"/>
    <w:rsid w:val="008D3521"/>
    <w:rsid w:val="008D5667"/>
    <w:rsid w:val="008D6F5D"/>
    <w:rsid w:val="008E003A"/>
    <w:rsid w:val="008E15E3"/>
    <w:rsid w:val="008E2045"/>
    <w:rsid w:val="008E4C62"/>
    <w:rsid w:val="008E727E"/>
    <w:rsid w:val="008F2902"/>
    <w:rsid w:val="008F4047"/>
    <w:rsid w:val="008F4593"/>
    <w:rsid w:val="008F660B"/>
    <w:rsid w:val="009005CE"/>
    <w:rsid w:val="00900649"/>
    <w:rsid w:val="00901376"/>
    <w:rsid w:val="0090188B"/>
    <w:rsid w:val="009021A4"/>
    <w:rsid w:val="00904305"/>
    <w:rsid w:val="00904EC5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DCB"/>
    <w:rsid w:val="00937F7E"/>
    <w:rsid w:val="009440DE"/>
    <w:rsid w:val="009444E6"/>
    <w:rsid w:val="00944A8E"/>
    <w:rsid w:val="009455E6"/>
    <w:rsid w:val="0094589B"/>
    <w:rsid w:val="009509C0"/>
    <w:rsid w:val="00952B9C"/>
    <w:rsid w:val="00953B70"/>
    <w:rsid w:val="00956BA7"/>
    <w:rsid w:val="00956FD8"/>
    <w:rsid w:val="009575F7"/>
    <w:rsid w:val="00957E4B"/>
    <w:rsid w:val="0096021A"/>
    <w:rsid w:val="00960F73"/>
    <w:rsid w:val="009642CA"/>
    <w:rsid w:val="009652B6"/>
    <w:rsid w:val="0096655D"/>
    <w:rsid w:val="00971139"/>
    <w:rsid w:val="00972B10"/>
    <w:rsid w:val="0097401F"/>
    <w:rsid w:val="00981FA0"/>
    <w:rsid w:val="0098263A"/>
    <w:rsid w:val="00983541"/>
    <w:rsid w:val="00984366"/>
    <w:rsid w:val="00984E80"/>
    <w:rsid w:val="0098690F"/>
    <w:rsid w:val="00987EE5"/>
    <w:rsid w:val="00991CD8"/>
    <w:rsid w:val="00991EBE"/>
    <w:rsid w:val="00993C2E"/>
    <w:rsid w:val="009971BA"/>
    <w:rsid w:val="00997B1B"/>
    <w:rsid w:val="00997C8A"/>
    <w:rsid w:val="009A1339"/>
    <w:rsid w:val="009A1A95"/>
    <w:rsid w:val="009A3006"/>
    <w:rsid w:val="009A3994"/>
    <w:rsid w:val="009B2FB9"/>
    <w:rsid w:val="009B5D6F"/>
    <w:rsid w:val="009B62AF"/>
    <w:rsid w:val="009B7AB9"/>
    <w:rsid w:val="009C4B6D"/>
    <w:rsid w:val="009D0928"/>
    <w:rsid w:val="009D1B99"/>
    <w:rsid w:val="009D2884"/>
    <w:rsid w:val="009D5393"/>
    <w:rsid w:val="009D5445"/>
    <w:rsid w:val="009D565F"/>
    <w:rsid w:val="009D65B9"/>
    <w:rsid w:val="009D70EE"/>
    <w:rsid w:val="009E04DC"/>
    <w:rsid w:val="009E0FB3"/>
    <w:rsid w:val="009E3B5A"/>
    <w:rsid w:val="009E5105"/>
    <w:rsid w:val="009E59A1"/>
    <w:rsid w:val="009E66EE"/>
    <w:rsid w:val="009F4326"/>
    <w:rsid w:val="009F7FA6"/>
    <w:rsid w:val="00A0082F"/>
    <w:rsid w:val="00A0244C"/>
    <w:rsid w:val="00A033FF"/>
    <w:rsid w:val="00A0409E"/>
    <w:rsid w:val="00A06137"/>
    <w:rsid w:val="00A063FE"/>
    <w:rsid w:val="00A06EDB"/>
    <w:rsid w:val="00A07ACC"/>
    <w:rsid w:val="00A11259"/>
    <w:rsid w:val="00A1329C"/>
    <w:rsid w:val="00A14E25"/>
    <w:rsid w:val="00A16A60"/>
    <w:rsid w:val="00A17A3D"/>
    <w:rsid w:val="00A2062A"/>
    <w:rsid w:val="00A2066E"/>
    <w:rsid w:val="00A21E19"/>
    <w:rsid w:val="00A236A1"/>
    <w:rsid w:val="00A239A8"/>
    <w:rsid w:val="00A2561A"/>
    <w:rsid w:val="00A25B79"/>
    <w:rsid w:val="00A30683"/>
    <w:rsid w:val="00A3115F"/>
    <w:rsid w:val="00A32209"/>
    <w:rsid w:val="00A33030"/>
    <w:rsid w:val="00A378A2"/>
    <w:rsid w:val="00A407B6"/>
    <w:rsid w:val="00A40CDE"/>
    <w:rsid w:val="00A43FBD"/>
    <w:rsid w:val="00A43FD4"/>
    <w:rsid w:val="00A44703"/>
    <w:rsid w:val="00A52DA1"/>
    <w:rsid w:val="00A5757E"/>
    <w:rsid w:val="00A60F52"/>
    <w:rsid w:val="00A61DFE"/>
    <w:rsid w:val="00A62AA8"/>
    <w:rsid w:val="00A63B4C"/>
    <w:rsid w:val="00A6526F"/>
    <w:rsid w:val="00A664E7"/>
    <w:rsid w:val="00A66E7F"/>
    <w:rsid w:val="00A67917"/>
    <w:rsid w:val="00A70904"/>
    <w:rsid w:val="00A709BB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1D1B"/>
    <w:rsid w:val="00AA49AF"/>
    <w:rsid w:val="00AA4F2F"/>
    <w:rsid w:val="00AA57CE"/>
    <w:rsid w:val="00AA7540"/>
    <w:rsid w:val="00AB3E6B"/>
    <w:rsid w:val="00AB51C8"/>
    <w:rsid w:val="00AB5586"/>
    <w:rsid w:val="00AB7B25"/>
    <w:rsid w:val="00AC0BAE"/>
    <w:rsid w:val="00AC126F"/>
    <w:rsid w:val="00AC13F7"/>
    <w:rsid w:val="00AC3256"/>
    <w:rsid w:val="00AC43D2"/>
    <w:rsid w:val="00AC4B34"/>
    <w:rsid w:val="00AC737D"/>
    <w:rsid w:val="00AD05A6"/>
    <w:rsid w:val="00AD283D"/>
    <w:rsid w:val="00AE05EA"/>
    <w:rsid w:val="00AE0EDF"/>
    <w:rsid w:val="00AE1128"/>
    <w:rsid w:val="00AE1AB0"/>
    <w:rsid w:val="00AE2609"/>
    <w:rsid w:val="00AE29A8"/>
    <w:rsid w:val="00AE439A"/>
    <w:rsid w:val="00AE591D"/>
    <w:rsid w:val="00AE617A"/>
    <w:rsid w:val="00AE713F"/>
    <w:rsid w:val="00AF01CB"/>
    <w:rsid w:val="00AF09C7"/>
    <w:rsid w:val="00AF4BF4"/>
    <w:rsid w:val="00B0025D"/>
    <w:rsid w:val="00B006D8"/>
    <w:rsid w:val="00B02238"/>
    <w:rsid w:val="00B03D35"/>
    <w:rsid w:val="00B05065"/>
    <w:rsid w:val="00B05194"/>
    <w:rsid w:val="00B06B45"/>
    <w:rsid w:val="00B06D33"/>
    <w:rsid w:val="00B074B3"/>
    <w:rsid w:val="00B10AD8"/>
    <w:rsid w:val="00B154B5"/>
    <w:rsid w:val="00B17303"/>
    <w:rsid w:val="00B21343"/>
    <w:rsid w:val="00B219AA"/>
    <w:rsid w:val="00B21A5B"/>
    <w:rsid w:val="00B25143"/>
    <w:rsid w:val="00B2585D"/>
    <w:rsid w:val="00B266FA"/>
    <w:rsid w:val="00B26C40"/>
    <w:rsid w:val="00B26D82"/>
    <w:rsid w:val="00B2735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BEA"/>
    <w:rsid w:val="00B41D9D"/>
    <w:rsid w:val="00B44029"/>
    <w:rsid w:val="00B44FFA"/>
    <w:rsid w:val="00B45428"/>
    <w:rsid w:val="00B47943"/>
    <w:rsid w:val="00B50446"/>
    <w:rsid w:val="00B50A6E"/>
    <w:rsid w:val="00B512D2"/>
    <w:rsid w:val="00B527BF"/>
    <w:rsid w:val="00B52DC6"/>
    <w:rsid w:val="00B530FD"/>
    <w:rsid w:val="00B53C03"/>
    <w:rsid w:val="00B53C9C"/>
    <w:rsid w:val="00B558FE"/>
    <w:rsid w:val="00B56396"/>
    <w:rsid w:val="00B5639B"/>
    <w:rsid w:val="00B60C3E"/>
    <w:rsid w:val="00B615CB"/>
    <w:rsid w:val="00B63E30"/>
    <w:rsid w:val="00B645FA"/>
    <w:rsid w:val="00B64775"/>
    <w:rsid w:val="00B663CD"/>
    <w:rsid w:val="00B67B4F"/>
    <w:rsid w:val="00B81718"/>
    <w:rsid w:val="00B86AF6"/>
    <w:rsid w:val="00B86E2A"/>
    <w:rsid w:val="00B877AA"/>
    <w:rsid w:val="00B9389E"/>
    <w:rsid w:val="00B94EB5"/>
    <w:rsid w:val="00B96EA4"/>
    <w:rsid w:val="00B97282"/>
    <w:rsid w:val="00B97A3E"/>
    <w:rsid w:val="00BA2F02"/>
    <w:rsid w:val="00BA2FFD"/>
    <w:rsid w:val="00BA428A"/>
    <w:rsid w:val="00BA58B6"/>
    <w:rsid w:val="00BA62AD"/>
    <w:rsid w:val="00BB0267"/>
    <w:rsid w:val="00BB078B"/>
    <w:rsid w:val="00BB37AF"/>
    <w:rsid w:val="00BB4769"/>
    <w:rsid w:val="00BB4C08"/>
    <w:rsid w:val="00BB61BE"/>
    <w:rsid w:val="00BB779D"/>
    <w:rsid w:val="00BC1DBD"/>
    <w:rsid w:val="00BC5737"/>
    <w:rsid w:val="00BD1747"/>
    <w:rsid w:val="00BD3C68"/>
    <w:rsid w:val="00BD421D"/>
    <w:rsid w:val="00BD4493"/>
    <w:rsid w:val="00BD6B87"/>
    <w:rsid w:val="00BD73FC"/>
    <w:rsid w:val="00BD79B1"/>
    <w:rsid w:val="00BE04D9"/>
    <w:rsid w:val="00BE4614"/>
    <w:rsid w:val="00BE4E6F"/>
    <w:rsid w:val="00BE5100"/>
    <w:rsid w:val="00BE529D"/>
    <w:rsid w:val="00BE53DD"/>
    <w:rsid w:val="00BE573E"/>
    <w:rsid w:val="00BE6637"/>
    <w:rsid w:val="00BF10E8"/>
    <w:rsid w:val="00BF2033"/>
    <w:rsid w:val="00BF3158"/>
    <w:rsid w:val="00BF3169"/>
    <w:rsid w:val="00BF51B7"/>
    <w:rsid w:val="00C00953"/>
    <w:rsid w:val="00C03312"/>
    <w:rsid w:val="00C039A5"/>
    <w:rsid w:val="00C03A04"/>
    <w:rsid w:val="00C046F7"/>
    <w:rsid w:val="00C064FE"/>
    <w:rsid w:val="00C06EA1"/>
    <w:rsid w:val="00C10C0B"/>
    <w:rsid w:val="00C10DD5"/>
    <w:rsid w:val="00C11F76"/>
    <w:rsid w:val="00C13C2F"/>
    <w:rsid w:val="00C15A27"/>
    <w:rsid w:val="00C15FEF"/>
    <w:rsid w:val="00C165A1"/>
    <w:rsid w:val="00C1776A"/>
    <w:rsid w:val="00C20301"/>
    <w:rsid w:val="00C22519"/>
    <w:rsid w:val="00C2305C"/>
    <w:rsid w:val="00C233D0"/>
    <w:rsid w:val="00C2380D"/>
    <w:rsid w:val="00C24162"/>
    <w:rsid w:val="00C24E78"/>
    <w:rsid w:val="00C2509D"/>
    <w:rsid w:val="00C27A2E"/>
    <w:rsid w:val="00C34ABD"/>
    <w:rsid w:val="00C353CF"/>
    <w:rsid w:val="00C35F43"/>
    <w:rsid w:val="00C37088"/>
    <w:rsid w:val="00C3715E"/>
    <w:rsid w:val="00C408D5"/>
    <w:rsid w:val="00C41D3C"/>
    <w:rsid w:val="00C43801"/>
    <w:rsid w:val="00C44A07"/>
    <w:rsid w:val="00C44BDC"/>
    <w:rsid w:val="00C45BFB"/>
    <w:rsid w:val="00C45DCE"/>
    <w:rsid w:val="00C46D15"/>
    <w:rsid w:val="00C50C7D"/>
    <w:rsid w:val="00C50FF9"/>
    <w:rsid w:val="00C5247F"/>
    <w:rsid w:val="00C54B14"/>
    <w:rsid w:val="00C6352A"/>
    <w:rsid w:val="00C65B2D"/>
    <w:rsid w:val="00C65C5D"/>
    <w:rsid w:val="00C6656A"/>
    <w:rsid w:val="00C66C03"/>
    <w:rsid w:val="00C711E5"/>
    <w:rsid w:val="00C730CB"/>
    <w:rsid w:val="00C731FC"/>
    <w:rsid w:val="00C73782"/>
    <w:rsid w:val="00C80D90"/>
    <w:rsid w:val="00C81B05"/>
    <w:rsid w:val="00C83AEE"/>
    <w:rsid w:val="00C85531"/>
    <w:rsid w:val="00C85563"/>
    <w:rsid w:val="00C85AC7"/>
    <w:rsid w:val="00C85B0B"/>
    <w:rsid w:val="00C87F13"/>
    <w:rsid w:val="00C9045E"/>
    <w:rsid w:val="00C906CD"/>
    <w:rsid w:val="00C9133D"/>
    <w:rsid w:val="00C934E0"/>
    <w:rsid w:val="00C96454"/>
    <w:rsid w:val="00CA0FB8"/>
    <w:rsid w:val="00CA15F3"/>
    <w:rsid w:val="00CA2680"/>
    <w:rsid w:val="00CA4D23"/>
    <w:rsid w:val="00CA6716"/>
    <w:rsid w:val="00CB036A"/>
    <w:rsid w:val="00CB0D34"/>
    <w:rsid w:val="00CB79F7"/>
    <w:rsid w:val="00CC1939"/>
    <w:rsid w:val="00CC42D4"/>
    <w:rsid w:val="00CC4364"/>
    <w:rsid w:val="00CC64E3"/>
    <w:rsid w:val="00CC7712"/>
    <w:rsid w:val="00CD179A"/>
    <w:rsid w:val="00CD2030"/>
    <w:rsid w:val="00CD2536"/>
    <w:rsid w:val="00CD407F"/>
    <w:rsid w:val="00CD5740"/>
    <w:rsid w:val="00CD7420"/>
    <w:rsid w:val="00CE0BA7"/>
    <w:rsid w:val="00CE6ACB"/>
    <w:rsid w:val="00CE6D09"/>
    <w:rsid w:val="00CF0E4D"/>
    <w:rsid w:val="00CF230D"/>
    <w:rsid w:val="00CF5489"/>
    <w:rsid w:val="00CF7615"/>
    <w:rsid w:val="00CF7823"/>
    <w:rsid w:val="00D003F8"/>
    <w:rsid w:val="00D01540"/>
    <w:rsid w:val="00D01AFE"/>
    <w:rsid w:val="00D02757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548"/>
    <w:rsid w:val="00D17CC6"/>
    <w:rsid w:val="00D2041E"/>
    <w:rsid w:val="00D20454"/>
    <w:rsid w:val="00D20D10"/>
    <w:rsid w:val="00D23801"/>
    <w:rsid w:val="00D25AEC"/>
    <w:rsid w:val="00D25B2F"/>
    <w:rsid w:val="00D341C9"/>
    <w:rsid w:val="00D3447D"/>
    <w:rsid w:val="00D3488B"/>
    <w:rsid w:val="00D35F32"/>
    <w:rsid w:val="00D361DE"/>
    <w:rsid w:val="00D37427"/>
    <w:rsid w:val="00D3793E"/>
    <w:rsid w:val="00D37FB2"/>
    <w:rsid w:val="00D41A6A"/>
    <w:rsid w:val="00D4233A"/>
    <w:rsid w:val="00D44B3D"/>
    <w:rsid w:val="00D46C4C"/>
    <w:rsid w:val="00D51F18"/>
    <w:rsid w:val="00D52DA3"/>
    <w:rsid w:val="00D53537"/>
    <w:rsid w:val="00D54E9E"/>
    <w:rsid w:val="00D551C8"/>
    <w:rsid w:val="00D55972"/>
    <w:rsid w:val="00D564BB"/>
    <w:rsid w:val="00D565FA"/>
    <w:rsid w:val="00D568ED"/>
    <w:rsid w:val="00D6014E"/>
    <w:rsid w:val="00D630E7"/>
    <w:rsid w:val="00D700E5"/>
    <w:rsid w:val="00D70900"/>
    <w:rsid w:val="00D71B77"/>
    <w:rsid w:val="00D74A87"/>
    <w:rsid w:val="00D76186"/>
    <w:rsid w:val="00D771E9"/>
    <w:rsid w:val="00D86DD4"/>
    <w:rsid w:val="00D92529"/>
    <w:rsid w:val="00DA1613"/>
    <w:rsid w:val="00DA5AAB"/>
    <w:rsid w:val="00DA671A"/>
    <w:rsid w:val="00DA6858"/>
    <w:rsid w:val="00DB1CD7"/>
    <w:rsid w:val="00DB2651"/>
    <w:rsid w:val="00DB30B1"/>
    <w:rsid w:val="00DB3ECD"/>
    <w:rsid w:val="00DB4717"/>
    <w:rsid w:val="00DC12C8"/>
    <w:rsid w:val="00DC6F31"/>
    <w:rsid w:val="00DC7FFD"/>
    <w:rsid w:val="00DD0277"/>
    <w:rsid w:val="00DD1B11"/>
    <w:rsid w:val="00DD6D82"/>
    <w:rsid w:val="00DE045E"/>
    <w:rsid w:val="00DE1240"/>
    <w:rsid w:val="00DE1AA5"/>
    <w:rsid w:val="00DE231A"/>
    <w:rsid w:val="00DE23D6"/>
    <w:rsid w:val="00DE2825"/>
    <w:rsid w:val="00DE2CB6"/>
    <w:rsid w:val="00DE2DDE"/>
    <w:rsid w:val="00DE395F"/>
    <w:rsid w:val="00DE5414"/>
    <w:rsid w:val="00DE7E46"/>
    <w:rsid w:val="00DF0C37"/>
    <w:rsid w:val="00DF24FD"/>
    <w:rsid w:val="00DF2506"/>
    <w:rsid w:val="00DF2F26"/>
    <w:rsid w:val="00DF301A"/>
    <w:rsid w:val="00DF3469"/>
    <w:rsid w:val="00DF3BE2"/>
    <w:rsid w:val="00DF4E2C"/>
    <w:rsid w:val="00DF4E34"/>
    <w:rsid w:val="00DF75EC"/>
    <w:rsid w:val="00E0133D"/>
    <w:rsid w:val="00E019ED"/>
    <w:rsid w:val="00E02392"/>
    <w:rsid w:val="00E0312F"/>
    <w:rsid w:val="00E04C48"/>
    <w:rsid w:val="00E06065"/>
    <w:rsid w:val="00E079C6"/>
    <w:rsid w:val="00E1273C"/>
    <w:rsid w:val="00E1434A"/>
    <w:rsid w:val="00E146CF"/>
    <w:rsid w:val="00E14BED"/>
    <w:rsid w:val="00E17711"/>
    <w:rsid w:val="00E23C05"/>
    <w:rsid w:val="00E2425F"/>
    <w:rsid w:val="00E242F0"/>
    <w:rsid w:val="00E245B0"/>
    <w:rsid w:val="00E247E2"/>
    <w:rsid w:val="00E30431"/>
    <w:rsid w:val="00E304EB"/>
    <w:rsid w:val="00E329D0"/>
    <w:rsid w:val="00E33746"/>
    <w:rsid w:val="00E342B3"/>
    <w:rsid w:val="00E3451F"/>
    <w:rsid w:val="00E34B80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676F1"/>
    <w:rsid w:val="00E73271"/>
    <w:rsid w:val="00E735DA"/>
    <w:rsid w:val="00E74214"/>
    <w:rsid w:val="00E74762"/>
    <w:rsid w:val="00E74D52"/>
    <w:rsid w:val="00E75855"/>
    <w:rsid w:val="00E7609C"/>
    <w:rsid w:val="00E82556"/>
    <w:rsid w:val="00E85CBE"/>
    <w:rsid w:val="00E86566"/>
    <w:rsid w:val="00E875F5"/>
    <w:rsid w:val="00E92527"/>
    <w:rsid w:val="00E92A93"/>
    <w:rsid w:val="00E93620"/>
    <w:rsid w:val="00E97045"/>
    <w:rsid w:val="00E97DA3"/>
    <w:rsid w:val="00EA270C"/>
    <w:rsid w:val="00EA3185"/>
    <w:rsid w:val="00EA5CB5"/>
    <w:rsid w:val="00EA5CF4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2D4E"/>
    <w:rsid w:val="00ED34D4"/>
    <w:rsid w:val="00ED3D84"/>
    <w:rsid w:val="00ED766C"/>
    <w:rsid w:val="00ED76FB"/>
    <w:rsid w:val="00EE05C2"/>
    <w:rsid w:val="00EE0D01"/>
    <w:rsid w:val="00EE30EE"/>
    <w:rsid w:val="00EE3C6D"/>
    <w:rsid w:val="00EE4C6E"/>
    <w:rsid w:val="00EE5135"/>
    <w:rsid w:val="00EE61BE"/>
    <w:rsid w:val="00EE6DE6"/>
    <w:rsid w:val="00EF057C"/>
    <w:rsid w:val="00EF1D14"/>
    <w:rsid w:val="00EF4FEE"/>
    <w:rsid w:val="00EF6873"/>
    <w:rsid w:val="00EF6F24"/>
    <w:rsid w:val="00F0080B"/>
    <w:rsid w:val="00F00BE1"/>
    <w:rsid w:val="00F01B31"/>
    <w:rsid w:val="00F03AB9"/>
    <w:rsid w:val="00F06479"/>
    <w:rsid w:val="00F076C5"/>
    <w:rsid w:val="00F120D9"/>
    <w:rsid w:val="00F124BE"/>
    <w:rsid w:val="00F125DE"/>
    <w:rsid w:val="00F14C13"/>
    <w:rsid w:val="00F24232"/>
    <w:rsid w:val="00F2526C"/>
    <w:rsid w:val="00F27170"/>
    <w:rsid w:val="00F30016"/>
    <w:rsid w:val="00F3144A"/>
    <w:rsid w:val="00F31C75"/>
    <w:rsid w:val="00F32543"/>
    <w:rsid w:val="00F33277"/>
    <w:rsid w:val="00F340CD"/>
    <w:rsid w:val="00F341CC"/>
    <w:rsid w:val="00F36B6C"/>
    <w:rsid w:val="00F36D10"/>
    <w:rsid w:val="00F40CAB"/>
    <w:rsid w:val="00F43960"/>
    <w:rsid w:val="00F459C7"/>
    <w:rsid w:val="00F47C5C"/>
    <w:rsid w:val="00F54856"/>
    <w:rsid w:val="00F57650"/>
    <w:rsid w:val="00F579FC"/>
    <w:rsid w:val="00F60C74"/>
    <w:rsid w:val="00F62773"/>
    <w:rsid w:val="00F64F51"/>
    <w:rsid w:val="00F66122"/>
    <w:rsid w:val="00F666FD"/>
    <w:rsid w:val="00F67A35"/>
    <w:rsid w:val="00F72620"/>
    <w:rsid w:val="00F759AD"/>
    <w:rsid w:val="00F765E8"/>
    <w:rsid w:val="00F8200C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3FA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64F3"/>
    <w:rsid w:val="00FD08A7"/>
    <w:rsid w:val="00FD1295"/>
    <w:rsid w:val="00FD2E55"/>
    <w:rsid w:val="00FD2FA9"/>
    <w:rsid w:val="00FD3572"/>
    <w:rsid w:val="00FD4FEE"/>
    <w:rsid w:val="00FD54CC"/>
    <w:rsid w:val="00FE06A2"/>
    <w:rsid w:val="00FE0CE6"/>
    <w:rsid w:val="00FE28C8"/>
    <w:rsid w:val="00FE79EF"/>
    <w:rsid w:val="00FF025A"/>
    <w:rsid w:val="00FF088B"/>
    <w:rsid w:val="00FF0AC4"/>
    <w:rsid w:val="00FF10AF"/>
    <w:rsid w:val="00FF334E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92851A5-15C5-4F22-B1D1-985288F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3749</Words>
  <Characters>20246</Characters>
  <Application>Microsoft Office Word</Application>
  <DocSecurity>4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23948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2011-08-11T17:27:00Z</cp:lastPrinted>
  <dcterms:created xsi:type="dcterms:W3CDTF">2015-05-07T12:40:00Z</dcterms:created>
  <dcterms:modified xsi:type="dcterms:W3CDTF">2015-05-07T12:40:00Z</dcterms:modified>
</cp:coreProperties>
</file>