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AA4F2F">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952B9C">
        <w:rPr>
          <w:rFonts w:ascii="Times New Roman" w:hAnsi="Times New Roman"/>
          <w:b/>
          <w:i w:val="0"/>
          <w:color w:val="000000"/>
          <w:sz w:val="22"/>
          <w:szCs w:val="22"/>
        </w:rPr>
        <w:t>19</w:t>
      </w:r>
      <w:r w:rsidRPr="00097863">
        <w:rPr>
          <w:rFonts w:ascii="Times New Roman" w:hAnsi="Times New Roman"/>
          <w:b/>
          <w:i w:val="0"/>
          <w:color w:val="000000"/>
          <w:sz w:val="22"/>
          <w:szCs w:val="22"/>
        </w:rPr>
        <w:t xml:space="preserve"> </w:t>
      </w:r>
      <w:r w:rsidR="00952B9C">
        <w:rPr>
          <w:rFonts w:ascii="Times New Roman" w:hAnsi="Times New Roman"/>
          <w:b/>
          <w:i w:val="0"/>
          <w:color w:val="000000"/>
          <w:sz w:val="22"/>
          <w:szCs w:val="22"/>
        </w:rPr>
        <w:t>e 20</w:t>
      </w:r>
      <w:r w:rsidR="00AE591D">
        <w:rPr>
          <w:rFonts w:ascii="Times New Roman" w:hAnsi="Times New Roman"/>
          <w:b/>
          <w:i w:val="0"/>
          <w:color w:val="000000"/>
          <w:sz w:val="22"/>
          <w:szCs w:val="22"/>
        </w:rPr>
        <w:t xml:space="preserve"> de ju</w:t>
      </w:r>
      <w:r w:rsidR="00837D13">
        <w:rPr>
          <w:rFonts w:ascii="Times New Roman" w:hAnsi="Times New Roman"/>
          <w:b/>
          <w:i w:val="0"/>
          <w:color w:val="000000"/>
          <w:sz w:val="22"/>
          <w:szCs w:val="22"/>
        </w:rPr>
        <w:t>l</w:t>
      </w:r>
      <w:r w:rsidR="00AE591D">
        <w:rPr>
          <w:rFonts w:ascii="Times New Roman" w:hAnsi="Times New Roman"/>
          <w:b/>
          <w:i w:val="0"/>
          <w:color w:val="000000"/>
          <w:sz w:val="22"/>
          <w:szCs w:val="22"/>
        </w:rPr>
        <w:t xml:space="preserve">ho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AA4F2F">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AA4F2F">
      <w:pPr>
        <w:pStyle w:val="Corpodetexto2"/>
        <w:spacing w:after="0" w:line="240" w:lineRule="auto"/>
        <w:ind w:left="0"/>
        <w:rPr>
          <w:sz w:val="22"/>
          <w:szCs w:val="22"/>
        </w:rPr>
      </w:pPr>
    </w:p>
    <w:p w:rsidR="002D35F5" w:rsidRPr="00D53537" w:rsidRDefault="002D35F5" w:rsidP="003C6F1B">
      <w:pPr>
        <w:pBdr>
          <w:top w:val="threeDEmboss" w:sz="24" w:space="2" w:color="auto"/>
        </w:pBdr>
        <w:tabs>
          <w:tab w:val="left" w:pos="284"/>
        </w:tabs>
        <w:spacing w:before="60"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F36B6C" w:rsidRDefault="009444E6" w:rsidP="003C6F1B">
      <w:pPr>
        <w:pStyle w:val="tita"/>
        <w:tabs>
          <w:tab w:val="left" w:pos="2590"/>
        </w:tabs>
        <w:spacing w:before="60" w:after="0" w:line="240" w:lineRule="auto"/>
        <w:jc w:val="both"/>
        <w:rPr>
          <w:i w:val="0"/>
          <w:iCs w:val="0"/>
          <w:color w:val="000000"/>
          <w:sz w:val="22"/>
          <w:szCs w:val="22"/>
        </w:rPr>
      </w:pPr>
      <w:r w:rsidRPr="00F36B6C">
        <w:rPr>
          <w:i w:val="0"/>
          <w:iCs w:val="0"/>
          <w:color w:val="000000"/>
          <w:sz w:val="22"/>
          <w:szCs w:val="22"/>
        </w:rPr>
        <w:t>Plenário</w:t>
      </w:r>
    </w:p>
    <w:p w:rsidR="006D5843" w:rsidRPr="006D5843" w:rsidRDefault="006D5843" w:rsidP="003C6F1B">
      <w:pPr>
        <w:tabs>
          <w:tab w:val="left" w:pos="709"/>
        </w:tabs>
        <w:spacing w:before="60" w:after="0"/>
        <w:ind w:left="0"/>
        <w:rPr>
          <w:sz w:val="22"/>
          <w:szCs w:val="22"/>
        </w:rPr>
      </w:pPr>
      <w:r w:rsidRPr="006D5843">
        <w:rPr>
          <w:sz w:val="22"/>
          <w:szCs w:val="22"/>
        </w:rPr>
        <w:t xml:space="preserve">Contratação de serviços de publicidade: </w:t>
      </w:r>
    </w:p>
    <w:p w:rsidR="006D5843" w:rsidRPr="006D5843" w:rsidRDefault="006D5843" w:rsidP="003C6F1B">
      <w:pPr>
        <w:tabs>
          <w:tab w:val="left" w:pos="851"/>
        </w:tabs>
        <w:spacing w:before="60" w:after="0"/>
        <w:ind w:left="0"/>
        <w:rPr>
          <w:sz w:val="22"/>
          <w:szCs w:val="22"/>
        </w:rPr>
      </w:pPr>
      <w:r w:rsidRPr="006D5843">
        <w:rPr>
          <w:sz w:val="22"/>
          <w:szCs w:val="22"/>
        </w:rPr>
        <w:tab/>
        <w:t>1 - É possível a subcontratação de serviços de publicidade, nas hipóteses previstas na Lei 12.232/2010;</w:t>
      </w:r>
    </w:p>
    <w:p w:rsidR="006D5843" w:rsidRPr="006D5843" w:rsidRDefault="006D5843" w:rsidP="003C6F1B">
      <w:pPr>
        <w:tabs>
          <w:tab w:val="left" w:pos="851"/>
        </w:tabs>
        <w:spacing w:before="60" w:after="0"/>
        <w:ind w:left="0"/>
        <w:rPr>
          <w:sz w:val="22"/>
          <w:szCs w:val="22"/>
          <w:lang w:eastAsia="pt-BR"/>
        </w:rPr>
      </w:pPr>
      <w:r w:rsidRPr="006D5843">
        <w:rPr>
          <w:sz w:val="22"/>
          <w:szCs w:val="22"/>
        </w:rPr>
        <w:tab/>
        <w:t xml:space="preserve">2 – </w:t>
      </w:r>
      <w:r w:rsidRPr="006D5843">
        <w:rPr>
          <w:sz w:val="22"/>
          <w:szCs w:val="22"/>
          <w:lang w:eastAsia="pt-BR"/>
        </w:rPr>
        <w:t>Carece de amparo legal a exigência de declaração de compromisso de solidariedade do fabricante do produto como condição para habilitação.</w:t>
      </w:r>
    </w:p>
    <w:p w:rsidR="006D5843" w:rsidRPr="006D5843" w:rsidRDefault="006D5843" w:rsidP="003C6F1B">
      <w:pPr>
        <w:tabs>
          <w:tab w:val="left" w:pos="709"/>
        </w:tabs>
        <w:spacing w:before="60" w:after="0"/>
        <w:ind w:left="0"/>
        <w:rPr>
          <w:sz w:val="22"/>
          <w:szCs w:val="22"/>
        </w:rPr>
      </w:pPr>
      <w:r w:rsidRPr="006D5843">
        <w:rPr>
          <w:sz w:val="22"/>
          <w:szCs w:val="22"/>
        </w:rPr>
        <w:t>Contratação de serviços ligados à tecnologia da informação: no caso de não parcelamento do objeto, deve-se detalhar os possíveis efetivos impactos decorrentes de tal medida</w:t>
      </w:r>
      <w:r>
        <w:rPr>
          <w:sz w:val="22"/>
          <w:szCs w:val="22"/>
        </w:rPr>
        <w:t>.</w:t>
      </w:r>
    </w:p>
    <w:p w:rsidR="006D5843" w:rsidRPr="006D5843" w:rsidRDefault="006D5843" w:rsidP="003C6F1B">
      <w:pPr>
        <w:tabs>
          <w:tab w:val="left" w:pos="709"/>
        </w:tabs>
        <w:spacing w:before="60" w:after="0"/>
        <w:ind w:left="0"/>
        <w:rPr>
          <w:sz w:val="22"/>
          <w:szCs w:val="22"/>
        </w:rPr>
      </w:pPr>
      <w:r w:rsidRPr="006D5843">
        <w:rPr>
          <w:sz w:val="22"/>
          <w:szCs w:val="22"/>
        </w:rPr>
        <w:t xml:space="preserve">Licitação de obra pública: a exigência de apresentação por parte das licitantes do </w:t>
      </w:r>
      <w:r w:rsidRPr="006D5843">
        <w:rPr>
          <w:rFonts w:ascii="Times-Roman" w:hAnsi="Times-Roman" w:cs="Times-Roman"/>
          <w:sz w:val="22"/>
          <w:szCs w:val="22"/>
          <w:lang w:eastAsia="pt-BR"/>
        </w:rPr>
        <w:t>Programa de Condições e Meio Ambiente de Trabalho na Indústria da Construção – (PCMAT) só pode ser feita em obras com mais de 20 trabalhadores</w:t>
      </w:r>
      <w:r>
        <w:rPr>
          <w:rFonts w:ascii="Times-Roman" w:hAnsi="Times-Roman" w:cs="Times-Roman"/>
          <w:sz w:val="22"/>
          <w:szCs w:val="22"/>
          <w:lang w:eastAsia="pt-BR"/>
        </w:rPr>
        <w:t>.</w:t>
      </w:r>
    </w:p>
    <w:p w:rsidR="006D5843" w:rsidRPr="006D5843" w:rsidRDefault="006D5843" w:rsidP="003C6F1B">
      <w:pPr>
        <w:pStyle w:val="TCU-RelVoto-1"/>
        <w:spacing w:before="60" w:after="0"/>
        <w:ind w:firstLine="0"/>
        <w:rPr>
          <w:snapToGrid w:val="0"/>
          <w:sz w:val="22"/>
        </w:rPr>
      </w:pPr>
      <w:r w:rsidRPr="006D5843">
        <w:rPr>
          <w:snapToGrid w:val="0"/>
          <w:sz w:val="22"/>
        </w:rPr>
        <w:t xml:space="preserve">Licitação de obra pública: </w:t>
      </w:r>
    </w:p>
    <w:p w:rsidR="006D5843" w:rsidRPr="006D5843" w:rsidRDefault="006D5843" w:rsidP="003C6F1B">
      <w:pPr>
        <w:pStyle w:val="TCU-RelVoto-1"/>
        <w:spacing w:before="60" w:after="0"/>
        <w:ind w:firstLine="851"/>
        <w:rPr>
          <w:sz w:val="22"/>
        </w:rPr>
      </w:pPr>
      <w:r w:rsidRPr="006D5843">
        <w:rPr>
          <w:snapToGrid w:val="0"/>
          <w:sz w:val="22"/>
        </w:rPr>
        <w:t>1 - A exigência de comprovação de capacidade técnica-operacional deve se limitar estritamente às parcelas do objeto licitado de maior relevância técnica e de valor mais significativo</w:t>
      </w:r>
      <w:r>
        <w:rPr>
          <w:snapToGrid w:val="0"/>
          <w:sz w:val="22"/>
        </w:rPr>
        <w:t>;</w:t>
      </w:r>
      <w:r w:rsidRPr="006D5843">
        <w:rPr>
          <w:sz w:val="22"/>
        </w:rPr>
        <w:t xml:space="preserve"> </w:t>
      </w:r>
    </w:p>
    <w:p w:rsidR="006D5843" w:rsidRPr="006D5843" w:rsidRDefault="006D5843" w:rsidP="003C6F1B">
      <w:pPr>
        <w:tabs>
          <w:tab w:val="left" w:pos="851"/>
        </w:tabs>
        <w:spacing w:before="60" w:after="0"/>
        <w:ind w:left="0"/>
        <w:rPr>
          <w:color w:val="FF0000"/>
          <w:sz w:val="22"/>
          <w:szCs w:val="22"/>
        </w:rPr>
      </w:pPr>
      <w:r w:rsidRPr="006D5843">
        <w:rPr>
          <w:snapToGrid w:val="0"/>
          <w:sz w:val="22"/>
        </w:rPr>
        <w:tab/>
        <w:t xml:space="preserve">2 – É possível a apresentação de </w:t>
      </w:r>
      <w:r w:rsidRPr="006D5843">
        <w:rPr>
          <w:snapToGrid w:val="0"/>
          <w:sz w:val="22"/>
          <w:szCs w:val="22"/>
        </w:rPr>
        <w:t>contratos de prestação de serviço, para o fim de comprovação de vínculo profissional dos responsáveis técnicos com empresa participante da licitação</w:t>
      </w:r>
      <w:r>
        <w:rPr>
          <w:snapToGrid w:val="0"/>
          <w:sz w:val="22"/>
          <w:szCs w:val="22"/>
        </w:rPr>
        <w:t>.</w:t>
      </w:r>
    </w:p>
    <w:p w:rsidR="006242BF" w:rsidRPr="00C87F13" w:rsidRDefault="006242BF" w:rsidP="00F0080B">
      <w:pPr>
        <w:pStyle w:val="Corpodetexto"/>
        <w:tabs>
          <w:tab w:val="left" w:pos="2590"/>
        </w:tabs>
        <w:spacing w:before="60" w:after="60"/>
        <w:ind w:left="0"/>
        <w:rPr>
          <w:b/>
          <w:color w:val="FF0000"/>
          <w:sz w:val="22"/>
          <w:szCs w:val="22"/>
        </w:rPr>
      </w:pPr>
    </w:p>
    <w:p w:rsidR="003C6DEB" w:rsidRPr="00621D63" w:rsidRDefault="003C6DEB" w:rsidP="00621D63">
      <w:pPr>
        <w:pBdr>
          <w:top w:val="threeDEmboss" w:sz="24" w:space="0" w:color="auto"/>
        </w:pBdr>
        <w:tabs>
          <w:tab w:val="left" w:pos="284"/>
          <w:tab w:val="left" w:pos="2590"/>
        </w:tabs>
        <w:spacing w:after="0"/>
        <w:ind w:left="0"/>
        <w:jc w:val="center"/>
        <w:rPr>
          <w:rFonts w:ascii="Cambria" w:hAnsi="Cambria"/>
          <w:b/>
          <w:bCs/>
          <w:smallCaps/>
          <w:sz w:val="22"/>
          <w:szCs w:val="22"/>
        </w:rPr>
      </w:pPr>
      <w:r w:rsidRPr="00621D63">
        <w:rPr>
          <w:rFonts w:ascii="Cambria" w:hAnsi="Cambria"/>
          <w:b/>
          <w:bCs/>
          <w:smallCaps/>
          <w:sz w:val="22"/>
          <w:szCs w:val="22"/>
        </w:rPr>
        <w:t>PLENÁRIO</w:t>
      </w:r>
    </w:p>
    <w:p w:rsidR="003C6DEB" w:rsidRDefault="003C6DEB" w:rsidP="00621D63">
      <w:pPr>
        <w:pStyle w:val="tita"/>
        <w:tabs>
          <w:tab w:val="left" w:pos="2590"/>
        </w:tabs>
        <w:spacing w:before="0" w:after="0" w:line="240" w:lineRule="auto"/>
        <w:jc w:val="both"/>
        <w:rPr>
          <w:i w:val="0"/>
          <w:iCs w:val="0"/>
          <w:sz w:val="22"/>
          <w:szCs w:val="22"/>
        </w:rPr>
      </w:pPr>
    </w:p>
    <w:p w:rsidR="00590750" w:rsidRPr="00766D03" w:rsidRDefault="00590750" w:rsidP="00766D03">
      <w:pPr>
        <w:tabs>
          <w:tab w:val="left" w:pos="709"/>
        </w:tabs>
        <w:spacing w:after="0"/>
        <w:ind w:left="0"/>
        <w:rPr>
          <w:b/>
          <w:sz w:val="22"/>
          <w:szCs w:val="22"/>
        </w:rPr>
      </w:pPr>
      <w:r w:rsidRPr="00766D03">
        <w:rPr>
          <w:b/>
          <w:sz w:val="22"/>
          <w:szCs w:val="22"/>
        </w:rPr>
        <w:t>Contratação de serviços de publicidade: 1 - É possível a subcontratação de serviços de publicidade, nas hipóteses previstas na Lei 12.232/2010</w:t>
      </w:r>
    </w:p>
    <w:p w:rsidR="00060CE3" w:rsidRPr="00766D03" w:rsidRDefault="00060CE3" w:rsidP="00766D03">
      <w:pPr>
        <w:tabs>
          <w:tab w:val="left" w:pos="1134"/>
        </w:tabs>
        <w:spacing w:after="0"/>
        <w:ind w:left="0"/>
        <w:rPr>
          <w:b/>
          <w:i/>
          <w:sz w:val="22"/>
          <w:szCs w:val="22"/>
        </w:rPr>
      </w:pPr>
      <w:r w:rsidRPr="00766D03">
        <w:rPr>
          <w:sz w:val="22"/>
          <w:szCs w:val="22"/>
          <w:lang w:eastAsia="pt-BR"/>
        </w:rPr>
        <w:t xml:space="preserve">Mediante pedido de reexame, o Banco Nacional de Desenvolvimento Econômico e Social - (BNDES) </w:t>
      </w:r>
      <w:r w:rsidR="00590750" w:rsidRPr="00766D03">
        <w:rPr>
          <w:sz w:val="22"/>
          <w:szCs w:val="22"/>
          <w:lang w:eastAsia="pt-BR"/>
        </w:rPr>
        <w:t xml:space="preserve">manifestou seu inconformismo </w:t>
      </w:r>
      <w:r w:rsidRPr="00766D03">
        <w:rPr>
          <w:sz w:val="22"/>
          <w:szCs w:val="22"/>
          <w:lang w:eastAsia="pt-BR"/>
        </w:rPr>
        <w:t>contra o Acórdão nº 355/2006, do Plenário, pelo qual o Tribunal lhe direcionou determinações</w:t>
      </w:r>
      <w:r w:rsidR="00590750" w:rsidRPr="00766D03">
        <w:rPr>
          <w:sz w:val="22"/>
          <w:szCs w:val="22"/>
          <w:lang w:eastAsia="pt-BR"/>
        </w:rPr>
        <w:t>,</w:t>
      </w:r>
      <w:r w:rsidRPr="00766D03">
        <w:rPr>
          <w:sz w:val="22"/>
          <w:szCs w:val="22"/>
          <w:lang w:eastAsia="pt-BR"/>
        </w:rPr>
        <w:t xml:space="preserve"> em face de irregularidades apuradas em auditoria de conformidade realizada em contratos de publicidade e propaganda. Em oportunidade anterior, o Tribunal houvera determinado ao BNDES </w:t>
      </w:r>
      <w:r w:rsidR="00590750" w:rsidRPr="00766D03">
        <w:rPr>
          <w:sz w:val="22"/>
          <w:szCs w:val="22"/>
          <w:lang w:eastAsia="pt-BR"/>
        </w:rPr>
        <w:t xml:space="preserve">que </w:t>
      </w:r>
      <w:r w:rsidRPr="00766D03">
        <w:rPr>
          <w:sz w:val="22"/>
          <w:szCs w:val="22"/>
          <w:lang w:eastAsia="pt-BR"/>
        </w:rPr>
        <w:t xml:space="preserve">se abstivesse de subcontratar serviços </w:t>
      </w:r>
      <w:r w:rsidR="00AC737D" w:rsidRPr="00766D03">
        <w:rPr>
          <w:sz w:val="22"/>
          <w:szCs w:val="22"/>
          <w:lang w:eastAsia="pt-BR"/>
        </w:rPr>
        <w:t>afetos à criação/concepção das ações de publicidade</w:t>
      </w:r>
      <w:r w:rsidRPr="00766D03">
        <w:rPr>
          <w:sz w:val="22"/>
          <w:szCs w:val="22"/>
          <w:lang w:eastAsia="pt-BR"/>
        </w:rPr>
        <w:t xml:space="preserve">, prática </w:t>
      </w:r>
      <w:r w:rsidR="00766D03">
        <w:rPr>
          <w:sz w:val="22"/>
          <w:szCs w:val="22"/>
          <w:lang w:eastAsia="pt-BR"/>
        </w:rPr>
        <w:t xml:space="preserve">que estaria em </w:t>
      </w:r>
      <w:r w:rsidRPr="00766D03">
        <w:rPr>
          <w:sz w:val="22"/>
          <w:szCs w:val="22"/>
          <w:lang w:eastAsia="pt-BR"/>
        </w:rPr>
        <w:t>contr</w:t>
      </w:r>
      <w:r w:rsidR="00766D03">
        <w:rPr>
          <w:sz w:val="22"/>
          <w:szCs w:val="22"/>
          <w:lang w:eastAsia="pt-BR"/>
        </w:rPr>
        <w:t>ariedade</w:t>
      </w:r>
      <w:r w:rsidRPr="00766D03">
        <w:rPr>
          <w:sz w:val="22"/>
          <w:szCs w:val="22"/>
          <w:lang w:eastAsia="pt-BR"/>
        </w:rPr>
        <w:t xml:space="preserve"> às disposições da Lei de Licitações </w:t>
      </w:r>
      <w:r w:rsidR="00AC737D" w:rsidRPr="00766D03">
        <w:rPr>
          <w:sz w:val="22"/>
          <w:szCs w:val="22"/>
          <w:lang w:eastAsia="pt-BR"/>
        </w:rPr>
        <w:t>(</w:t>
      </w:r>
      <w:r w:rsidRPr="00766D03">
        <w:rPr>
          <w:sz w:val="22"/>
          <w:szCs w:val="22"/>
          <w:lang w:eastAsia="pt-BR"/>
        </w:rPr>
        <w:t>arts. 72 e 78, inciso VI, da Lei nº 8.666/1993).</w:t>
      </w:r>
      <w:r w:rsidR="00AC737D" w:rsidRPr="00766D03">
        <w:rPr>
          <w:sz w:val="22"/>
          <w:szCs w:val="22"/>
          <w:lang w:eastAsia="pt-BR"/>
        </w:rPr>
        <w:t xml:space="preserve"> Após a apresentação dos argumentos por parte do BNDES, o relator destacou que a partir da edição da Lei nº 12.232/2010</w:t>
      </w:r>
      <w:r w:rsidR="004E3861" w:rsidRPr="00766D03">
        <w:rPr>
          <w:sz w:val="22"/>
          <w:szCs w:val="22"/>
          <w:lang w:eastAsia="pt-BR"/>
        </w:rPr>
        <w:t>, que regulamentou a contratação de serviços de publicidade</w:t>
      </w:r>
      <w:r w:rsidR="00AC737D" w:rsidRPr="00766D03">
        <w:rPr>
          <w:sz w:val="22"/>
          <w:szCs w:val="22"/>
          <w:lang w:eastAsia="pt-BR"/>
        </w:rPr>
        <w:t xml:space="preserve">, </w:t>
      </w:r>
      <w:r w:rsidR="004E3861" w:rsidRPr="00766D03">
        <w:rPr>
          <w:sz w:val="22"/>
          <w:szCs w:val="22"/>
          <w:lang w:eastAsia="pt-BR"/>
        </w:rPr>
        <w:t>uma vez que essa norma legal passou a disciplinar as hipóteses de subcontratação por agências de propaganda contratadas por instituições públicas (art. 2º, § 1º, c/c art. 14, caput, da Lei 12.232/2010), deveria ser tornada sem efeito a determinação anterior</w:t>
      </w:r>
      <w:r w:rsidR="00766D03">
        <w:rPr>
          <w:sz w:val="22"/>
          <w:szCs w:val="22"/>
          <w:lang w:eastAsia="pt-BR"/>
        </w:rPr>
        <w:t>, já que não mais amoldada ao ordenamento vigente</w:t>
      </w:r>
      <w:r w:rsidR="004E3861" w:rsidRPr="00766D03">
        <w:rPr>
          <w:sz w:val="22"/>
          <w:szCs w:val="22"/>
          <w:lang w:eastAsia="pt-BR"/>
        </w:rPr>
        <w:t xml:space="preserve">. Assim, ao votar, </w:t>
      </w:r>
      <w:r w:rsidR="00590750" w:rsidRPr="00766D03">
        <w:rPr>
          <w:sz w:val="22"/>
          <w:szCs w:val="22"/>
          <w:lang w:eastAsia="pt-BR"/>
        </w:rPr>
        <w:t xml:space="preserve">o relator </w:t>
      </w:r>
      <w:r w:rsidR="004E3861" w:rsidRPr="00766D03">
        <w:rPr>
          <w:sz w:val="22"/>
          <w:szCs w:val="22"/>
          <w:lang w:eastAsia="pt-BR"/>
        </w:rPr>
        <w:t xml:space="preserve">apresentou proposição nesse sentido, </w:t>
      </w:r>
      <w:r w:rsidR="00590750" w:rsidRPr="00766D03">
        <w:rPr>
          <w:sz w:val="22"/>
          <w:szCs w:val="22"/>
          <w:lang w:eastAsia="pt-BR"/>
        </w:rPr>
        <w:t xml:space="preserve">ante a superveniência da lei que atribuiu novos contornos à matéria adversada, o que foi acolhido pelo Plenário. </w:t>
      </w:r>
      <w:r w:rsidRPr="00766D03">
        <w:rPr>
          <w:b/>
          <w:i/>
          <w:sz w:val="22"/>
          <w:szCs w:val="22"/>
        </w:rPr>
        <w:t>Acórdão n.º 1879/2011-Plenário, TC-013.100/2005-4, rel. Min. Augusto Nardes, 20.07.2011.</w:t>
      </w:r>
    </w:p>
    <w:p w:rsidR="00C85B0B" w:rsidRPr="00766D03" w:rsidRDefault="00C85B0B" w:rsidP="00766D03">
      <w:pPr>
        <w:pStyle w:val="tita"/>
        <w:tabs>
          <w:tab w:val="left" w:pos="2590"/>
        </w:tabs>
        <w:spacing w:before="0" w:after="0" w:line="240" w:lineRule="auto"/>
        <w:jc w:val="both"/>
        <w:rPr>
          <w:i w:val="0"/>
          <w:iCs w:val="0"/>
          <w:sz w:val="22"/>
          <w:szCs w:val="22"/>
        </w:rPr>
      </w:pPr>
    </w:p>
    <w:p w:rsidR="00766D03" w:rsidRPr="00766D03" w:rsidRDefault="00590750" w:rsidP="00766D03">
      <w:pPr>
        <w:spacing w:after="0"/>
        <w:ind w:left="0"/>
        <w:rPr>
          <w:b/>
          <w:sz w:val="22"/>
          <w:szCs w:val="22"/>
          <w:lang w:eastAsia="pt-BR"/>
        </w:rPr>
      </w:pPr>
      <w:r w:rsidRPr="00766D03">
        <w:rPr>
          <w:b/>
          <w:sz w:val="22"/>
          <w:szCs w:val="22"/>
        </w:rPr>
        <w:t xml:space="preserve">Contratação de serviços de publicidade: 2 – </w:t>
      </w:r>
      <w:r w:rsidR="00766D03" w:rsidRPr="00766D03">
        <w:rPr>
          <w:b/>
          <w:sz w:val="22"/>
          <w:szCs w:val="22"/>
          <w:lang w:eastAsia="pt-BR"/>
        </w:rPr>
        <w:t>Carece de amparo legal</w:t>
      </w:r>
      <w:r w:rsidR="00766D03">
        <w:rPr>
          <w:b/>
          <w:sz w:val="22"/>
          <w:szCs w:val="22"/>
          <w:lang w:eastAsia="pt-BR"/>
        </w:rPr>
        <w:t xml:space="preserve"> </w:t>
      </w:r>
      <w:r w:rsidR="00766D03" w:rsidRPr="00766D03">
        <w:rPr>
          <w:b/>
          <w:sz w:val="22"/>
          <w:szCs w:val="22"/>
          <w:lang w:eastAsia="pt-BR"/>
        </w:rPr>
        <w:t>a exigência de declaração de compromisso de solidariedade do fabricante do produto</w:t>
      </w:r>
      <w:r w:rsidR="00766D03">
        <w:rPr>
          <w:b/>
          <w:sz w:val="22"/>
          <w:szCs w:val="22"/>
          <w:lang w:eastAsia="pt-BR"/>
        </w:rPr>
        <w:t xml:space="preserve"> como condição para habilitação</w:t>
      </w:r>
    </w:p>
    <w:p w:rsidR="00590750" w:rsidRPr="00766D03" w:rsidRDefault="00590750" w:rsidP="00766D03">
      <w:pPr>
        <w:tabs>
          <w:tab w:val="left" w:pos="1134"/>
        </w:tabs>
        <w:spacing w:after="0"/>
        <w:ind w:left="0"/>
        <w:rPr>
          <w:b/>
          <w:i/>
          <w:sz w:val="22"/>
          <w:szCs w:val="22"/>
        </w:rPr>
      </w:pPr>
      <w:r w:rsidRPr="00766D03">
        <w:rPr>
          <w:sz w:val="22"/>
          <w:szCs w:val="22"/>
          <w:lang w:eastAsia="pt-BR"/>
        </w:rPr>
        <w:t xml:space="preserve">Ainda no pedido de reexame em que discordou dos termos do Acórdão nº 355/2006, do Plenário, pelo qual o Tribunal lhe direcionou determinações, em face de irregularidades apuradas em auditoria de conformidade realizada em contratos de publicidade e propaganda, o BNDES questionou a determinação que constou do item 9.2.10.4 do julgado anterior, pelo qual lhe fora determinado que </w:t>
      </w:r>
      <w:r w:rsidR="005E2019">
        <w:rPr>
          <w:sz w:val="22"/>
          <w:szCs w:val="22"/>
          <w:lang w:eastAsia="pt-BR"/>
        </w:rPr>
        <w:t>deixasse de exigir</w:t>
      </w:r>
      <w:r w:rsidR="009A1A95" w:rsidRPr="00766D03">
        <w:rPr>
          <w:sz w:val="22"/>
          <w:szCs w:val="22"/>
          <w:lang w:eastAsia="pt-BR"/>
        </w:rPr>
        <w:t xml:space="preserve"> declaração de corresponsabilidade do fabricante do produto ofertado</w:t>
      </w:r>
      <w:r w:rsidR="005E2019" w:rsidRPr="00766D03">
        <w:rPr>
          <w:sz w:val="22"/>
          <w:szCs w:val="22"/>
          <w:lang w:eastAsia="pt-BR"/>
        </w:rPr>
        <w:t>, como condição de habilitação,</w:t>
      </w:r>
      <w:r w:rsidR="009A1A95" w:rsidRPr="00766D03">
        <w:rPr>
          <w:sz w:val="22"/>
          <w:szCs w:val="22"/>
          <w:lang w:eastAsia="pt-BR"/>
        </w:rPr>
        <w:t xml:space="preserve"> por falta de amparo legal</w:t>
      </w:r>
      <w:r w:rsidR="005E2019">
        <w:rPr>
          <w:sz w:val="22"/>
          <w:szCs w:val="22"/>
          <w:lang w:eastAsia="pt-BR"/>
        </w:rPr>
        <w:t>.</w:t>
      </w:r>
      <w:r w:rsidR="009A1A95" w:rsidRPr="00766D03">
        <w:rPr>
          <w:sz w:val="22"/>
          <w:szCs w:val="22"/>
          <w:lang w:eastAsia="pt-BR"/>
        </w:rPr>
        <w:t xml:space="preserve"> Todavia, o relator entendeu não haver razão </w:t>
      </w:r>
      <w:r w:rsidR="005E2019">
        <w:rPr>
          <w:sz w:val="22"/>
          <w:szCs w:val="22"/>
          <w:lang w:eastAsia="pt-BR"/>
        </w:rPr>
        <w:t>ao questionamento apresentado, por se</w:t>
      </w:r>
      <w:r w:rsidR="009A1A95" w:rsidRPr="00766D03">
        <w:rPr>
          <w:sz w:val="22"/>
          <w:szCs w:val="22"/>
          <w:lang w:eastAsia="pt-BR"/>
        </w:rPr>
        <w:t xml:space="preserve"> tratar de matéria consolidada na jurisprudência do Tribunal, a partir da qual destacou que </w:t>
      </w:r>
      <w:r w:rsidR="009A1A95" w:rsidRPr="00766D03">
        <w:rPr>
          <w:i/>
          <w:sz w:val="22"/>
          <w:szCs w:val="22"/>
          <w:lang w:eastAsia="pt-BR"/>
        </w:rPr>
        <w:t>“a exigência, como condição de habilitação, de declaração de solidariedade do fabricante do produto, por falta de amparo legal, além de constituir uma cláusula restritiva ao caráter competitivo das licitações desnecessariamente, também não é uma condição indispensável à garantia do cumprimento das obrigações contratuais</w:t>
      </w:r>
      <w:r w:rsidR="009A1A95" w:rsidRPr="00766D03">
        <w:rPr>
          <w:sz w:val="22"/>
          <w:szCs w:val="22"/>
          <w:lang w:eastAsia="pt-BR"/>
        </w:rPr>
        <w:t>”</w:t>
      </w:r>
      <w:r w:rsidR="009A1A95" w:rsidRPr="00766D03">
        <w:rPr>
          <w:i/>
          <w:sz w:val="22"/>
          <w:szCs w:val="22"/>
          <w:lang w:eastAsia="pt-BR"/>
        </w:rPr>
        <w:t>.</w:t>
      </w:r>
      <w:r w:rsidR="009A1A95" w:rsidRPr="006C54BB">
        <w:rPr>
          <w:sz w:val="22"/>
          <w:szCs w:val="22"/>
          <w:lang w:eastAsia="pt-BR"/>
        </w:rPr>
        <w:t xml:space="preserve"> </w:t>
      </w:r>
      <w:r w:rsidR="009A1A95" w:rsidRPr="00766D03">
        <w:rPr>
          <w:sz w:val="22"/>
          <w:szCs w:val="22"/>
          <w:lang w:eastAsia="pt-BR"/>
        </w:rPr>
        <w:t xml:space="preserve">Para o fim de habilitação em pregões eletrônicos, que foram analisados anteriormente, caberia, ainda para o relator, exigência apenas da documentação prevista no art. 14 do Decreto Federal 5.450/2005, normatizador do assunto na esfera da União. Votou o relator, então, por que o Tribunal, no ponto, negasse provimento ao recurso manejado, no que foi acompanhado pelos demais membros do Plenário. Precedentes citados: </w:t>
      </w:r>
      <w:r w:rsidR="009A1A95" w:rsidRPr="00766D03">
        <w:rPr>
          <w:snapToGrid w:val="0"/>
          <w:sz w:val="22"/>
          <w:szCs w:val="22"/>
        </w:rPr>
        <w:t>Acórdãos n</w:t>
      </w:r>
      <w:r w:rsidR="009A1A95" w:rsidRPr="00766D03">
        <w:rPr>
          <w:snapToGrid w:val="0"/>
          <w:sz w:val="22"/>
          <w:szCs w:val="22"/>
          <w:u w:val="single"/>
          <w:vertAlign w:val="superscript"/>
        </w:rPr>
        <w:t>os</w:t>
      </w:r>
      <w:r w:rsidR="009A1A95" w:rsidRPr="00766D03">
        <w:rPr>
          <w:sz w:val="22"/>
          <w:szCs w:val="22"/>
          <w:lang w:eastAsia="pt-BR"/>
        </w:rPr>
        <w:t xml:space="preserve"> 1729/2008 e 2056/2008, ambos do Plenário. </w:t>
      </w:r>
      <w:r w:rsidRPr="00766D03">
        <w:rPr>
          <w:b/>
          <w:i/>
          <w:sz w:val="22"/>
          <w:szCs w:val="22"/>
        </w:rPr>
        <w:t>Acórdão n.º 1879/2011-Plenário, TC-013.100/2005-4, rel. Min. Augusto Nardes, 20.07.2011.</w:t>
      </w:r>
    </w:p>
    <w:p w:rsidR="00590750" w:rsidRPr="00766D03" w:rsidRDefault="00590750" w:rsidP="00766D03">
      <w:pPr>
        <w:pStyle w:val="tita"/>
        <w:tabs>
          <w:tab w:val="left" w:pos="2590"/>
        </w:tabs>
        <w:spacing w:before="0" w:after="0" w:line="240" w:lineRule="auto"/>
        <w:jc w:val="both"/>
        <w:rPr>
          <w:i w:val="0"/>
          <w:iCs w:val="0"/>
          <w:sz w:val="22"/>
          <w:szCs w:val="22"/>
        </w:rPr>
      </w:pPr>
    </w:p>
    <w:p w:rsidR="00C85B0B" w:rsidRPr="00766D03" w:rsidRDefault="00306864" w:rsidP="00766D03">
      <w:pPr>
        <w:tabs>
          <w:tab w:val="left" w:pos="709"/>
        </w:tabs>
        <w:spacing w:after="0"/>
        <w:ind w:left="0"/>
        <w:rPr>
          <w:b/>
          <w:sz w:val="22"/>
          <w:szCs w:val="22"/>
        </w:rPr>
      </w:pPr>
      <w:r w:rsidRPr="00766D03">
        <w:rPr>
          <w:b/>
          <w:sz w:val="22"/>
          <w:szCs w:val="22"/>
        </w:rPr>
        <w:t xml:space="preserve">Contratação de serviços ligados à tecnologia da informação: </w:t>
      </w:r>
      <w:r w:rsidR="006C54BB" w:rsidRPr="006C54BB">
        <w:rPr>
          <w:b/>
          <w:sz w:val="22"/>
          <w:szCs w:val="22"/>
        </w:rPr>
        <w:t>no caso de não parcelamento do objeto, deve-se detalhar os possíveis efetivos impactos decorrentes de tal medida</w:t>
      </w:r>
    </w:p>
    <w:p w:rsidR="00C85B0B" w:rsidRPr="00766D03" w:rsidRDefault="002B059A" w:rsidP="00766D03">
      <w:pPr>
        <w:pStyle w:val="Corpodetexto"/>
        <w:tabs>
          <w:tab w:val="left" w:pos="1134"/>
        </w:tabs>
        <w:spacing w:after="0"/>
        <w:ind w:left="0"/>
        <w:rPr>
          <w:b/>
          <w:i/>
          <w:sz w:val="22"/>
          <w:szCs w:val="22"/>
        </w:rPr>
      </w:pPr>
      <w:r w:rsidRPr="00766D03">
        <w:rPr>
          <w:sz w:val="22"/>
          <w:szCs w:val="22"/>
        </w:rPr>
        <w:t xml:space="preserve">Representação trouxe ao conhecimento do Tribunal potenciais irregularidades relativas ao Pregão Eletrônico nº 86/2010, da Fundação Universidade do Amazonas - (Ufam), </w:t>
      </w:r>
      <w:r w:rsidR="006C54BB">
        <w:rPr>
          <w:sz w:val="22"/>
          <w:szCs w:val="22"/>
        </w:rPr>
        <w:t xml:space="preserve">que </w:t>
      </w:r>
      <w:r w:rsidRPr="00766D03">
        <w:rPr>
          <w:sz w:val="22"/>
          <w:szCs w:val="22"/>
        </w:rPr>
        <w:t>te</w:t>
      </w:r>
      <w:r w:rsidR="006C54BB">
        <w:rPr>
          <w:sz w:val="22"/>
          <w:szCs w:val="22"/>
        </w:rPr>
        <w:t>ve</w:t>
      </w:r>
      <w:r w:rsidRPr="00766D03">
        <w:rPr>
          <w:sz w:val="22"/>
          <w:szCs w:val="22"/>
        </w:rPr>
        <w:t xml:space="preserve"> por objeto o registro de preços para eventual contratação de empresa especializada na prestação de serviços de manutenção e expansão das redes óptica, estruturada, sem fio e de telefonia digital com fornecimento de material e equipamentos adequados para os serviços a serem realizados no campus de Manaus e nos </w:t>
      </w:r>
      <w:r w:rsidRPr="00766D03">
        <w:rPr>
          <w:b/>
          <w:sz w:val="22"/>
          <w:szCs w:val="22"/>
        </w:rPr>
        <w:t>Campi</w:t>
      </w:r>
      <w:r w:rsidRPr="00766D03">
        <w:rPr>
          <w:sz w:val="22"/>
          <w:szCs w:val="22"/>
        </w:rPr>
        <w:t xml:space="preserve"> de Benjamin Constant, Coari, Humaitá, Itacoatiara e Parintins.</w:t>
      </w:r>
      <w:r w:rsidRPr="00766D03">
        <w:rPr>
          <w:rFonts w:ascii="Times-Roman" w:hAnsi="Times-Roman" w:cs="Times-Roman"/>
          <w:sz w:val="22"/>
          <w:szCs w:val="22"/>
        </w:rPr>
        <w:t xml:space="preserve"> Dentre tais irregularidades, foi apontado pela </w:t>
      </w:r>
      <w:r w:rsidR="00306864" w:rsidRPr="00766D03">
        <w:rPr>
          <w:rFonts w:ascii="Times-Roman" w:hAnsi="Times-Roman" w:cs="Times-Roman"/>
          <w:sz w:val="22"/>
          <w:szCs w:val="22"/>
        </w:rPr>
        <w:t>unidade técnica</w:t>
      </w:r>
      <w:r w:rsidRPr="00766D03">
        <w:rPr>
          <w:rFonts w:ascii="Times-Roman" w:hAnsi="Times-Roman" w:cs="Times-Roman"/>
          <w:sz w:val="22"/>
          <w:szCs w:val="22"/>
        </w:rPr>
        <w:t xml:space="preserve"> o não parcelamento do objeto da licitação, em afronta à disposição expressa da Lei 8.666/1993 (art. 23, § 1º). Para o relator, a decisão da Ufam de não parcelar seria ofensiva à ordem jurídica, tendo em conta entendimento já sumulado pelo Tribunal (súmula/TCU 247). Todavia, o caso </w:t>
      </w:r>
      <w:r w:rsidR="006C54BB">
        <w:rPr>
          <w:rFonts w:ascii="Times-Roman" w:hAnsi="Times-Roman" w:cs="Times-Roman"/>
          <w:sz w:val="22"/>
          <w:szCs w:val="22"/>
        </w:rPr>
        <w:t xml:space="preserve">concreto </w:t>
      </w:r>
      <w:r w:rsidRPr="00766D03">
        <w:rPr>
          <w:rFonts w:ascii="Times-Roman" w:hAnsi="Times-Roman" w:cs="Times-Roman"/>
          <w:sz w:val="22"/>
          <w:szCs w:val="22"/>
        </w:rPr>
        <w:t xml:space="preserve">mereceria considerações, tendo em conta suas especificidades. Nesse contexto, destacou o não cumprimento de orientação do TCU a respeito de contratações ligadas à tecnologia, constantes da </w:t>
      </w:r>
      <w:r w:rsidRPr="00766D03">
        <w:rPr>
          <w:sz w:val="22"/>
          <w:szCs w:val="22"/>
        </w:rPr>
        <w:t xml:space="preserve">Nota Técnica nº 1/2008-Sefti/TCU, na qual se averba, dentre outras, a necessidade de exposição de justificativas do parcelamento ou não, bem </w:t>
      </w:r>
      <w:r w:rsidR="00306864" w:rsidRPr="00766D03">
        <w:rPr>
          <w:sz w:val="22"/>
          <w:szCs w:val="22"/>
        </w:rPr>
        <w:t xml:space="preserve">ainda, no caso de opção por se parcelar o objeto, que se justificasse a utilização de licitações distintas, a adjudicação por itens, a permissão de subcontratação de parte específica do objeto (art. 72 da Lei nº 8.666/93) ou a permissão para formação de consórcios (art. 33 da Lei nº 8.666/93). As informações extemporâneas apresentadas pelo pregoeiro, para o relator, não teriam o condão de atender o entendimento </w:t>
      </w:r>
      <w:r w:rsidR="006C54BB">
        <w:rPr>
          <w:sz w:val="22"/>
          <w:szCs w:val="22"/>
        </w:rPr>
        <w:t xml:space="preserve">constante </w:t>
      </w:r>
      <w:r w:rsidR="00306864" w:rsidRPr="00766D03">
        <w:rPr>
          <w:sz w:val="22"/>
          <w:szCs w:val="22"/>
        </w:rPr>
        <w:t xml:space="preserve">da norma do Tribunal. Ainda segundo o relator, argumentos para o não parcelamento dos itens do objeto, tais como </w:t>
      </w:r>
      <w:r w:rsidR="00306864" w:rsidRPr="00766D03">
        <w:rPr>
          <w:i/>
          <w:sz w:val="22"/>
          <w:szCs w:val="22"/>
        </w:rPr>
        <w:t>o “agrupamento de diversos itens alcançaria maior economia de escala, permitindo conseguir melhores preços; (...) fracionar os serviços significaria ter que gerenciar diversas empresas, coordená-las, sincronizar cada entrega e dirimir situações de conflito na entrega; (...) O agrupamento em único lote visa somente a assegurar a execução do projeto, dada a sua importância e complexidade. Caso contrário, correria o risco de atraso ou até a não implementação do projeto, em razão da demora na entrega dos equipamentos por parte de alguns fornecedores e problema de incompatibilidade do material entregue”</w:t>
      </w:r>
      <w:r w:rsidR="00306864" w:rsidRPr="00766D03">
        <w:rPr>
          <w:sz w:val="22"/>
          <w:szCs w:val="22"/>
        </w:rPr>
        <w:t xml:space="preserve">, não se prestariam a demonstrar o cumprimento da orientação da norma do TCU, e, ademais, </w:t>
      </w:r>
      <w:r w:rsidR="00EE0D01" w:rsidRPr="00766D03">
        <w:rPr>
          <w:sz w:val="22"/>
          <w:szCs w:val="22"/>
        </w:rPr>
        <w:t>“</w:t>
      </w:r>
      <w:r w:rsidR="00306864" w:rsidRPr="00766D03">
        <w:rPr>
          <w:i/>
          <w:sz w:val="22"/>
          <w:szCs w:val="22"/>
        </w:rPr>
        <w:t>apontam genericamente para motivos de ordem econômica e técnica sem, entretanto, detalhar os possíveis efetivos impactos decorrentes do não parcelamento</w:t>
      </w:r>
      <w:r w:rsidR="00EE0D01" w:rsidRPr="00766D03">
        <w:rPr>
          <w:sz w:val="22"/>
          <w:szCs w:val="22"/>
        </w:rPr>
        <w:t>”</w:t>
      </w:r>
      <w:r w:rsidR="00306864" w:rsidRPr="00766D03">
        <w:rPr>
          <w:sz w:val="22"/>
          <w:szCs w:val="22"/>
        </w:rPr>
        <w:t xml:space="preserve">. Entretanto, </w:t>
      </w:r>
      <w:r w:rsidR="00EE0D01" w:rsidRPr="00766D03">
        <w:rPr>
          <w:sz w:val="22"/>
          <w:szCs w:val="22"/>
        </w:rPr>
        <w:t xml:space="preserve">por entender que o pregoeiro responsável pela condução do certame apenas </w:t>
      </w:r>
      <w:r w:rsidR="00306864" w:rsidRPr="00766D03">
        <w:rPr>
          <w:sz w:val="22"/>
          <w:szCs w:val="22"/>
        </w:rPr>
        <w:t>prest</w:t>
      </w:r>
      <w:r w:rsidR="00EE0D01" w:rsidRPr="00766D03">
        <w:rPr>
          <w:sz w:val="22"/>
          <w:szCs w:val="22"/>
        </w:rPr>
        <w:t>ou</w:t>
      </w:r>
      <w:r w:rsidR="00306864" w:rsidRPr="00766D03">
        <w:rPr>
          <w:sz w:val="22"/>
          <w:szCs w:val="22"/>
        </w:rPr>
        <w:t xml:space="preserve">-se </w:t>
      </w:r>
      <w:r w:rsidR="00EE0D01" w:rsidRPr="00766D03">
        <w:rPr>
          <w:sz w:val="22"/>
          <w:szCs w:val="22"/>
        </w:rPr>
        <w:t>a seguir</w:t>
      </w:r>
      <w:r w:rsidR="006C54BB">
        <w:rPr>
          <w:sz w:val="22"/>
          <w:szCs w:val="22"/>
        </w:rPr>
        <w:t>,</w:t>
      </w:r>
      <w:r w:rsidR="00306864" w:rsidRPr="00766D03">
        <w:rPr>
          <w:sz w:val="22"/>
          <w:szCs w:val="22"/>
        </w:rPr>
        <w:t xml:space="preserve"> ainda que a destempo, a</w:t>
      </w:r>
      <w:r w:rsidR="00EE0D01" w:rsidRPr="00766D03">
        <w:rPr>
          <w:sz w:val="22"/>
          <w:szCs w:val="22"/>
        </w:rPr>
        <w:t>s</w:t>
      </w:r>
      <w:r w:rsidR="00306864" w:rsidRPr="00766D03">
        <w:rPr>
          <w:sz w:val="22"/>
          <w:szCs w:val="22"/>
        </w:rPr>
        <w:t xml:space="preserve"> orientaç</w:t>
      </w:r>
      <w:r w:rsidR="00EE0D01" w:rsidRPr="00766D03">
        <w:rPr>
          <w:sz w:val="22"/>
          <w:szCs w:val="22"/>
        </w:rPr>
        <w:t>ões</w:t>
      </w:r>
      <w:r w:rsidR="00306864" w:rsidRPr="00766D03">
        <w:rPr>
          <w:sz w:val="22"/>
          <w:szCs w:val="22"/>
        </w:rPr>
        <w:t xml:space="preserve"> da área técnica d</w:t>
      </w:r>
      <w:r w:rsidR="00EE0D01" w:rsidRPr="00766D03">
        <w:rPr>
          <w:sz w:val="22"/>
          <w:szCs w:val="22"/>
        </w:rPr>
        <w:t>a</w:t>
      </w:r>
      <w:r w:rsidR="00306864" w:rsidRPr="00766D03">
        <w:rPr>
          <w:sz w:val="22"/>
          <w:szCs w:val="22"/>
        </w:rPr>
        <w:t xml:space="preserve"> </w:t>
      </w:r>
      <w:r w:rsidR="00EE0D01" w:rsidRPr="00766D03">
        <w:rPr>
          <w:sz w:val="22"/>
          <w:szCs w:val="22"/>
        </w:rPr>
        <w:t>u</w:t>
      </w:r>
      <w:r w:rsidR="00306864" w:rsidRPr="00766D03">
        <w:rPr>
          <w:sz w:val="22"/>
          <w:szCs w:val="22"/>
        </w:rPr>
        <w:t>niversidade, sendo-lhe improvável questionar o modelo</w:t>
      </w:r>
      <w:r w:rsidR="00EE0D01" w:rsidRPr="00766D03">
        <w:rPr>
          <w:sz w:val="22"/>
          <w:szCs w:val="22"/>
        </w:rPr>
        <w:t xml:space="preserve">, votou pelo acolhimento das razões de justificativas apresentadas </w:t>
      </w:r>
      <w:r w:rsidR="006C54BB">
        <w:rPr>
          <w:sz w:val="22"/>
          <w:szCs w:val="22"/>
        </w:rPr>
        <w:t>n</w:t>
      </w:r>
      <w:r w:rsidR="00EE0D01" w:rsidRPr="00766D03">
        <w:rPr>
          <w:sz w:val="22"/>
          <w:szCs w:val="22"/>
        </w:rPr>
        <w:t xml:space="preserve">a oitiva do servidor. </w:t>
      </w:r>
      <w:r w:rsidR="00C85B0B" w:rsidRPr="00766D03">
        <w:rPr>
          <w:sz w:val="22"/>
          <w:szCs w:val="22"/>
        </w:rPr>
        <w:t>Nos termos do voto do relator, o Plenário manifestou sua anuência.</w:t>
      </w:r>
      <w:r w:rsidR="00C85B0B" w:rsidRPr="00766D03">
        <w:rPr>
          <w:sz w:val="22"/>
          <w:szCs w:val="22"/>
          <w:lang w:eastAsia="pt-BR"/>
        </w:rPr>
        <w:t xml:space="preserve"> </w:t>
      </w:r>
      <w:r w:rsidR="00C85B0B" w:rsidRPr="00766D03">
        <w:rPr>
          <w:b/>
          <w:i/>
          <w:sz w:val="22"/>
          <w:szCs w:val="22"/>
        </w:rPr>
        <w:t>Acórdão n.º 1881/2011-Plenário, TC-033.841/2011-1, rel. Min. Augusto Nardes, 20.07.2011.</w:t>
      </w:r>
    </w:p>
    <w:p w:rsidR="00C85B0B" w:rsidRPr="00766D03" w:rsidRDefault="00C85B0B" w:rsidP="00766D03">
      <w:pPr>
        <w:pStyle w:val="tita"/>
        <w:tabs>
          <w:tab w:val="left" w:pos="2590"/>
        </w:tabs>
        <w:spacing w:before="0" w:after="0" w:line="240" w:lineRule="auto"/>
        <w:jc w:val="both"/>
        <w:rPr>
          <w:i w:val="0"/>
          <w:iCs w:val="0"/>
          <w:sz w:val="22"/>
          <w:szCs w:val="22"/>
        </w:rPr>
      </w:pPr>
    </w:p>
    <w:p w:rsidR="00AA1D1B" w:rsidRPr="00733EB2" w:rsidRDefault="006C54BB" w:rsidP="00766D03">
      <w:pPr>
        <w:tabs>
          <w:tab w:val="left" w:pos="709"/>
        </w:tabs>
        <w:spacing w:after="0"/>
        <w:ind w:left="0"/>
        <w:rPr>
          <w:b/>
          <w:sz w:val="22"/>
          <w:szCs w:val="22"/>
        </w:rPr>
      </w:pPr>
      <w:r w:rsidRPr="00733EB2">
        <w:rPr>
          <w:b/>
          <w:sz w:val="22"/>
          <w:szCs w:val="22"/>
        </w:rPr>
        <w:t xml:space="preserve">Licitação de obra pública: a </w:t>
      </w:r>
      <w:r w:rsidR="00733EB2" w:rsidRPr="00733EB2">
        <w:rPr>
          <w:b/>
          <w:sz w:val="22"/>
          <w:szCs w:val="22"/>
        </w:rPr>
        <w:t xml:space="preserve">exigência de apresentação por parte das licitantes do </w:t>
      </w:r>
      <w:r w:rsidR="00733EB2" w:rsidRPr="00733EB2">
        <w:rPr>
          <w:rFonts w:ascii="Times-Roman" w:hAnsi="Times-Roman" w:cs="Times-Roman"/>
          <w:b/>
          <w:sz w:val="22"/>
          <w:szCs w:val="22"/>
          <w:lang w:eastAsia="pt-BR"/>
        </w:rPr>
        <w:t>Programa de Condições e Meio Ambiente de Trabalho na Indústria da Construção – (PCMAT) só pode ser feita em obras com mais de 20 trabalhadores</w:t>
      </w:r>
    </w:p>
    <w:p w:rsidR="00AA1D1B" w:rsidRPr="00766D03" w:rsidRDefault="00AA1D1B" w:rsidP="00733EB2">
      <w:pPr>
        <w:widowControl w:val="0"/>
        <w:autoSpaceDE w:val="0"/>
        <w:autoSpaceDN w:val="0"/>
        <w:adjustRightInd w:val="0"/>
        <w:spacing w:after="0" w:line="240" w:lineRule="atLeast"/>
        <w:ind w:left="0"/>
        <w:rPr>
          <w:b/>
          <w:i/>
          <w:sz w:val="22"/>
          <w:szCs w:val="22"/>
        </w:rPr>
      </w:pPr>
      <w:r w:rsidRPr="00766D03">
        <w:rPr>
          <w:sz w:val="22"/>
          <w:szCs w:val="22"/>
          <w:lang w:eastAsia="pt-BR"/>
        </w:rPr>
        <w:t xml:space="preserve">Auditoria levada a efeito no </w:t>
      </w:r>
      <w:r w:rsidRPr="00766D03">
        <w:rPr>
          <w:rFonts w:ascii="Times-Roman" w:hAnsi="Times-Roman" w:cs="Times-Roman"/>
          <w:sz w:val="22"/>
          <w:szCs w:val="22"/>
          <w:lang w:eastAsia="pt-BR"/>
        </w:rPr>
        <w:t>Departamento Penitenciário Nacional - Depen, na Caixa Econômica Federal - Caixa e em órgão do Governo do Estado do Rio Grande do Norte</w:t>
      </w:r>
      <w:r w:rsidRPr="00766D03">
        <w:rPr>
          <w:sz w:val="22"/>
          <w:szCs w:val="22"/>
          <w:lang w:eastAsia="pt-BR"/>
        </w:rPr>
        <w:t xml:space="preserve"> teve como objetivo</w:t>
      </w:r>
      <w:r w:rsidR="00EF6F24" w:rsidRPr="00766D03">
        <w:rPr>
          <w:sz w:val="22"/>
          <w:szCs w:val="22"/>
          <w:lang w:eastAsia="pt-BR"/>
        </w:rPr>
        <w:t xml:space="preserve"> </w:t>
      </w:r>
      <w:r w:rsidRPr="00766D03">
        <w:rPr>
          <w:sz w:val="22"/>
          <w:szCs w:val="22"/>
          <w:lang w:eastAsia="pt-BR"/>
        </w:rPr>
        <w:t>verifica</w:t>
      </w:r>
      <w:r w:rsidR="00EF6F24" w:rsidRPr="00766D03">
        <w:rPr>
          <w:sz w:val="22"/>
          <w:szCs w:val="22"/>
          <w:lang w:eastAsia="pt-BR"/>
        </w:rPr>
        <w:t>r</w:t>
      </w:r>
      <w:r w:rsidRPr="00766D03">
        <w:rPr>
          <w:sz w:val="22"/>
          <w:szCs w:val="22"/>
          <w:lang w:eastAsia="pt-BR"/>
        </w:rPr>
        <w:t xml:space="preserve"> a conformidade da aplicação dos recursos federais na obra de construção da Cadeia Pública da cidade de Ceará Mirim</w:t>
      </w:r>
      <w:r w:rsidR="00EF6F24" w:rsidRPr="00766D03">
        <w:rPr>
          <w:sz w:val="22"/>
          <w:szCs w:val="22"/>
          <w:lang w:eastAsia="pt-BR"/>
        </w:rPr>
        <w:t xml:space="preserve">. A partir dos levantamentos feitos pela unidade técnica, o relator observou que </w:t>
      </w:r>
      <w:r w:rsidR="00EF6F24" w:rsidRPr="00766D03">
        <w:rPr>
          <w:rFonts w:ascii="Times-Roman" w:hAnsi="Times-Roman" w:cs="Times-Roman"/>
          <w:sz w:val="22"/>
          <w:szCs w:val="22"/>
          <w:lang w:eastAsia="pt-BR"/>
        </w:rPr>
        <w:t xml:space="preserve">das seis empresas participantes da licitação das obras, cinco foram inabilitadas por suposta desobediência à exigência </w:t>
      </w:r>
      <w:r w:rsidR="006777E4" w:rsidRPr="00766D03">
        <w:rPr>
          <w:rFonts w:ascii="Times-Roman" w:hAnsi="Times-Roman" w:cs="Times-Roman"/>
          <w:sz w:val="22"/>
          <w:szCs w:val="22"/>
          <w:lang w:eastAsia="pt-BR"/>
        </w:rPr>
        <w:t xml:space="preserve">constante do </w:t>
      </w:r>
      <w:r w:rsidR="00EF6F24" w:rsidRPr="00766D03">
        <w:rPr>
          <w:rFonts w:ascii="Times-Roman" w:hAnsi="Times-Roman" w:cs="Times-Roman"/>
          <w:sz w:val="22"/>
          <w:szCs w:val="22"/>
          <w:lang w:eastAsia="pt-BR"/>
        </w:rPr>
        <w:t xml:space="preserve">item 5.3.3 </w:t>
      </w:r>
      <w:r w:rsidR="006C54BB">
        <w:rPr>
          <w:rFonts w:ascii="Times-Roman" w:hAnsi="Times-Roman" w:cs="Times-Roman"/>
          <w:sz w:val="22"/>
          <w:szCs w:val="22"/>
          <w:lang w:eastAsia="pt-BR"/>
        </w:rPr>
        <w:t xml:space="preserve">do </w:t>
      </w:r>
      <w:r w:rsidR="00EF6F24" w:rsidRPr="00766D03">
        <w:rPr>
          <w:rFonts w:ascii="Times-Roman" w:hAnsi="Times-Roman" w:cs="Times-Roman"/>
          <w:sz w:val="22"/>
          <w:szCs w:val="22"/>
          <w:lang w:eastAsia="pt-BR"/>
        </w:rPr>
        <w:t>edital d</w:t>
      </w:r>
      <w:r w:rsidR="006777E4" w:rsidRPr="00766D03">
        <w:rPr>
          <w:rFonts w:ascii="Times-Roman" w:hAnsi="Times-Roman" w:cs="Times-Roman"/>
          <w:sz w:val="22"/>
          <w:szCs w:val="22"/>
          <w:lang w:eastAsia="pt-BR"/>
        </w:rPr>
        <w:t>a</w:t>
      </w:r>
      <w:r w:rsidR="00EF6F24" w:rsidRPr="00766D03">
        <w:rPr>
          <w:rFonts w:ascii="Times-Roman" w:hAnsi="Times-Roman" w:cs="Times-Roman"/>
          <w:sz w:val="22"/>
          <w:szCs w:val="22"/>
          <w:lang w:eastAsia="pt-BR"/>
        </w:rPr>
        <w:t xml:space="preserve"> licitação </w:t>
      </w:r>
      <w:r w:rsidR="006777E4" w:rsidRPr="00766D03">
        <w:rPr>
          <w:rFonts w:ascii="Times-Roman" w:hAnsi="Times-Roman" w:cs="Times-Roman"/>
          <w:sz w:val="22"/>
          <w:szCs w:val="22"/>
          <w:lang w:eastAsia="pt-BR"/>
        </w:rPr>
        <w:t xml:space="preserve">das obras, o qual </w:t>
      </w:r>
      <w:r w:rsidR="00EF6F24" w:rsidRPr="00766D03">
        <w:rPr>
          <w:rFonts w:ascii="Times-Roman" w:hAnsi="Times-Roman" w:cs="Times-Roman"/>
          <w:sz w:val="22"/>
          <w:szCs w:val="22"/>
          <w:lang w:eastAsia="pt-BR"/>
        </w:rPr>
        <w:t xml:space="preserve">exigia </w:t>
      </w:r>
      <w:r w:rsidR="006777E4" w:rsidRPr="00766D03">
        <w:rPr>
          <w:rFonts w:ascii="Times-Roman" w:hAnsi="Times-Roman" w:cs="Times-Roman"/>
          <w:sz w:val="22"/>
          <w:szCs w:val="22"/>
          <w:lang w:eastAsia="pt-BR"/>
        </w:rPr>
        <w:t>d</w:t>
      </w:r>
      <w:r w:rsidR="00EF6F24" w:rsidRPr="00766D03">
        <w:rPr>
          <w:rFonts w:ascii="Times-Roman" w:hAnsi="Times-Roman" w:cs="Times-Roman"/>
          <w:sz w:val="22"/>
          <w:szCs w:val="22"/>
          <w:lang w:eastAsia="pt-BR"/>
        </w:rPr>
        <w:t xml:space="preserve">as </w:t>
      </w:r>
      <w:r w:rsidR="006777E4" w:rsidRPr="00766D03">
        <w:rPr>
          <w:rFonts w:ascii="Times-Roman" w:hAnsi="Times-Roman" w:cs="Times-Roman"/>
          <w:sz w:val="22"/>
          <w:szCs w:val="22"/>
          <w:lang w:eastAsia="pt-BR"/>
        </w:rPr>
        <w:t xml:space="preserve">empresas licitantes a </w:t>
      </w:r>
      <w:r w:rsidR="00EF6F24" w:rsidRPr="00766D03">
        <w:rPr>
          <w:rFonts w:ascii="Times-Roman" w:hAnsi="Times-Roman" w:cs="Times-Roman"/>
          <w:sz w:val="22"/>
          <w:szCs w:val="22"/>
          <w:lang w:eastAsia="pt-BR"/>
        </w:rPr>
        <w:t>apresenta</w:t>
      </w:r>
      <w:r w:rsidR="006777E4" w:rsidRPr="00766D03">
        <w:rPr>
          <w:rFonts w:ascii="Times-Roman" w:hAnsi="Times-Roman" w:cs="Times-Roman"/>
          <w:sz w:val="22"/>
          <w:szCs w:val="22"/>
          <w:lang w:eastAsia="pt-BR"/>
        </w:rPr>
        <w:t>ção,</w:t>
      </w:r>
      <w:r w:rsidR="00EF6F24" w:rsidRPr="00766D03">
        <w:rPr>
          <w:rFonts w:ascii="Times-Roman" w:hAnsi="Times-Roman" w:cs="Times-Roman"/>
          <w:sz w:val="22"/>
          <w:szCs w:val="22"/>
          <w:lang w:eastAsia="pt-BR"/>
        </w:rPr>
        <w:t xml:space="preserve"> em suas propostas</w:t>
      </w:r>
      <w:r w:rsidR="006777E4" w:rsidRPr="00766D03">
        <w:rPr>
          <w:rFonts w:ascii="Times-Roman" w:hAnsi="Times-Roman" w:cs="Times-Roman"/>
          <w:sz w:val="22"/>
          <w:szCs w:val="22"/>
          <w:lang w:eastAsia="pt-BR"/>
        </w:rPr>
        <w:t>, de</w:t>
      </w:r>
      <w:r w:rsidR="00EF6F24" w:rsidRPr="00766D03">
        <w:rPr>
          <w:rFonts w:ascii="Times-Roman" w:hAnsi="Times-Roman" w:cs="Times-Roman"/>
          <w:sz w:val="22"/>
          <w:szCs w:val="22"/>
          <w:lang w:eastAsia="pt-BR"/>
        </w:rPr>
        <w:t xml:space="preserve"> plano de trabalho que descrevesse os </w:t>
      </w:r>
      <w:r w:rsidR="006777E4" w:rsidRPr="00766D03">
        <w:rPr>
          <w:rFonts w:ascii="Times-Roman" w:hAnsi="Times-Roman" w:cs="Times-Roman"/>
          <w:sz w:val="22"/>
          <w:szCs w:val="22"/>
          <w:lang w:eastAsia="pt-BR"/>
        </w:rPr>
        <w:t>‘</w:t>
      </w:r>
      <w:r w:rsidR="00EF6F24" w:rsidRPr="00766D03">
        <w:rPr>
          <w:rFonts w:ascii="Times-Roman" w:hAnsi="Times-Roman" w:cs="Times-Roman"/>
          <w:sz w:val="22"/>
          <w:szCs w:val="22"/>
          <w:lang w:eastAsia="pt-BR"/>
        </w:rPr>
        <w:t>procedimentos de segurança e de prevenção de riscos de trabalho</w:t>
      </w:r>
      <w:r w:rsidR="006777E4" w:rsidRPr="00766D03">
        <w:rPr>
          <w:rFonts w:ascii="Times-Roman" w:hAnsi="Times-Roman" w:cs="Times-Roman"/>
          <w:sz w:val="22"/>
          <w:szCs w:val="22"/>
          <w:lang w:eastAsia="pt-BR"/>
        </w:rPr>
        <w:t>’</w:t>
      </w:r>
      <w:r w:rsidR="00EF6F24" w:rsidRPr="00766D03">
        <w:rPr>
          <w:rFonts w:ascii="Times-Roman" w:hAnsi="Times-Roman" w:cs="Times-Roman"/>
          <w:sz w:val="22"/>
          <w:szCs w:val="22"/>
          <w:lang w:eastAsia="pt-BR"/>
        </w:rPr>
        <w:t xml:space="preserve"> aplicáveis à execução da obra.</w:t>
      </w:r>
      <w:r w:rsidR="006777E4" w:rsidRPr="00766D03">
        <w:rPr>
          <w:rFonts w:ascii="Times-Roman" w:hAnsi="Times-Roman" w:cs="Times-Roman"/>
          <w:sz w:val="22"/>
          <w:szCs w:val="22"/>
          <w:lang w:eastAsia="pt-BR"/>
        </w:rPr>
        <w:t xml:space="preserve"> Objetivamente, a inabilitação das cinco empresas ocorre</w:t>
      </w:r>
      <w:r w:rsidR="006C54BB">
        <w:rPr>
          <w:rFonts w:ascii="Times-Roman" w:hAnsi="Times-Roman" w:cs="Times-Roman"/>
          <w:sz w:val="22"/>
          <w:szCs w:val="22"/>
          <w:lang w:eastAsia="pt-BR"/>
        </w:rPr>
        <w:t>ra</w:t>
      </w:r>
      <w:r w:rsidR="006777E4" w:rsidRPr="00766D03">
        <w:rPr>
          <w:rFonts w:ascii="Times-Roman" w:hAnsi="Times-Roman" w:cs="Times-Roman"/>
          <w:sz w:val="22"/>
          <w:szCs w:val="22"/>
          <w:lang w:eastAsia="pt-BR"/>
        </w:rPr>
        <w:t xml:space="preserve"> porque elas apenas haveriam declarado que seguiriam os procedimentos determinados pela NR-18, norma regulamentadora do Ministério do Trabalho e Emprego, que estabelece diretrizes para implementação de medidas de controle e sistemas preventivos de segurança, sem, entretanto, apresentar o Programa de Condições e Meio Ambiente de Trabalho na Indústria da Construção – (PCMAT), </w:t>
      </w:r>
      <w:r w:rsidR="005E2019">
        <w:rPr>
          <w:rFonts w:ascii="Times-Roman" w:hAnsi="Times-Roman" w:cs="Times-Roman"/>
          <w:sz w:val="22"/>
          <w:szCs w:val="22"/>
          <w:lang w:eastAsia="pt-BR"/>
        </w:rPr>
        <w:t>trazido</w:t>
      </w:r>
      <w:r w:rsidR="006777E4" w:rsidRPr="00766D03">
        <w:rPr>
          <w:rFonts w:ascii="Times-Roman" w:hAnsi="Times-Roman" w:cs="Times-Roman"/>
          <w:sz w:val="22"/>
          <w:szCs w:val="22"/>
          <w:lang w:eastAsia="pt-BR"/>
        </w:rPr>
        <w:t xml:space="preserve"> apenas pela única habilitada, a qual acabou sendo declarada vencedora do certame. Todavia, no voto, o relator do feito destacou que o PCMAT, “</w:t>
      </w:r>
      <w:r w:rsidR="006777E4" w:rsidRPr="00766D03">
        <w:rPr>
          <w:rFonts w:ascii="Times-Roman" w:hAnsi="Times-Roman" w:cs="Times-Roman"/>
          <w:i/>
          <w:sz w:val="22"/>
          <w:szCs w:val="22"/>
          <w:lang w:eastAsia="pt-BR"/>
        </w:rPr>
        <w:t>é requisito da NR-18 que deve ser cumprido em obras com mais de 20 trabalhadores</w:t>
      </w:r>
      <w:r w:rsidR="006777E4" w:rsidRPr="00766D03">
        <w:rPr>
          <w:rFonts w:ascii="Times-Roman" w:hAnsi="Times-Roman" w:cs="Times-Roman"/>
          <w:sz w:val="22"/>
          <w:szCs w:val="22"/>
          <w:lang w:eastAsia="pt-BR"/>
        </w:rPr>
        <w:t>”. Não obstante, “</w:t>
      </w:r>
      <w:r w:rsidR="006777E4" w:rsidRPr="00766D03">
        <w:rPr>
          <w:rFonts w:ascii="Times-Roman" w:hAnsi="Times-Roman" w:cs="Times-Roman"/>
          <w:i/>
          <w:sz w:val="22"/>
          <w:szCs w:val="22"/>
          <w:lang w:eastAsia="pt-BR"/>
        </w:rPr>
        <w:t>o art. 30, § 8º da Lei de Licitações consigna que a metodologia de execução dos serviços só poderá ser exigida no caso de obras grande vulto - acima de R$ 37,5 milhões - e de alta complexidade técnica</w:t>
      </w:r>
      <w:r w:rsidR="006777E4" w:rsidRPr="00766D03">
        <w:rPr>
          <w:rFonts w:ascii="Times-Roman" w:hAnsi="Times-Roman" w:cs="Times-Roman"/>
          <w:sz w:val="22"/>
          <w:szCs w:val="22"/>
          <w:lang w:eastAsia="pt-BR"/>
        </w:rPr>
        <w:t>”, o que não fora o caso. Por consequência, ainda para o relator, a declaração apresentada pelas licitantes inabilitadas atende</w:t>
      </w:r>
      <w:r w:rsidR="00766D03" w:rsidRPr="00766D03">
        <w:rPr>
          <w:rFonts w:ascii="Times-Roman" w:hAnsi="Times-Roman" w:cs="Times-Roman"/>
          <w:sz w:val="22"/>
          <w:szCs w:val="22"/>
          <w:lang w:eastAsia="pt-BR"/>
        </w:rPr>
        <w:t>ria</w:t>
      </w:r>
      <w:r w:rsidR="006777E4" w:rsidRPr="00766D03">
        <w:rPr>
          <w:rFonts w:ascii="Times-Roman" w:hAnsi="Times-Roman" w:cs="Times-Roman"/>
          <w:sz w:val="22"/>
          <w:szCs w:val="22"/>
          <w:lang w:eastAsia="pt-BR"/>
        </w:rPr>
        <w:t xml:space="preserve"> a exigência editalícia</w:t>
      </w:r>
      <w:r w:rsidR="00766D03" w:rsidRPr="00766D03">
        <w:rPr>
          <w:rFonts w:ascii="Times-Roman" w:hAnsi="Times-Roman" w:cs="Times-Roman"/>
          <w:sz w:val="22"/>
          <w:szCs w:val="22"/>
          <w:lang w:eastAsia="pt-BR"/>
        </w:rPr>
        <w:t>, dado que “</w:t>
      </w:r>
      <w:r w:rsidR="00766D03" w:rsidRPr="00766D03">
        <w:rPr>
          <w:rFonts w:ascii="Times-Roman" w:hAnsi="Times-Roman" w:cs="Times-Roman"/>
          <w:i/>
          <w:sz w:val="22"/>
          <w:szCs w:val="22"/>
          <w:lang w:eastAsia="pt-BR"/>
        </w:rPr>
        <w:t>a</w:t>
      </w:r>
      <w:r w:rsidR="006777E4" w:rsidRPr="00766D03">
        <w:rPr>
          <w:rFonts w:ascii="Times-Roman" w:hAnsi="Times-Roman" w:cs="Times-Roman"/>
          <w:i/>
          <w:sz w:val="22"/>
          <w:szCs w:val="22"/>
          <w:lang w:eastAsia="pt-BR"/>
        </w:rPr>
        <w:t xml:space="preserve"> afirmação de que cumprirão a norma, levada a termo da proposta, constitui garantia de execução que, em caso de descumprimento, poderá ser objeto de sanção, nos termos da lei</w:t>
      </w:r>
      <w:r w:rsidR="006777E4" w:rsidRPr="00766D03">
        <w:rPr>
          <w:rFonts w:ascii="Times-Roman" w:hAnsi="Times-Roman" w:cs="Times-Roman"/>
          <w:sz w:val="22"/>
          <w:szCs w:val="22"/>
          <w:lang w:eastAsia="pt-BR"/>
        </w:rPr>
        <w:t>”</w:t>
      </w:r>
      <w:r w:rsidR="00766D03" w:rsidRPr="00766D03">
        <w:rPr>
          <w:rFonts w:ascii="Times-Roman" w:hAnsi="Times-Roman" w:cs="Times-Roman"/>
          <w:sz w:val="22"/>
          <w:szCs w:val="22"/>
          <w:lang w:eastAsia="pt-BR"/>
        </w:rPr>
        <w:t>. Votou o relator, então, por que fosse</w:t>
      </w:r>
      <w:r w:rsidR="006C54BB">
        <w:rPr>
          <w:rFonts w:ascii="Times-Roman" w:hAnsi="Times-Roman" w:cs="Times-Roman"/>
          <w:sz w:val="22"/>
          <w:szCs w:val="22"/>
          <w:lang w:eastAsia="pt-BR"/>
        </w:rPr>
        <w:t>m</w:t>
      </w:r>
      <w:r w:rsidR="00766D03" w:rsidRPr="00766D03">
        <w:rPr>
          <w:rFonts w:ascii="Times-Roman" w:hAnsi="Times-Roman" w:cs="Times-Roman"/>
          <w:sz w:val="22"/>
          <w:szCs w:val="22"/>
          <w:lang w:eastAsia="pt-BR"/>
        </w:rPr>
        <w:t xml:space="preserve"> promovidas </w:t>
      </w:r>
      <w:r w:rsidR="005E2019">
        <w:rPr>
          <w:rFonts w:ascii="Times-Roman" w:hAnsi="Times-Roman" w:cs="Times-Roman"/>
          <w:sz w:val="22"/>
          <w:szCs w:val="22"/>
          <w:lang w:eastAsia="pt-BR"/>
        </w:rPr>
        <w:t>oitivas</w:t>
      </w:r>
      <w:r w:rsidR="00766D03" w:rsidRPr="00766D03">
        <w:rPr>
          <w:rFonts w:ascii="Times-Roman" w:hAnsi="Times-Roman" w:cs="Times-Roman"/>
          <w:sz w:val="22"/>
          <w:szCs w:val="22"/>
          <w:lang w:eastAsia="pt-BR"/>
        </w:rPr>
        <w:t xml:space="preserve"> das Secretarias Estaduais do Governo do Rio Grande do Norte responsáveis pela potencial irregularidade, sem prejuízo, de dar ciência a elas, ainda, da falta de amparo legal do item de habilitação questionado. O Plenário, nos termos do voto do relator, manifestou sua anuência. </w:t>
      </w:r>
      <w:r w:rsidRPr="00766D03">
        <w:rPr>
          <w:b/>
          <w:i/>
          <w:sz w:val="22"/>
          <w:szCs w:val="22"/>
        </w:rPr>
        <w:t>Acórdão n.º 1883/2011-Plenário, TC-011.664/2011-8, rel. Min. Raimundo Carreiro, 20.07.2011.</w:t>
      </w:r>
    </w:p>
    <w:p w:rsidR="00AA1D1B" w:rsidRPr="00766D03" w:rsidRDefault="00AA1D1B" w:rsidP="00733EB2">
      <w:pPr>
        <w:pStyle w:val="tita"/>
        <w:tabs>
          <w:tab w:val="left" w:pos="2590"/>
        </w:tabs>
        <w:spacing w:before="0" w:after="0" w:line="240" w:lineRule="auto"/>
        <w:jc w:val="both"/>
        <w:rPr>
          <w:i w:val="0"/>
          <w:iCs w:val="0"/>
          <w:sz w:val="22"/>
          <w:szCs w:val="22"/>
        </w:rPr>
      </w:pPr>
    </w:p>
    <w:p w:rsidR="00733EB2" w:rsidRPr="00733EB2" w:rsidRDefault="006D5843" w:rsidP="00766D03">
      <w:pPr>
        <w:pStyle w:val="TCU-RelVoto-1"/>
        <w:spacing w:after="0"/>
        <w:ind w:firstLine="0"/>
        <w:rPr>
          <w:b/>
          <w:sz w:val="22"/>
        </w:rPr>
      </w:pPr>
      <w:r>
        <w:rPr>
          <w:b/>
          <w:snapToGrid w:val="0"/>
          <w:sz w:val="22"/>
        </w:rPr>
        <w:t xml:space="preserve">Licitação de obra pública: 1 - </w:t>
      </w:r>
      <w:r w:rsidR="00733EB2" w:rsidRPr="00733EB2">
        <w:rPr>
          <w:b/>
          <w:snapToGrid w:val="0"/>
          <w:sz w:val="22"/>
        </w:rPr>
        <w:t>A exigência de comprovação de capacidade técnica-operacional deve se limitar estritamente às parcelas do objeto licitado de maior relevância técnica e de valor mais significativo</w:t>
      </w:r>
      <w:r w:rsidR="00733EB2" w:rsidRPr="00733EB2">
        <w:rPr>
          <w:b/>
          <w:sz w:val="22"/>
        </w:rPr>
        <w:t xml:space="preserve"> </w:t>
      </w:r>
    </w:p>
    <w:p w:rsidR="002A5A02" w:rsidRPr="00766D03" w:rsidRDefault="00F43960" w:rsidP="00766D03">
      <w:pPr>
        <w:pStyle w:val="TCU-RelVoto-1"/>
        <w:spacing w:after="0"/>
        <w:ind w:firstLine="0"/>
        <w:rPr>
          <w:b/>
          <w:i/>
          <w:sz w:val="22"/>
        </w:rPr>
      </w:pPr>
      <w:r w:rsidRPr="00766D03">
        <w:rPr>
          <w:sz w:val="22"/>
        </w:rPr>
        <w:t xml:space="preserve">Em auditoria realizada no Departamento Penitenciário Nacional – (Depen), na Caixa Econômica Federal – (CEF) e no Governo do Estado do Mato Grosso do Sul, com o objetivo </w:t>
      </w:r>
      <w:r w:rsidR="00733EB2">
        <w:rPr>
          <w:sz w:val="22"/>
        </w:rPr>
        <w:t xml:space="preserve">de </w:t>
      </w:r>
      <w:r w:rsidRPr="00766D03">
        <w:rPr>
          <w:sz w:val="22"/>
        </w:rPr>
        <w:t xml:space="preserve">verificar a conformidade da aplicação de recursos federais em obras públicas de reforma e ampliação do estabelecimento penal masculino de Corumbá/MS, o Tribunal detectou diversas irregularidades, dentre elas, </w:t>
      </w:r>
      <w:r w:rsidR="000438FC" w:rsidRPr="00766D03">
        <w:rPr>
          <w:sz w:val="22"/>
        </w:rPr>
        <w:t>a necessidade de c</w:t>
      </w:r>
      <w:r w:rsidR="000438FC" w:rsidRPr="00766D03">
        <w:rPr>
          <w:snapToGrid w:val="0"/>
          <w:sz w:val="22"/>
        </w:rPr>
        <w:t>omprovação, por parte das licitantes, da capacitação técnico-operacional, mediante apresentação de atestados, para item de pouca relevância técnica</w:t>
      </w:r>
      <w:r w:rsidRPr="00766D03">
        <w:rPr>
          <w:rFonts w:ascii="Times-Roman" w:hAnsi="Times-Roman" w:cs="Times-Roman"/>
          <w:sz w:val="22"/>
        </w:rPr>
        <w:t>.</w:t>
      </w:r>
      <w:r w:rsidR="000438FC" w:rsidRPr="00766D03">
        <w:rPr>
          <w:rFonts w:ascii="Times-Roman" w:hAnsi="Times-Roman" w:cs="Times-Roman"/>
          <w:sz w:val="22"/>
        </w:rPr>
        <w:t xml:space="preserve"> Para a unidade técnica responsável pelo feito, </w:t>
      </w:r>
      <w:r w:rsidR="000438FC" w:rsidRPr="00766D03">
        <w:rPr>
          <w:snapToGrid w:val="0"/>
          <w:sz w:val="22"/>
        </w:rPr>
        <w:t>“</w:t>
      </w:r>
      <w:r w:rsidR="000438FC" w:rsidRPr="00766D03">
        <w:rPr>
          <w:i/>
          <w:snapToGrid w:val="0"/>
          <w:sz w:val="22"/>
        </w:rPr>
        <w:t>a exigência de comprovação de capacidade técnica-operacional deve se limitar estritamente às parcelas do objeto licitado de maior relevância técnica e de valor mais significativo</w:t>
      </w:r>
      <w:r w:rsidR="000438FC" w:rsidRPr="00766D03">
        <w:rPr>
          <w:snapToGrid w:val="0"/>
          <w:sz w:val="22"/>
        </w:rPr>
        <w:t>”. No caso em exame, o edital da concorrência 30/2010-CLO exigir</w:t>
      </w:r>
      <w:r w:rsidR="00733EB2">
        <w:rPr>
          <w:snapToGrid w:val="0"/>
          <w:sz w:val="22"/>
        </w:rPr>
        <w:t>a</w:t>
      </w:r>
      <w:r w:rsidR="000438FC" w:rsidRPr="00766D03">
        <w:rPr>
          <w:snapToGrid w:val="0"/>
          <w:sz w:val="22"/>
        </w:rPr>
        <w:t xml:space="preserve"> atestado de capacidade técnica relativo ao item ‘cobertura com telha galvanizada trapezoidal’, que não apresentava qualquer relevância ou complexidade técnica com relação ao empreendimento que justificasse a exigência, já que não haveria necessidade de qualquer profissional ou eq</w:t>
      </w:r>
      <w:r w:rsidR="00733EB2">
        <w:rPr>
          <w:snapToGrid w:val="0"/>
          <w:sz w:val="22"/>
        </w:rPr>
        <w:t>uipamento especial, que não estivesse</w:t>
      </w:r>
      <w:r w:rsidR="000438FC" w:rsidRPr="00766D03">
        <w:rPr>
          <w:snapToGrid w:val="0"/>
          <w:sz w:val="22"/>
        </w:rPr>
        <w:t xml:space="preserve"> presente em grande parte das obras de engenharia. Além disso, </w:t>
      </w:r>
      <w:r w:rsidR="00A11259" w:rsidRPr="00766D03">
        <w:rPr>
          <w:snapToGrid w:val="0"/>
          <w:sz w:val="22"/>
        </w:rPr>
        <w:t>“</w:t>
      </w:r>
      <w:r w:rsidR="000438FC" w:rsidRPr="00766D03">
        <w:rPr>
          <w:i/>
          <w:snapToGrid w:val="0"/>
          <w:sz w:val="22"/>
        </w:rPr>
        <w:t>empresas construtoras que já executaram coberturas com telhas de fibrocimento, ou ainda com telhas cerâmicas, possuem plena capacidade técnica para construir telhados com telhas galvanizadas, não sendo razoável exigir um tipo de telhamento específico</w:t>
      </w:r>
      <w:r w:rsidR="00A11259" w:rsidRPr="00766D03">
        <w:rPr>
          <w:snapToGrid w:val="0"/>
          <w:sz w:val="22"/>
        </w:rPr>
        <w:t>”. Destacou a unidade técnica, ainda, que a discricionariedade dada à Administração para juízo de valor quanto ao que seria relevante, para fins de comprovação de capacidade técnica, não dispensaria razoabilidade na escolha dos itens</w:t>
      </w:r>
      <w:r w:rsidR="00733EB2">
        <w:rPr>
          <w:snapToGrid w:val="0"/>
          <w:sz w:val="22"/>
        </w:rPr>
        <w:t xml:space="preserve"> de referência</w:t>
      </w:r>
      <w:r w:rsidR="00A11259" w:rsidRPr="00766D03">
        <w:rPr>
          <w:snapToGrid w:val="0"/>
          <w:sz w:val="22"/>
        </w:rPr>
        <w:t xml:space="preserve">, pelo que a exigência, na espécie, deveria ser considerada indevida, o que foi acolhido pelo relator, o qual votou por que o Tribunal desse ciência da irregularidade ao Governo do Estado do Mato Grosso do sul, sem prejuízo de que fosse promovida a audiência do servidor responsável pelo fato, </w:t>
      </w:r>
      <w:r w:rsidR="00733EB2">
        <w:rPr>
          <w:snapToGrid w:val="0"/>
          <w:sz w:val="22"/>
        </w:rPr>
        <w:t>no que contou com a anuência do</w:t>
      </w:r>
      <w:r w:rsidR="00A11259" w:rsidRPr="00766D03">
        <w:rPr>
          <w:snapToGrid w:val="0"/>
          <w:sz w:val="22"/>
        </w:rPr>
        <w:t xml:space="preserve"> Plenário. </w:t>
      </w:r>
      <w:r w:rsidR="005E386D" w:rsidRPr="00766D03">
        <w:rPr>
          <w:b/>
          <w:i/>
          <w:sz w:val="22"/>
        </w:rPr>
        <w:t>Acórdão n.º 18</w:t>
      </w:r>
      <w:r w:rsidR="00247E76" w:rsidRPr="00766D03">
        <w:rPr>
          <w:b/>
          <w:i/>
          <w:sz w:val="22"/>
        </w:rPr>
        <w:t>98</w:t>
      </w:r>
      <w:r w:rsidR="005E386D" w:rsidRPr="00766D03">
        <w:rPr>
          <w:b/>
          <w:i/>
          <w:sz w:val="22"/>
        </w:rPr>
        <w:t>/2011-Plenário, TC-0</w:t>
      </w:r>
      <w:r w:rsidR="002A5A02" w:rsidRPr="00766D03">
        <w:rPr>
          <w:b/>
          <w:i/>
          <w:sz w:val="22"/>
        </w:rPr>
        <w:t>1</w:t>
      </w:r>
      <w:r w:rsidR="00247E76" w:rsidRPr="00766D03">
        <w:rPr>
          <w:b/>
          <w:i/>
          <w:sz w:val="22"/>
        </w:rPr>
        <w:t>1</w:t>
      </w:r>
      <w:r w:rsidR="002A5A02" w:rsidRPr="00766D03">
        <w:rPr>
          <w:b/>
          <w:i/>
          <w:sz w:val="22"/>
        </w:rPr>
        <w:t>.</w:t>
      </w:r>
      <w:r w:rsidR="00247E76" w:rsidRPr="00766D03">
        <w:rPr>
          <w:b/>
          <w:i/>
          <w:sz w:val="22"/>
        </w:rPr>
        <w:t>782</w:t>
      </w:r>
      <w:r w:rsidR="002A5A02" w:rsidRPr="00766D03">
        <w:rPr>
          <w:b/>
          <w:i/>
          <w:sz w:val="22"/>
        </w:rPr>
        <w:t>/20</w:t>
      </w:r>
      <w:r w:rsidR="005E386D" w:rsidRPr="00766D03">
        <w:rPr>
          <w:b/>
          <w:i/>
          <w:sz w:val="22"/>
        </w:rPr>
        <w:t>11</w:t>
      </w:r>
      <w:r w:rsidR="002A5A02" w:rsidRPr="00766D03">
        <w:rPr>
          <w:b/>
          <w:i/>
          <w:sz w:val="22"/>
        </w:rPr>
        <w:t>-</w:t>
      </w:r>
      <w:r w:rsidR="00247E76" w:rsidRPr="00766D03">
        <w:rPr>
          <w:b/>
          <w:i/>
          <w:sz w:val="22"/>
        </w:rPr>
        <w:t>0</w:t>
      </w:r>
      <w:r w:rsidR="002A5A02" w:rsidRPr="00766D03">
        <w:rPr>
          <w:b/>
          <w:i/>
          <w:sz w:val="22"/>
        </w:rPr>
        <w:t xml:space="preserve">, rel. Min. </w:t>
      </w:r>
      <w:r w:rsidR="005E386D" w:rsidRPr="00766D03">
        <w:rPr>
          <w:b/>
          <w:i/>
          <w:sz w:val="22"/>
        </w:rPr>
        <w:t>Raimundo Carreiro</w:t>
      </w:r>
      <w:r w:rsidR="002A5A02" w:rsidRPr="00766D03">
        <w:rPr>
          <w:b/>
          <w:i/>
          <w:sz w:val="22"/>
        </w:rPr>
        <w:t xml:space="preserve">, </w:t>
      </w:r>
      <w:r w:rsidR="00247E76" w:rsidRPr="00766D03">
        <w:rPr>
          <w:b/>
          <w:i/>
          <w:sz w:val="22"/>
        </w:rPr>
        <w:t>20</w:t>
      </w:r>
      <w:r w:rsidR="002A5A02" w:rsidRPr="00766D03">
        <w:rPr>
          <w:b/>
          <w:i/>
          <w:sz w:val="22"/>
        </w:rPr>
        <w:t>.0</w:t>
      </w:r>
      <w:r w:rsidR="005E386D" w:rsidRPr="00766D03">
        <w:rPr>
          <w:b/>
          <w:i/>
          <w:sz w:val="22"/>
        </w:rPr>
        <w:t>7</w:t>
      </w:r>
      <w:r w:rsidR="002A5A02" w:rsidRPr="00766D03">
        <w:rPr>
          <w:b/>
          <w:i/>
          <w:sz w:val="22"/>
        </w:rPr>
        <w:t>.2011.</w:t>
      </w:r>
    </w:p>
    <w:p w:rsidR="00056A5A" w:rsidRPr="00766D03" w:rsidRDefault="00056A5A" w:rsidP="00766D03">
      <w:pPr>
        <w:tabs>
          <w:tab w:val="left" w:pos="1134"/>
        </w:tabs>
        <w:spacing w:after="0"/>
        <w:ind w:left="0"/>
        <w:rPr>
          <w:b/>
          <w:color w:val="FF0000"/>
          <w:sz w:val="22"/>
          <w:szCs w:val="22"/>
        </w:rPr>
      </w:pPr>
    </w:p>
    <w:p w:rsidR="00A11259" w:rsidRPr="00766D03" w:rsidRDefault="006D5843" w:rsidP="00766D03">
      <w:pPr>
        <w:tabs>
          <w:tab w:val="left" w:pos="709"/>
        </w:tabs>
        <w:spacing w:after="0"/>
        <w:ind w:left="0"/>
        <w:rPr>
          <w:b/>
          <w:color w:val="FF0000"/>
          <w:sz w:val="22"/>
          <w:szCs w:val="22"/>
        </w:rPr>
      </w:pPr>
      <w:r>
        <w:rPr>
          <w:b/>
          <w:snapToGrid w:val="0"/>
          <w:sz w:val="22"/>
        </w:rPr>
        <w:t xml:space="preserve">Licitação de obra pública: 2 – É possível a apresentação de </w:t>
      </w:r>
      <w:r w:rsidRPr="006D5843">
        <w:rPr>
          <w:b/>
          <w:snapToGrid w:val="0"/>
          <w:sz w:val="22"/>
          <w:szCs w:val="22"/>
        </w:rPr>
        <w:t>contratos de prestação de serviço, para o fim de comprovação de vínculo profissional dos responsáveis técnicos com empresa participante da licitação</w:t>
      </w:r>
    </w:p>
    <w:p w:rsidR="00A11259" w:rsidRPr="00766D03" w:rsidRDefault="00A11259" w:rsidP="00766D03">
      <w:pPr>
        <w:pStyle w:val="TCU-Ac-item9-"/>
        <w:ind w:firstLine="0"/>
        <w:rPr>
          <w:b/>
          <w:i/>
          <w:sz w:val="22"/>
        </w:rPr>
      </w:pPr>
      <w:r w:rsidRPr="00766D03">
        <w:rPr>
          <w:sz w:val="22"/>
        </w:rPr>
        <w:t xml:space="preserve">Ainda na auditoria realizada no Departamento Penitenciário Nacional – (Depen), na Caixa Econômica Federal – (CEF) e no Governo do Estado do Mato Grosso do </w:t>
      </w:r>
      <w:r w:rsidR="00733EB2">
        <w:rPr>
          <w:sz w:val="22"/>
        </w:rPr>
        <w:t xml:space="preserve">Sul, </w:t>
      </w:r>
      <w:r w:rsidRPr="00766D03">
        <w:rPr>
          <w:sz w:val="22"/>
        </w:rPr>
        <w:t xml:space="preserve">com o objetivo verificar a conformidade da aplicação de recursos federais em obras públicas de reforma e ampliação do estabelecimento penal masculino de Corumbá/MS, outra irregularidade percebida pelo Tribunal fora </w:t>
      </w:r>
      <w:r w:rsidR="00AF01CB" w:rsidRPr="00766D03">
        <w:rPr>
          <w:snapToGrid w:val="0"/>
          <w:sz w:val="22"/>
        </w:rPr>
        <w:t>a não aceitação de contratos de prestação de serviço, para a comprovação de vínculo profissional dos responsáveis técnicos</w:t>
      </w:r>
      <w:r w:rsidR="00AB5586" w:rsidRPr="00766D03">
        <w:rPr>
          <w:snapToGrid w:val="0"/>
          <w:sz w:val="22"/>
        </w:rPr>
        <w:t xml:space="preserve">. A esse </w:t>
      </w:r>
      <w:r w:rsidR="00AF01CB" w:rsidRPr="00766D03">
        <w:rPr>
          <w:snapToGrid w:val="0"/>
          <w:sz w:val="22"/>
        </w:rPr>
        <w:t>respeito</w:t>
      </w:r>
      <w:r w:rsidR="00733EB2">
        <w:rPr>
          <w:snapToGrid w:val="0"/>
          <w:sz w:val="22"/>
        </w:rPr>
        <w:t xml:space="preserve"> a unidade técnica apontou que </w:t>
      </w:r>
      <w:r w:rsidR="00AF01CB" w:rsidRPr="00766D03">
        <w:rPr>
          <w:snapToGrid w:val="0"/>
          <w:sz w:val="22"/>
        </w:rPr>
        <w:t>tal fato poderia acabar por restringir o acesso de interessados ao certame, já que muitas empresas manteriam vínculo com seus profissionais de nível superior justamente por meio de contratos de prestação de serviços</w:t>
      </w:r>
      <w:r w:rsidR="006D5843">
        <w:rPr>
          <w:snapToGrid w:val="0"/>
          <w:sz w:val="22"/>
        </w:rPr>
        <w:t>.</w:t>
      </w:r>
      <w:r w:rsidR="00AF01CB" w:rsidRPr="00766D03">
        <w:rPr>
          <w:snapToGrid w:val="0"/>
          <w:sz w:val="22"/>
        </w:rPr>
        <w:t xml:space="preserve"> </w:t>
      </w:r>
      <w:r w:rsidR="006D5843">
        <w:rPr>
          <w:snapToGrid w:val="0"/>
          <w:sz w:val="22"/>
        </w:rPr>
        <w:t>N</w:t>
      </w:r>
      <w:r w:rsidR="00AF01CB" w:rsidRPr="00766D03">
        <w:rPr>
          <w:snapToGrid w:val="0"/>
          <w:sz w:val="22"/>
        </w:rPr>
        <w:t>ão seria plausível</w:t>
      </w:r>
      <w:r w:rsidR="006D5843">
        <w:rPr>
          <w:snapToGrid w:val="0"/>
          <w:sz w:val="22"/>
        </w:rPr>
        <w:t xml:space="preserve"> a restrição, portanto</w:t>
      </w:r>
      <w:r w:rsidR="00AF01CB" w:rsidRPr="00766D03">
        <w:rPr>
          <w:snapToGrid w:val="0"/>
          <w:sz w:val="22"/>
        </w:rPr>
        <w:t>, pois o importante seria que “</w:t>
      </w:r>
      <w:r w:rsidR="00AF01CB" w:rsidRPr="00766D03">
        <w:rPr>
          <w:i/>
          <w:snapToGrid w:val="0"/>
          <w:sz w:val="22"/>
        </w:rPr>
        <w:t>o profissional esteja em condições de desempenhar seus trabalhos de forma efetiva no momento da execução contratual. Sendo assim, o contrato de prestação de serviços regido pela legislação civil comum se revela suficiente para a Administração Pública</w:t>
      </w:r>
      <w:r w:rsidR="006D5843">
        <w:rPr>
          <w:snapToGrid w:val="0"/>
          <w:sz w:val="22"/>
        </w:rPr>
        <w:t xml:space="preserve">”. Ao acolher as considerações, o </w:t>
      </w:r>
      <w:r w:rsidRPr="00766D03">
        <w:rPr>
          <w:snapToGrid w:val="0"/>
          <w:sz w:val="22"/>
        </w:rPr>
        <w:t>relator votou por que o Tribunal desse ciência da irregularidade ao Governo do Estado do Mato Grosso do sul, sem prejuízo de que fosse promovida a audiência do servidor responsável pelo fato, o que foi aprovado pelo Plenário</w:t>
      </w:r>
      <w:r w:rsidR="00AF01CB" w:rsidRPr="00766D03">
        <w:rPr>
          <w:snapToGrid w:val="0"/>
          <w:sz w:val="22"/>
        </w:rPr>
        <w:t>. Precedentes citados: Acórdãos n</w:t>
      </w:r>
      <w:r w:rsidR="00AF01CB" w:rsidRPr="00766D03">
        <w:rPr>
          <w:snapToGrid w:val="0"/>
          <w:sz w:val="22"/>
          <w:u w:val="single"/>
          <w:vertAlign w:val="superscript"/>
        </w:rPr>
        <w:t>os</w:t>
      </w:r>
      <w:r w:rsidR="00AF01CB" w:rsidRPr="00766D03">
        <w:rPr>
          <w:snapToGrid w:val="0"/>
          <w:sz w:val="22"/>
        </w:rPr>
        <w:t xml:space="preserve"> 381/2009 e 73/2010, do Plenário</w:t>
      </w:r>
      <w:r w:rsidRPr="00766D03">
        <w:rPr>
          <w:snapToGrid w:val="0"/>
          <w:sz w:val="22"/>
        </w:rPr>
        <w:t xml:space="preserve">. </w:t>
      </w:r>
      <w:r w:rsidRPr="00766D03">
        <w:rPr>
          <w:b/>
          <w:i/>
          <w:sz w:val="22"/>
        </w:rPr>
        <w:t>Acórdão n.º 1898/2011-Plenário, TC-011.782/2011-0, rel. Min. Raimundo Carreiro, 20.07.2011.</w:t>
      </w:r>
    </w:p>
    <w:p w:rsidR="003B4936" w:rsidRPr="002B1AD6" w:rsidRDefault="003B4936" w:rsidP="00B154B5">
      <w:pPr>
        <w:spacing w:after="0"/>
        <w:ind w:left="0"/>
        <w:rPr>
          <w:b/>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805659">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805659">
            <w:pPr>
              <w:pStyle w:val="enter-3pt"/>
              <w:tabs>
                <w:tab w:val="left" w:pos="2590"/>
              </w:tabs>
              <w:spacing w:line="240" w:lineRule="auto"/>
              <w:jc w:val="center"/>
              <w:rPr>
                <w:b/>
                <w:i/>
                <w:sz w:val="22"/>
                <w:szCs w:val="22"/>
              </w:rPr>
            </w:pPr>
            <w:r w:rsidRPr="002E6712">
              <w:rPr>
                <w:b/>
                <w:i/>
                <w:sz w:val="18"/>
                <w:szCs w:val="18"/>
              </w:rPr>
              <w:t xml:space="preserve">Contato: </w:t>
            </w:r>
            <w:hyperlink r:id="rId7" w:history="1">
              <w:r w:rsidRPr="002E6712">
                <w:rPr>
                  <w:rStyle w:val="Hyperlink"/>
                  <w:b/>
                  <w:i/>
                  <w:color w:val="auto"/>
                  <w:sz w:val="18"/>
                  <w:szCs w:val="18"/>
                </w:rPr>
                <w:t>infojuris@tcu.gov.br</w:t>
              </w:r>
            </w:hyperlink>
          </w:p>
        </w:tc>
      </w:tr>
    </w:tbl>
    <w:p w:rsidR="007334B1" w:rsidRPr="00805659" w:rsidRDefault="007334B1" w:rsidP="00805659">
      <w:pPr>
        <w:pStyle w:val="enter-3pt"/>
        <w:tabs>
          <w:tab w:val="left" w:pos="2590"/>
        </w:tabs>
        <w:spacing w:line="240" w:lineRule="auto"/>
        <w:jc w:val="center"/>
        <w:rPr>
          <w:b/>
          <w:color w:val="FF0000"/>
          <w:sz w:val="22"/>
          <w:szCs w:val="22"/>
        </w:rPr>
      </w:pPr>
    </w:p>
    <w:sectPr w:rsidR="007334B1" w:rsidRPr="00805659" w:rsidSect="00F340CD">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EE" w:rsidRDefault="008B2AEE" w:rsidP="008B0547">
      <w:pPr>
        <w:spacing w:after="0"/>
      </w:pPr>
      <w:r>
        <w:separator/>
      </w:r>
    </w:p>
  </w:endnote>
  <w:endnote w:type="continuationSeparator" w:id="0">
    <w:p w:rsidR="008B2AEE" w:rsidRDefault="008B2AEE"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0D0FC7">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EE" w:rsidRDefault="008B2AEE" w:rsidP="008B0547">
      <w:pPr>
        <w:spacing w:after="0"/>
      </w:pPr>
      <w:r>
        <w:separator/>
      </w:r>
    </w:p>
  </w:footnote>
  <w:footnote w:type="continuationSeparator" w:id="0">
    <w:p w:rsidR="008B2AEE" w:rsidRDefault="008B2AEE"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8F40A9"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8F40A9"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428F"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837D13">
      <w:rPr>
        <w:rFonts w:ascii="Arial" w:hAnsi="Arial" w:cs="Arial"/>
        <w:noProof/>
        <w:lang w:eastAsia="pt-BR"/>
      </w:rPr>
      <w:t>7</w:t>
    </w:r>
    <w:r w:rsidR="00952B9C">
      <w:rPr>
        <w:rFonts w:ascii="Arial" w:hAnsi="Arial" w:cs="Arial"/>
        <w:noProof/>
        <w:lang w:eastAsia="pt-BR"/>
      </w:rPr>
      <w:t>2</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6">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8"/>
  </w:num>
  <w:num w:numId="3">
    <w:abstractNumId w:val="8"/>
  </w:num>
  <w:num w:numId="4">
    <w:abstractNumId w:val="0"/>
  </w:num>
  <w:num w:numId="5">
    <w:abstractNumId w:val="10"/>
  </w:num>
  <w:num w:numId="6">
    <w:abstractNumId w:val="17"/>
  </w:num>
  <w:num w:numId="7">
    <w:abstractNumId w:val="24"/>
  </w:num>
  <w:num w:numId="8">
    <w:abstractNumId w:val="22"/>
  </w:num>
  <w:num w:numId="9">
    <w:abstractNumId w:val="19"/>
  </w:num>
  <w:num w:numId="10">
    <w:abstractNumId w:val="6"/>
  </w:num>
  <w:num w:numId="11">
    <w:abstractNumId w:val="26"/>
  </w:num>
  <w:num w:numId="12">
    <w:abstractNumId w:val="4"/>
  </w:num>
  <w:num w:numId="13">
    <w:abstractNumId w:val="16"/>
  </w:num>
  <w:num w:numId="14">
    <w:abstractNumId w:val="23"/>
  </w:num>
  <w:num w:numId="15">
    <w:abstractNumId w:val="14"/>
  </w:num>
  <w:num w:numId="16">
    <w:abstractNumId w:val="2"/>
  </w:num>
  <w:num w:numId="17">
    <w:abstractNumId w:val="12"/>
  </w:num>
  <w:num w:numId="18">
    <w:abstractNumId w:val="25"/>
    <w:lvlOverride w:ilvl="0">
      <w:startOverride w:val="1"/>
    </w:lvlOverride>
  </w:num>
  <w:num w:numId="19">
    <w:abstractNumId w:val="20"/>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2A3"/>
    <w:rsid w:val="000118CC"/>
    <w:rsid w:val="00011D5A"/>
    <w:rsid w:val="00012468"/>
    <w:rsid w:val="0001636D"/>
    <w:rsid w:val="00020C27"/>
    <w:rsid w:val="00020C75"/>
    <w:rsid w:val="00023D72"/>
    <w:rsid w:val="000253D1"/>
    <w:rsid w:val="00025450"/>
    <w:rsid w:val="000271FA"/>
    <w:rsid w:val="00032198"/>
    <w:rsid w:val="00033551"/>
    <w:rsid w:val="00037DCE"/>
    <w:rsid w:val="00041450"/>
    <w:rsid w:val="000438FC"/>
    <w:rsid w:val="000460E4"/>
    <w:rsid w:val="0004660A"/>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5E95"/>
    <w:rsid w:val="00070785"/>
    <w:rsid w:val="0007259B"/>
    <w:rsid w:val="00074384"/>
    <w:rsid w:val="00074AC5"/>
    <w:rsid w:val="00077A56"/>
    <w:rsid w:val="00080148"/>
    <w:rsid w:val="000835D8"/>
    <w:rsid w:val="00084282"/>
    <w:rsid w:val="00084727"/>
    <w:rsid w:val="00086A39"/>
    <w:rsid w:val="00087006"/>
    <w:rsid w:val="0009133A"/>
    <w:rsid w:val="000916AF"/>
    <w:rsid w:val="00092C2E"/>
    <w:rsid w:val="00094C5B"/>
    <w:rsid w:val="00095D98"/>
    <w:rsid w:val="0009748C"/>
    <w:rsid w:val="00097863"/>
    <w:rsid w:val="00097BF6"/>
    <w:rsid w:val="000A0EF8"/>
    <w:rsid w:val="000A152A"/>
    <w:rsid w:val="000A1EBD"/>
    <w:rsid w:val="000A2C56"/>
    <w:rsid w:val="000A47EA"/>
    <w:rsid w:val="000A6269"/>
    <w:rsid w:val="000A62BD"/>
    <w:rsid w:val="000B0ECB"/>
    <w:rsid w:val="000B0FEA"/>
    <w:rsid w:val="000B2AFA"/>
    <w:rsid w:val="000B639F"/>
    <w:rsid w:val="000B6BC1"/>
    <w:rsid w:val="000C02AD"/>
    <w:rsid w:val="000C4A10"/>
    <w:rsid w:val="000D0FC7"/>
    <w:rsid w:val="000D1878"/>
    <w:rsid w:val="000D1B91"/>
    <w:rsid w:val="000D1EF5"/>
    <w:rsid w:val="000D1FD7"/>
    <w:rsid w:val="000D6418"/>
    <w:rsid w:val="000D7DB6"/>
    <w:rsid w:val="000D7DED"/>
    <w:rsid w:val="000E020F"/>
    <w:rsid w:val="000E12F7"/>
    <w:rsid w:val="000E2D47"/>
    <w:rsid w:val="000E3B31"/>
    <w:rsid w:val="000E504D"/>
    <w:rsid w:val="000E7FD4"/>
    <w:rsid w:val="000F2133"/>
    <w:rsid w:val="000F2F92"/>
    <w:rsid w:val="000F6D85"/>
    <w:rsid w:val="000F7CEE"/>
    <w:rsid w:val="000F7D84"/>
    <w:rsid w:val="00102D37"/>
    <w:rsid w:val="001041ED"/>
    <w:rsid w:val="001104BA"/>
    <w:rsid w:val="00112676"/>
    <w:rsid w:val="00112A5F"/>
    <w:rsid w:val="0011373A"/>
    <w:rsid w:val="00114511"/>
    <w:rsid w:val="00116BAB"/>
    <w:rsid w:val="00125F9A"/>
    <w:rsid w:val="00126026"/>
    <w:rsid w:val="00130A0C"/>
    <w:rsid w:val="00133EA9"/>
    <w:rsid w:val="00137B22"/>
    <w:rsid w:val="00140FED"/>
    <w:rsid w:val="00141D7A"/>
    <w:rsid w:val="001420D1"/>
    <w:rsid w:val="00142C16"/>
    <w:rsid w:val="001444A2"/>
    <w:rsid w:val="00151F92"/>
    <w:rsid w:val="0015258E"/>
    <w:rsid w:val="00152ECC"/>
    <w:rsid w:val="001532E4"/>
    <w:rsid w:val="00156A48"/>
    <w:rsid w:val="00156DDB"/>
    <w:rsid w:val="00157614"/>
    <w:rsid w:val="00157AFE"/>
    <w:rsid w:val="00157C0F"/>
    <w:rsid w:val="00171E89"/>
    <w:rsid w:val="001737F7"/>
    <w:rsid w:val="001744E7"/>
    <w:rsid w:val="00176375"/>
    <w:rsid w:val="001766A9"/>
    <w:rsid w:val="00181339"/>
    <w:rsid w:val="00195F77"/>
    <w:rsid w:val="001A0CC1"/>
    <w:rsid w:val="001A330B"/>
    <w:rsid w:val="001A58D8"/>
    <w:rsid w:val="001A60A2"/>
    <w:rsid w:val="001A79D3"/>
    <w:rsid w:val="001B3E8E"/>
    <w:rsid w:val="001B4F90"/>
    <w:rsid w:val="001B6823"/>
    <w:rsid w:val="001B7F4F"/>
    <w:rsid w:val="001C0575"/>
    <w:rsid w:val="001C1568"/>
    <w:rsid w:val="001C437E"/>
    <w:rsid w:val="001C71E3"/>
    <w:rsid w:val="001D03C7"/>
    <w:rsid w:val="001D1478"/>
    <w:rsid w:val="001D1E52"/>
    <w:rsid w:val="001D56C3"/>
    <w:rsid w:val="001D74CE"/>
    <w:rsid w:val="001E0BF1"/>
    <w:rsid w:val="001E1E28"/>
    <w:rsid w:val="001E2620"/>
    <w:rsid w:val="001E4147"/>
    <w:rsid w:val="001E7019"/>
    <w:rsid w:val="001E71F9"/>
    <w:rsid w:val="001E747D"/>
    <w:rsid w:val="001E7C3D"/>
    <w:rsid w:val="001F00DF"/>
    <w:rsid w:val="001F1E8F"/>
    <w:rsid w:val="00200260"/>
    <w:rsid w:val="002002CE"/>
    <w:rsid w:val="0020066F"/>
    <w:rsid w:val="0020107A"/>
    <w:rsid w:val="0020135D"/>
    <w:rsid w:val="00201FED"/>
    <w:rsid w:val="00202EAD"/>
    <w:rsid w:val="00203A6F"/>
    <w:rsid w:val="00211816"/>
    <w:rsid w:val="00217B1B"/>
    <w:rsid w:val="00225D42"/>
    <w:rsid w:val="00226AEF"/>
    <w:rsid w:val="00226D9D"/>
    <w:rsid w:val="00227776"/>
    <w:rsid w:val="00232158"/>
    <w:rsid w:val="002328F9"/>
    <w:rsid w:val="0023395B"/>
    <w:rsid w:val="00233CE3"/>
    <w:rsid w:val="002343BF"/>
    <w:rsid w:val="0023535F"/>
    <w:rsid w:val="00236F05"/>
    <w:rsid w:val="002415A6"/>
    <w:rsid w:val="00242061"/>
    <w:rsid w:val="002435FC"/>
    <w:rsid w:val="002442D9"/>
    <w:rsid w:val="00244BA7"/>
    <w:rsid w:val="0024593F"/>
    <w:rsid w:val="002476B6"/>
    <w:rsid w:val="00247E76"/>
    <w:rsid w:val="00253242"/>
    <w:rsid w:val="00254590"/>
    <w:rsid w:val="00257D8A"/>
    <w:rsid w:val="00261488"/>
    <w:rsid w:val="00262359"/>
    <w:rsid w:val="0026362E"/>
    <w:rsid w:val="002639CA"/>
    <w:rsid w:val="002649A7"/>
    <w:rsid w:val="00264FC3"/>
    <w:rsid w:val="002663B7"/>
    <w:rsid w:val="002666C5"/>
    <w:rsid w:val="00271CD7"/>
    <w:rsid w:val="00271D81"/>
    <w:rsid w:val="0027213F"/>
    <w:rsid w:val="00273E72"/>
    <w:rsid w:val="00274068"/>
    <w:rsid w:val="0027498E"/>
    <w:rsid w:val="0027686D"/>
    <w:rsid w:val="00276DC0"/>
    <w:rsid w:val="00277F47"/>
    <w:rsid w:val="00280F3D"/>
    <w:rsid w:val="002810D9"/>
    <w:rsid w:val="00281830"/>
    <w:rsid w:val="002830F6"/>
    <w:rsid w:val="00287326"/>
    <w:rsid w:val="0029043B"/>
    <w:rsid w:val="00290A06"/>
    <w:rsid w:val="0029211E"/>
    <w:rsid w:val="0029450E"/>
    <w:rsid w:val="00297A00"/>
    <w:rsid w:val="002A040F"/>
    <w:rsid w:val="002A190F"/>
    <w:rsid w:val="002A2129"/>
    <w:rsid w:val="002A3796"/>
    <w:rsid w:val="002A3B3F"/>
    <w:rsid w:val="002A5A02"/>
    <w:rsid w:val="002A6CE6"/>
    <w:rsid w:val="002B059A"/>
    <w:rsid w:val="002B1AD6"/>
    <w:rsid w:val="002B409B"/>
    <w:rsid w:val="002B4392"/>
    <w:rsid w:val="002B56C3"/>
    <w:rsid w:val="002B5AD5"/>
    <w:rsid w:val="002B5C5A"/>
    <w:rsid w:val="002B6422"/>
    <w:rsid w:val="002B71BA"/>
    <w:rsid w:val="002C208E"/>
    <w:rsid w:val="002C506F"/>
    <w:rsid w:val="002C7B61"/>
    <w:rsid w:val="002C7B6D"/>
    <w:rsid w:val="002D155C"/>
    <w:rsid w:val="002D1637"/>
    <w:rsid w:val="002D1688"/>
    <w:rsid w:val="002D1B69"/>
    <w:rsid w:val="002D1BA5"/>
    <w:rsid w:val="002D35F5"/>
    <w:rsid w:val="002D47FE"/>
    <w:rsid w:val="002D532D"/>
    <w:rsid w:val="002D739A"/>
    <w:rsid w:val="002D76AB"/>
    <w:rsid w:val="002D786D"/>
    <w:rsid w:val="002E1545"/>
    <w:rsid w:val="002E1910"/>
    <w:rsid w:val="002E28BA"/>
    <w:rsid w:val="002E361C"/>
    <w:rsid w:val="002E3943"/>
    <w:rsid w:val="002E3F7C"/>
    <w:rsid w:val="002E4254"/>
    <w:rsid w:val="002E4F13"/>
    <w:rsid w:val="002E4FB7"/>
    <w:rsid w:val="002E6712"/>
    <w:rsid w:val="002F104B"/>
    <w:rsid w:val="002F1C09"/>
    <w:rsid w:val="002F4696"/>
    <w:rsid w:val="002F5F3B"/>
    <w:rsid w:val="002F693C"/>
    <w:rsid w:val="002F7C6D"/>
    <w:rsid w:val="003020F4"/>
    <w:rsid w:val="003025C7"/>
    <w:rsid w:val="0030360F"/>
    <w:rsid w:val="00303790"/>
    <w:rsid w:val="00303984"/>
    <w:rsid w:val="00304A73"/>
    <w:rsid w:val="003057F7"/>
    <w:rsid w:val="00306864"/>
    <w:rsid w:val="003069F9"/>
    <w:rsid w:val="00310208"/>
    <w:rsid w:val="0031058F"/>
    <w:rsid w:val="0031089E"/>
    <w:rsid w:val="00310D69"/>
    <w:rsid w:val="003147B7"/>
    <w:rsid w:val="003149A9"/>
    <w:rsid w:val="0031528D"/>
    <w:rsid w:val="00317E59"/>
    <w:rsid w:val="00320465"/>
    <w:rsid w:val="00322AE7"/>
    <w:rsid w:val="003237A3"/>
    <w:rsid w:val="00325246"/>
    <w:rsid w:val="003275E4"/>
    <w:rsid w:val="00330069"/>
    <w:rsid w:val="00330144"/>
    <w:rsid w:val="0033244F"/>
    <w:rsid w:val="00337E16"/>
    <w:rsid w:val="00340E66"/>
    <w:rsid w:val="00340F10"/>
    <w:rsid w:val="00341D56"/>
    <w:rsid w:val="00342A44"/>
    <w:rsid w:val="0034486B"/>
    <w:rsid w:val="00344D92"/>
    <w:rsid w:val="003455A2"/>
    <w:rsid w:val="00345BD4"/>
    <w:rsid w:val="00350E87"/>
    <w:rsid w:val="00353B7C"/>
    <w:rsid w:val="0035438E"/>
    <w:rsid w:val="00355828"/>
    <w:rsid w:val="00356E38"/>
    <w:rsid w:val="00357CBE"/>
    <w:rsid w:val="00361487"/>
    <w:rsid w:val="00361661"/>
    <w:rsid w:val="00370BC7"/>
    <w:rsid w:val="00372E83"/>
    <w:rsid w:val="00375080"/>
    <w:rsid w:val="00377407"/>
    <w:rsid w:val="00381780"/>
    <w:rsid w:val="003824E4"/>
    <w:rsid w:val="00383CFE"/>
    <w:rsid w:val="003853FF"/>
    <w:rsid w:val="00385609"/>
    <w:rsid w:val="00385DAB"/>
    <w:rsid w:val="0038696B"/>
    <w:rsid w:val="00387CBD"/>
    <w:rsid w:val="003900C7"/>
    <w:rsid w:val="0039039F"/>
    <w:rsid w:val="00390ED6"/>
    <w:rsid w:val="00391B5C"/>
    <w:rsid w:val="00392509"/>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36"/>
    <w:rsid w:val="003C39E6"/>
    <w:rsid w:val="003C6DEB"/>
    <w:rsid w:val="003C6F1B"/>
    <w:rsid w:val="003C7585"/>
    <w:rsid w:val="003C7A5C"/>
    <w:rsid w:val="003D660C"/>
    <w:rsid w:val="003D73BD"/>
    <w:rsid w:val="003D7CCE"/>
    <w:rsid w:val="003E0D8C"/>
    <w:rsid w:val="003E154A"/>
    <w:rsid w:val="003E1B68"/>
    <w:rsid w:val="003E65D7"/>
    <w:rsid w:val="003F1CE1"/>
    <w:rsid w:val="003F413A"/>
    <w:rsid w:val="003F54FB"/>
    <w:rsid w:val="003F6D1F"/>
    <w:rsid w:val="00405316"/>
    <w:rsid w:val="0041153E"/>
    <w:rsid w:val="00412CEF"/>
    <w:rsid w:val="004141A8"/>
    <w:rsid w:val="004169D8"/>
    <w:rsid w:val="004201AF"/>
    <w:rsid w:val="00425FF9"/>
    <w:rsid w:val="00427B3B"/>
    <w:rsid w:val="00427EBF"/>
    <w:rsid w:val="00431085"/>
    <w:rsid w:val="00435269"/>
    <w:rsid w:val="004362AB"/>
    <w:rsid w:val="00441101"/>
    <w:rsid w:val="004415FB"/>
    <w:rsid w:val="00441CE3"/>
    <w:rsid w:val="004421F5"/>
    <w:rsid w:val="0044434A"/>
    <w:rsid w:val="0044437F"/>
    <w:rsid w:val="00445E76"/>
    <w:rsid w:val="00446606"/>
    <w:rsid w:val="004471BC"/>
    <w:rsid w:val="00447217"/>
    <w:rsid w:val="00451471"/>
    <w:rsid w:val="00452C60"/>
    <w:rsid w:val="00457F93"/>
    <w:rsid w:val="004617A9"/>
    <w:rsid w:val="0046384E"/>
    <w:rsid w:val="00464CF4"/>
    <w:rsid w:val="00466E73"/>
    <w:rsid w:val="0046706B"/>
    <w:rsid w:val="00467815"/>
    <w:rsid w:val="00471284"/>
    <w:rsid w:val="00472FB0"/>
    <w:rsid w:val="00473696"/>
    <w:rsid w:val="00473721"/>
    <w:rsid w:val="0047491E"/>
    <w:rsid w:val="004836D8"/>
    <w:rsid w:val="004837C6"/>
    <w:rsid w:val="00483998"/>
    <w:rsid w:val="00484E4C"/>
    <w:rsid w:val="004878ED"/>
    <w:rsid w:val="00491438"/>
    <w:rsid w:val="00492E3F"/>
    <w:rsid w:val="00493F5C"/>
    <w:rsid w:val="00495DB3"/>
    <w:rsid w:val="004A171B"/>
    <w:rsid w:val="004A2385"/>
    <w:rsid w:val="004A2D91"/>
    <w:rsid w:val="004A3B95"/>
    <w:rsid w:val="004A7912"/>
    <w:rsid w:val="004B0194"/>
    <w:rsid w:val="004B1113"/>
    <w:rsid w:val="004B1DC3"/>
    <w:rsid w:val="004B36AE"/>
    <w:rsid w:val="004C61A3"/>
    <w:rsid w:val="004C6E03"/>
    <w:rsid w:val="004C780C"/>
    <w:rsid w:val="004D03BA"/>
    <w:rsid w:val="004D3441"/>
    <w:rsid w:val="004D6A38"/>
    <w:rsid w:val="004D6C65"/>
    <w:rsid w:val="004D708E"/>
    <w:rsid w:val="004D760C"/>
    <w:rsid w:val="004D7C91"/>
    <w:rsid w:val="004E26E4"/>
    <w:rsid w:val="004E357A"/>
    <w:rsid w:val="004E3861"/>
    <w:rsid w:val="004E5000"/>
    <w:rsid w:val="004E65EB"/>
    <w:rsid w:val="004F3D4A"/>
    <w:rsid w:val="004F7174"/>
    <w:rsid w:val="004F7E98"/>
    <w:rsid w:val="00500DD0"/>
    <w:rsid w:val="005012AA"/>
    <w:rsid w:val="005012CF"/>
    <w:rsid w:val="0050355D"/>
    <w:rsid w:val="005055B5"/>
    <w:rsid w:val="00506619"/>
    <w:rsid w:val="00510D1D"/>
    <w:rsid w:val="00511BBF"/>
    <w:rsid w:val="00515E7B"/>
    <w:rsid w:val="005217F8"/>
    <w:rsid w:val="0052267A"/>
    <w:rsid w:val="005239DD"/>
    <w:rsid w:val="00523CA1"/>
    <w:rsid w:val="005266F4"/>
    <w:rsid w:val="0052675C"/>
    <w:rsid w:val="005303B5"/>
    <w:rsid w:val="00531143"/>
    <w:rsid w:val="005340EA"/>
    <w:rsid w:val="00534A44"/>
    <w:rsid w:val="00536332"/>
    <w:rsid w:val="00542821"/>
    <w:rsid w:val="00543514"/>
    <w:rsid w:val="005438A1"/>
    <w:rsid w:val="00543B81"/>
    <w:rsid w:val="00543EB8"/>
    <w:rsid w:val="00543F41"/>
    <w:rsid w:val="00544550"/>
    <w:rsid w:val="00544FCF"/>
    <w:rsid w:val="005450DC"/>
    <w:rsid w:val="00545A47"/>
    <w:rsid w:val="00545FC7"/>
    <w:rsid w:val="0054634E"/>
    <w:rsid w:val="00546B67"/>
    <w:rsid w:val="00554A33"/>
    <w:rsid w:val="0055716D"/>
    <w:rsid w:val="005571A6"/>
    <w:rsid w:val="00557953"/>
    <w:rsid w:val="00560E55"/>
    <w:rsid w:val="00562E8F"/>
    <w:rsid w:val="0056301A"/>
    <w:rsid w:val="005635AD"/>
    <w:rsid w:val="005640E1"/>
    <w:rsid w:val="00564EA1"/>
    <w:rsid w:val="0056534C"/>
    <w:rsid w:val="00567CEE"/>
    <w:rsid w:val="005713F4"/>
    <w:rsid w:val="00571E64"/>
    <w:rsid w:val="00573D3B"/>
    <w:rsid w:val="00575CC3"/>
    <w:rsid w:val="00576018"/>
    <w:rsid w:val="00580F26"/>
    <w:rsid w:val="00581A7C"/>
    <w:rsid w:val="0058427E"/>
    <w:rsid w:val="005864FA"/>
    <w:rsid w:val="00590750"/>
    <w:rsid w:val="00590907"/>
    <w:rsid w:val="0059346F"/>
    <w:rsid w:val="00594A7B"/>
    <w:rsid w:val="005A2D82"/>
    <w:rsid w:val="005A3835"/>
    <w:rsid w:val="005A3AEC"/>
    <w:rsid w:val="005A6858"/>
    <w:rsid w:val="005A72F2"/>
    <w:rsid w:val="005B2194"/>
    <w:rsid w:val="005B2BC3"/>
    <w:rsid w:val="005B4CFA"/>
    <w:rsid w:val="005B5B3D"/>
    <w:rsid w:val="005B7112"/>
    <w:rsid w:val="005B7166"/>
    <w:rsid w:val="005C18EE"/>
    <w:rsid w:val="005C1A79"/>
    <w:rsid w:val="005C7644"/>
    <w:rsid w:val="005C7BF4"/>
    <w:rsid w:val="005D2B0F"/>
    <w:rsid w:val="005D3352"/>
    <w:rsid w:val="005E12DD"/>
    <w:rsid w:val="005E2019"/>
    <w:rsid w:val="005E269C"/>
    <w:rsid w:val="005E3586"/>
    <w:rsid w:val="005E386D"/>
    <w:rsid w:val="005E3EC0"/>
    <w:rsid w:val="005E4DEE"/>
    <w:rsid w:val="005E5FF1"/>
    <w:rsid w:val="005F01CE"/>
    <w:rsid w:val="005F135B"/>
    <w:rsid w:val="005F4E54"/>
    <w:rsid w:val="005F70B6"/>
    <w:rsid w:val="005F7A87"/>
    <w:rsid w:val="006017DF"/>
    <w:rsid w:val="00601F0A"/>
    <w:rsid w:val="00604DBE"/>
    <w:rsid w:val="006063E1"/>
    <w:rsid w:val="006065E4"/>
    <w:rsid w:val="00606F56"/>
    <w:rsid w:val="00610039"/>
    <w:rsid w:val="00610381"/>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7FDD"/>
    <w:rsid w:val="00641E57"/>
    <w:rsid w:val="006503A5"/>
    <w:rsid w:val="00650463"/>
    <w:rsid w:val="00651660"/>
    <w:rsid w:val="00652171"/>
    <w:rsid w:val="006532C3"/>
    <w:rsid w:val="00661BD2"/>
    <w:rsid w:val="00666285"/>
    <w:rsid w:val="00670FEA"/>
    <w:rsid w:val="00671DC9"/>
    <w:rsid w:val="0067252D"/>
    <w:rsid w:val="006734AA"/>
    <w:rsid w:val="006734B3"/>
    <w:rsid w:val="0067353C"/>
    <w:rsid w:val="00676163"/>
    <w:rsid w:val="006764C4"/>
    <w:rsid w:val="006777E4"/>
    <w:rsid w:val="00677C22"/>
    <w:rsid w:val="006808CC"/>
    <w:rsid w:val="00685899"/>
    <w:rsid w:val="00692D30"/>
    <w:rsid w:val="00695597"/>
    <w:rsid w:val="00696A89"/>
    <w:rsid w:val="00696F75"/>
    <w:rsid w:val="00697477"/>
    <w:rsid w:val="006A037E"/>
    <w:rsid w:val="006A2019"/>
    <w:rsid w:val="006A21CC"/>
    <w:rsid w:val="006A3D41"/>
    <w:rsid w:val="006A7796"/>
    <w:rsid w:val="006B0495"/>
    <w:rsid w:val="006B0DCB"/>
    <w:rsid w:val="006B2408"/>
    <w:rsid w:val="006B3AF9"/>
    <w:rsid w:val="006B414C"/>
    <w:rsid w:val="006B4B0F"/>
    <w:rsid w:val="006C32CF"/>
    <w:rsid w:val="006C335E"/>
    <w:rsid w:val="006C3A1F"/>
    <w:rsid w:val="006C54BB"/>
    <w:rsid w:val="006C5C6C"/>
    <w:rsid w:val="006C7DE0"/>
    <w:rsid w:val="006D3DC7"/>
    <w:rsid w:val="006D4245"/>
    <w:rsid w:val="006D5843"/>
    <w:rsid w:val="006E0A93"/>
    <w:rsid w:val="006E4064"/>
    <w:rsid w:val="006E58EA"/>
    <w:rsid w:val="006F0036"/>
    <w:rsid w:val="006F2F67"/>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57A0"/>
    <w:rsid w:val="007174DA"/>
    <w:rsid w:val="00720910"/>
    <w:rsid w:val="00720F29"/>
    <w:rsid w:val="007224C2"/>
    <w:rsid w:val="00731409"/>
    <w:rsid w:val="007334B1"/>
    <w:rsid w:val="007339F3"/>
    <w:rsid w:val="00733EB2"/>
    <w:rsid w:val="00737FEC"/>
    <w:rsid w:val="00740292"/>
    <w:rsid w:val="00742B07"/>
    <w:rsid w:val="0075064C"/>
    <w:rsid w:val="00755956"/>
    <w:rsid w:val="00756AA0"/>
    <w:rsid w:val="00757CE6"/>
    <w:rsid w:val="00763097"/>
    <w:rsid w:val="00764CB0"/>
    <w:rsid w:val="007666D8"/>
    <w:rsid w:val="00766D03"/>
    <w:rsid w:val="007671B6"/>
    <w:rsid w:val="007671DA"/>
    <w:rsid w:val="00767C28"/>
    <w:rsid w:val="00770C72"/>
    <w:rsid w:val="007719A8"/>
    <w:rsid w:val="00773CAE"/>
    <w:rsid w:val="00774593"/>
    <w:rsid w:val="00776EDA"/>
    <w:rsid w:val="00777599"/>
    <w:rsid w:val="00785646"/>
    <w:rsid w:val="00785CF8"/>
    <w:rsid w:val="00796068"/>
    <w:rsid w:val="00796CC0"/>
    <w:rsid w:val="00796CF1"/>
    <w:rsid w:val="007979EA"/>
    <w:rsid w:val="007A1A35"/>
    <w:rsid w:val="007A2166"/>
    <w:rsid w:val="007A2B7F"/>
    <w:rsid w:val="007A5922"/>
    <w:rsid w:val="007B1ABA"/>
    <w:rsid w:val="007B259B"/>
    <w:rsid w:val="007B3F28"/>
    <w:rsid w:val="007B5018"/>
    <w:rsid w:val="007B65B3"/>
    <w:rsid w:val="007C08AB"/>
    <w:rsid w:val="007C4E99"/>
    <w:rsid w:val="007C5151"/>
    <w:rsid w:val="007C546B"/>
    <w:rsid w:val="007C670D"/>
    <w:rsid w:val="007C7359"/>
    <w:rsid w:val="007D0ED0"/>
    <w:rsid w:val="007D1F01"/>
    <w:rsid w:val="007D3E0E"/>
    <w:rsid w:val="007D48CF"/>
    <w:rsid w:val="007D4A4A"/>
    <w:rsid w:val="007E0E05"/>
    <w:rsid w:val="007E1DD3"/>
    <w:rsid w:val="007E209F"/>
    <w:rsid w:val="007E2878"/>
    <w:rsid w:val="007E4655"/>
    <w:rsid w:val="007E55E0"/>
    <w:rsid w:val="007E5C50"/>
    <w:rsid w:val="007F0546"/>
    <w:rsid w:val="007F1DEB"/>
    <w:rsid w:val="007F22A5"/>
    <w:rsid w:val="007F421D"/>
    <w:rsid w:val="007F5688"/>
    <w:rsid w:val="0080038A"/>
    <w:rsid w:val="0080065F"/>
    <w:rsid w:val="008051DE"/>
    <w:rsid w:val="00805659"/>
    <w:rsid w:val="0080733E"/>
    <w:rsid w:val="00810CC2"/>
    <w:rsid w:val="0081324B"/>
    <w:rsid w:val="0081440E"/>
    <w:rsid w:val="00816193"/>
    <w:rsid w:val="008165E4"/>
    <w:rsid w:val="00821300"/>
    <w:rsid w:val="008234BD"/>
    <w:rsid w:val="00824A8C"/>
    <w:rsid w:val="00825155"/>
    <w:rsid w:val="00825EB9"/>
    <w:rsid w:val="008303E2"/>
    <w:rsid w:val="00833A8F"/>
    <w:rsid w:val="008341F8"/>
    <w:rsid w:val="008359F3"/>
    <w:rsid w:val="00835DB6"/>
    <w:rsid w:val="00836AC2"/>
    <w:rsid w:val="00837D13"/>
    <w:rsid w:val="008406D5"/>
    <w:rsid w:val="00843BED"/>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A10"/>
    <w:rsid w:val="008652C9"/>
    <w:rsid w:val="00866992"/>
    <w:rsid w:val="00866CA9"/>
    <w:rsid w:val="00867E32"/>
    <w:rsid w:val="00872942"/>
    <w:rsid w:val="00875991"/>
    <w:rsid w:val="00875BB5"/>
    <w:rsid w:val="008771B6"/>
    <w:rsid w:val="00877FDD"/>
    <w:rsid w:val="00880FED"/>
    <w:rsid w:val="0088186D"/>
    <w:rsid w:val="008841C8"/>
    <w:rsid w:val="00885367"/>
    <w:rsid w:val="008855A4"/>
    <w:rsid w:val="00887082"/>
    <w:rsid w:val="00887DC7"/>
    <w:rsid w:val="00891FCC"/>
    <w:rsid w:val="00892BB8"/>
    <w:rsid w:val="00893014"/>
    <w:rsid w:val="0089513A"/>
    <w:rsid w:val="00896755"/>
    <w:rsid w:val="008A2417"/>
    <w:rsid w:val="008A5D49"/>
    <w:rsid w:val="008A751E"/>
    <w:rsid w:val="008A756C"/>
    <w:rsid w:val="008B0547"/>
    <w:rsid w:val="008B11A3"/>
    <w:rsid w:val="008B1FE5"/>
    <w:rsid w:val="008B2AD7"/>
    <w:rsid w:val="008B2AEE"/>
    <w:rsid w:val="008B3A74"/>
    <w:rsid w:val="008B3D72"/>
    <w:rsid w:val="008B434A"/>
    <w:rsid w:val="008B5DA7"/>
    <w:rsid w:val="008B7B55"/>
    <w:rsid w:val="008C3A5B"/>
    <w:rsid w:val="008C3D50"/>
    <w:rsid w:val="008C5B71"/>
    <w:rsid w:val="008D2382"/>
    <w:rsid w:val="008D2C2B"/>
    <w:rsid w:val="008D3521"/>
    <w:rsid w:val="008D5667"/>
    <w:rsid w:val="008D6F5D"/>
    <w:rsid w:val="008E003A"/>
    <w:rsid w:val="008E15E3"/>
    <w:rsid w:val="008E2045"/>
    <w:rsid w:val="008E4C62"/>
    <w:rsid w:val="008E727E"/>
    <w:rsid w:val="008F2902"/>
    <w:rsid w:val="008F40A9"/>
    <w:rsid w:val="008F4593"/>
    <w:rsid w:val="008F660B"/>
    <w:rsid w:val="009005CE"/>
    <w:rsid w:val="00901376"/>
    <w:rsid w:val="0090188B"/>
    <w:rsid w:val="009021A4"/>
    <w:rsid w:val="00904305"/>
    <w:rsid w:val="00904EC5"/>
    <w:rsid w:val="00914B48"/>
    <w:rsid w:val="0091511B"/>
    <w:rsid w:val="00917B6F"/>
    <w:rsid w:val="009239AA"/>
    <w:rsid w:val="009245B5"/>
    <w:rsid w:val="00925EF2"/>
    <w:rsid w:val="00935C40"/>
    <w:rsid w:val="00935F4D"/>
    <w:rsid w:val="0093795C"/>
    <w:rsid w:val="00937DCB"/>
    <w:rsid w:val="00937F7E"/>
    <w:rsid w:val="009440DE"/>
    <w:rsid w:val="009444E6"/>
    <w:rsid w:val="00944A8E"/>
    <w:rsid w:val="009455E6"/>
    <w:rsid w:val="0094589B"/>
    <w:rsid w:val="009509C0"/>
    <w:rsid w:val="00952B9C"/>
    <w:rsid w:val="00953B70"/>
    <w:rsid w:val="00956BA7"/>
    <w:rsid w:val="00956FD8"/>
    <w:rsid w:val="009575F7"/>
    <w:rsid w:val="00957E4B"/>
    <w:rsid w:val="0096021A"/>
    <w:rsid w:val="00960F73"/>
    <w:rsid w:val="009642CA"/>
    <w:rsid w:val="009652B6"/>
    <w:rsid w:val="0096655D"/>
    <w:rsid w:val="00971139"/>
    <w:rsid w:val="00972B10"/>
    <w:rsid w:val="0097401F"/>
    <w:rsid w:val="00981FA0"/>
    <w:rsid w:val="0098263A"/>
    <w:rsid w:val="00983541"/>
    <w:rsid w:val="00984366"/>
    <w:rsid w:val="00984E80"/>
    <w:rsid w:val="0098690F"/>
    <w:rsid w:val="00987EE5"/>
    <w:rsid w:val="00991CD8"/>
    <w:rsid w:val="00991EBE"/>
    <w:rsid w:val="00993C2E"/>
    <w:rsid w:val="00997C8A"/>
    <w:rsid w:val="009A1339"/>
    <w:rsid w:val="009A1A95"/>
    <w:rsid w:val="009A3006"/>
    <w:rsid w:val="009A3994"/>
    <w:rsid w:val="009B2FB9"/>
    <w:rsid w:val="009B5D6F"/>
    <w:rsid w:val="009B62AF"/>
    <w:rsid w:val="009B7AB9"/>
    <w:rsid w:val="009C4B6D"/>
    <w:rsid w:val="009D0928"/>
    <w:rsid w:val="009D1B99"/>
    <w:rsid w:val="009D2884"/>
    <w:rsid w:val="009D5393"/>
    <w:rsid w:val="009D5445"/>
    <w:rsid w:val="009D565F"/>
    <w:rsid w:val="009D65B9"/>
    <w:rsid w:val="009D70EE"/>
    <w:rsid w:val="009E04DC"/>
    <w:rsid w:val="009E0FB3"/>
    <w:rsid w:val="009E3B5A"/>
    <w:rsid w:val="009E5105"/>
    <w:rsid w:val="009E59A1"/>
    <w:rsid w:val="009E66EE"/>
    <w:rsid w:val="009F4326"/>
    <w:rsid w:val="009F7FA6"/>
    <w:rsid w:val="00A0082F"/>
    <w:rsid w:val="00A0244C"/>
    <w:rsid w:val="00A033FF"/>
    <w:rsid w:val="00A0409E"/>
    <w:rsid w:val="00A06137"/>
    <w:rsid w:val="00A063FE"/>
    <w:rsid w:val="00A06EDB"/>
    <w:rsid w:val="00A07ACC"/>
    <w:rsid w:val="00A11259"/>
    <w:rsid w:val="00A1329C"/>
    <w:rsid w:val="00A14E25"/>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52DA1"/>
    <w:rsid w:val="00A5757E"/>
    <w:rsid w:val="00A60F52"/>
    <w:rsid w:val="00A61DFE"/>
    <w:rsid w:val="00A62AA8"/>
    <w:rsid w:val="00A63B4C"/>
    <w:rsid w:val="00A6526F"/>
    <w:rsid w:val="00A664E7"/>
    <w:rsid w:val="00A66E7F"/>
    <w:rsid w:val="00A67917"/>
    <w:rsid w:val="00A70904"/>
    <w:rsid w:val="00A709BB"/>
    <w:rsid w:val="00A75C52"/>
    <w:rsid w:val="00A767B2"/>
    <w:rsid w:val="00A81B11"/>
    <w:rsid w:val="00A82B9E"/>
    <w:rsid w:val="00A84186"/>
    <w:rsid w:val="00A846F1"/>
    <w:rsid w:val="00A857B4"/>
    <w:rsid w:val="00A85B14"/>
    <w:rsid w:val="00A875C0"/>
    <w:rsid w:val="00A87C15"/>
    <w:rsid w:val="00A92706"/>
    <w:rsid w:val="00A9704A"/>
    <w:rsid w:val="00A97AD0"/>
    <w:rsid w:val="00AA1377"/>
    <w:rsid w:val="00AA1D1B"/>
    <w:rsid w:val="00AA49AF"/>
    <w:rsid w:val="00AA4F2F"/>
    <w:rsid w:val="00AA57CE"/>
    <w:rsid w:val="00AA7540"/>
    <w:rsid w:val="00AB3E6B"/>
    <w:rsid w:val="00AB51C8"/>
    <w:rsid w:val="00AB5586"/>
    <w:rsid w:val="00AB7B25"/>
    <w:rsid w:val="00AC0BAE"/>
    <w:rsid w:val="00AC126F"/>
    <w:rsid w:val="00AC3256"/>
    <w:rsid w:val="00AC4B34"/>
    <w:rsid w:val="00AC737D"/>
    <w:rsid w:val="00AD05A6"/>
    <w:rsid w:val="00AD283D"/>
    <w:rsid w:val="00AE05EA"/>
    <w:rsid w:val="00AE0EDF"/>
    <w:rsid w:val="00AE1128"/>
    <w:rsid w:val="00AE1AB0"/>
    <w:rsid w:val="00AE2609"/>
    <w:rsid w:val="00AE29A8"/>
    <w:rsid w:val="00AE439A"/>
    <w:rsid w:val="00AE591D"/>
    <w:rsid w:val="00AE617A"/>
    <w:rsid w:val="00AE713F"/>
    <w:rsid w:val="00AF01CB"/>
    <w:rsid w:val="00AF09C7"/>
    <w:rsid w:val="00AF4BF4"/>
    <w:rsid w:val="00B0025D"/>
    <w:rsid w:val="00B006D8"/>
    <w:rsid w:val="00B02238"/>
    <w:rsid w:val="00B03D35"/>
    <w:rsid w:val="00B05065"/>
    <w:rsid w:val="00B05194"/>
    <w:rsid w:val="00B06B45"/>
    <w:rsid w:val="00B06D33"/>
    <w:rsid w:val="00B074B3"/>
    <w:rsid w:val="00B10AD8"/>
    <w:rsid w:val="00B154B5"/>
    <w:rsid w:val="00B17303"/>
    <w:rsid w:val="00B21343"/>
    <w:rsid w:val="00B219AA"/>
    <w:rsid w:val="00B21A5B"/>
    <w:rsid w:val="00B25143"/>
    <w:rsid w:val="00B2585D"/>
    <w:rsid w:val="00B266FA"/>
    <w:rsid w:val="00B26C40"/>
    <w:rsid w:val="00B26D82"/>
    <w:rsid w:val="00B27359"/>
    <w:rsid w:val="00B33FC2"/>
    <w:rsid w:val="00B347F1"/>
    <w:rsid w:val="00B34A99"/>
    <w:rsid w:val="00B3502B"/>
    <w:rsid w:val="00B35755"/>
    <w:rsid w:val="00B35774"/>
    <w:rsid w:val="00B3599F"/>
    <w:rsid w:val="00B35C3E"/>
    <w:rsid w:val="00B36473"/>
    <w:rsid w:val="00B40BEA"/>
    <w:rsid w:val="00B41D9D"/>
    <w:rsid w:val="00B44029"/>
    <w:rsid w:val="00B44FFA"/>
    <w:rsid w:val="00B45428"/>
    <w:rsid w:val="00B47943"/>
    <w:rsid w:val="00B50446"/>
    <w:rsid w:val="00B50A6E"/>
    <w:rsid w:val="00B512D2"/>
    <w:rsid w:val="00B527BF"/>
    <w:rsid w:val="00B530FD"/>
    <w:rsid w:val="00B53C03"/>
    <w:rsid w:val="00B53C9C"/>
    <w:rsid w:val="00B558FE"/>
    <w:rsid w:val="00B56396"/>
    <w:rsid w:val="00B5639B"/>
    <w:rsid w:val="00B60C3E"/>
    <w:rsid w:val="00B615CB"/>
    <w:rsid w:val="00B63E30"/>
    <w:rsid w:val="00B645FA"/>
    <w:rsid w:val="00B64775"/>
    <w:rsid w:val="00B663CD"/>
    <w:rsid w:val="00B67B4F"/>
    <w:rsid w:val="00B81718"/>
    <w:rsid w:val="00B86AF6"/>
    <w:rsid w:val="00B86E2A"/>
    <w:rsid w:val="00B877AA"/>
    <w:rsid w:val="00B9389E"/>
    <w:rsid w:val="00B94EB5"/>
    <w:rsid w:val="00B96EA4"/>
    <w:rsid w:val="00B97282"/>
    <w:rsid w:val="00B97A3E"/>
    <w:rsid w:val="00BA2F02"/>
    <w:rsid w:val="00BA2FFD"/>
    <w:rsid w:val="00BA428A"/>
    <w:rsid w:val="00BA58B6"/>
    <w:rsid w:val="00BA62AD"/>
    <w:rsid w:val="00BB0267"/>
    <w:rsid w:val="00BB078B"/>
    <w:rsid w:val="00BB37AF"/>
    <w:rsid w:val="00BB4769"/>
    <w:rsid w:val="00BB4C08"/>
    <w:rsid w:val="00BB61BE"/>
    <w:rsid w:val="00BB779D"/>
    <w:rsid w:val="00BC1DBD"/>
    <w:rsid w:val="00BC5737"/>
    <w:rsid w:val="00BD1747"/>
    <w:rsid w:val="00BD3C68"/>
    <w:rsid w:val="00BD421D"/>
    <w:rsid w:val="00BD6B87"/>
    <w:rsid w:val="00BD73FC"/>
    <w:rsid w:val="00BD79B1"/>
    <w:rsid w:val="00BE04D9"/>
    <w:rsid w:val="00BE4614"/>
    <w:rsid w:val="00BE4E6F"/>
    <w:rsid w:val="00BE5100"/>
    <w:rsid w:val="00BE529D"/>
    <w:rsid w:val="00BE53DD"/>
    <w:rsid w:val="00BE573E"/>
    <w:rsid w:val="00BE6637"/>
    <w:rsid w:val="00BF10E8"/>
    <w:rsid w:val="00BF2033"/>
    <w:rsid w:val="00BF3158"/>
    <w:rsid w:val="00BF3169"/>
    <w:rsid w:val="00BF51B7"/>
    <w:rsid w:val="00C00953"/>
    <w:rsid w:val="00C03312"/>
    <w:rsid w:val="00C039A5"/>
    <w:rsid w:val="00C03A04"/>
    <w:rsid w:val="00C046F7"/>
    <w:rsid w:val="00C064FE"/>
    <w:rsid w:val="00C06EA1"/>
    <w:rsid w:val="00C10C0B"/>
    <w:rsid w:val="00C10DD5"/>
    <w:rsid w:val="00C11F76"/>
    <w:rsid w:val="00C15A27"/>
    <w:rsid w:val="00C15FEF"/>
    <w:rsid w:val="00C1776A"/>
    <w:rsid w:val="00C20301"/>
    <w:rsid w:val="00C22519"/>
    <w:rsid w:val="00C2305C"/>
    <w:rsid w:val="00C233D0"/>
    <w:rsid w:val="00C2380D"/>
    <w:rsid w:val="00C24162"/>
    <w:rsid w:val="00C24E78"/>
    <w:rsid w:val="00C2509D"/>
    <w:rsid w:val="00C27A2E"/>
    <w:rsid w:val="00C34ABD"/>
    <w:rsid w:val="00C353CF"/>
    <w:rsid w:val="00C35F43"/>
    <w:rsid w:val="00C37088"/>
    <w:rsid w:val="00C3715E"/>
    <w:rsid w:val="00C408D5"/>
    <w:rsid w:val="00C41D3C"/>
    <w:rsid w:val="00C43801"/>
    <w:rsid w:val="00C44A07"/>
    <w:rsid w:val="00C44BDC"/>
    <w:rsid w:val="00C45BFB"/>
    <w:rsid w:val="00C45DCE"/>
    <w:rsid w:val="00C46D15"/>
    <w:rsid w:val="00C50C7D"/>
    <w:rsid w:val="00C50FF9"/>
    <w:rsid w:val="00C54B14"/>
    <w:rsid w:val="00C6352A"/>
    <w:rsid w:val="00C65B2D"/>
    <w:rsid w:val="00C65C5D"/>
    <w:rsid w:val="00C6656A"/>
    <w:rsid w:val="00C66C03"/>
    <w:rsid w:val="00C711E5"/>
    <w:rsid w:val="00C730CB"/>
    <w:rsid w:val="00C731FC"/>
    <w:rsid w:val="00C73782"/>
    <w:rsid w:val="00C80D90"/>
    <w:rsid w:val="00C81B05"/>
    <w:rsid w:val="00C83AEE"/>
    <w:rsid w:val="00C85531"/>
    <w:rsid w:val="00C85563"/>
    <w:rsid w:val="00C85AC7"/>
    <w:rsid w:val="00C85B0B"/>
    <w:rsid w:val="00C87F13"/>
    <w:rsid w:val="00C9045E"/>
    <w:rsid w:val="00C906CD"/>
    <w:rsid w:val="00C9133D"/>
    <w:rsid w:val="00C934E0"/>
    <w:rsid w:val="00C96454"/>
    <w:rsid w:val="00CA0FB8"/>
    <w:rsid w:val="00CA15F3"/>
    <w:rsid w:val="00CA2680"/>
    <w:rsid w:val="00CA4D23"/>
    <w:rsid w:val="00CA6716"/>
    <w:rsid w:val="00CB036A"/>
    <w:rsid w:val="00CB0D34"/>
    <w:rsid w:val="00CB79F7"/>
    <w:rsid w:val="00CC1939"/>
    <w:rsid w:val="00CC42D4"/>
    <w:rsid w:val="00CC64E3"/>
    <w:rsid w:val="00CC7712"/>
    <w:rsid w:val="00CD179A"/>
    <w:rsid w:val="00CD2536"/>
    <w:rsid w:val="00CD407F"/>
    <w:rsid w:val="00CD5740"/>
    <w:rsid w:val="00CD7420"/>
    <w:rsid w:val="00CE0BA7"/>
    <w:rsid w:val="00CE6ACB"/>
    <w:rsid w:val="00CE6D09"/>
    <w:rsid w:val="00CF0E4D"/>
    <w:rsid w:val="00CF230D"/>
    <w:rsid w:val="00CF5489"/>
    <w:rsid w:val="00CF7615"/>
    <w:rsid w:val="00CF7823"/>
    <w:rsid w:val="00D003F8"/>
    <w:rsid w:val="00D01AFE"/>
    <w:rsid w:val="00D02757"/>
    <w:rsid w:val="00D02FB7"/>
    <w:rsid w:val="00D04613"/>
    <w:rsid w:val="00D05C77"/>
    <w:rsid w:val="00D10769"/>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41C9"/>
    <w:rsid w:val="00D343CB"/>
    <w:rsid w:val="00D3447D"/>
    <w:rsid w:val="00D3488B"/>
    <w:rsid w:val="00D361DE"/>
    <w:rsid w:val="00D37427"/>
    <w:rsid w:val="00D3793E"/>
    <w:rsid w:val="00D37FB2"/>
    <w:rsid w:val="00D41A6A"/>
    <w:rsid w:val="00D4233A"/>
    <w:rsid w:val="00D44B3D"/>
    <w:rsid w:val="00D46C4C"/>
    <w:rsid w:val="00D51F18"/>
    <w:rsid w:val="00D53537"/>
    <w:rsid w:val="00D54E9E"/>
    <w:rsid w:val="00D551C8"/>
    <w:rsid w:val="00D55972"/>
    <w:rsid w:val="00D564BB"/>
    <w:rsid w:val="00D565FA"/>
    <w:rsid w:val="00D568ED"/>
    <w:rsid w:val="00D6014E"/>
    <w:rsid w:val="00D630E7"/>
    <w:rsid w:val="00D700E5"/>
    <w:rsid w:val="00D70900"/>
    <w:rsid w:val="00D71B77"/>
    <w:rsid w:val="00D74A87"/>
    <w:rsid w:val="00D76186"/>
    <w:rsid w:val="00D771E9"/>
    <w:rsid w:val="00D86DD4"/>
    <w:rsid w:val="00D92529"/>
    <w:rsid w:val="00DA1613"/>
    <w:rsid w:val="00DA5AAB"/>
    <w:rsid w:val="00DA671A"/>
    <w:rsid w:val="00DA6858"/>
    <w:rsid w:val="00DB1CD7"/>
    <w:rsid w:val="00DB2651"/>
    <w:rsid w:val="00DB30B1"/>
    <w:rsid w:val="00DB3ECD"/>
    <w:rsid w:val="00DB4717"/>
    <w:rsid w:val="00DC12C8"/>
    <w:rsid w:val="00DC6F31"/>
    <w:rsid w:val="00DC7FFD"/>
    <w:rsid w:val="00DD1B11"/>
    <w:rsid w:val="00DD6D82"/>
    <w:rsid w:val="00DE045E"/>
    <w:rsid w:val="00DE1240"/>
    <w:rsid w:val="00DE1AA5"/>
    <w:rsid w:val="00DE231A"/>
    <w:rsid w:val="00DE23D6"/>
    <w:rsid w:val="00DE2CB6"/>
    <w:rsid w:val="00DE2DDE"/>
    <w:rsid w:val="00DE395F"/>
    <w:rsid w:val="00DE5414"/>
    <w:rsid w:val="00DF0C37"/>
    <w:rsid w:val="00DF24FD"/>
    <w:rsid w:val="00DF2506"/>
    <w:rsid w:val="00DF2F26"/>
    <w:rsid w:val="00DF301A"/>
    <w:rsid w:val="00DF3469"/>
    <w:rsid w:val="00DF3BE2"/>
    <w:rsid w:val="00DF4E2C"/>
    <w:rsid w:val="00DF4E34"/>
    <w:rsid w:val="00DF75EC"/>
    <w:rsid w:val="00E0133D"/>
    <w:rsid w:val="00E019ED"/>
    <w:rsid w:val="00E02392"/>
    <w:rsid w:val="00E0312F"/>
    <w:rsid w:val="00E04C48"/>
    <w:rsid w:val="00E06065"/>
    <w:rsid w:val="00E079C6"/>
    <w:rsid w:val="00E1273C"/>
    <w:rsid w:val="00E1434A"/>
    <w:rsid w:val="00E146CF"/>
    <w:rsid w:val="00E14BED"/>
    <w:rsid w:val="00E17711"/>
    <w:rsid w:val="00E23C05"/>
    <w:rsid w:val="00E2425F"/>
    <w:rsid w:val="00E242F0"/>
    <w:rsid w:val="00E245B0"/>
    <w:rsid w:val="00E247E2"/>
    <w:rsid w:val="00E304EB"/>
    <w:rsid w:val="00E329D0"/>
    <w:rsid w:val="00E33746"/>
    <w:rsid w:val="00E342B3"/>
    <w:rsid w:val="00E3451F"/>
    <w:rsid w:val="00E34B80"/>
    <w:rsid w:val="00E36ADF"/>
    <w:rsid w:val="00E36B53"/>
    <w:rsid w:val="00E37585"/>
    <w:rsid w:val="00E41B64"/>
    <w:rsid w:val="00E42C35"/>
    <w:rsid w:val="00E469D5"/>
    <w:rsid w:val="00E46CD5"/>
    <w:rsid w:val="00E500D9"/>
    <w:rsid w:val="00E51AB5"/>
    <w:rsid w:val="00E52345"/>
    <w:rsid w:val="00E52763"/>
    <w:rsid w:val="00E563AE"/>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7045"/>
    <w:rsid w:val="00E97DA3"/>
    <w:rsid w:val="00EA270C"/>
    <w:rsid w:val="00EA5CB5"/>
    <w:rsid w:val="00EA5CF4"/>
    <w:rsid w:val="00EB09B9"/>
    <w:rsid w:val="00EB76F7"/>
    <w:rsid w:val="00EB7CB1"/>
    <w:rsid w:val="00EC0569"/>
    <w:rsid w:val="00EC0C7B"/>
    <w:rsid w:val="00EC1C35"/>
    <w:rsid w:val="00EC5E45"/>
    <w:rsid w:val="00ED0557"/>
    <w:rsid w:val="00ED0CF0"/>
    <w:rsid w:val="00ED34D4"/>
    <w:rsid w:val="00ED3D84"/>
    <w:rsid w:val="00ED766C"/>
    <w:rsid w:val="00ED76FB"/>
    <w:rsid w:val="00EE05C2"/>
    <w:rsid w:val="00EE0D01"/>
    <w:rsid w:val="00EE30EE"/>
    <w:rsid w:val="00EE3C6D"/>
    <w:rsid w:val="00EE4C6E"/>
    <w:rsid w:val="00EE5135"/>
    <w:rsid w:val="00EE61BE"/>
    <w:rsid w:val="00EE6DE6"/>
    <w:rsid w:val="00EF057C"/>
    <w:rsid w:val="00EF1D14"/>
    <w:rsid w:val="00EF4FEE"/>
    <w:rsid w:val="00EF6873"/>
    <w:rsid w:val="00EF6F24"/>
    <w:rsid w:val="00F0080B"/>
    <w:rsid w:val="00F00BE1"/>
    <w:rsid w:val="00F01B31"/>
    <w:rsid w:val="00F03AB9"/>
    <w:rsid w:val="00F06479"/>
    <w:rsid w:val="00F076C5"/>
    <w:rsid w:val="00F120D9"/>
    <w:rsid w:val="00F124BE"/>
    <w:rsid w:val="00F125DE"/>
    <w:rsid w:val="00F24232"/>
    <w:rsid w:val="00F2526C"/>
    <w:rsid w:val="00F27170"/>
    <w:rsid w:val="00F30016"/>
    <w:rsid w:val="00F3144A"/>
    <w:rsid w:val="00F31C75"/>
    <w:rsid w:val="00F32543"/>
    <w:rsid w:val="00F33277"/>
    <w:rsid w:val="00F340CD"/>
    <w:rsid w:val="00F341CC"/>
    <w:rsid w:val="00F36B6C"/>
    <w:rsid w:val="00F36D10"/>
    <w:rsid w:val="00F40CAB"/>
    <w:rsid w:val="00F43960"/>
    <w:rsid w:val="00F47C5C"/>
    <w:rsid w:val="00F54856"/>
    <w:rsid w:val="00F57650"/>
    <w:rsid w:val="00F579FC"/>
    <w:rsid w:val="00F60C74"/>
    <w:rsid w:val="00F62773"/>
    <w:rsid w:val="00F64F51"/>
    <w:rsid w:val="00F66122"/>
    <w:rsid w:val="00F666FD"/>
    <w:rsid w:val="00F67A35"/>
    <w:rsid w:val="00F759AD"/>
    <w:rsid w:val="00F765E8"/>
    <w:rsid w:val="00F8200C"/>
    <w:rsid w:val="00F85D77"/>
    <w:rsid w:val="00F86D88"/>
    <w:rsid w:val="00F87FA7"/>
    <w:rsid w:val="00F90898"/>
    <w:rsid w:val="00F914C8"/>
    <w:rsid w:val="00F9473C"/>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D08A7"/>
    <w:rsid w:val="00FD1295"/>
    <w:rsid w:val="00FD2E55"/>
    <w:rsid w:val="00FD2FA9"/>
    <w:rsid w:val="00FD3572"/>
    <w:rsid w:val="00FD54CC"/>
    <w:rsid w:val="00FE06A2"/>
    <w:rsid w:val="00FE0CE6"/>
    <w:rsid w:val="00FE28C8"/>
    <w:rsid w:val="00FE79EF"/>
    <w:rsid w:val="00FF025A"/>
    <w:rsid w:val="00FF088B"/>
    <w:rsid w:val="00FF0AC4"/>
    <w:rsid w:val="00FF10AF"/>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47E4E0-CA2B-4CF7-9F08-AFE46DA8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2382</Words>
  <Characters>12867</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15219</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2011-02-04T20:41:00Z</cp:lastPrinted>
  <dcterms:created xsi:type="dcterms:W3CDTF">2015-05-07T12:40:00Z</dcterms:created>
  <dcterms:modified xsi:type="dcterms:W3CDTF">2015-05-07T12:40:00Z</dcterms:modified>
</cp:coreProperties>
</file>