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837D13">
        <w:rPr>
          <w:rFonts w:ascii="Times New Roman" w:hAnsi="Times New Roman"/>
          <w:b/>
          <w:i w:val="0"/>
          <w:color w:val="000000"/>
          <w:sz w:val="22"/>
          <w:szCs w:val="22"/>
        </w:rPr>
        <w:t>12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>e 1</w:t>
      </w:r>
      <w:r w:rsidR="00837D13">
        <w:rPr>
          <w:rFonts w:ascii="Times New Roman" w:hAnsi="Times New Roman"/>
          <w:b/>
          <w:i w:val="0"/>
          <w:color w:val="000000"/>
          <w:sz w:val="22"/>
          <w:szCs w:val="22"/>
        </w:rPr>
        <w:t>3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ju</w:t>
      </w:r>
      <w:r w:rsidR="00837D13">
        <w:rPr>
          <w:rFonts w:ascii="Times New Roman" w:hAnsi="Times New Roman"/>
          <w:b/>
          <w:i w:val="0"/>
          <w:color w:val="000000"/>
          <w:sz w:val="22"/>
          <w:szCs w:val="22"/>
        </w:rPr>
        <w:t>l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ho 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C942EE">
      <w:pPr>
        <w:pBdr>
          <w:top w:val="threeDEmboss" w:sz="24" w:space="2" w:color="auto"/>
        </w:pBdr>
        <w:tabs>
          <w:tab w:val="left" w:pos="284"/>
        </w:tabs>
        <w:spacing w:before="60"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F36B6C" w:rsidRDefault="009444E6" w:rsidP="00C942EE">
      <w:pPr>
        <w:pStyle w:val="tita"/>
        <w:tabs>
          <w:tab w:val="left" w:pos="2590"/>
        </w:tabs>
        <w:spacing w:before="60" w:after="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F36B6C">
        <w:rPr>
          <w:i w:val="0"/>
          <w:iCs w:val="0"/>
          <w:color w:val="000000"/>
          <w:sz w:val="22"/>
          <w:szCs w:val="22"/>
        </w:rPr>
        <w:t>Plenário</w:t>
      </w:r>
    </w:p>
    <w:p w:rsidR="00F0080B" w:rsidRPr="00F0080B" w:rsidRDefault="00F0080B" w:rsidP="00C942EE">
      <w:pPr>
        <w:tabs>
          <w:tab w:val="left" w:pos="709"/>
        </w:tabs>
        <w:spacing w:before="60" w:after="0"/>
        <w:ind w:left="0"/>
        <w:rPr>
          <w:sz w:val="22"/>
          <w:szCs w:val="22"/>
        </w:rPr>
      </w:pPr>
      <w:r w:rsidRPr="00F0080B">
        <w:rPr>
          <w:sz w:val="22"/>
          <w:szCs w:val="22"/>
        </w:rPr>
        <w:t xml:space="preserve">É ilegal a exigência de certificação PBQP-H para o fim de qualificação técnica, a qual, contudo, pode ser utilizada para pontuação técnica. </w:t>
      </w:r>
    </w:p>
    <w:p w:rsidR="00F0080B" w:rsidRPr="00F0080B" w:rsidRDefault="00F0080B" w:rsidP="00C942EE">
      <w:pPr>
        <w:spacing w:before="60" w:after="0"/>
        <w:ind w:left="0"/>
        <w:rPr>
          <w:sz w:val="22"/>
          <w:szCs w:val="22"/>
        </w:rPr>
      </w:pPr>
      <w:r w:rsidRPr="00F0080B">
        <w:rPr>
          <w:sz w:val="22"/>
          <w:szCs w:val="22"/>
        </w:rPr>
        <w:t>Atividades não relacionadas às específicas dos profissionais de Administração não exigem registro perante o Conselho Profissional da categoria</w:t>
      </w:r>
      <w:r>
        <w:rPr>
          <w:sz w:val="22"/>
          <w:szCs w:val="22"/>
        </w:rPr>
        <w:t>.</w:t>
      </w:r>
      <w:r w:rsidRPr="00F0080B">
        <w:rPr>
          <w:sz w:val="22"/>
          <w:szCs w:val="22"/>
        </w:rPr>
        <w:t xml:space="preserve"> </w:t>
      </w:r>
    </w:p>
    <w:p w:rsidR="00F0080B" w:rsidRPr="00F0080B" w:rsidRDefault="00F0080B" w:rsidP="00C942EE">
      <w:pPr>
        <w:spacing w:before="60" w:after="0"/>
        <w:ind w:left="0"/>
        <w:rPr>
          <w:sz w:val="22"/>
          <w:szCs w:val="22"/>
        </w:rPr>
      </w:pPr>
      <w:r w:rsidRPr="00F0080B">
        <w:rPr>
          <w:sz w:val="22"/>
          <w:szCs w:val="22"/>
        </w:rPr>
        <w:t xml:space="preserve">Licitação de obra pública: </w:t>
      </w:r>
    </w:p>
    <w:p w:rsidR="00F0080B" w:rsidRPr="00F0080B" w:rsidRDefault="00F0080B" w:rsidP="00C942EE">
      <w:pPr>
        <w:tabs>
          <w:tab w:val="left" w:pos="851"/>
        </w:tabs>
        <w:spacing w:before="60" w:after="0"/>
        <w:ind w:left="0"/>
        <w:rPr>
          <w:sz w:val="22"/>
          <w:szCs w:val="22"/>
        </w:rPr>
      </w:pPr>
      <w:r w:rsidRPr="00F0080B">
        <w:rPr>
          <w:sz w:val="22"/>
          <w:szCs w:val="22"/>
        </w:rPr>
        <w:tab/>
        <w:t xml:space="preserve">1 – Para o fim de cálculo de inexequibilidade de proposta comercial, os critérios estabelecidos na Lei 8.666/1993 não são absolutos, devendo a instituição pública contratante adotar providências com vistas à aferição </w:t>
      </w:r>
      <w:r w:rsidRPr="00F0080B">
        <w:rPr>
          <w:sz w:val="22"/>
          <w:szCs w:val="22"/>
          <w:lang w:val="pt-PT"/>
        </w:rPr>
        <w:t>da viabilidade dos valores ofertados, antes da desclassificação da proponente;</w:t>
      </w:r>
    </w:p>
    <w:p w:rsidR="00F0080B" w:rsidRPr="00F0080B" w:rsidRDefault="00F0080B" w:rsidP="00C942EE">
      <w:pPr>
        <w:pStyle w:val="TCU-Epgrafe"/>
        <w:tabs>
          <w:tab w:val="left" w:pos="851"/>
        </w:tabs>
        <w:spacing w:before="60"/>
        <w:ind w:left="0"/>
        <w:rPr>
          <w:sz w:val="22"/>
          <w:szCs w:val="22"/>
        </w:rPr>
      </w:pPr>
      <w:r w:rsidRPr="00F0080B">
        <w:rPr>
          <w:sz w:val="22"/>
          <w:szCs w:val="22"/>
        </w:rPr>
        <w:tab/>
        <w:t xml:space="preserve">2 – Para a responsabilização de parecerista jurídico em processo licitatório é necessário que se comprove que, na emissão da opinião, houve </w:t>
      </w:r>
      <w:r w:rsidRPr="00F0080B">
        <w:rPr>
          <w:sz w:val="22"/>
          <w:szCs w:val="22"/>
          <w:lang w:val="pt-PT"/>
        </w:rPr>
        <w:t>erro grosseiro ou inescusável, com dolo ou culpa;</w:t>
      </w:r>
    </w:p>
    <w:p w:rsidR="006242BF" w:rsidRPr="00C87F13" w:rsidRDefault="006242BF" w:rsidP="00F0080B">
      <w:pPr>
        <w:pStyle w:val="Corpodetexto"/>
        <w:tabs>
          <w:tab w:val="left" w:pos="2590"/>
        </w:tabs>
        <w:spacing w:before="60" w:after="60"/>
        <w:ind w:left="0"/>
        <w:rPr>
          <w:b/>
          <w:color w:val="FF0000"/>
          <w:sz w:val="22"/>
          <w:szCs w:val="22"/>
        </w:rPr>
      </w:pPr>
    </w:p>
    <w:p w:rsidR="003C6DEB" w:rsidRPr="00621D63" w:rsidRDefault="003C6DEB" w:rsidP="00621D6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621D63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621D63" w:rsidRDefault="003C6DEB" w:rsidP="00621D6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B154B5" w:rsidRPr="00B154B5" w:rsidRDefault="00B154B5" w:rsidP="00B154B5">
      <w:pPr>
        <w:tabs>
          <w:tab w:val="left" w:pos="709"/>
        </w:tabs>
        <w:spacing w:after="0"/>
        <w:ind w:left="0"/>
        <w:rPr>
          <w:b/>
          <w:sz w:val="22"/>
          <w:szCs w:val="22"/>
        </w:rPr>
      </w:pPr>
      <w:r w:rsidRPr="00B154B5">
        <w:rPr>
          <w:b/>
          <w:sz w:val="22"/>
          <w:szCs w:val="22"/>
        </w:rPr>
        <w:t xml:space="preserve">É ilegal a exigência de certificação PBQP-H para o fim de qualificação técnica, a qual, contudo, pode ser utilizada para pontuação técnica </w:t>
      </w:r>
    </w:p>
    <w:p w:rsidR="002A5A02" w:rsidRPr="00B154B5" w:rsidRDefault="005E386D" w:rsidP="00B154B5">
      <w:pPr>
        <w:tabs>
          <w:tab w:val="left" w:pos="709"/>
        </w:tabs>
        <w:spacing w:after="0"/>
        <w:ind w:left="0"/>
        <w:rPr>
          <w:b/>
          <w:i/>
          <w:sz w:val="22"/>
          <w:szCs w:val="22"/>
        </w:rPr>
      </w:pPr>
      <w:r w:rsidRPr="00B154B5">
        <w:rPr>
          <w:sz w:val="22"/>
          <w:szCs w:val="22"/>
        </w:rPr>
        <w:t xml:space="preserve">Em auditoria realizada no Departamento Penitenciário Nacional – (Depen), na Caixa Econômica Federal – (CEF) e no Governo do Estado do Acre, o Tribunal detectou indícios de irregularidades na realização da concorrência destinada à contratação da obra de construção da segunda etapa da Penitenciária de Senador Guiomard/AC, dentre elas, a exigência, para o fim de </w:t>
      </w:r>
      <w:r w:rsidR="00B94EB5" w:rsidRPr="00B154B5">
        <w:rPr>
          <w:sz w:val="22"/>
          <w:szCs w:val="22"/>
        </w:rPr>
        <w:t xml:space="preserve">cumprimento de requisito de </w:t>
      </w:r>
      <w:r w:rsidRPr="00B154B5">
        <w:rPr>
          <w:sz w:val="22"/>
          <w:szCs w:val="22"/>
        </w:rPr>
        <w:t xml:space="preserve">qualificação técnica </w:t>
      </w:r>
      <w:r w:rsidR="00B94EB5" w:rsidRPr="00B154B5">
        <w:rPr>
          <w:sz w:val="22"/>
          <w:szCs w:val="22"/>
        </w:rPr>
        <w:t>por parte das</w:t>
      </w:r>
      <w:r w:rsidRPr="00B154B5">
        <w:rPr>
          <w:sz w:val="22"/>
          <w:szCs w:val="22"/>
        </w:rPr>
        <w:t xml:space="preserve"> licitantes, de apresentação de certificado que comprovasse a adequação das empresas ao Programa Brasileiro da Qualidade e Produtividade do Habitat (PBQP-H), Nível B. Para a unidade técnica responsável pelo processo, a exigência em questão,</w:t>
      </w:r>
      <w:r w:rsidR="00B94EB5" w:rsidRPr="00B154B5">
        <w:rPr>
          <w:sz w:val="22"/>
          <w:szCs w:val="22"/>
        </w:rPr>
        <w:t xml:space="preserve"> a determinar quem participaria das próximas etapas do certame</w:t>
      </w:r>
      <w:r w:rsidRPr="00B154B5">
        <w:rPr>
          <w:sz w:val="22"/>
          <w:szCs w:val="22"/>
        </w:rPr>
        <w:t xml:space="preserve"> “</w:t>
      </w:r>
      <w:r w:rsidRPr="00B154B5">
        <w:rPr>
          <w:i/>
          <w:sz w:val="22"/>
          <w:szCs w:val="22"/>
        </w:rPr>
        <w:t>não possui amparo legal e contraria jurisprudência desta Corte, visto que não se enquadra nos quesitos estabelecidos pelos arts. 27 a 33 da Lei n. 8.666/1993</w:t>
      </w:r>
      <w:r w:rsidRPr="00B154B5">
        <w:rPr>
          <w:sz w:val="22"/>
          <w:szCs w:val="22"/>
        </w:rPr>
        <w:t xml:space="preserve">”. </w:t>
      </w:r>
      <w:r w:rsidR="00C20301" w:rsidRPr="00B154B5">
        <w:rPr>
          <w:sz w:val="22"/>
          <w:szCs w:val="22"/>
        </w:rPr>
        <w:t xml:space="preserve">Destacou, ainda, a partir de jurisprudência anterior do Tribunal, que o </w:t>
      </w:r>
      <w:r w:rsidR="00C20301" w:rsidRPr="00B154B5">
        <w:rPr>
          <w:i/>
          <w:sz w:val="22"/>
          <w:szCs w:val="22"/>
        </w:rPr>
        <w:t xml:space="preserve">“processo de certificação, tanto da série </w:t>
      </w:r>
      <w:r w:rsidR="00B154B5">
        <w:rPr>
          <w:i/>
          <w:sz w:val="22"/>
          <w:szCs w:val="22"/>
        </w:rPr>
        <w:t>ISO,</w:t>
      </w:r>
      <w:r w:rsidR="00C20301" w:rsidRPr="00B154B5">
        <w:rPr>
          <w:i/>
          <w:sz w:val="22"/>
          <w:szCs w:val="22"/>
        </w:rPr>
        <w:t xml:space="preserve"> como do aqui tratado PBQP-H, envolve a assunção de custos por parte da empresa a ser certificada, tais como os de consultoria e modificação de processos produtivos, o que poderia representar fator impeditivo à participação no Programa ou, pelo menos, restritivo. E não só isso: o próprio tempo necessário para obter a certificação pode configurar obstáculo à participação em licitações, cujos prazos, como se sabe, normalmente são exíguos</w:t>
      </w:r>
      <w:r w:rsidR="00C20301" w:rsidRPr="00B154B5">
        <w:rPr>
          <w:sz w:val="22"/>
          <w:szCs w:val="22"/>
        </w:rPr>
        <w:t xml:space="preserve">”. A unidade técnica refutou, ainda, o argumento pelos responsáveis de que a exigência deveria ser admitida, uma vez estar estabelecida no Decreto Estadual 10.176/2004, em que o Estado do Acre aderiu ao PBQP-H e passou a exigir a sua inserção nas licitações de obras da administração direta e indireta estaduais. </w:t>
      </w:r>
      <w:r w:rsidR="00B154B5">
        <w:rPr>
          <w:sz w:val="22"/>
          <w:szCs w:val="22"/>
        </w:rPr>
        <w:t>Mesmo com informação dos gestores estaduais de que existiria</w:t>
      </w:r>
      <w:r w:rsidR="00236F05" w:rsidRPr="00B154B5">
        <w:rPr>
          <w:sz w:val="22"/>
          <w:szCs w:val="22"/>
        </w:rPr>
        <w:t xml:space="preserve"> acordo entre o Estado do Acre e </w:t>
      </w:r>
      <w:r w:rsidR="00B154B5">
        <w:rPr>
          <w:sz w:val="22"/>
          <w:szCs w:val="22"/>
        </w:rPr>
        <w:t>outras entidades, como a CEF</w:t>
      </w:r>
      <w:r w:rsidR="00236F05" w:rsidRPr="00B154B5">
        <w:rPr>
          <w:sz w:val="22"/>
          <w:szCs w:val="22"/>
        </w:rPr>
        <w:t xml:space="preserve">, a Federação das Indústrias do Estado do Acre </w:t>
      </w:r>
      <w:r w:rsidR="00B154B5">
        <w:rPr>
          <w:sz w:val="22"/>
          <w:szCs w:val="22"/>
        </w:rPr>
        <w:t xml:space="preserve">- </w:t>
      </w:r>
      <w:r w:rsidR="00236F05" w:rsidRPr="00B154B5">
        <w:rPr>
          <w:sz w:val="22"/>
          <w:szCs w:val="22"/>
        </w:rPr>
        <w:t xml:space="preserve">(Fieac), o Sindicato da Indústria de Construção Civil do Acre </w:t>
      </w:r>
      <w:r w:rsidR="00B154B5">
        <w:rPr>
          <w:sz w:val="22"/>
          <w:szCs w:val="22"/>
        </w:rPr>
        <w:t xml:space="preserve">- </w:t>
      </w:r>
      <w:r w:rsidR="00236F05" w:rsidRPr="00B154B5">
        <w:rPr>
          <w:sz w:val="22"/>
          <w:szCs w:val="22"/>
        </w:rPr>
        <w:t xml:space="preserve">(Sinduscon) e o Sindicato dos Pequenos e Médios Empreiteiros da Construção Civil </w:t>
      </w:r>
      <w:r w:rsidR="00B154B5">
        <w:rPr>
          <w:sz w:val="22"/>
          <w:szCs w:val="22"/>
        </w:rPr>
        <w:t xml:space="preserve">- </w:t>
      </w:r>
      <w:r w:rsidR="00236F05" w:rsidRPr="00B154B5">
        <w:rPr>
          <w:sz w:val="22"/>
          <w:szCs w:val="22"/>
        </w:rPr>
        <w:t>(Sipecon), em que ficou estabelecido, a partir de 2004, que deveria ser exigido das empresas de construção civil o termo de adesão ao PBQP-H</w:t>
      </w:r>
      <w:r w:rsidR="00B154B5">
        <w:rPr>
          <w:sz w:val="22"/>
          <w:szCs w:val="22"/>
        </w:rPr>
        <w:t>, p</w:t>
      </w:r>
      <w:r w:rsidR="00236F05" w:rsidRPr="00B154B5">
        <w:rPr>
          <w:sz w:val="22"/>
          <w:szCs w:val="22"/>
        </w:rPr>
        <w:t xml:space="preserve">ara a unidade técnica, mais uma vez amparada </w:t>
      </w:r>
      <w:r w:rsidR="005B4B8C">
        <w:rPr>
          <w:sz w:val="22"/>
          <w:szCs w:val="22"/>
        </w:rPr>
        <w:t>na</w:t>
      </w:r>
      <w:r w:rsidR="00236F05" w:rsidRPr="00B154B5">
        <w:rPr>
          <w:sz w:val="22"/>
          <w:szCs w:val="22"/>
        </w:rPr>
        <w:t xml:space="preserve"> jurisprudência do TCU, </w:t>
      </w:r>
      <w:r w:rsidR="00B94EB5" w:rsidRPr="00B154B5">
        <w:rPr>
          <w:sz w:val="22"/>
          <w:szCs w:val="22"/>
        </w:rPr>
        <w:t>“</w:t>
      </w:r>
      <w:r w:rsidR="00B94EB5" w:rsidRPr="00B154B5">
        <w:rPr>
          <w:i/>
          <w:sz w:val="22"/>
          <w:szCs w:val="22"/>
        </w:rPr>
        <w:t>a Constituição Federal atribuiu à União a competência privativa para legislar sobre normas gerais de licitação e contratação e, nesse sentido, não pode uma norma estadual estabelecer condições conflitantes com a Lei Federal</w:t>
      </w:r>
      <w:r w:rsidR="00B94EB5" w:rsidRPr="00B154B5">
        <w:rPr>
          <w:sz w:val="22"/>
          <w:szCs w:val="22"/>
        </w:rPr>
        <w:t xml:space="preserve">”. </w:t>
      </w:r>
      <w:r w:rsidR="00763097" w:rsidRPr="00B154B5">
        <w:rPr>
          <w:sz w:val="22"/>
          <w:szCs w:val="22"/>
        </w:rPr>
        <w:t>A única possibilidade de exigência de certificação PBQP-H</w:t>
      </w:r>
      <w:r w:rsidR="00B154B5">
        <w:rPr>
          <w:sz w:val="22"/>
          <w:szCs w:val="22"/>
        </w:rPr>
        <w:t xml:space="preserve"> então</w:t>
      </w:r>
      <w:r w:rsidR="00763097" w:rsidRPr="00B154B5">
        <w:rPr>
          <w:sz w:val="22"/>
          <w:szCs w:val="22"/>
        </w:rPr>
        <w:t>, ainda consoante a unidade técnica, seria para o fim de pontuação técnica, o que não ocorreu, na espécie. Em face da situação</w:t>
      </w:r>
      <w:r w:rsidR="00B94EB5" w:rsidRPr="00B154B5">
        <w:rPr>
          <w:sz w:val="22"/>
          <w:szCs w:val="22"/>
        </w:rPr>
        <w:t>, propôs a audiência do Secretario de Infraestrutura e Obras Públicas do Estado do Acre, para que prestasse esclarecimentos a respeito deste e de outros fatos. Todavia, o relator manifestou-se contrariamente à oitiva da autoridade estadual</w:t>
      </w:r>
      <w:r w:rsidR="00763097" w:rsidRPr="00B154B5">
        <w:rPr>
          <w:sz w:val="22"/>
          <w:szCs w:val="22"/>
        </w:rPr>
        <w:t xml:space="preserve"> quanto a esse assunto, por considerar que a conduta não seria reprovável o suficiente para tanto, uma vez que amparada em norma estadual, levando à presunção de que assim agira em tentativa de manter-se adstrito à ordem jurídica. Contudo, concluiu </w:t>
      </w:r>
      <w:r w:rsidR="00B154B5">
        <w:rPr>
          <w:sz w:val="22"/>
          <w:szCs w:val="22"/>
        </w:rPr>
        <w:t xml:space="preserve">o relator </w:t>
      </w:r>
      <w:r w:rsidR="00763097" w:rsidRPr="00B154B5">
        <w:rPr>
          <w:sz w:val="22"/>
          <w:szCs w:val="22"/>
        </w:rPr>
        <w:t>que a não realização da audiência não desc</w:t>
      </w:r>
      <w:r w:rsidR="00B154B5">
        <w:rPr>
          <w:sz w:val="22"/>
          <w:szCs w:val="22"/>
        </w:rPr>
        <w:t xml:space="preserve">aracterizaria a irregularidade e por essa </w:t>
      </w:r>
      <w:r w:rsidR="00763097" w:rsidRPr="00B154B5">
        <w:rPr>
          <w:sz w:val="22"/>
          <w:szCs w:val="22"/>
        </w:rPr>
        <w:t xml:space="preserve">razão propôs a cientificação da Secretária de Infraestrutura e Obras Públicas do Estado do Acre para que não a repita em licitações futuras. Nos termos do voto do relator, o Plenário manifestou sua anuência. </w:t>
      </w:r>
      <w:r w:rsidRPr="00B154B5">
        <w:rPr>
          <w:sz w:val="22"/>
          <w:szCs w:val="22"/>
        </w:rPr>
        <w:t>Precedentes citados: Acórdãos n</w:t>
      </w:r>
      <w:r w:rsidRPr="00B154B5">
        <w:rPr>
          <w:sz w:val="22"/>
          <w:szCs w:val="22"/>
          <w:u w:val="single"/>
          <w:vertAlign w:val="superscript"/>
        </w:rPr>
        <w:t>os</w:t>
      </w:r>
      <w:r w:rsidRPr="00B154B5">
        <w:rPr>
          <w:sz w:val="22"/>
          <w:szCs w:val="22"/>
        </w:rPr>
        <w:t xml:space="preserve"> 1107/2006, 1291/2007, 2656/2007, 608/2008, 107/2009, 381/2009</w:t>
      </w:r>
      <w:r w:rsidR="00C20301" w:rsidRPr="00B154B5">
        <w:rPr>
          <w:sz w:val="22"/>
          <w:szCs w:val="22"/>
        </w:rPr>
        <w:t>,</w:t>
      </w:r>
      <w:r w:rsidRPr="00B154B5">
        <w:rPr>
          <w:sz w:val="22"/>
          <w:szCs w:val="22"/>
        </w:rPr>
        <w:t xml:space="preserve"> todos do Plenário</w:t>
      </w:r>
      <w:r w:rsidR="00C20301" w:rsidRPr="00B154B5">
        <w:rPr>
          <w:sz w:val="22"/>
          <w:szCs w:val="22"/>
        </w:rPr>
        <w:t>.</w:t>
      </w:r>
      <w:r w:rsidR="002A5A02" w:rsidRPr="00B154B5">
        <w:rPr>
          <w:sz w:val="22"/>
          <w:szCs w:val="22"/>
          <w:lang w:eastAsia="pt-BR"/>
        </w:rPr>
        <w:t xml:space="preserve"> </w:t>
      </w:r>
      <w:r w:rsidRPr="00B154B5">
        <w:rPr>
          <w:b/>
          <w:i/>
          <w:sz w:val="22"/>
          <w:szCs w:val="22"/>
        </w:rPr>
        <w:t>Acórdão n.º 1832/2011-Plenário, TC-0</w:t>
      </w:r>
      <w:r w:rsidR="002A5A02" w:rsidRPr="00B154B5">
        <w:rPr>
          <w:b/>
          <w:i/>
          <w:sz w:val="22"/>
          <w:szCs w:val="22"/>
        </w:rPr>
        <w:t>1</w:t>
      </w:r>
      <w:r w:rsidRPr="00B154B5">
        <w:rPr>
          <w:b/>
          <w:i/>
          <w:sz w:val="22"/>
          <w:szCs w:val="22"/>
        </w:rPr>
        <w:t>2</w:t>
      </w:r>
      <w:r w:rsidR="002A5A02" w:rsidRPr="00B154B5">
        <w:rPr>
          <w:b/>
          <w:i/>
          <w:sz w:val="22"/>
          <w:szCs w:val="22"/>
        </w:rPr>
        <w:t>.</w:t>
      </w:r>
      <w:r w:rsidRPr="00B154B5">
        <w:rPr>
          <w:b/>
          <w:i/>
          <w:sz w:val="22"/>
          <w:szCs w:val="22"/>
        </w:rPr>
        <w:t>583</w:t>
      </w:r>
      <w:r w:rsidR="002A5A02" w:rsidRPr="00B154B5">
        <w:rPr>
          <w:b/>
          <w:i/>
          <w:sz w:val="22"/>
          <w:szCs w:val="22"/>
        </w:rPr>
        <w:t>/20</w:t>
      </w:r>
      <w:r w:rsidRPr="00B154B5">
        <w:rPr>
          <w:b/>
          <w:i/>
          <w:sz w:val="22"/>
          <w:szCs w:val="22"/>
        </w:rPr>
        <w:t>11</w:t>
      </w:r>
      <w:r w:rsidR="002A5A02" w:rsidRPr="00B154B5">
        <w:rPr>
          <w:b/>
          <w:i/>
          <w:sz w:val="22"/>
          <w:szCs w:val="22"/>
        </w:rPr>
        <w:t>-</w:t>
      </w:r>
      <w:r w:rsidRPr="00B154B5">
        <w:rPr>
          <w:b/>
          <w:i/>
          <w:sz w:val="22"/>
          <w:szCs w:val="22"/>
        </w:rPr>
        <w:t>1</w:t>
      </w:r>
      <w:r w:rsidR="002A5A02" w:rsidRPr="00B154B5">
        <w:rPr>
          <w:b/>
          <w:i/>
          <w:sz w:val="22"/>
          <w:szCs w:val="22"/>
        </w:rPr>
        <w:t xml:space="preserve">, rel. Min. </w:t>
      </w:r>
      <w:r w:rsidRPr="00B154B5">
        <w:rPr>
          <w:b/>
          <w:i/>
          <w:sz w:val="22"/>
          <w:szCs w:val="22"/>
        </w:rPr>
        <w:t>Raimundo Carreiro</w:t>
      </w:r>
      <w:r w:rsidR="002A5A02" w:rsidRPr="00B154B5">
        <w:rPr>
          <w:b/>
          <w:i/>
          <w:sz w:val="22"/>
          <w:szCs w:val="22"/>
        </w:rPr>
        <w:t xml:space="preserve">, </w:t>
      </w:r>
      <w:r w:rsidRPr="00B154B5">
        <w:rPr>
          <w:b/>
          <w:i/>
          <w:sz w:val="22"/>
          <w:szCs w:val="22"/>
        </w:rPr>
        <w:t>13</w:t>
      </w:r>
      <w:r w:rsidR="002A5A02" w:rsidRPr="00B154B5">
        <w:rPr>
          <w:b/>
          <w:i/>
          <w:sz w:val="22"/>
          <w:szCs w:val="22"/>
        </w:rPr>
        <w:t>.0</w:t>
      </w:r>
      <w:r w:rsidRPr="00B154B5">
        <w:rPr>
          <w:b/>
          <w:i/>
          <w:sz w:val="22"/>
          <w:szCs w:val="22"/>
        </w:rPr>
        <w:t>7</w:t>
      </w:r>
      <w:r w:rsidR="002A5A02" w:rsidRPr="00B154B5">
        <w:rPr>
          <w:b/>
          <w:i/>
          <w:sz w:val="22"/>
          <w:szCs w:val="22"/>
        </w:rPr>
        <w:t>.2011.</w:t>
      </w:r>
    </w:p>
    <w:p w:rsidR="00056A5A" w:rsidRPr="00B154B5" w:rsidRDefault="00056A5A" w:rsidP="00B154B5">
      <w:pPr>
        <w:tabs>
          <w:tab w:val="left" w:pos="1134"/>
        </w:tabs>
        <w:spacing w:after="0"/>
        <w:ind w:left="0"/>
        <w:rPr>
          <w:b/>
          <w:color w:val="FF0000"/>
          <w:sz w:val="22"/>
          <w:szCs w:val="22"/>
        </w:rPr>
      </w:pPr>
    </w:p>
    <w:p w:rsidR="007F421D" w:rsidRPr="007F421D" w:rsidRDefault="007F421D" w:rsidP="00B154B5">
      <w:pPr>
        <w:spacing w:after="0"/>
        <w:ind w:left="0"/>
        <w:rPr>
          <w:b/>
          <w:sz w:val="22"/>
          <w:szCs w:val="22"/>
        </w:rPr>
      </w:pPr>
      <w:r w:rsidRPr="007F421D">
        <w:rPr>
          <w:b/>
          <w:sz w:val="22"/>
          <w:szCs w:val="22"/>
        </w:rPr>
        <w:t xml:space="preserve">Atividades não relacionadas às específicas dos profissionais de Administração não exigem registro perante o Conselho Profissional da categoria </w:t>
      </w:r>
    </w:p>
    <w:p w:rsidR="00D54E9E" w:rsidRPr="00B154B5" w:rsidRDefault="00D54E9E" w:rsidP="007F421D">
      <w:pPr>
        <w:tabs>
          <w:tab w:val="left" w:pos="1134"/>
        </w:tabs>
        <w:spacing w:after="0"/>
        <w:ind w:left="0" w:right="-2"/>
        <w:contextualSpacing/>
        <w:rPr>
          <w:b/>
          <w:i/>
          <w:sz w:val="22"/>
          <w:szCs w:val="22"/>
        </w:rPr>
      </w:pPr>
      <w:r w:rsidRPr="00B154B5">
        <w:rPr>
          <w:sz w:val="22"/>
          <w:szCs w:val="22"/>
        </w:rPr>
        <w:t xml:space="preserve">Representação trouxe ao Tribunal conhecimento quanto a possíveis irregularidades no Pregão 107/2010 realizado pelo Tribunal de Justiça do Distrito Federal e Territórios - (TJDFT), cujo objeto consistiu na contratação de empresa especializada em tratamento e gestão de informações arquivísticas, digitalização, geração eletrônica de microfilmes e certificação digital. Para a representante, </w:t>
      </w:r>
      <w:r w:rsidR="007157A0" w:rsidRPr="00B154B5">
        <w:rPr>
          <w:sz w:val="22"/>
          <w:szCs w:val="22"/>
        </w:rPr>
        <w:t>a empresa vencedora do certame teria violado o edital e dispositivos legais</w:t>
      </w:r>
      <w:r w:rsidR="007F421D">
        <w:rPr>
          <w:sz w:val="22"/>
          <w:szCs w:val="22"/>
        </w:rPr>
        <w:t>,</w:t>
      </w:r>
      <w:r w:rsidR="007157A0" w:rsidRPr="00B154B5">
        <w:rPr>
          <w:sz w:val="22"/>
          <w:szCs w:val="22"/>
        </w:rPr>
        <w:t xml:space="preserve"> por não ter apresentado atestado de capacidade técnica certificado pelo Conselho Regional de Administração – (CRA), conforme previsto no art. 30, inciso II c/c parágrafo primeiro, inciso I, da Lei 8.666/93. </w:t>
      </w:r>
      <w:r w:rsidR="007F421D">
        <w:rPr>
          <w:sz w:val="22"/>
          <w:szCs w:val="22"/>
        </w:rPr>
        <w:t>Todavia, d</w:t>
      </w:r>
      <w:r w:rsidR="00E34B80" w:rsidRPr="00B154B5">
        <w:rPr>
          <w:sz w:val="22"/>
          <w:szCs w:val="22"/>
        </w:rPr>
        <w:t xml:space="preserve">e acordo com a unidade técnica, </w:t>
      </w:r>
      <w:r w:rsidR="00E34B80" w:rsidRPr="00B154B5">
        <w:rPr>
          <w:spacing w:val="5"/>
          <w:kern w:val="28"/>
          <w:sz w:val="22"/>
          <w:szCs w:val="22"/>
        </w:rPr>
        <w:t>“</w:t>
      </w:r>
      <w:r w:rsidR="00E34B80" w:rsidRPr="00B154B5">
        <w:rPr>
          <w:i/>
          <w:spacing w:val="5"/>
          <w:kern w:val="28"/>
          <w:sz w:val="22"/>
          <w:szCs w:val="22"/>
        </w:rPr>
        <w:t>as atividades especificadas no edital como necessárias à execução do objeto contratado estão relacionadas ou à atividade de arquivista (</w:t>
      </w:r>
      <w:r w:rsidR="00B53C03" w:rsidRPr="00B154B5">
        <w:rPr>
          <w:i/>
          <w:spacing w:val="5"/>
          <w:kern w:val="28"/>
          <w:sz w:val="22"/>
          <w:szCs w:val="22"/>
        </w:rPr>
        <w:t>...</w:t>
      </w:r>
      <w:r w:rsidR="00E34B80" w:rsidRPr="00B154B5">
        <w:rPr>
          <w:i/>
          <w:spacing w:val="5"/>
          <w:kern w:val="28"/>
          <w:sz w:val="22"/>
          <w:szCs w:val="22"/>
        </w:rPr>
        <w:t xml:space="preserve">) ou com a atividade de informática </w:t>
      </w:r>
      <w:r w:rsidR="0031528D" w:rsidRPr="00B154B5">
        <w:rPr>
          <w:i/>
          <w:spacing w:val="5"/>
          <w:kern w:val="28"/>
          <w:sz w:val="22"/>
          <w:szCs w:val="22"/>
        </w:rPr>
        <w:t>(...</w:t>
      </w:r>
      <w:r w:rsidR="00E34B80" w:rsidRPr="00B154B5">
        <w:rPr>
          <w:i/>
          <w:spacing w:val="5"/>
          <w:kern w:val="28"/>
          <w:sz w:val="22"/>
          <w:szCs w:val="22"/>
        </w:rPr>
        <w:t>), as quais não são específicas dos profissionais de administração e, portanto, não requereriam o referido registro no CRA</w:t>
      </w:r>
      <w:r w:rsidR="0031528D" w:rsidRPr="00B154B5">
        <w:rPr>
          <w:spacing w:val="5"/>
          <w:kern w:val="28"/>
          <w:sz w:val="22"/>
          <w:szCs w:val="22"/>
        </w:rPr>
        <w:t>”</w:t>
      </w:r>
      <w:r w:rsidR="00E34B80" w:rsidRPr="00B154B5">
        <w:rPr>
          <w:spacing w:val="5"/>
          <w:kern w:val="28"/>
          <w:sz w:val="22"/>
          <w:szCs w:val="22"/>
        </w:rPr>
        <w:t>.</w:t>
      </w:r>
      <w:r w:rsidR="0031528D" w:rsidRPr="00B154B5">
        <w:rPr>
          <w:spacing w:val="5"/>
          <w:kern w:val="28"/>
          <w:sz w:val="22"/>
          <w:szCs w:val="22"/>
        </w:rPr>
        <w:t xml:space="preserve"> Ao proceder </w:t>
      </w:r>
      <w:r w:rsidR="007F421D">
        <w:rPr>
          <w:spacing w:val="5"/>
          <w:kern w:val="28"/>
          <w:sz w:val="22"/>
          <w:szCs w:val="22"/>
        </w:rPr>
        <w:t xml:space="preserve">aos </w:t>
      </w:r>
      <w:r w:rsidR="0031528D" w:rsidRPr="00B154B5">
        <w:rPr>
          <w:spacing w:val="5"/>
          <w:kern w:val="28"/>
          <w:sz w:val="22"/>
          <w:szCs w:val="22"/>
        </w:rPr>
        <w:t>seus exames, entendeu o relator que os argumentos apresentados pelo representante não deveriam prosperar, “</w:t>
      </w:r>
      <w:r w:rsidR="007F421D">
        <w:rPr>
          <w:i/>
          <w:sz w:val="22"/>
          <w:szCs w:val="22"/>
        </w:rPr>
        <w:t>p</w:t>
      </w:r>
      <w:r w:rsidR="0031528D" w:rsidRPr="00B154B5">
        <w:rPr>
          <w:i/>
          <w:sz w:val="22"/>
          <w:szCs w:val="22"/>
        </w:rPr>
        <w:t>rimeiro, porque o objeto do referido pregão relacionava-se a atividades de informática, das quais seria indevido exigir atestado de capacidade técnica emitido por conselho de administração, conforme jurisprudência deste Tribunal de Contas e de tribunais judiciários. Segundo, porque a empresa vencedora atendeu a todas as exigências previstas no edital, que não exigiu a apresentação de atestado de capacidade técnica emitido por conselho de administração, e foi aprovada na prova de conceito que teve por objetivo avaliar a capacidade da solução por ela proposta para executar os serviços especificados no edital. Terceiro, porque a empresa representante não apresentou qualquer impugnação ao edital durante o período estabelecido, pelo que teria concordado tacitamente com seu conteúdo</w:t>
      </w:r>
      <w:r w:rsidR="0031528D" w:rsidRPr="00B154B5">
        <w:rPr>
          <w:sz w:val="22"/>
          <w:szCs w:val="22"/>
        </w:rPr>
        <w:t xml:space="preserve">”. Por conseguinte, votou pelo não provimento da representação, no que foi acompanhado pelos demais membros do Plenário. </w:t>
      </w:r>
      <w:r w:rsidRPr="00B154B5">
        <w:rPr>
          <w:b/>
          <w:i/>
          <w:sz w:val="22"/>
          <w:szCs w:val="22"/>
        </w:rPr>
        <w:t>Acórdão n.º 1841/2011, TC-013.141/2011-2, rel. Min.-Subst. Augusto Sherman Cavalcanti, 13.07.2011.</w:t>
      </w:r>
    </w:p>
    <w:p w:rsidR="003B4936" w:rsidRPr="00B154B5" w:rsidRDefault="002B1AD6" w:rsidP="00B154B5">
      <w:pPr>
        <w:tabs>
          <w:tab w:val="left" w:pos="851"/>
        </w:tabs>
        <w:spacing w:after="0"/>
        <w:ind w:left="0"/>
        <w:rPr>
          <w:b/>
          <w:bCs/>
          <w:smallCaps/>
          <w:color w:val="FF0000"/>
          <w:sz w:val="22"/>
          <w:szCs w:val="22"/>
        </w:rPr>
      </w:pPr>
      <w:r w:rsidRPr="00B154B5">
        <w:rPr>
          <w:b/>
          <w:bCs/>
          <w:smallCaps/>
          <w:color w:val="FF0000"/>
          <w:sz w:val="22"/>
          <w:szCs w:val="22"/>
        </w:rPr>
        <w:t xml:space="preserve"> </w:t>
      </w:r>
    </w:p>
    <w:p w:rsidR="00D4233A" w:rsidRPr="007F421D" w:rsidRDefault="007F421D" w:rsidP="00B154B5">
      <w:pPr>
        <w:spacing w:after="0"/>
        <w:ind w:left="0"/>
        <w:rPr>
          <w:b/>
          <w:sz w:val="22"/>
          <w:szCs w:val="22"/>
        </w:rPr>
      </w:pPr>
      <w:r w:rsidRPr="007F421D">
        <w:rPr>
          <w:b/>
          <w:sz w:val="22"/>
          <w:szCs w:val="22"/>
        </w:rPr>
        <w:t xml:space="preserve">Licitação de obra pública: 1 – Para o fim de cálculo de inexequibilidade de proposta comercial, os critérios estabelecidos na Lei 8.666/1993 não são absolutos, devendo a instituição pública contratante adotar providências com vistas à aferição </w:t>
      </w:r>
      <w:r w:rsidRPr="007F421D">
        <w:rPr>
          <w:b/>
          <w:sz w:val="22"/>
          <w:szCs w:val="22"/>
          <w:lang w:val="pt-PT"/>
        </w:rPr>
        <w:t>da viabilidade dos valores ofertados, antes da desclassificação da proponente</w:t>
      </w:r>
    </w:p>
    <w:p w:rsidR="002B1AD6" w:rsidRPr="00B154B5" w:rsidRDefault="002B1AD6" w:rsidP="00B154B5">
      <w:pPr>
        <w:pStyle w:val="TCU-Epgrafe"/>
        <w:tabs>
          <w:tab w:val="left" w:pos="1134"/>
        </w:tabs>
        <w:ind w:left="0"/>
        <w:rPr>
          <w:b/>
          <w:i/>
          <w:sz w:val="22"/>
          <w:szCs w:val="22"/>
        </w:rPr>
      </w:pPr>
      <w:r w:rsidRPr="00B154B5">
        <w:rPr>
          <w:sz w:val="22"/>
          <w:szCs w:val="22"/>
        </w:rPr>
        <w:t>Mediante</w:t>
      </w:r>
      <w:r w:rsidRPr="00B154B5">
        <w:rPr>
          <w:noProof/>
          <w:sz w:val="22"/>
          <w:szCs w:val="22"/>
        </w:rPr>
        <w:t xml:space="preserve"> auditoria realizada no Instituto Federal de Educação, Ciência e Tecnologia do Amazonas – (Ifam), com o objetivo de fiscalizar obras do Programa de Trabalho </w:t>
      </w:r>
      <w:r w:rsidRPr="00B154B5">
        <w:rPr>
          <w:i/>
          <w:noProof/>
          <w:sz w:val="22"/>
          <w:szCs w:val="22"/>
        </w:rPr>
        <w:t>“Funcionamento da Educação Profissional no Estado do Amazonas”</w:t>
      </w:r>
      <w:r w:rsidRPr="00B154B5">
        <w:rPr>
          <w:noProof/>
          <w:sz w:val="22"/>
          <w:szCs w:val="22"/>
        </w:rPr>
        <w:t xml:space="preserve">, o Tribunal identificou possíveis irregularidades, dentre elas, a desclassificação sumária de empresa privada em processo licitatório no qual apresentara preço inferior em cerca de 25% da empresa que </w:t>
      </w:r>
      <w:r w:rsidR="00864A10" w:rsidRPr="00B154B5">
        <w:rPr>
          <w:noProof/>
          <w:sz w:val="22"/>
          <w:szCs w:val="22"/>
        </w:rPr>
        <w:t xml:space="preserve">fora contratada. Para o relator, o </w:t>
      </w:r>
      <w:r w:rsidR="00864A10" w:rsidRPr="00B154B5">
        <w:rPr>
          <w:sz w:val="22"/>
          <w:szCs w:val="22"/>
          <w:lang w:val="pt-PT"/>
        </w:rPr>
        <w:t>Ifam agira de modo indevido ao desclassificar a empresa que apresentara o menor preço sem lhe conferir oportunidade de comprovar a viabilidade de sua proposta, isso porque “</w:t>
      </w:r>
      <w:r w:rsidR="00864A10" w:rsidRPr="00B154B5">
        <w:rPr>
          <w:i/>
          <w:sz w:val="22"/>
          <w:szCs w:val="22"/>
          <w:lang w:val="pt-PT"/>
        </w:rPr>
        <w:t>os critérios elencados pela Lei nº 8.666, de 21 de junho de 1993, para definir a proposta inexequível apenas conduzem a uma presunção relativa de inexequibilidade de preços</w:t>
      </w:r>
      <w:r w:rsidR="00864A10" w:rsidRPr="00B154B5">
        <w:rPr>
          <w:sz w:val="22"/>
          <w:szCs w:val="22"/>
          <w:lang w:val="pt-PT"/>
        </w:rPr>
        <w:t xml:space="preserve">”. Nesse cenário, </w:t>
      </w:r>
      <w:r w:rsidR="007F421D">
        <w:rPr>
          <w:sz w:val="22"/>
          <w:szCs w:val="22"/>
          <w:lang w:val="pt-PT"/>
        </w:rPr>
        <w:t xml:space="preserve">para o relator, </w:t>
      </w:r>
      <w:r w:rsidR="00864A10" w:rsidRPr="00B154B5">
        <w:rPr>
          <w:sz w:val="22"/>
          <w:szCs w:val="22"/>
          <w:lang w:val="pt-PT"/>
        </w:rPr>
        <w:t>considerando que a empresa desclassifica</w:t>
      </w:r>
      <w:r w:rsidR="007F421D">
        <w:rPr>
          <w:sz w:val="22"/>
          <w:szCs w:val="22"/>
          <w:lang w:val="pt-PT"/>
        </w:rPr>
        <w:t>da</w:t>
      </w:r>
      <w:r w:rsidR="00864A10" w:rsidRPr="00B154B5">
        <w:rPr>
          <w:sz w:val="22"/>
          <w:szCs w:val="22"/>
          <w:lang w:val="pt-PT"/>
        </w:rPr>
        <w:t xml:space="preserve"> houvera apresentado a melhor proposta, caberia ao Ifam diligenciar junto a tal pessoa jurídica, “</w:t>
      </w:r>
      <w:r w:rsidR="00864A10" w:rsidRPr="00B154B5">
        <w:rPr>
          <w:i/>
          <w:sz w:val="22"/>
          <w:szCs w:val="22"/>
          <w:lang w:val="pt-PT"/>
        </w:rPr>
        <w:t>de modo a comprovar a viabilidade dos valores de sua oferta, de modo que, ao não agir assim, a entidade contratou com preço mais elevado sem justificativa plausível para tanto</w:t>
      </w:r>
      <w:r w:rsidR="00864A10" w:rsidRPr="00B154B5">
        <w:rPr>
          <w:sz w:val="22"/>
          <w:szCs w:val="22"/>
          <w:lang w:val="pt-PT"/>
        </w:rPr>
        <w:t xml:space="preserve">”. Todavia, deixou de imputar responsabilidade pelo fato ao Diretor do Ifam, por não haver nos autos elementos que vinculassem sua conduta à adoção das medidas requeridas. Ainda para o relator, a lógica por trás disso é que medidas dessa natureza estariam afetas a setores operacionais, a exemplo da comissão de licitação, não competindo esse tipo de atribuição ao nível gerencial da entidade, na qual se insere o dirigente máximo. Assim, </w:t>
      </w:r>
      <w:r w:rsidR="009652B6" w:rsidRPr="00B154B5">
        <w:rPr>
          <w:sz w:val="22"/>
          <w:szCs w:val="22"/>
          <w:lang w:val="pt-PT"/>
        </w:rPr>
        <w:t xml:space="preserve">no ponto, </w:t>
      </w:r>
      <w:r w:rsidR="00864A10" w:rsidRPr="00B154B5">
        <w:rPr>
          <w:sz w:val="22"/>
          <w:szCs w:val="22"/>
          <w:lang w:val="pt-PT"/>
        </w:rPr>
        <w:t xml:space="preserve">votou pela não responsabilização do Diretor do Ifam, sem prejuízo que fossem sancionados os servidores diretamente envolvidos com a irregularidade, o que foi acolhido pelo Plenário. </w:t>
      </w:r>
      <w:r w:rsidR="003B4936" w:rsidRPr="00B154B5">
        <w:rPr>
          <w:b/>
          <w:i/>
          <w:sz w:val="22"/>
          <w:szCs w:val="22"/>
        </w:rPr>
        <w:t xml:space="preserve">Acórdão n.º </w:t>
      </w:r>
      <w:r w:rsidRPr="00B154B5">
        <w:rPr>
          <w:b/>
          <w:i/>
          <w:sz w:val="22"/>
          <w:szCs w:val="22"/>
        </w:rPr>
        <w:t>1857</w:t>
      </w:r>
      <w:r w:rsidR="003B4936" w:rsidRPr="00B154B5">
        <w:rPr>
          <w:b/>
          <w:i/>
          <w:sz w:val="22"/>
          <w:szCs w:val="22"/>
        </w:rPr>
        <w:t>/2011, TC-0</w:t>
      </w:r>
      <w:r w:rsidRPr="00B154B5">
        <w:rPr>
          <w:b/>
          <w:i/>
          <w:sz w:val="22"/>
          <w:szCs w:val="22"/>
        </w:rPr>
        <w:t>0</w:t>
      </w:r>
      <w:r w:rsidR="003B4936" w:rsidRPr="00B154B5">
        <w:rPr>
          <w:b/>
          <w:i/>
          <w:sz w:val="22"/>
          <w:szCs w:val="22"/>
        </w:rPr>
        <w:t>9.</w:t>
      </w:r>
      <w:r w:rsidRPr="00B154B5">
        <w:rPr>
          <w:b/>
          <w:i/>
          <w:sz w:val="22"/>
          <w:szCs w:val="22"/>
        </w:rPr>
        <w:t>006</w:t>
      </w:r>
      <w:r w:rsidR="003B4936" w:rsidRPr="00B154B5">
        <w:rPr>
          <w:b/>
          <w:i/>
          <w:sz w:val="22"/>
          <w:szCs w:val="22"/>
        </w:rPr>
        <w:t>/200</w:t>
      </w:r>
      <w:r w:rsidRPr="00B154B5">
        <w:rPr>
          <w:b/>
          <w:i/>
          <w:sz w:val="22"/>
          <w:szCs w:val="22"/>
        </w:rPr>
        <w:t>9</w:t>
      </w:r>
      <w:r w:rsidR="003B4936" w:rsidRPr="00B154B5">
        <w:rPr>
          <w:b/>
          <w:i/>
          <w:sz w:val="22"/>
          <w:szCs w:val="22"/>
        </w:rPr>
        <w:t>-</w:t>
      </w:r>
      <w:r w:rsidRPr="00B154B5">
        <w:rPr>
          <w:b/>
          <w:i/>
          <w:sz w:val="22"/>
          <w:szCs w:val="22"/>
        </w:rPr>
        <w:t>9</w:t>
      </w:r>
      <w:r w:rsidR="003B4936" w:rsidRPr="00B154B5">
        <w:rPr>
          <w:b/>
          <w:i/>
          <w:sz w:val="22"/>
          <w:szCs w:val="22"/>
        </w:rPr>
        <w:t xml:space="preserve">, rel. </w:t>
      </w:r>
      <w:r w:rsidRPr="00B154B5">
        <w:rPr>
          <w:b/>
          <w:i/>
          <w:sz w:val="22"/>
          <w:szCs w:val="22"/>
        </w:rPr>
        <w:t>Min</w:t>
      </w:r>
      <w:r w:rsidR="00D54E9E" w:rsidRPr="00B154B5">
        <w:rPr>
          <w:b/>
          <w:i/>
          <w:sz w:val="22"/>
          <w:szCs w:val="22"/>
        </w:rPr>
        <w:t>.</w:t>
      </w:r>
      <w:r w:rsidRPr="00B154B5">
        <w:rPr>
          <w:b/>
          <w:i/>
          <w:sz w:val="22"/>
          <w:szCs w:val="22"/>
        </w:rPr>
        <w:t>-Subst. André Luis de Carvalho, 13.07.2011.</w:t>
      </w:r>
    </w:p>
    <w:p w:rsidR="00864A10" w:rsidRPr="00B154B5" w:rsidRDefault="00864A10" w:rsidP="00B154B5">
      <w:pPr>
        <w:pStyle w:val="TCU-Epgrafe"/>
        <w:tabs>
          <w:tab w:val="left" w:pos="1134"/>
        </w:tabs>
        <w:ind w:left="0"/>
        <w:rPr>
          <w:b/>
          <w:i/>
          <w:sz w:val="22"/>
          <w:szCs w:val="22"/>
        </w:rPr>
      </w:pPr>
    </w:p>
    <w:p w:rsidR="007F421D" w:rsidRPr="00F0080B" w:rsidRDefault="007F421D" w:rsidP="00B154B5">
      <w:pPr>
        <w:pStyle w:val="TCU-Epgrafe"/>
        <w:tabs>
          <w:tab w:val="left" w:pos="1134"/>
        </w:tabs>
        <w:ind w:left="0"/>
        <w:rPr>
          <w:b/>
          <w:sz w:val="22"/>
          <w:szCs w:val="22"/>
        </w:rPr>
      </w:pPr>
      <w:r w:rsidRPr="007F421D">
        <w:rPr>
          <w:b/>
          <w:sz w:val="22"/>
          <w:szCs w:val="22"/>
        </w:rPr>
        <w:t>Licitação de obra p</w:t>
      </w:r>
      <w:r>
        <w:rPr>
          <w:b/>
          <w:sz w:val="22"/>
          <w:szCs w:val="22"/>
        </w:rPr>
        <w:t>ública: 2</w:t>
      </w:r>
      <w:r w:rsidRPr="007F421D">
        <w:rPr>
          <w:b/>
          <w:sz w:val="22"/>
          <w:szCs w:val="22"/>
        </w:rPr>
        <w:t xml:space="preserve"> – </w:t>
      </w:r>
      <w:r w:rsidR="00F0080B">
        <w:rPr>
          <w:b/>
          <w:sz w:val="22"/>
          <w:szCs w:val="22"/>
        </w:rPr>
        <w:t xml:space="preserve">Para a responsabilização de parecerista jurídico em processo licitatório é necessário que se comprove que, na emissão da opinião, houve </w:t>
      </w:r>
      <w:r w:rsidR="00F0080B" w:rsidRPr="00F0080B">
        <w:rPr>
          <w:b/>
          <w:sz w:val="22"/>
          <w:szCs w:val="22"/>
          <w:lang w:val="pt-PT"/>
        </w:rPr>
        <w:t>erro grosseiro ou inescusável, com dolo ou culpa</w:t>
      </w:r>
    </w:p>
    <w:p w:rsidR="00864A10" w:rsidRPr="00B154B5" w:rsidRDefault="00864A10" w:rsidP="00B154B5">
      <w:pPr>
        <w:pStyle w:val="TCU-Epgrafe"/>
        <w:tabs>
          <w:tab w:val="left" w:pos="1134"/>
        </w:tabs>
        <w:ind w:left="0"/>
        <w:rPr>
          <w:b/>
          <w:i/>
          <w:sz w:val="22"/>
          <w:szCs w:val="22"/>
        </w:rPr>
      </w:pPr>
      <w:r w:rsidRPr="00B154B5">
        <w:rPr>
          <w:sz w:val="22"/>
          <w:szCs w:val="22"/>
        </w:rPr>
        <w:t xml:space="preserve">Ainda na </w:t>
      </w:r>
      <w:r w:rsidRPr="00B154B5">
        <w:rPr>
          <w:noProof/>
          <w:sz w:val="22"/>
          <w:szCs w:val="22"/>
        </w:rPr>
        <w:t xml:space="preserve">auditoria realizada no Instituto Federal de Educação, Ciência e Tecnologia do Amazonas – (Ifam), com o objetivo de fiscalizar obras do Programa de Trabalho </w:t>
      </w:r>
      <w:r w:rsidRPr="00B154B5">
        <w:rPr>
          <w:i/>
          <w:noProof/>
          <w:sz w:val="22"/>
          <w:szCs w:val="22"/>
        </w:rPr>
        <w:t>“Funcionamento da Educação Profissional no Estado do Amazonas”</w:t>
      </w:r>
      <w:r w:rsidRPr="00B154B5">
        <w:rPr>
          <w:noProof/>
          <w:sz w:val="22"/>
          <w:szCs w:val="22"/>
        </w:rPr>
        <w:t>, o Tribunal</w:t>
      </w:r>
      <w:r w:rsidR="00370BC7" w:rsidRPr="00B154B5">
        <w:rPr>
          <w:noProof/>
          <w:sz w:val="22"/>
          <w:szCs w:val="22"/>
        </w:rPr>
        <w:t xml:space="preserve"> cuidou da responsabilização dos responsáveis pela emissão de parecer jurídico, na licitação que levou à</w:t>
      </w:r>
      <w:r w:rsidRPr="00B154B5">
        <w:rPr>
          <w:noProof/>
          <w:sz w:val="22"/>
          <w:szCs w:val="22"/>
        </w:rPr>
        <w:t xml:space="preserve"> desclassificação sumária de empresa privada </w:t>
      </w:r>
      <w:r w:rsidR="00370BC7" w:rsidRPr="00B154B5">
        <w:rPr>
          <w:noProof/>
          <w:sz w:val="22"/>
          <w:szCs w:val="22"/>
        </w:rPr>
        <w:t>em que</w:t>
      </w:r>
      <w:r w:rsidRPr="00B154B5">
        <w:rPr>
          <w:noProof/>
          <w:sz w:val="22"/>
          <w:szCs w:val="22"/>
        </w:rPr>
        <w:t xml:space="preserve"> apresentara preço inferior em cerca de 25% da empresa que fora contratada. </w:t>
      </w:r>
      <w:r w:rsidR="00370BC7" w:rsidRPr="00B154B5">
        <w:rPr>
          <w:noProof/>
          <w:sz w:val="22"/>
          <w:szCs w:val="22"/>
        </w:rPr>
        <w:t>N</w:t>
      </w:r>
      <w:r w:rsidRPr="00B154B5">
        <w:rPr>
          <w:noProof/>
          <w:sz w:val="22"/>
          <w:szCs w:val="22"/>
        </w:rPr>
        <w:t xml:space="preserve">o </w:t>
      </w:r>
      <w:r w:rsidR="00370BC7" w:rsidRPr="00B154B5">
        <w:rPr>
          <w:noProof/>
          <w:sz w:val="22"/>
          <w:szCs w:val="22"/>
        </w:rPr>
        <w:t>voto, o relator destacou que “</w:t>
      </w:r>
      <w:r w:rsidR="00370BC7" w:rsidRPr="00B154B5">
        <w:rPr>
          <w:i/>
          <w:sz w:val="22"/>
          <w:szCs w:val="22"/>
          <w:lang w:val="pt-PT"/>
        </w:rPr>
        <w:t>em regra, há responsabilização desse tipo de profissional quando o ato enunciativo por ele praticado contém erro grosseiro ou inescusável com dolo ou culpa</w:t>
      </w:r>
      <w:r w:rsidR="00370BC7" w:rsidRPr="00B154B5">
        <w:rPr>
          <w:sz w:val="22"/>
          <w:szCs w:val="22"/>
          <w:lang w:val="pt-PT"/>
        </w:rPr>
        <w:t xml:space="preserve">”. Todavia, na espécie, observou o relator que o parecer emitido pautara suas considerações a partir de análise objetiva das questões tratadas, em face da realidade local. Na verdade, os pareceristas teriam chamado a atenção da Administração para o que se considerou riscos potenciais, os quais apontavam para a </w:t>
      </w:r>
      <w:r w:rsidR="00F0080B">
        <w:rPr>
          <w:sz w:val="22"/>
          <w:szCs w:val="22"/>
          <w:lang w:val="pt-PT"/>
        </w:rPr>
        <w:t>possibilidade de</w:t>
      </w:r>
      <w:r w:rsidR="00370BC7" w:rsidRPr="00B154B5">
        <w:rPr>
          <w:sz w:val="22"/>
          <w:szCs w:val="22"/>
          <w:lang w:val="pt-PT"/>
        </w:rPr>
        <w:t xml:space="preserve"> inexequibilidade dos preços, caso em que, consoante o relator, “</w:t>
      </w:r>
      <w:r w:rsidR="00370BC7" w:rsidRPr="00B154B5">
        <w:rPr>
          <w:i/>
          <w:sz w:val="22"/>
          <w:szCs w:val="22"/>
          <w:lang w:val="pt-PT"/>
        </w:rPr>
        <w:t>caberia à administração a adoção de outras medidas, antes da pronta desclassificação do interessado</w:t>
      </w:r>
      <w:r w:rsidR="00370BC7" w:rsidRPr="00B154B5">
        <w:rPr>
          <w:sz w:val="22"/>
          <w:szCs w:val="22"/>
          <w:lang w:val="pt-PT"/>
        </w:rPr>
        <w:t>”.</w:t>
      </w:r>
      <w:r w:rsidR="009652B6" w:rsidRPr="00B154B5">
        <w:rPr>
          <w:sz w:val="22"/>
          <w:szCs w:val="22"/>
          <w:lang w:val="pt-PT"/>
        </w:rPr>
        <w:t xml:space="preserve"> Em face disso, por entender não haver sustentação para a que fossem responsabilizados os servidores que atuaram como pareceristas no certame examinado, o relator </w:t>
      </w:r>
      <w:r w:rsidR="005B4B8C">
        <w:rPr>
          <w:sz w:val="22"/>
          <w:szCs w:val="22"/>
          <w:lang w:val="pt-PT"/>
        </w:rPr>
        <w:t>isentou</w:t>
      </w:r>
      <w:r w:rsidR="00F0080B">
        <w:rPr>
          <w:sz w:val="22"/>
          <w:szCs w:val="22"/>
          <w:lang w:val="pt-PT"/>
        </w:rPr>
        <w:t xml:space="preserve"> </w:t>
      </w:r>
      <w:r w:rsidR="009652B6" w:rsidRPr="00B154B5">
        <w:rPr>
          <w:sz w:val="22"/>
          <w:szCs w:val="22"/>
          <w:lang w:val="pt-PT"/>
        </w:rPr>
        <w:t>tais agentes</w:t>
      </w:r>
      <w:r w:rsidRPr="00B154B5">
        <w:rPr>
          <w:sz w:val="22"/>
          <w:szCs w:val="22"/>
          <w:lang w:val="pt-PT"/>
        </w:rPr>
        <w:t xml:space="preserve">, sem prejuízo que fossem sancionados os servidores diretamente envolvidos com a irregularidade, o que foi acolhido pelo Plenário. </w:t>
      </w:r>
      <w:r w:rsidRPr="00B154B5">
        <w:rPr>
          <w:b/>
          <w:i/>
          <w:sz w:val="22"/>
          <w:szCs w:val="22"/>
        </w:rPr>
        <w:t>Acórdão n.º 1857/2011, TC-009.006/2009-9, rel. Min</w:t>
      </w:r>
      <w:r w:rsidR="00D54E9E" w:rsidRPr="00B154B5">
        <w:rPr>
          <w:b/>
          <w:i/>
          <w:sz w:val="22"/>
          <w:szCs w:val="22"/>
        </w:rPr>
        <w:t>.</w:t>
      </w:r>
      <w:r w:rsidRPr="00B154B5">
        <w:rPr>
          <w:b/>
          <w:i/>
          <w:sz w:val="22"/>
          <w:szCs w:val="22"/>
        </w:rPr>
        <w:t>-Subst. André Luis de Carvalho, 13.07.2011.</w:t>
      </w:r>
    </w:p>
    <w:p w:rsidR="00864A10" w:rsidRPr="002B1AD6" w:rsidRDefault="00864A10" w:rsidP="00B154B5">
      <w:pPr>
        <w:pStyle w:val="TCU-Epgrafe"/>
        <w:tabs>
          <w:tab w:val="left" w:pos="1134"/>
        </w:tabs>
        <w:ind w:left="0"/>
        <w:rPr>
          <w:sz w:val="22"/>
          <w:szCs w:val="22"/>
        </w:rPr>
      </w:pPr>
    </w:p>
    <w:p w:rsidR="003B4936" w:rsidRPr="002B1AD6" w:rsidRDefault="003B4936" w:rsidP="00B154B5">
      <w:pPr>
        <w:spacing w:after="0"/>
        <w:ind w:left="0"/>
        <w:rPr>
          <w:b/>
          <w:i/>
          <w:sz w:val="22"/>
          <w:szCs w:val="22"/>
        </w:rPr>
      </w:pPr>
    </w:p>
    <w:p w:rsidR="003B4936" w:rsidRPr="00E93620" w:rsidRDefault="003B4936" w:rsidP="00B154B5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80565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2E6712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E6712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2E6712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6712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2E6712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805659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7334B1" w:rsidRPr="00805659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A7" w:rsidRDefault="006D70A7" w:rsidP="008B0547">
      <w:pPr>
        <w:spacing w:after="0"/>
      </w:pPr>
      <w:r>
        <w:separator/>
      </w:r>
    </w:p>
  </w:endnote>
  <w:endnote w:type="continuationSeparator" w:id="0">
    <w:p w:rsidR="006D70A7" w:rsidRDefault="006D70A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644BD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A7" w:rsidRDefault="006D70A7" w:rsidP="008B0547">
      <w:pPr>
        <w:spacing w:after="0"/>
      </w:pPr>
      <w:r>
        <w:separator/>
      </w:r>
    </w:p>
  </w:footnote>
  <w:footnote w:type="continuationSeparator" w:id="0">
    <w:p w:rsidR="006D70A7" w:rsidRDefault="006D70A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69478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694786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BAB0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837D13">
      <w:rPr>
        <w:rFonts w:ascii="Arial" w:hAnsi="Arial" w:cs="Arial"/>
        <w:noProof/>
        <w:lang w:eastAsia="pt-BR"/>
      </w:rPr>
      <w:t>71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6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7"/>
  </w:num>
  <w:num w:numId="7">
    <w:abstractNumId w:val="24"/>
  </w:num>
  <w:num w:numId="8">
    <w:abstractNumId w:val="22"/>
  </w:num>
  <w:num w:numId="9">
    <w:abstractNumId w:val="19"/>
  </w:num>
  <w:num w:numId="10">
    <w:abstractNumId w:val="6"/>
  </w:num>
  <w:num w:numId="11">
    <w:abstractNumId w:val="26"/>
  </w:num>
  <w:num w:numId="12">
    <w:abstractNumId w:val="4"/>
  </w:num>
  <w:num w:numId="13">
    <w:abstractNumId w:val="16"/>
  </w:num>
  <w:num w:numId="14">
    <w:abstractNumId w:val="23"/>
  </w:num>
  <w:num w:numId="15">
    <w:abstractNumId w:val="14"/>
  </w:num>
  <w:num w:numId="16">
    <w:abstractNumId w:val="2"/>
  </w:num>
  <w:num w:numId="17">
    <w:abstractNumId w:val="12"/>
  </w:num>
  <w:num w:numId="18">
    <w:abstractNumId w:val="25"/>
    <w:lvlOverride w:ilvl="0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18CC"/>
    <w:rsid w:val="00011D5A"/>
    <w:rsid w:val="00012468"/>
    <w:rsid w:val="0001636D"/>
    <w:rsid w:val="00020C27"/>
    <w:rsid w:val="00020C75"/>
    <w:rsid w:val="00023D72"/>
    <w:rsid w:val="000253D1"/>
    <w:rsid w:val="00025450"/>
    <w:rsid w:val="000271FA"/>
    <w:rsid w:val="00032198"/>
    <w:rsid w:val="00033551"/>
    <w:rsid w:val="00037DCE"/>
    <w:rsid w:val="00041450"/>
    <w:rsid w:val="000460E4"/>
    <w:rsid w:val="0004660A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35D8"/>
    <w:rsid w:val="00084282"/>
    <w:rsid w:val="00084727"/>
    <w:rsid w:val="00086A39"/>
    <w:rsid w:val="00087006"/>
    <w:rsid w:val="0009133A"/>
    <w:rsid w:val="000916AF"/>
    <w:rsid w:val="00092C2E"/>
    <w:rsid w:val="00094C5B"/>
    <w:rsid w:val="00095D98"/>
    <w:rsid w:val="0009748C"/>
    <w:rsid w:val="00097863"/>
    <w:rsid w:val="00097BF6"/>
    <w:rsid w:val="000A0EF8"/>
    <w:rsid w:val="000A152A"/>
    <w:rsid w:val="000A1EBD"/>
    <w:rsid w:val="000A2C56"/>
    <w:rsid w:val="000A47EA"/>
    <w:rsid w:val="000A6269"/>
    <w:rsid w:val="000A62BD"/>
    <w:rsid w:val="000B0ECB"/>
    <w:rsid w:val="000B0FEA"/>
    <w:rsid w:val="000B2AFA"/>
    <w:rsid w:val="000B639F"/>
    <w:rsid w:val="000B6BC1"/>
    <w:rsid w:val="000C02AD"/>
    <w:rsid w:val="000C4A10"/>
    <w:rsid w:val="000D1878"/>
    <w:rsid w:val="000D1B91"/>
    <w:rsid w:val="000D1EF5"/>
    <w:rsid w:val="000D1FD7"/>
    <w:rsid w:val="000D6418"/>
    <w:rsid w:val="000D7DB6"/>
    <w:rsid w:val="000D7DED"/>
    <w:rsid w:val="000E020F"/>
    <w:rsid w:val="000E12F7"/>
    <w:rsid w:val="000E2D47"/>
    <w:rsid w:val="000E3B31"/>
    <w:rsid w:val="000E504D"/>
    <w:rsid w:val="000E7FD4"/>
    <w:rsid w:val="000F2133"/>
    <w:rsid w:val="000F2F92"/>
    <w:rsid w:val="000F6D85"/>
    <w:rsid w:val="000F7CEE"/>
    <w:rsid w:val="000F7D84"/>
    <w:rsid w:val="00102D37"/>
    <w:rsid w:val="001041ED"/>
    <w:rsid w:val="001104BA"/>
    <w:rsid w:val="00112676"/>
    <w:rsid w:val="00112A5F"/>
    <w:rsid w:val="0011373A"/>
    <w:rsid w:val="00114511"/>
    <w:rsid w:val="00116BAB"/>
    <w:rsid w:val="00125F9A"/>
    <w:rsid w:val="00126026"/>
    <w:rsid w:val="00130A0C"/>
    <w:rsid w:val="00133EA9"/>
    <w:rsid w:val="00137B22"/>
    <w:rsid w:val="00140FED"/>
    <w:rsid w:val="00141D7A"/>
    <w:rsid w:val="001420D1"/>
    <w:rsid w:val="00142C16"/>
    <w:rsid w:val="001444A2"/>
    <w:rsid w:val="00151F92"/>
    <w:rsid w:val="0015258E"/>
    <w:rsid w:val="00152ECC"/>
    <w:rsid w:val="001532E4"/>
    <w:rsid w:val="00156A48"/>
    <w:rsid w:val="00156DDB"/>
    <w:rsid w:val="00157614"/>
    <w:rsid w:val="00157AFE"/>
    <w:rsid w:val="00157C0F"/>
    <w:rsid w:val="00171E89"/>
    <w:rsid w:val="001737F7"/>
    <w:rsid w:val="001744E7"/>
    <w:rsid w:val="00176375"/>
    <w:rsid w:val="001766A9"/>
    <w:rsid w:val="00181339"/>
    <w:rsid w:val="00192BE0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1F9"/>
    <w:rsid w:val="001E747D"/>
    <w:rsid w:val="001E7C3D"/>
    <w:rsid w:val="001F00DF"/>
    <w:rsid w:val="001F1E8F"/>
    <w:rsid w:val="001F6A6E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7B1B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535F"/>
    <w:rsid w:val="00236F05"/>
    <w:rsid w:val="002415A6"/>
    <w:rsid w:val="00242061"/>
    <w:rsid w:val="002435FC"/>
    <w:rsid w:val="002442D9"/>
    <w:rsid w:val="00244BA7"/>
    <w:rsid w:val="0024593F"/>
    <w:rsid w:val="002476B6"/>
    <w:rsid w:val="00253242"/>
    <w:rsid w:val="00254590"/>
    <w:rsid w:val="00257D8A"/>
    <w:rsid w:val="00261488"/>
    <w:rsid w:val="00262359"/>
    <w:rsid w:val="0026362E"/>
    <w:rsid w:val="002639CA"/>
    <w:rsid w:val="002644BD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686D"/>
    <w:rsid w:val="00276DC0"/>
    <w:rsid w:val="00277F47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40F"/>
    <w:rsid w:val="002A190F"/>
    <w:rsid w:val="002A2129"/>
    <w:rsid w:val="002A3796"/>
    <w:rsid w:val="002A3B3F"/>
    <w:rsid w:val="002A5A02"/>
    <w:rsid w:val="002A6CE6"/>
    <w:rsid w:val="002B1AD6"/>
    <w:rsid w:val="002B409B"/>
    <w:rsid w:val="002B4392"/>
    <w:rsid w:val="002B56C3"/>
    <w:rsid w:val="002B5AD5"/>
    <w:rsid w:val="002B5C5A"/>
    <w:rsid w:val="002B6422"/>
    <w:rsid w:val="002B71BA"/>
    <w:rsid w:val="002C208E"/>
    <w:rsid w:val="002C506F"/>
    <w:rsid w:val="002C7B61"/>
    <w:rsid w:val="002C7B6D"/>
    <w:rsid w:val="002D155C"/>
    <w:rsid w:val="002D1637"/>
    <w:rsid w:val="002D1688"/>
    <w:rsid w:val="002D1B69"/>
    <w:rsid w:val="002D1BA5"/>
    <w:rsid w:val="002D35F5"/>
    <w:rsid w:val="002D47FE"/>
    <w:rsid w:val="002D532D"/>
    <w:rsid w:val="002D739A"/>
    <w:rsid w:val="002D76AB"/>
    <w:rsid w:val="002D786D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F104B"/>
    <w:rsid w:val="002F1C09"/>
    <w:rsid w:val="002F4696"/>
    <w:rsid w:val="002F5F3B"/>
    <w:rsid w:val="002F693C"/>
    <w:rsid w:val="002F7C6D"/>
    <w:rsid w:val="003020F4"/>
    <w:rsid w:val="003025C7"/>
    <w:rsid w:val="0030360F"/>
    <w:rsid w:val="00303790"/>
    <w:rsid w:val="00303984"/>
    <w:rsid w:val="00304A73"/>
    <w:rsid w:val="003057F7"/>
    <w:rsid w:val="003069F9"/>
    <w:rsid w:val="00310208"/>
    <w:rsid w:val="0031058F"/>
    <w:rsid w:val="0031089E"/>
    <w:rsid w:val="00310D69"/>
    <w:rsid w:val="003147B7"/>
    <w:rsid w:val="003149A9"/>
    <w:rsid w:val="0031528D"/>
    <w:rsid w:val="00317E59"/>
    <w:rsid w:val="00320465"/>
    <w:rsid w:val="00322AE7"/>
    <w:rsid w:val="00325246"/>
    <w:rsid w:val="003275E4"/>
    <w:rsid w:val="00330069"/>
    <w:rsid w:val="00330144"/>
    <w:rsid w:val="0033244F"/>
    <w:rsid w:val="00337E16"/>
    <w:rsid w:val="00340E66"/>
    <w:rsid w:val="00340F10"/>
    <w:rsid w:val="00341D56"/>
    <w:rsid w:val="00342A44"/>
    <w:rsid w:val="0034486B"/>
    <w:rsid w:val="00344D92"/>
    <w:rsid w:val="003455A2"/>
    <w:rsid w:val="00345BD4"/>
    <w:rsid w:val="00350E87"/>
    <w:rsid w:val="00353B7C"/>
    <w:rsid w:val="0035438E"/>
    <w:rsid w:val="00355828"/>
    <w:rsid w:val="00356E38"/>
    <w:rsid w:val="00357CBE"/>
    <w:rsid w:val="00361487"/>
    <w:rsid w:val="00361661"/>
    <w:rsid w:val="00370BC7"/>
    <w:rsid w:val="00372E83"/>
    <w:rsid w:val="00375080"/>
    <w:rsid w:val="00377407"/>
    <w:rsid w:val="00381780"/>
    <w:rsid w:val="003824E4"/>
    <w:rsid w:val="00383CFE"/>
    <w:rsid w:val="003853FF"/>
    <w:rsid w:val="00385609"/>
    <w:rsid w:val="00385DAB"/>
    <w:rsid w:val="0038696B"/>
    <w:rsid w:val="00387CBD"/>
    <w:rsid w:val="003900C7"/>
    <w:rsid w:val="0039039F"/>
    <w:rsid w:val="00390ED6"/>
    <w:rsid w:val="00391B5C"/>
    <w:rsid w:val="00392509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153E"/>
    <w:rsid w:val="00412CEF"/>
    <w:rsid w:val="004141A8"/>
    <w:rsid w:val="004169D8"/>
    <w:rsid w:val="004201AF"/>
    <w:rsid w:val="00425FF9"/>
    <w:rsid w:val="00427B3B"/>
    <w:rsid w:val="00427EBF"/>
    <w:rsid w:val="00431085"/>
    <w:rsid w:val="00435269"/>
    <w:rsid w:val="004362AB"/>
    <w:rsid w:val="00441101"/>
    <w:rsid w:val="004415FB"/>
    <w:rsid w:val="00441CE3"/>
    <w:rsid w:val="004421F5"/>
    <w:rsid w:val="0044434A"/>
    <w:rsid w:val="0044437F"/>
    <w:rsid w:val="00445E76"/>
    <w:rsid w:val="00446606"/>
    <w:rsid w:val="004471BC"/>
    <w:rsid w:val="00447217"/>
    <w:rsid w:val="00451471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6D8"/>
    <w:rsid w:val="004837C6"/>
    <w:rsid w:val="00483998"/>
    <w:rsid w:val="00484E4C"/>
    <w:rsid w:val="004878ED"/>
    <w:rsid w:val="00491438"/>
    <w:rsid w:val="00492E3F"/>
    <w:rsid w:val="00493F5C"/>
    <w:rsid w:val="00495DB3"/>
    <w:rsid w:val="004A171B"/>
    <w:rsid w:val="004A2385"/>
    <w:rsid w:val="004A2D91"/>
    <w:rsid w:val="004A7912"/>
    <w:rsid w:val="004B0194"/>
    <w:rsid w:val="004B1113"/>
    <w:rsid w:val="004B1DC3"/>
    <w:rsid w:val="004B36AE"/>
    <w:rsid w:val="004C61A3"/>
    <w:rsid w:val="004C6E03"/>
    <w:rsid w:val="004C780C"/>
    <w:rsid w:val="004D03BA"/>
    <w:rsid w:val="004D3441"/>
    <w:rsid w:val="004D6A38"/>
    <w:rsid w:val="004D6C65"/>
    <w:rsid w:val="004D708E"/>
    <w:rsid w:val="004D760C"/>
    <w:rsid w:val="004D7C91"/>
    <w:rsid w:val="004E26E4"/>
    <w:rsid w:val="004E357A"/>
    <w:rsid w:val="004E5000"/>
    <w:rsid w:val="004E65EB"/>
    <w:rsid w:val="004F3D4A"/>
    <w:rsid w:val="004F7174"/>
    <w:rsid w:val="004F7E98"/>
    <w:rsid w:val="00500DD0"/>
    <w:rsid w:val="005012AA"/>
    <w:rsid w:val="005012CF"/>
    <w:rsid w:val="0050355D"/>
    <w:rsid w:val="005055B5"/>
    <w:rsid w:val="00506619"/>
    <w:rsid w:val="00510D1D"/>
    <w:rsid w:val="00511BBF"/>
    <w:rsid w:val="00515E7B"/>
    <w:rsid w:val="005217F8"/>
    <w:rsid w:val="0052267A"/>
    <w:rsid w:val="005239DD"/>
    <w:rsid w:val="00523CA1"/>
    <w:rsid w:val="005266F4"/>
    <w:rsid w:val="0052675C"/>
    <w:rsid w:val="005303B5"/>
    <w:rsid w:val="00531143"/>
    <w:rsid w:val="005340EA"/>
    <w:rsid w:val="00534A44"/>
    <w:rsid w:val="00536332"/>
    <w:rsid w:val="00542821"/>
    <w:rsid w:val="00543514"/>
    <w:rsid w:val="005438A1"/>
    <w:rsid w:val="00543B81"/>
    <w:rsid w:val="00543EB8"/>
    <w:rsid w:val="00543F41"/>
    <w:rsid w:val="00544550"/>
    <w:rsid w:val="00544FCF"/>
    <w:rsid w:val="005450DC"/>
    <w:rsid w:val="00545A47"/>
    <w:rsid w:val="00545FC7"/>
    <w:rsid w:val="0054634E"/>
    <w:rsid w:val="00546B67"/>
    <w:rsid w:val="00554A33"/>
    <w:rsid w:val="0055716D"/>
    <w:rsid w:val="005571A6"/>
    <w:rsid w:val="00557953"/>
    <w:rsid w:val="00560E55"/>
    <w:rsid w:val="00562E8F"/>
    <w:rsid w:val="0056301A"/>
    <w:rsid w:val="005635AD"/>
    <w:rsid w:val="005640E1"/>
    <w:rsid w:val="00564EA1"/>
    <w:rsid w:val="0056534C"/>
    <w:rsid w:val="00567CEE"/>
    <w:rsid w:val="005713F4"/>
    <w:rsid w:val="00571E64"/>
    <w:rsid w:val="00573D3B"/>
    <w:rsid w:val="00575CC3"/>
    <w:rsid w:val="00576018"/>
    <w:rsid w:val="00580F26"/>
    <w:rsid w:val="00581A7C"/>
    <w:rsid w:val="0058427E"/>
    <w:rsid w:val="005864FA"/>
    <w:rsid w:val="00590907"/>
    <w:rsid w:val="0059346F"/>
    <w:rsid w:val="00594A7B"/>
    <w:rsid w:val="005A2D82"/>
    <w:rsid w:val="005A3835"/>
    <w:rsid w:val="005A3AEC"/>
    <w:rsid w:val="005A6858"/>
    <w:rsid w:val="005A72F2"/>
    <w:rsid w:val="005B2194"/>
    <w:rsid w:val="005B2BC3"/>
    <w:rsid w:val="005B4B8C"/>
    <w:rsid w:val="005B4CFA"/>
    <w:rsid w:val="005B5B3D"/>
    <w:rsid w:val="005B7112"/>
    <w:rsid w:val="005B7166"/>
    <w:rsid w:val="005C18EE"/>
    <w:rsid w:val="005C1A79"/>
    <w:rsid w:val="005C7644"/>
    <w:rsid w:val="005C7BF4"/>
    <w:rsid w:val="005D2B0F"/>
    <w:rsid w:val="005D3352"/>
    <w:rsid w:val="005E12DD"/>
    <w:rsid w:val="005E269C"/>
    <w:rsid w:val="005E3586"/>
    <w:rsid w:val="005E386D"/>
    <w:rsid w:val="005E3EC0"/>
    <w:rsid w:val="005E4DEE"/>
    <w:rsid w:val="005E5FF1"/>
    <w:rsid w:val="005F01CE"/>
    <w:rsid w:val="005F135B"/>
    <w:rsid w:val="005F4E54"/>
    <w:rsid w:val="005F70B6"/>
    <w:rsid w:val="005F7A87"/>
    <w:rsid w:val="006017DF"/>
    <w:rsid w:val="00601F0A"/>
    <w:rsid w:val="00604DBE"/>
    <w:rsid w:val="006063E1"/>
    <w:rsid w:val="006065E4"/>
    <w:rsid w:val="00606F56"/>
    <w:rsid w:val="00610039"/>
    <w:rsid w:val="00610381"/>
    <w:rsid w:val="00611C07"/>
    <w:rsid w:val="00611E07"/>
    <w:rsid w:val="00612045"/>
    <w:rsid w:val="00612F12"/>
    <w:rsid w:val="00613AC9"/>
    <w:rsid w:val="00615808"/>
    <w:rsid w:val="00620E86"/>
    <w:rsid w:val="006219DD"/>
    <w:rsid w:val="00621D63"/>
    <w:rsid w:val="00623DAF"/>
    <w:rsid w:val="006242BF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532C3"/>
    <w:rsid w:val="00661BD2"/>
    <w:rsid w:val="00666285"/>
    <w:rsid w:val="00670FEA"/>
    <w:rsid w:val="00671DC9"/>
    <w:rsid w:val="0067252D"/>
    <w:rsid w:val="006734AA"/>
    <w:rsid w:val="006734B3"/>
    <w:rsid w:val="0067353C"/>
    <w:rsid w:val="00676163"/>
    <w:rsid w:val="006764C4"/>
    <w:rsid w:val="00677C22"/>
    <w:rsid w:val="006808CC"/>
    <w:rsid w:val="00685899"/>
    <w:rsid w:val="00692D30"/>
    <w:rsid w:val="00694786"/>
    <w:rsid w:val="00695597"/>
    <w:rsid w:val="00696A89"/>
    <w:rsid w:val="00696F75"/>
    <w:rsid w:val="00697477"/>
    <w:rsid w:val="006A037E"/>
    <w:rsid w:val="006A2019"/>
    <w:rsid w:val="006A21CC"/>
    <w:rsid w:val="006A3D41"/>
    <w:rsid w:val="006A7796"/>
    <w:rsid w:val="006B0495"/>
    <w:rsid w:val="006B0DCB"/>
    <w:rsid w:val="006B2408"/>
    <w:rsid w:val="006B3AF9"/>
    <w:rsid w:val="006B414C"/>
    <w:rsid w:val="006B4B0F"/>
    <w:rsid w:val="006C32CF"/>
    <w:rsid w:val="006C335E"/>
    <w:rsid w:val="006C3A1F"/>
    <w:rsid w:val="006C5C6C"/>
    <w:rsid w:val="006C7DE0"/>
    <w:rsid w:val="006D3DC7"/>
    <w:rsid w:val="006D4245"/>
    <w:rsid w:val="006D70A7"/>
    <w:rsid w:val="006E0A93"/>
    <w:rsid w:val="006E4064"/>
    <w:rsid w:val="006E58EA"/>
    <w:rsid w:val="006F0036"/>
    <w:rsid w:val="006F2F67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5758"/>
    <w:rsid w:val="0070717A"/>
    <w:rsid w:val="00707244"/>
    <w:rsid w:val="00712CCC"/>
    <w:rsid w:val="007136E9"/>
    <w:rsid w:val="00713DE5"/>
    <w:rsid w:val="007157A0"/>
    <w:rsid w:val="007174DA"/>
    <w:rsid w:val="00720910"/>
    <w:rsid w:val="00720F29"/>
    <w:rsid w:val="007224C2"/>
    <w:rsid w:val="00731409"/>
    <w:rsid w:val="007334B1"/>
    <w:rsid w:val="007339F3"/>
    <w:rsid w:val="00737FEC"/>
    <w:rsid w:val="00740292"/>
    <w:rsid w:val="00742B07"/>
    <w:rsid w:val="0075064C"/>
    <w:rsid w:val="00755956"/>
    <w:rsid w:val="00756AA0"/>
    <w:rsid w:val="00757CE6"/>
    <w:rsid w:val="00763097"/>
    <w:rsid w:val="00764CB0"/>
    <w:rsid w:val="007666D8"/>
    <w:rsid w:val="007671B6"/>
    <w:rsid w:val="007671DA"/>
    <w:rsid w:val="00767C28"/>
    <w:rsid w:val="00770C72"/>
    <w:rsid w:val="007719A8"/>
    <w:rsid w:val="00773CAE"/>
    <w:rsid w:val="00774593"/>
    <w:rsid w:val="00776EDA"/>
    <w:rsid w:val="00777599"/>
    <w:rsid w:val="00785646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3F28"/>
    <w:rsid w:val="007B5018"/>
    <w:rsid w:val="007B65B3"/>
    <w:rsid w:val="007C08AB"/>
    <w:rsid w:val="007C4E99"/>
    <w:rsid w:val="007C5151"/>
    <w:rsid w:val="007C546B"/>
    <w:rsid w:val="007C670D"/>
    <w:rsid w:val="007C7359"/>
    <w:rsid w:val="007D0ED0"/>
    <w:rsid w:val="007D1F01"/>
    <w:rsid w:val="007D3E0E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1DEB"/>
    <w:rsid w:val="007F22A5"/>
    <w:rsid w:val="007F421D"/>
    <w:rsid w:val="007F5688"/>
    <w:rsid w:val="0080038A"/>
    <w:rsid w:val="0080065F"/>
    <w:rsid w:val="008051DE"/>
    <w:rsid w:val="00805659"/>
    <w:rsid w:val="0080733E"/>
    <w:rsid w:val="00810CC2"/>
    <w:rsid w:val="00812153"/>
    <w:rsid w:val="0081324B"/>
    <w:rsid w:val="0081440E"/>
    <w:rsid w:val="00816193"/>
    <w:rsid w:val="008165E4"/>
    <w:rsid w:val="008234BD"/>
    <w:rsid w:val="00824A8C"/>
    <w:rsid w:val="00825155"/>
    <w:rsid w:val="00825EB9"/>
    <w:rsid w:val="008303E2"/>
    <w:rsid w:val="00833A8F"/>
    <w:rsid w:val="008341F8"/>
    <w:rsid w:val="008359F3"/>
    <w:rsid w:val="00835DB6"/>
    <w:rsid w:val="00836AC2"/>
    <w:rsid w:val="00837D13"/>
    <w:rsid w:val="008406D5"/>
    <w:rsid w:val="00843BED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4E"/>
    <w:rsid w:val="00861B74"/>
    <w:rsid w:val="00864A10"/>
    <w:rsid w:val="008652C9"/>
    <w:rsid w:val="00866992"/>
    <w:rsid w:val="00866CA9"/>
    <w:rsid w:val="00867E3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55A4"/>
    <w:rsid w:val="00887082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3D50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0125"/>
    <w:rsid w:val="008F2902"/>
    <w:rsid w:val="008F4593"/>
    <w:rsid w:val="008F660B"/>
    <w:rsid w:val="009005CE"/>
    <w:rsid w:val="00901376"/>
    <w:rsid w:val="0090188B"/>
    <w:rsid w:val="009021A4"/>
    <w:rsid w:val="00904305"/>
    <w:rsid w:val="00904EC5"/>
    <w:rsid w:val="00914B48"/>
    <w:rsid w:val="0091511B"/>
    <w:rsid w:val="00917B6F"/>
    <w:rsid w:val="009239AA"/>
    <w:rsid w:val="009245B5"/>
    <w:rsid w:val="00925EF2"/>
    <w:rsid w:val="009354C3"/>
    <w:rsid w:val="00935C40"/>
    <w:rsid w:val="00935F4D"/>
    <w:rsid w:val="0093795C"/>
    <w:rsid w:val="00937DCB"/>
    <w:rsid w:val="00937F7E"/>
    <w:rsid w:val="009440DE"/>
    <w:rsid w:val="009444E6"/>
    <w:rsid w:val="00944A8E"/>
    <w:rsid w:val="009455E6"/>
    <w:rsid w:val="0094589B"/>
    <w:rsid w:val="009509C0"/>
    <w:rsid w:val="00953B70"/>
    <w:rsid w:val="00956BA7"/>
    <w:rsid w:val="00956FD8"/>
    <w:rsid w:val="009575F7"/>
    <w:rsid w:val="00957E4B"/>
    <w:rsid w:val="0096021A"/>
    <w:rsid w:val="00960F73"/>
    <w:rsid w:val="009642CA"/>
    <w:rsid w:val="009652B6"/>
    <w:rsid w:val="0096655D"/>
    <w:rsid w:val="00971139"/>
    <w:rsid w:val="00972B10"/>
    <w:rsid w:val="0097401F"/>
    <w:rsid w:val="00981FA0"/>
    <w:rsid w:val="0098263A"/>
    <w:rsid w:val="00983541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2FB9"/>
    <w:rsid w:val="009B5D6F"/>
    <w:rsid w:val="009B62AF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D70EE"/>
    <w:rsid w:val="009E04DC"/>
    <w:rsid w:val="009E0FB3"/>
    <w:rsid w:val="009E3B5A"/>
    <w:rsid w:val="009E5105"/>
    <w:rsid w:val="009E59A1"/>
    <w:rsid w:val="009E66EE"/>
    <w:rsid w:val="009F4326"/>
    <w:rsid w:val="009F7FA6"/>
    <w:rsid w:val="00A0082F"/>
    <w:rsid w:val="00A0244C"/>
    <w:rsid w:val="00A033FF"/>
    <w:rsid w:val="00A0409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6A1"/>
    <w:rsid w:val="00A239A8"/>
    <w:rsid w:val="00A25B79"/>
    <w:rsid w:val="00A30683"/>
    <w:rsid w:val="00A3115F"/>
    <w:rsid w:val="00A32209"/>
    <w:rsid w:val="00A33030"/>
    <w:rsid w:val="00A378A2"/>
    <w:rsid w:val="00A407B6"/>
    <w:rsid w:val="00A40CDE"/>
    <w:rsid w:val="00A43FBD"/>
    <w:rsid w:val="00A43FD4"/>
    <w:rsid w:val="00A44703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67917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49AF"/>
    <w:rsid w:val="00AA4F2F"/>
    <w:rsid w:val="00AA57CE"/>
    <w:rsid w:val="00AA72B0"/>
    <w:rsid w:val="00AA7540"/>
    <w:rsid w:val="00AB3E6B"/>
    <w:rsid w:val="00AB51C8"/>
    <w:rsid w:val="00AB7B25"/>
    <w:rsid w:val="00AC0BAE"/>
    <w:rsid w:val="00AC126F"/>
    <w:rsid w:val="00AC3256"/>
    <w:rsid w:val="00AC4B34"/>
    <w:rsid w:val="00AD05A6"/>
    <w:rsid w:val="00AD283D"/>
    <w:rsid w:val="00AE05EA"/>
    <w:rsid w:val="00AE0EDF"/>
    <w:rsid w:val="00AE1128"/>
    <w:rsid w:val="00AE1AB0"/>
    <w:rsid w:val="00AE2609"/>
    <w:rsid w:val="00AE29A8"/>
    <w:rsid w:val="00AE439A"/>
    <w:rsid w:val="00AE591D"/>
    <w:rsid w:val="00AE617A"/>
    <w:rsid w:val="00AE713F"/>
    <w:rsid w:val="00AF09C7"/>
    <w:rsid w:val="00AF4BF4"/>
    <w:rsid w:val="00B0025D"/>
    <w:rsid w:val="00B006D8"/>
    <w:rsid w:val="00B02238"/>
    <w:rsid w:val="00B03D35"/>
    <w:rsid w:val="00B05065"/>
    <w:rsid w:val="00B05194"/>
    <w:rsid w:val="00B06B45"/>
    <w:rsid w:val="00B06D33"/>
    <w:rsid w:val="00B074B3"/>
    <w:rsid w:val="00B10AD8"/>
    <w:rsid w:val="00B11498"/>
    <w:rsid w:val="00B154B5"/>
    <w:rsid w:val="00B17303"/>
    <w:rsid w:val="00B21343"/>
    <w:rsid w:val="00B219AA"/>
    <w:rsid w:val="00B21A5B"/>
    <w:rsid w:val="00B25143"/>
    <w:rsid w:val="00B2585D"/>
    <w:rsid w:val="00B266FA"/>
    <w:rsid w:val="00B26C40"/>
    <w:rsid w:val="00B26D82"/>
    <w:rsid w:val="00B27359"/>
    <w:rsid w:val="00B33FC2"/>
    <w:rsid w:val="00B347F1"/>
    <w:rsid w:val="00B34A99"/>
    <w:rsid w:val="00B3502B"/>
    <w:rsid w:val="00B35755"/>
    <w:rsid w:val="00B35774"/>
    <w:rsid w:val="00B3599F"/>
    <w:rsid w:val="00B35C3E"/>
    <w:rsid w:val="00B36473"/>
    <w:rsid w:val="00B40BEA"/>
    <w:rsid w:val="00B41D9D"/>
    <w:rsid w:val="00B44029"/>
    <w:rsid w:val="00B44FFA"/>
    <w:rsid w:val="00B45428"/>
    <w:rsid w:val="00B47943"/>
    <w:rsid w:val="00B50446"/>
    <w:rsid w:val="00B50A6E"/>
    <w:rsid w:val="00B512D2"/>
    <w:rsid w:val="00B527BF"/>
    <w:rsid w:val="00B530FD"/>
    <w:rsid w:val="00B53C03"/>
    <w:rsid w:val="00B53C9C"/>
    <w:rsid w:val="00B558FE"/>
    <w:rsid w:val="00B56396"/>
    <w:rsid w:val="00B5639B"/>
    <w:rsid w:val="00B60C3E"/>
    <w:rsid w:val="00B615CB"/>
    <w:rsid w:val="00B63E30"/>
    <w:rsid w:val="00B645FA"/>
    <w:rsid w:val="00B64775"/>
    <w:rsid w:val="00B663CD"/>
    <w:rsid w:val="00B67B4F"/>
    <w:rsid w:val="00B81718"/>
    <w:rsid w:val="00B86AF6"/>
    <w:rsid w:val="00B86E2A"/>
    <w:rsid w:val="00B877AA"/>
    <w:rsid w:val="00B9389E"/>
    <w:rsid w:val="00B94EB5"/>
    <w:rsid w:val="00B96EA4"/>
    <w:rsid w:val="00B97282"/>
    <w:rsid w:val="00B97A3E"/>
    <w:rsid w:val="00BA2F02"/>
    <w:rsid w:val="00BA2FFD"/>
    <w:rsid w:val="00BA428A"/>
    <w:rsid w:val="00BA58B6"/>
    <w:rsid w:val="00BA62AD"/>
    <w:rsid w:val="00BB0267"/>
    <w:rsid w:val="00BB078B"/>
    <w:rsid w:val="00BB37AF"/>
    <w:rsid w:val="00BB4769"/>
    <w:rsid w:val="00BB4C08"/>
    <w:rsid w:val="00BB61BE"/>
    <w:rsid w:val="00BB779D"/>
    <w:rsid w:val="00BC1DBD"/>
    <w:rsid w:val="00BC5737"/>
    <w:rsid w:val="00BD1747"/>
    <w:rsid w:val="00BD3C68"/>
    <w:rsid w:val="00BD421D"/>
    <w:rsid w:val="00BD6B87"/>
    <w:rsid w:val="00BD73FC"/>
    <w:rsid w:val="00BD79B1"/>
    <w:rsid w:val="00BE04D9"/>
    <w:rsid w:val="00BE4614"/>
    <w:rsid w:val="00BE4E6F"/>
    <w:rsid w:val="00BE5100"/>
    <w:rsid w:val="00BE529D"/>
    <w:rsid w:val="00BE53DD"/>
    <w:rsid w:val="00BE573E"/>
    <w:rsid w:val="00BE6637"/>
    <w:rsid w:val="00BF10E8"/>
    <w:rsid w:val="00BF2033"/>
    <w:rsid w:val="00BF3158"/>
    <w:rsid w:val="00BF3169"/>
    <w:rsid w:val="00BF51B7"/>
    <w:rsid w:val="00C00953"/>
    <w:rsid w:val="00C03312"/>
    <w:rsid w:val="00C039A5"/>
    <w:rsid w:val="00C03A04"/>
    <w:rsid w:val="00C046F7"/>
    <w:rsid w:val="00C064FE"/>
    <w:rsid w:val="00C06EA1"/>
    <w:rsid w:val="00C10C0B"/>
    <w:rsid w:val="00C10DD5"/>
    <w:rsid w:val="00C11F76"/>
    <w:rsid w:val="00C15A27"/>
    <w:rsid w:val="00C15FEF"/>
    <w:rsid w:val="00C1776A"/>
    <w:rsid w:val="00C20301"/>
    <w:rsid w:val="00C22519"/>
    <w:rsid w:val="00C22681"/>
    <w:rsid w:val="00C2305C"/>
    <w:rsid w:val="00C233D0"/>
    <w:rsid w:val="00C2380D"/>
    <w:rsid w:val="00C24162"/>
    <w:rsid w:val="00C24E78"/>
    <w:rsid w:val="00C2509D"/>
    <w:rsid w:val="00C27A2E"/>
    <w:rsid w:val="00C34ABD"/>
    <w:rsid w:val="00C353CF"/>
    <w:rsid w:val="00C35F43"/>
    <w:rsid w:val="00C37088"/>
    <w:rsid w:val="00C3715E"/>
    <w:rsid w:val="00C408D5"/>
    <w:rsid w:val="00C41D3C"/>
    <w:rsid w:val="00C43801"/>
    <w:rsid w:val="00C44A07"/>
    <w:rsid w:val="00C44BDC"/>
    <w:rsid w:val="00C45BFB"/>
    <w:rsid w:val="00C45DCE"/>
    <w:rsid w:val="00C46D15"/>
    <w:rsid w:val="00C50C7D"/>
    <w:rsid w:val="00C50FF9"/>
    <w:rsid w:val="00C54B14"/>
    <w:rsid w:val="00C6352A"/>
    <w:rsid w:val="00C65B2D"/>
    <w:rsid w:val="00C65C5D"/>
    <w:rsid w:val="00C6656A"/>
    <w:rsid w:val="00C66C03"/>
    <w:rsid w:val="00C711E5"/>
    <w:rsid w:val="00C730CB"/>
    <w:rsid w:val="00C731FC"/>
    <w:rsid w:val="00C73782"/>
    <w:rsid w:val="00C80D90"/>
    <w:rsid w:val="00C81B05"/>
    <w:rsid w:val="00C83AEE"/>
    <w:rsid w:val="00C85531"/>
    <w:rsid w:val="00C85563"/>
    <w:rsid w:val="00C85AC7"/>
    <w:rsid w:val="00C87F13"/>
    <w:rsid w:val="00C9045E"/>
    <w:rsid w:val="00C906CD"/>
    <w:rsid w:val="00C9133D"/>
    <w:rsid w:val="00C934E0"/>
    <w:rsid w:val="00C942EE"/>
    <w:rsid w:val="00C96454"/>
    <w:rsid w:val="00CA0FB8"/>
    <w:rsid w:val="00CA15F3"/>
    <w:rsid w:val="00CA2680"/>
    <w:rsid w:val="00CA4D23"/>
    <w:rsid w:val="00CA6716"/>
    <w:rsid w:val="00CB036A"/>
    <w:rsid w:val="00CB0D34"/>
    <w:rsid w:val="00CB79F7"/>
    <w:rsid w:val="00CC1939"/>
    <w:rsid w:val="00CC42D4"/>
    <w:rsid w:val="00CC64E3"/>
    <w:rsid w:val="00CC7712"/>
    <w:rsid w:val="00CD179A"/>
    <w:rsid w:val="00CD2536"/>
    <w:rsid w:val="00CD407F"/>
    <w:rsid w:val="00CD5740"/>
    <w:rsid w:val="00CD7420"/>
    <w:rsid w:val="00CE0BA7"/>
    <w:rsid w:val="00CE6ACB"/>
    <w:rsid w:val="00CE6D09"/>
    <w:rsid w:val="00CF0E4D"/>
    <w:rsid w:val="00CF230D"/>
    <w:rsid w:val="00CF5489"/>
    <w:rsid w:val="00CF7615"/>
    <w:rsid w:val="00CF7823"/>
    <w:rsid w:val="00D003F8"/>
    <w:rsid w:val="00D01AFE"/>
    <w:rsid w:val="00D02757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3801"/>
    <w:rsid w:val="00D25AEC"/>
    <w:rsid w:val="00D25B2F"/>
    <w:rsid w:val="00D341C9"/>
    <w:rsid w:val="00D3447D"/>
    <w:rsid w:val="00D3488B"/>
    <w:rsid w:val="00D361DE"/>
    <w:rsid w:val="00D37427"/>
    <w:rsid w:val="00D3793E"/>
    <w:rsid w:val="00D37FB2"/>
    <w:rsid w:val="00D41A6A"/>
    <w:rsid w:val="00D4233A"/>
    <w:rsid w:val="00D44B3D"/>
    <w:rsid w:val="00D46C4C"/>
    <w:rsid w:val="00D51F18"/>
    <w:rsid w:val="00D53537"/>
    <w:rsid w:val="00D54E9E"/>
    <w:rsid w:val="00D551C8"/>
    <w:rsid w:val="00D55972"/>
    <w:rsid w:val="00D564BB"/>
    <w:rsid w:val="00D565FA"/>
    <w:rsid w:val="00D568ED"/>
    <w:rsid w:val="00D6014E"/>
    <w:rsid w:val="00D630E7"/>
    <w:rsid w:val="00D700E5"/>
    <w:rsid w:val="00D70900"/>
    <w:rsid w:val="00D71B77"/>
    <w:rsid w:val="00D74A87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3ECD"/>
    <w:rsid w:val="00DB4717"/>
    <w:rsid w:val="00DC12C8"/>
    <w:rsid w:val="00DC6F31"/>
    <w:rsid w:val="00DC7FFD"/>
    <w:rsid w:val="00DD1B11"/>
    <w:rsid w:val="00DD6D82"/>
    <w:rsid w:val="00DE045E"/>
    <w:rsid w:val="00DE1240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4E34"/>
    <w:rsid w:val="00DF75EC"/>
    <w:rsid w:val="00E004A7"/>
    <w:rsid w:val="00E0133D"/>
    <w:rsid w:val="00E019ED"/>
    <w:rsid w:val="00E02392"/>
    <w:rsid w:val="00E0312F"/>
    <w:rsid w:val="00E04C48"/>
    <w:rsid w:val="00E06065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7E2"/>
    <w:rsid w:val="00E304EB"/>
    <w:rsid w:val="00E329D0"/>
    <w:rsid w:val="00E33746"/>
    <w:rsid w:val="00E342B3"/>
    <w:rsid w:val="00E3451F"/>
    <w:rsid w:val="00E34B80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73271"/>
    <w:rsid w:val="00E735DA"/>
    <w:rsid w:val="00E74214"/>
    <w:rsid w:val="00E74762"/>
    <w:rsid w:val="00E74D52"/>
    <w:rsid w:val="00E75855"/>
    <w:rsid w:val="00E7609C"/>
    <w:rsid w:val="00E82556"/>
    <w:rsid w:val="00E85CBE"/>
    <w:rsid w:val="00E86566"/>
    <w:rsid w:val="00E875F5"/>
    <w:rsid w:val="00E92527"/>
    <w:rsid w:val="00E92A93"/>
    <w:rsid w:val="00E93620"/>
    <w:rsid w:val="00E97045"/>
    <w:rsid w:val="00E97DA3"/>
    <w:rsid w:val="00EA270C"/>
    <w:rsid w:val="00EA5CB5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05C2"/>
    <w:rsid w:val="00EE30EE"/>
    <w:rsid w:val="00EE3C6D"/>
    <w:rsid w:val="00EE4C6E"/>
    <w:rsid w:val="00EE5135"/>
    <w:rsid w:val="00EE61BE"/>
    <w:rsid w:val="00EE6DE6"/>
    <w:rsid w:val="00EF057C"/>
    <w:rsid w:val="00EF1D14"/>
    <w:rsid w:val="00EF4FEE"/>
    <w:rsid w:val="00EF6873"/>
    <w:rsid w:val="00F0080B"/>
    <w:rsid w:val="00F00BE1"/>
    <w:rsid w:val="00F01B31"/>
    <w:rsid w:val="00F03AB9"/>
    <w:rsid w:val="00F06479"/>
    <w:rsid w:val="00F076C5"/>
    <w:rsid w:val="00F120D9"/>
    <w:rsid w:val="00F124BE"/>
    <w:rsid w:val="00F125DE"/>
    <w:rsid w:val="00F24232"/>
    <w:rsid w:val="00F2526C"/>
    <w:rsid w:val="00F27170"/>
    <w:rsid w:val="00F30016"/>
    <w:rsid w:val="00F3144A"/>
    <w:rsid w:val="00F31C75"/>
    <w:rsid w:val="00F32543"/>
    <w:rsid w:val="00F33277"/>
    <w:rsid w:val="00F340CD"/>
    <w:rsid w:val="00F341CC"/>
    <w:rsid w:val="00F36B6C"/>
    <w:rsid w:val="00F36D10"/>
    <w:rsid w:val="00F40CAB"/>
    <w:rsid w:val="00F47C5C"/>
    <w:rsid w:val="00F54856"/>
    <w:rsid w:val="00F57650"/>
    <w:rsid w:val="00F579FC"/>
    <w:rsid w:val="00F60C74"/>
    <w:rsid w:val="00F62773"/>
    <w:rsid w:val="00F64F51"/>
    <w:rsid w:val="00F66122"/>
    <w:rsid w:val="00F666FD"/>
    <w:rsid w:val="00F67A35"/>
    <w:rsid w:val="00F759AD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0CE6"/>
    <w:rsid w:val="00FE28C8"/>
    <w:rsid w:val="00FE79EF"/>
    <w:rsid w:val="00FF025A"/>
    <w:rsid w:val="00FF088B"/>
    <w:rsid w:val="00FF0AC4"/>
    <w:rsid w:val="00FF10AF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12164E6-E7D4-4632-A9A2-6CB1A306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1847</Words>
  <Characters>9977</Characters>
  <Application>Microsoft Office Word</Application>
  <DocSecurity>4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11801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2011-08-02T17:55:00Z</cp:lastPrinted>
  <dcterms:created xsi:type="dcterms:W3CDTF">2015-05-07T12:39:00Z</dcterms:created>
  <dcterms:modified xsi:type="dcterms:W3CDTF">2015-05-07T12:39:00Z</dcterms:modified>
</cp:coreProperties>
</file>