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097863" w:rsidRDefault="009444E6" w:rsidP="00AA4F2F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Sessões: </w:t>
      </w:r>
      <w:r w:rsidR="00C13759">
        <w:rPr>
          <w:rFonts w:ascii="Times New Roman" w:hAnsi="Times New Roman"/>
          <w:b/>
          <w:i w:val="0"/>
          <w:color w:val="000000"/>
          <w:sz w:val="22"/>
          <w:szCs w:val="22"/>
        </w:rPr>
        <w:t>28</w:t>
      </w:r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AE591D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e </w:t>
      </w:r>
      <w:r w:rsidR="00805084">
        <w:rPr>
          <w:rFonts w:ascii="Times New Roman" w:hAnsi="Times New Roman"/>
          <w:b/>
          <w:i w:val="0"/>
          <w:color w:val="000000"/>
          <w:sz w:val="22"/>
          <w:szCs w:val="22"/>
        </w:rPr>
        <w:t>2</w:t>
      </w:r>
      <w:r w:rsidR="00C13759">
        <w:rPr>
          <w:rFonts w:ascii="Times New Roman" w:hAnsi="Times New Roman"/>
          <w:b/>
          <w:i w:val="0"/>
          <w:color w:val="000000"/>
          <w:sz w:val="22"/>
          <w:szCs w:val="22"/>
        </w:rPr>
        <w:t>9</w:t>
      </w:r>
      <w:r w:rsidR="00AE591D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de junho </w:t>
      </w:r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>de 201</w:t>
      </w:r>
      <w:r w:rsidR="00467815"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>1</w:t>
      </w:r>
    </w:p>
    <w:p w:rsidR="002D35F5" w:rsidRPr="00097863" w:rsidRDefault="002D35F5" w:rsidP="00AA4F2F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097863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da jurisprudência do TCU quanto aos aspectos relevantes que envolvem o tema. Por esse motivo,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FF7C62" w:rsidRPr="00097863" w:rsidRDefault="00FF7C62" w:rsidP="00AA4F2F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2D35F5" w:rsidRPr="00D53537" w:rsidRDefault="002D35F5" w:rsidP="00AA4F2F">
      <w:pPr>
        <w:pBdr>
          <w:top w:val="threeDEmboss" w:sz="24" w:space="2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D53537">
        <w:rPr>
          <w:rFonts w:ascii="Cambria" w:hAnsi="Cambria"/>
          <w:b/>
          <w:bCs/>
          <w:smallCaps/>
          <w:sz w:val="22"/>
          <w:szCs w:val="22"/>
        </w:rPr>
        <w:t>S</w:t>
      </w:r>
      <w:r w:rsidR="00FF7C62" w:rsidRPr="00D53537">
        <w:rPr>
          <w:rFonts w:ascii="Cambria" w:hAnsi="Cambria"/>
          <w:b/>
          <w:bCs/>
          <w:smallCaps/>
          <w:sz w:val="22"/>
          <w:szCs w:val="22"/>
        </w:rPr>
        <w:t>UMÁRIO</w:t>
      </w:r>
    </w:p>
    <w:p w:rsidR="009444E6" w:rsidRPr="009B5291" w:rsidRDefault="009444E6" w:rsidP="0068672E">
      <w:pPr>
        <w:pStyle w:val="tita"/>
        <w:tabs>
          <w:tab w:val="left" w:pos="2590"/>
        </w:tabs>
        <w:spacing w:before="60" w:after="60" w:line="240" w:lineRule="auto"/>
        <w:jc w:val="both"/>
        <w:rPr>
          <w:b w:val="0"/>
          <w:i w:val="0"/>
          <w:iCs w:val="0"/>
          <w:color w:val="000000"/>
          <w:sz w:val="22"/>
          <w:szCs w:val="22"/>
        </w:rPr>
      </w:pPr>
      <w:r w:rsidRPr="009B5291">
        <w:rPr>
          <w:i w:val="0"/>
          <w:iCs w:val="0"/>
          <w:color w:val="000000"/>
          <w:sz w:val="22"/>
          <w:szCs w:val="22"/>
        </w:rPr>
        <w:t>Plenário</w:t>
      </w:r>
    </w:p>
    <w:p w:rsidR="003A6537" w:rsidRPr="00EA511F" w:rsidRDefault="00EA511F" w:rsidP="00EA511F">
      <w:pPr>
        <w:spacing w:before="60" w:after="60"/>
        <w:ind w:left="0"/>
        <w:rPr>
          <w:color w:val="000000"/>
          <w:sz w:val="22"/>
          <w:szCs w:val="22"/>
        </w:rPr>
      </w:pPr>
      <w:r w:rsidRPr="00EA511F">
        <w:rPr>
          <w:color w:val="000000"/>
          <w:sz w:val="22"/>
          <w:szCs w:val="22"/>
        </w:rPr>
        <w:t>A disponibilidade de pessoal especializado, equipamentos e instalações físicas devem ser exigidos no momento da contratação e não na etapa de qualificação técnica dos licitantes</w:t>
      </w:r>
      <w:r w:rsidR="003A6537" w:rsidRPr="00EA511F">
        <w:rPr>
          <w:color w:val="000000"/>
          <w:sz w:val="22"/>
          <w:szCs w:val="22"/>
        </w:rPr>
        <w:t>.</w:t>
      </w:r>
    </w:p>
    <w:p w:rsidR="003A6537" w:rsidRPr="003A6537" w:rsidRDefault="003A6537" w:rsidP="00EA511F">
      <w:pPr>
        <w:pStyle w:val="TCU-RelVoto-1"/>
        <w:spacing w:before="60" w:after="60"/>
        <w:ind w:firstLine="0"/>
        <w:rPr>
          <w:color w:val="FF0000"/>
          <w:sz w:val="22"/>
        </w:rPr>
      </w:pPr>
      <w:r w:rsidRPr="003A6537">
        <w:rPr>
          <w:color w:val="000000"/>
          <w:sz w:val="22"/>
        </w:rPr>
        <w:t>Para a pesquisa de preços a ser feita por instituição pública contratante</w:t>
      </w:r>
      <w:r w:rsidRPr="003A6537">
        <w:rPr>
          <w:i/>
          <w:color w:val="000000"/>
          <w:sz w:val="22"/>
        </w:rPr>
        <w:t xml:space="preserve"> </w:t>
      </w:r>
      <w:r w:rsidRPr="003A6537">
        <w:rPr>
          <w:color w:val="000000"/>
          <w:sz w:val="22"/>
        </w:rPr>
        <w:t xml:space="preserve">não há </w:t>
      </w:r>
      <w:r w:rsidRPr="003A6537">
        <w:rPr>
          <w:snapToGrid w:val="0"/>
          <w:color w:val="000000"/>
          <w:sz w:val="22"/>
          <w:lang w:eastAsia="pt-BR"/>
        </w:rPr>
        <w:t>exigência legal de que o agente público efetue checagem prévia dos preços a</w:t>
      </w:r>
      <w:r w:rsidRPr="003A6537">
        <w:rPr>
          <w:snapToGrid w:val="0"/>
          <w:sz w:val="22"/>
          <w:lang w:eastAsia="pt-BR"/>
        </w:rPr>
        <w:t xml:space="preserve"> serem praticados entre o futuro contratado e seus fornecedores</w:t>
      </w:r>
      <w:r>
        <w:rPr>
          <w:snapToGrid w:val="0"/>
          <w:sz w:val="22"/>
          <w:lang w:eastAsia="pt-BR"/>
        </w:rPr>
        <w:t>.</w:t>
      </w:r>
    </w:p>
    <w:p w:rsidR="006056D8" w:rsidRPr="006056D8" w:rsidRDefault="006056D8" w:rsidP="006056D8">
      <w:pPr>
        <w:pStyle w:val="Corpodetexto"/>
        <w:widowControl w:val="0"/>
        <w:tabs>
          <w:tab w:val="left" w:pos="0"/>
          <w:tab w:val="left" w:pos="900"/>
          <w:tab w:val="left" w:pos="113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before="60" w:after="60"/>
        <w:ind w:left="0"/>
        <w:rPr>
          <w:sz w:val="22"/>
          <w:szCs w:val="22"/>
        </w:rPr>
      </w:pPr>
      <w:r w:rsidRPr="006056D8">
        <w:rPr>
          <w:sz w:val="22"/>
          <w:szCs w:val="22"/>
        </w:rPr>
        <w:t xml:space="preserve">Contratação para tecnologia da informação: </w:t>
      </w:r>
    </w:p>
    <w:p w:rsidR="006056D8" w:rsidRPr="006056D8" w:rsidRDefault="006056D8" w:rsidP="006056D8">
      <w:pPr>
        <w:pStyle w:val="Corpodetexto"/>
        <w:widowControl w:val="0"/>
        <w:tabs>
          <w:tab w:val="left" w:pos="0"/>
          <w:tab w:val="left" w:pos="851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before="60" w:after="60"/>
        <w:ind w:left="0"/>
        <w:rPr>
          <w:sz w:val="22"/>
          <w:szCs w:val="22"/>
        </w:rPr>
      </w:pPr>
      <w:r w:rsidRPr="006056D8">
        <w:rPr>
          <w:sz w:val="22"/>
          <w:szCs w:val="22"/>
        </w:rPr>
        <w:tab/>
        <w:t>1 - Aditivos contratuais fundamentados no § 1º do art. 65 da Lei 8.666/1993 devem ter por causa fato superveniente à assinatura da avença;</w:t>
      </w:r>
    </w:p>
    <w:p w:rsidR="003A6537" w:rsidRPr="006056D8" w:rsidRDefault="006056D8" w:rsidP="006056D8">
      <w:pPr>
        <w:pStyle w:val="Corpodetexto"/>
        <w:widowControl w:val="0"/>
        <w:tabs>
          <w:tab w:val="left" w:pos="0"/>
          <w:tab w:val="left" w:pos="851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before="60" w:after="60"/>
        <w:ind w:left="0"/>
        <w:rPr>
          <w:sz w:val="22"/>
          <w:szCs w:val="22"/>
        </w:rPr>
      </w:pPr>
      <w:r w:rsidRPr="006056D8">
        <w:rPr>
          <w:sz w:val="22"/>
          <w:szCs w:val="22"/>
        </w:rPr>
        <w:tab/>
        <w:t xml:space="preserve">2 - </w:t>
      </w:r>
      <w:r w:rsidR="003A6537" w:rsidRPr="006056D8">
        <w:rPr>
          <w:sz w:val="22"/>
          <w:szCs w:val="22"/>
        </w:rPr>
        <w:t>Os acordos básicos de cooperação técnica internacional prestada ao Brasil não autorizam que a contraparte externa efetue, no interesse da Administração demandante, o desempenho de atribuições próprias dos órgãos públicos, nas quais não haverá transferência de conhecimento por parte do organismo internacional executor ou em que a assessoria técnica de um ente externo é dispensável, por se tratar de temas e práticas já de domínio público, demandados rotineiramente pela Administração, a exemplo da contratação de bens e serviços de natureza comum, usualmente disponíveis no mercado.</w:t>
      </w:r>
    </w:p>
    <w:p w:rsidR="00AF4B16" w:rsidRPr="00906778" w:rsidRDefault="00AF4B16" w:rsidP="0068672E">
      <w:pPr>
        <w:pStyle w:val="Corpodetexto"/>
        <w:tabs>
          <w:tab w:val="left" w:pos="2590"/>
        </w:tabs>
        <w:spacing w:before="60" w:after="60"/>
        <w:ind w:left="0"/>
        <w:rPr>
          <w:b/>
          <w:color w:val="FF0000"/>
          <w:sz w:val="22"/>
          <w:szCs w:val="22"/>
        </w:rPr>
      </w:pPr>
    </w:p>
    <w:p w:rsidR="003C6DEB" w:rsidRPr="00906778" w:rsidRDefault="003C6DEB" w:rsidP="00621D63">
      <w:pPr>
        <w:pBdr>
          <w:top w:val="threeDEmboss" w:sz="24" w:space="0" w:color="auto"/>
        </w:pBdr>
        <w:tabs>
          <w:tab w:val="left" w:pos="284"/>
          <w:tab w:val="left" w:pos="2590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906778">
        <w:rPr>
          <w:rFonts w:ascii="Cambria" w:hAnsi="Cambria"/>
          <w:b/>
          <w:bCs/>
          <w:smallCaps/>
          <w:sz w:val="22"/>
          <w:szCs w:val="22"/>
        </w:rPr>
        <w:t>PLENÁRIO</w:t>
      </w:r>
    </w:p>
    <w:p w:rsidR="00E02654" w:rsidRDefault="00E02654" w:rsidP="006E1404">
      <w:pPr>
        <w:spacing w:after="0"/>
        <w:ind w:left="0"/>
        <w:rPr>
          <w:b/>
          <w:color w:val="FF0000"/>
          <w:sz w:val="22"/>
          <w:szCs w:val="22"/>
        </w:rPr>
      </w:pPr>
    </w:p>
    <w:p w:rsidR="006E1404" w:rsidRPr="00EF66C4" w:rsidRDefault="00EF66C4" w:rsidP="00AF4B16">
      <w:pPr>
        <w:spacing w:after="0"/>
        <w:ind w:left="0"/>
        <w:rPr>
          <w:b/>
          <w:color w:val="000000"/>
          <w:sz w:val="22"/>
          <w:szCs w:val="22"/>
        </w:rPr>
      </w:pPr>
      <w:r w:rsidRPr="00EF66C4">
        <w:rPr>
          <w:b/>
          <w:color w:val="000000"/>
          <w:sz w:val="22"/>
          <w:szCs w:val="22"/>
        </w:rPr>
        <w:t>A disponibilidade de pessoal especializado</w:t>
      </w:r>
      <w:r>
        <w:rPr>
          <w:b/>
          <w:color w:val="000000"/>
          <w:sz w:val="22"/>
          <w:szCs w:val="22"/>
        </w:rPr>
        <w:t>,</w:t>
      </w:r>
      <w:r w:rsidRPr="00EF66C4">
        <w:rPr>
          <w:b/>
          <w:color w:val="000000"/>
          <w:sz w:val="22"/>
          <w:szCs w:val="22"/>
        </w:rPr>
        <w:t xml:space="preserve"> equipamentos</w:t>
      </w:r>
      <w:r>
        <w:rPr>
          <w:b/>
          <w:color w:val="000000"/>
          <w:sz w:val="22"/>
          <w:szCs w:val="22"/>
        </w:rPr>
        <w:t xml:space="preserve"> e</w:t>
      </w:r>
      <w:r w:rsidRPr="00EF66C4">
        <w:rPr>
          <w:b/>
          <w:color w:val="000000"/>
          <w:sz w:val="22"/>
          <w:szCs w:val="22"/>
        </w:rPr>
        <w:t xml:space="preserve"> instalações físicas deve</w:t>
      </w:r>
      <w:r w:rsidR="00EA511F">
        <w:rPr>
          <w:b/>
          <w:color w:val="000000"/>
          <w:sz w:val="22"/>
          <w:szCs w:val="22"/>
        </w:rPr>
        <w:t>m</w:t>
      </w:r>
      <w:r w:rsidRPr="00EF66C4">
        <w:rPr>
          <w:b/>
          <w:color w:val="000000"/>
          <w:sz w:val="22"/>
          <w:szCs w:val="22"/>
        </w:rPr>
        <w:t xml:space="preserve"> </w:t>
      </w:r>
      <w:r w:rsidR="00EA511F">
        <w:rPr>
          <w:b/>
          <w:color w:val="000000"/>
          <w:sz w:val="22"/>
          <w:szCs w:val="22"/>
        </w:rPr>
        <w:t>s</w:t>
      </w:r>
      <w:r w:rsidRPr="00EF66C4">
        <w:rPr>
          <w:b/>
          <w:color w:val="000000"/>
          <w:sz w:val="22"/>
          <w:szCs w:val="22"/>
        </w:rPr>
        <w:t xml:space="preserve">er </w:t>
      </w:r>
      <w:r w:rsidR="00EA511F">
        <w:rPr>
          <w:b/>
          <w:color w:val="000000"/>
          <w:sz w:val="22"/>
          <w:szCs w:val="22"/>
        </w:rPr>
        <w:t>exigidos</w:t>
      </w:r>
      <w:r w:rsidRPr="00EF66C4">
        <w:rPr>
          <w:b/>
          <w:color w:val="000000"/>
          <w:sz w:val="22"/>
          <w:szCs w:val="22"/>
        </w:rPr>
        <w:t xml:space="preserve"> </w:t>
      </w:r>
      <w:r w:rsidR="00EA511F">
        <w:rPr>
          <w:b/>
          <w:color w:val="000000"/>
          <w:sz w:val="22"/>
          <w:szCs w:val="22"/>
        </w:rPr>
        <w:t>n</w:t>
      </w:r>
      <w:r w:rsidRPr="00EF66C4">
        <w:rPr>
          <w:b/>
          <w:color w:val="000000"/>
          <w:sz w:val="22"/>
          <w:szCs w:val="22"/>
        </w:rPr>
        <w:t xml:space="preserve">o momento da contratação e não </w:t>
      </w:r>
      <w:r w:rsidR="00EA511F">
        <w:rPr>
          <w:b/>
          <w:color w:val="000000"/>
          <w:sz w:val="22"/>
          <w:szCs w:val="22"/>
        </w:rPr>
        <w:t>n</w:t>
      </w:r>
      <w:r w:rsidRPr="00EF66C4">
        <w:rPr>
          <w:b/>
          <w:color w:val="000000"/>
          <w:sz w:val="22"/>
          <w:szCs w:val="22"/>
        </w:rPr>
        <w:t>a etapa de qualificação técnica dos licitantes</w:t>
      </w:r>
    </w:p>
    <w:p w:rsidR="006E1404" w:rsidRPr="00EF66C4" w:rsidRDefault="00DF448D" w:rsidP="00EF66C4">
      <w:pPr>
        <w:pStyle w:val="Default"/>
        <w:jc w:val="both"/>
        <w:rPr>
          <w:snapToGrid w:val="0"/>
          <w:sz w:val="22"/>
          <w:szCs w:val="22"/>
        </w:rPr>
      </w:pPr>
      <w:r w:rsidRPr="0094417D">
        <w:rPr>
          <w:sz w:val="22"/>
          <w:szCs w:val="22"/>
        </w:rPr>
        <w:t xml:space="preserve">Representação, com pedido liminar, noticiou ao TCU possíveis irregularidades no Pregão Eletrônico nº 007/2011, promovido pela Superintendência de Administração do Ministério da Fazenda no Amapá – (SAMF/AP), para a contratação de empresa especializada em gestão da informação, ECM (gerenciamento de conteúdo corporativo), tratamento de acervo documental e artefatos digitais com gerenciamento eletrônico de informações, higienização documental química e mecânica, catalogação, conversão textual, controle de qualidade, exportação de imagem e dados, captura de imagem, áudio e vídeo, indexação, taxonomia, tabela de temporalidade, blisterização, integração de artefatos digitais, auditoria em sistema, gestão de ativos digitais com implantação de modelagem de processos, gerenciamento do conhecimento em </w:t>
      </w:r>
      <w:r w:rsidRPr="00EF66C4">
        <w:rPr>
          <w:b/>
          <w:sz w:val="22"/>
          <w:szCs w:val="22"/>
        </w:rPr>
        <w:t>software</w:t>
      </w:r>
      <w:r w:rsidRPr="0094417D">
        <w:rPr>
          <w:sz w:val="22"/>
          <w:szCs w:val="22"/>
        </w:rPr>
        <w:t xml:space="preserve"> com guarda de documentos em mídia com </w:t>
      </w:r>
      <w:r w:rsidRPr="0094417D">
        <w:rPr>
          <w:b/>
          <w:iCs/>
          <w:sz w:val="22"/>
          <w:szCs w:val="22"/>
        </w:rPr>
        <w:t>storage</w:t>
      </w:r>
      <w:r w:rsidRPr="0094417D">
        <w:rPr>
          <w:sz w:val="22"/>
          <w:szCs w:val="22"/>
        </w:rPr>
        <w:t xml:space="preserve">, conversão de todo e qualquer artefato físico para digital, com disponibilização de texto e imagem para consulta, pesquisa, visualização, importação e integração para banco de dados em software de gerenciamento eletrônico de documentos a2, a3, a4 e a0, com assinatura criptografada conforme metodologias definidas no edital e em seus anexos, num quantitativo estimado de 8.106.000 páginas. </w:t>
      </w:r>
      <w:r w:rsidR="00274EC3" w:rsidRPr="0094417D">
        <w:rPr>
          <w:sz w:val="22"/>
          <w:szCs w:val="22"/>
        </w:rPr>
        <w:t>Ao analisar o edital norteador do certame, a unidade técnica notou a exigência, para o fim de qualificação técnica na licitação, de declaração da disponibilidade de equipamentos, instalações físicas e pessoal especializado, localizados em Macapá/AP. Todavia, ainda para a unidade técnica,</w:t>
      </w:r>
      <w:r w:rsidR="005B76C0" w:rsidRPr="0094417D">
        <w:rPr>
          <w:sz w:val="22"/>
          <w:szCs w:val="22"/>
        </w:rPr>
        <w:t xml:space="preserve"> “</w:t>
      </w:r>
      <w:r w:rsidR="005B76C0" w:rsidRPr="0094417D">
        <w:rPr>
          <w:i/>
          <w:sz w:val="22"/>
          <w:szCs w:val="22"/>
        </w:rPr>
        <w:t xml:space="preserve">seria razoável exigir da licitante tão somente uma declaração de que, </w:t>
      </w:r>
      <w:r w:rsidR="005B76C0" w:rsidRPr="0094417D">
        <w:rPr>
          <w:bCs/>
          <w:i/>
          <w:sz w:val="22"/>
          <w:szCs w:val="22"/>
        </w:rPr>
        <w:t>no momento da contratação</w:t>
      </w:r>
      <w:r w:rsidR="005B76C0" w:rsidRPr="0094417D">
        <w:rPr>
          <w:i/>
          <w:sz w:val="22"/>
          <w:szCs w:val="22"/>
        </w:rPr>
        <w:t>, os equipamentos especificados estariam disponíveis em Macapá. Exigir que a empresa possua os referidos equipamentos em Macapá, já por ocasião do certame, limita a competitividade em favor de empresas locais</w:t>
      </w:r>
      <w:r w:rsidR="005B76C0" w:rsidRPr="0094417D">
        <w:rPr>
          <w:sz w:val="22"/>
          <w:szCs w:val="22"/>
        </w:rPr>
        <w:t>”. Além disso, “</w:t>
      </w:r>
      <w:r w:rsidR="005B76C0" w:rsidRPr="0094417D">
        <w:rPr>
          <w:i/>
          <w:sz w:val="22"/>
          <w:szCs w:val="22"/>
        </w:rPr>
        <w:t>a exigência de instalações físicas apropriadas e específicas da licitante em Macapá/AP também se mostra de extremo rigor, já que a execução dos serviços licitados será realizada na própria sede da SAMF/AP</w:t>
      </w:r>
      <w:r w:rsidR="005B76C0" w:rsidRPr="0094417D">
        <w:rPr>
          <w:sz w:val="22"/>
          <w:szCs w:val="22"/>
        </w:rPr>
        <w:t xml:space="preserve">”. Diante disso, por essa e por outras irregularidades, e, por entender presentes os requisitos necessários, a unidade técnica propôs a suspensão cautelar Pregão Eletrônico nº 007/2011, bem como a audiência dos responsáveis, o que foi acolhido pelo relator e referendado pelo Plenário. </w:t>
      </w:r>
      <w:r w:rsidRPr="0094417D">
        <w:rPr>
          <w:b/>
          <w:i/>
          <w:sz w:val="22"/>
          <w:szCs w:val="22"/>
        </w:rPr>
        <w:t xml:space="preserve">Decisão monocrática no </w:t>
      </w:r>
      <w:r w:rsidR="006E1404" w:rsidRPr="0094417D">
        <w:rPr>
          <w:b/>
          <w:i/>
          <w:sz w:val="22"/>
          <w:szCs w:val="22"/>
        </w:rPr>
        <w:t>TC-</w:t>
      </w:r>
      <w:r w:rsidR="006E1404" w:rsidRPr="00EF66C4">
        <w:rPr>
          <w:b/>
          <w:i/>
          <w:sz w:val="22"/>
          <w:szCs w:val="22"/>
        </w:rPr>
        <w:t>0</w:t>
      </w:r>
      <w:r w:rsidRPr="00EF66C4">
        <w:rPr>
          <w:b/>
          <w:i/>
          <w:sz w:val="22"/>
          <w:szCs w:val="22"/>
        </w:rPr>
        <w:t>16</w:t>
      </w:r>
      <w:r w:rsidR="006E1404" w:rsidRPr="00EF66C4">
        <w:rPr>
          <w:b/>
          <w:i/>
          <w:sz w:val="22"/>
          <w:szCs w:val="22"/>
        </w:rPr>
        <w:t>.</w:t>
      </w:r>
      <w:r w:rsidRPr="00EF66C4">
        <w:rPr>
          <w:b/>
          <w:i/>
          <w:sz w:val="22"/>
          <w:szCs w:val="22"/>
        </w:rPr>
        <w:t>674</w:t>
      </w:r>
      <w:r w:rsidR="006E1404" w:rsidRPr="00EF66C4">
        <w:rPr>
          <w:b/>
          <w:i/>
          <w:sz w:val="22"/>
          <w:szCs w:val="22"/>
        </w:rPr>
        <w:t>/20</w:t>
      </w:r>
      <w:r w:rsidRPr="00EF66C4">
        <w:rPr>
          <w:b/>
          <w:i/>
          <w:sz w:val="22"/>
          <w:szCs w:val="22"/>
        </w:rPr>
        <w:t>11</w:t>
      </w:r>
      <w:r w:rsidR="006E1404" w:rsidRPr="00EF66C4">
        <w:rPr>
          <w:b/>
          <w:i/>
          <w:sz w:val="22"/>
          <w:szCs w:val="22"/>
        </w:rPr>
        <w:t>-</w:t>
      </w:r>
      <w:r w:rsidRPr="00EF66C4">
        <w:rPr>
          <w:b/>
          <w:i/>
          <w:sz w:val="22"/>
          <w:szCs w:val="22"/>
        </w:rPr>
        <w:t>1</w:t>
      </w:r>
      <w:r w:rsidR="006E1404" w:rsidRPr="00EF66C4">
        <w:rPr>
          <w:b/>
          <w:i/>
          <w:sz w:val="22"/>
          <w:szCs w:val="22"/>
        </w:rPr>
        <w:t xml:space="preserve">, rel. Min. </w:t>
      </w:r>
      <w:r w:rsidR="00CE2909" w:rsidRPr="00EF66C4">
        <w:rPr>
          <w:b/>
          <w:i/>
          <w:sz w:val="22"/>
          <w:szCs w:val="22"/>
        </w:rPr>
        <w:t>Valmir Campelo, 29</w:t>
      </w:r>
      <w:r w:rsidR="006E1404" w:rsidRPr="00EF66C4">
        <w:rPr>
          <w:b/>
          <w:i/>
          <w:sz w:val="22"/>
          <w:szCs w:val="22"/>
        </w:rPr>
        <w:t>.06.2011</w:t>
      </w:r>
      <w:r w:rsidR="006E1404" w:rsidRPr="00EF66C4">
        <w:rPr>
          <w:sz w:val="22"/>
          <w:szCs w:val="22"/>
        </w:rPr>
        <w:t>.</w:t>
      </w:r>
    </w:p>
    <w:p w:rsidR="006E1404" w:rsidRPr="00EF66C4" w:rsidRDefault="006E1404" w:rsidP="00EF66C4">
      <w:pPr>
        <w:pStyle w:val="tita"/>
        <w:tabs>
          <w:tab w:val="left" w:pos="2590"/>
        </w:tabs>
        <w:spacing w:before="0" w:after="0" w:line="240" w:lineRule="auto"/>
        <w:jc w:val="both"/>
        <w:rPr>
          <w:i w:val="0"/>
          <w:iCs w:val="0"/>
          <w:color w:val="FF0000"/>
          <w:sz w:val="22"/>
          <w:szCs w:val="22"/>
        </w:rPr>
      </w:pPr>
    </w:p>
    <w:p w:rsidR="002035B3" w:rsidRPr="003A6537" w:rsidRDefault="003A6537" w:rsidP="00EF66C4">
      <w:pPr>
        <w:pStyle w:val="TCU-RelVoto-1"/>
        <w:spacing w:after="0"/>
        <w:ind w:firstLine="0"/>
        <w:rPr>
          <w:b/>
          <w:color w:val="FF0000"/>
          <w:sz w:val="22"/>
        </w:rPr>
      </w:pPr>
      <w:r w:rsidRPr="003A6537">
        <w:rPr>
          <w:b/>
          <w:color w:val="000000"/>
          <w:sz w:val="22"/>
        </w:rPr>
        <w:t>Para a pesquisa de preços a ser feita por instituição pública contratante</w:t>
      </w:r>
      <w:r w:rsidRPr="003A6537">
        <w:rPr>
          <w:i/>
          <w:color w:val="000000"/>
          <w:sz w:val="22"/>
        </w:rPr>
        <w:t xml:space="preserve"> </w:t>
      </w:r>
      <w:r w:rsidRPr="003A6537">
        <w:rPr>
          <w:b/>
          <w:color w:val="000000"/>
          <w:sz w:val="22"/>
        </w:rPr>
        <w:t>n</w:t>
      </w:r>
      <w:r>
        <w:rPr>
          <w:b/>
          <w:color w:val="000000"/>
          <w:sz w:val="22"/>
        </w:rPr>
        <w:t>ão há</w:t>
      </w:r>
      <w:r w:rsidRPr="003A6537">
        <w:rPr>
          <w:b/>
          <w:color w:val="000000"/>
          <w:sz w:val="22"/>
        </w:rPr>
        <w:t xml:space="preserve"> </w:t>
      </w:r>
      <w:r w:rsidRPr="003A6537">
        <w:rPr>
          <w:b/>
          <w:snapToGrid w:val="0"/>
          <w:color w:val="000000"/>
          <w:sz w:val="22"/>
          <w:lang w:eastAsia="pt-BR"/>
        </w:rPr>
        <w:t>exig</w:t>
      </w:r>
      <w:r>
        <w:rPr>
          <w:b/>
          <w:snapToGrid w:val="0"/>
          <w:color w:val="000000"/>
          <w:sz w:val="22"/>
          <w:lang w:eastAsia="pt-BR"/>
        </w:rPr>
        <w:t>ência legal</w:t>
      </w:r>
      <w:r w:rsidRPr="003A6537">
        <w:rPr>
          <w:b/>
          <w:snapToGrid w:val="0"/>
          <w:color w:val="000000"/>
          <w:sz w:val="22"/>
          <w:lang w:eastAsia="pt-BR"/>
        </w:rPr>
        <w:t xml:space="preserve"> </w:t>
      </w:r>
      <w:r>
        <w:rPr>
          <w:b/>
          <w:snapToGrid w:val="0"/>
          <w:color w:val="000000"/>
          <w:sz w:val="22"/>
          <w:lang w:eastAsia="pt-BR"/>
        </w:rPr>
        <w:t xml:space="preserve">de que </w:t>
      </w:r>
      <w:r w:rsidRPr="003A6537">
        <w:rPr>
          <w:b/>
          <w:snapToGrid w:val="0"/>
          <w:color w:val="000000"/>
          <w:sz w:val="22"/>
          <w:lang w:eastAsia="pt-BR"/>
        </w:rPr>
        <w:t>o agente público efetue checagem prévia dos preços a</w:t>
      </w:r>
      <w:r w:rsidRPr="003A6537">
        <w:rPr>
          <w:b/>
          <w:snapToGrid w:val="0"/>
          <w:sz w:val="22"/>
          <w:lang w:eastAsia="pt-BR"/>
        </w:rPr>
        <w:t xml:space="preserve"> serem praticados entre o futuro contratado e seus fornecedores</w:t>
      </w:r>
    </w:p>
    <w:p w:rsidR="00576018" w:rsidRPr="00EF66C4" w:rsidRDefault="00C13759" w:rsidP="00EF66C4">
      <w:pPr>
        <w:widowControl w:val="0"/>
        <w:tabs>
          <w:tab w:val="left" w:pos="0"/>
          <w:tab w:val="left" w:pos="900"/>
          <w:tab w:val="left" w:pos="113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after="0"/>
        <w:ind w:left="0"/>
        <w:rPr>
          <w:snapToGrid w:val="0"/>
          <w:color w:val="000000"/>
          <w:sz w:val="22"/>
          <w:szCs w:val="22"/>
        </w:rPr>
      </w:pPr>
      <w:r w:rsidRPr="00EF66C4">
        <w:rPr>
          <w:sz w:val="22"/>
          <w:szCs w:val="22"/>
        </w:rPr>
        <w:t>Representação trouxe ao conhecimento do Tribunal possíveis irregularidades na contratação pelo Serviço Federal de Processamento de Dados - (SERPRO), por meio de adesão à Ata de Registro de Preços nº 5/2007 da Fundação Alexandre de Gusmão -</w:t>
      </w:r>
      <w:r w:rsidR="00594C0C" w:rsidRPr="00EF66C4">
        <w:rPr>
          <w:sz w:val="22"/>
          <w:szCs w:val="22"/>
        </w:rPr>
        <w:t xml:space="preserve"> </w:t>
      </w:r>
      <w:r w:rsidRPr="00EF66C4">
        <w:rPr>
          <w:sz w:val="22"/>
          <w:szCs w:val="22"/>
        </w:rPr>
        <w:t xml:space="preserve">(Funag/MRE), de empresa privada, para a prestação de serviço de organização de eventos, serviços correlatos e suporte, compreendendo o planejamento operacional, organização, execução, acompanhamento e assessoria de comunicação, abrangendo, ainda, serviços especializados de tradução e revisão de textos, periódicos e livros. </w:t>
      </w:r>
      <w:r w:rsidR="00033E4B" w:rsidRPr="00EF66C4">
        <w:rPr>
          <w:sz w:val="22"/>
          <w:szCs w:val="22"/>
        </w:rPr>
        <w:t>U</w:t>
      </w:r>
      <w:r w:rsidR="00594C0C" w:rsidRPr="00EF66C4">
        <w:rPr>
          <w:sz w:val="22"/>
          <w:szCs w:val="22"/>
        </w:rPr>
        <w:t xml:space="preserve">ma dessas irregularidades que levou à oitiva de diversos responsáveis foi a aprovação de projeto básico, contendo pesquisas de preços deficientes, relativas a valores de pastas, </w:t>
      </w:r>
      <w:r w:rsidR="00594C0C" w:rsidRPr="00EF66C4">
        <w:rPr>
          <w:b/>
          <w:sz w:val="22"/>
          <w:szCs w:val="22"/>
        </w:rPr>
        <w:t>coffee-breaks</w:t>
      </w:r>
      <w:r w:rsidR="00594C0C" w:rsidRPr="00EF66C4">
        <w:rPr>
          <w:sz w:val="22"/>
          <w:szCs w:val="22"/>
        </w:rPr>
        <w:t xml:space="preserve">, almoços/jantares, culminando em contratação antieconômica, com preços unitários superiores a 111%, 108% e 72%, respectivamente, aos cobrados à contratada por seus fornecedores. Nos argumentos apresentados, os responsáveis ouvidos </w:t>
      </w:r>
      <w:r w:rsidR="00EF66C4">
        <w:rPr>
          <w:sz w:val="22"/>
          <w:szCs w:val="22"/>
        </w:rPr>
        <w:t>pelo TCU</w:t>
      </w:r>
      <w:r w:rsidR="00594C0C" w:rsidRPr="00EF66C4">
        <w:rPr>
          <w:sz w:val="22"/>
          <w:szCs w:val="22"/>
        </w:rPr>
        <w:t xml:space="preserve"> procuraram demonstrar que, comparativamente aos preços dos outros orçamentos que obtiveram, os valores constantes da at</w:t>
      </w:r>
      <w:r w:rsidR="00EF66C4">
        <w:rPr>
          <w:sz w:val="22"/>
          <w:szCs w:val="22"/>
        </w:rPr>
        <w:t>a de registro de preços da Funag</w:t>
      </w:r>
      <w:r w:rsidR="00594C0C" w:rsidRPr="00EF66C4">
        <w:rPr>
          <w:sz w:val="22"/>
          <w:szCs w:val="22"/>
        </w:rPr>
        <w:t xml:space="preserve"> foram os menores apresentados. </w:t>
      </w:r>
      <w:r w:rsidR="00D22ACB" w:rsidRPr="00EF66C4">
        <w:rPr>
          <w:sz w:val="22"/>
          <w:szCs w:val="22"/>
        </w:rPr>
        <w:t xml:space="preserve">Segundo </w:t>
      </w:r>
      <w:r w:rsidR="00594C0C" w:rsidRPr="00EF66C4">
        <w:rPr>
          <w:sz w:val="22"/>
          <w:szCs w:val="22"/>
        </w:rPr>
        <w:t>eles, “</w:t>
      </w:r>
      <w:r w:rsidR="00D22ACB" w:rsidRPr="00EF66C4">
        <w:rPr>
          <w:i/>
          <w:sz w:val="22"/>
          <w:szCs w:val="22"/>
        </w:rPr>
        <w:t>a</w:t>
      </w:r>
      <w:r w:rsidR="00594C0C" w:rsidRPr="00EF66C4">
        <w:rPr>
          <w:i/>
          <w:sz w:val="22"/>
          <w:szCs w:val="22"/>
        </w:rPr>
        <w:t>o aderir àqueles termos, que teriam constituído adjudicação regular, o Serpro teria visado apenas à Ata de Registro e aos preços ali estabelecidos”</w:t>
      </w:r>
      <w:r w:rsidR="00594C0C" w:rsidRPr="00EF66C4">
        <w:rPr>
          <w:sz w:val="22"/>
          <w:szCs w:val="22"/>
        </w:rPr>
        <w:t xml:space="preserve">, independentemente de qual fosse a negociação empreendida entre a empresa contratada e seus fornecedores, tese com a qual discordou </w:t>
      </w:r>
      <w:r w:rsidR="00F85967" w:rsidRPr="00EF66C4">
        <w:rPr>
          <w:sz w:val="22"/>
          <w:szCs w:val="22"/>
        </w:rPr>
        <w:t>o auditor responsável pela instrução do processo, segundo o</w:t>
      </w:r>
      <w:r w:rsidR="00594C0C" w:rsidRPr="00EF66C4">
        <w:rPr>
          <w:sz w:val="22"/>
          <w:szCs w:val="22"/>
        </w:rPr>
        <w:t xml:space="preserve"> qual </w:t>
      </w:r>
      <w:r w:rsidR="00F85967" w:rsidRPr="00EF66C4">
        <w:rPr>
          <w:sz w:val="22"/>
          <w:szCs w:val="22"/>
        </w:rPr>
        <w:t>haveria dúvidas quanto à qualidade da pesquisa de preços empreendida. Para ele, apesar de o preço da empresa contratada ter sido inferior ao cotado junto a outras empresas concorrentes, não se poderia olvidar, a partir de informações levantadas</w:t>
      </w:r>
      <w:r w:rsidR="003A6537">
        <w:rPr>
          <w:sz w:val="22"/>
          <w:szCs w:val="22"/>
        </w:rPr>
        <w:t xml:space="preserve"> junto ao mercado</w:t>
      </w:r>
      <w:r w:rsidR="00F85967" w:rsidRPr="00EF66C4">
        <w:rPr>
          <w:sz w:val="22"/>
          <w:szCs w:val="22"/>
        </w:rPr>
        <w:t>, as grandes diferenças entre os preços praticados pela contratada comparados aos de aquisição junto aos fornecedores. Propôs, então, a rejeição das justificativas apresentadas, bem como aplicação de multa aos responsáveis envolvidos. Todavia, o dirigente da unidade técnica divergiu d</w:t>
      </w:r>
      <w:r w:rsidR="00D22ACB" w:rsidRPr="00EF66C4">
        <w:rPr>
          <w:sz w:val="22"/>
          <w:szCs w:val="22"/>
        </w:rPr>
        <w:t>e</w:t>
      </w:r>
      <w:r w:rsidR="00F85967" w:rsidRPr="00EF66C4">
        <w:rPr>
          <w:sz w:val="22"/>
          <w:szCs w:val="22"/>
        </w:rPr>
        <w:t xml:space="preserve"> </w:t>
      </w:r>
      <w:r w:rsidR="00D22ACB" w:rsidRPr="00EF66C4">
        <w:rPr>
          <w:sz w:val="22"/>
          <w:szCs w:val="22"/>
        </w:rPr>
        <w:t xml:space="preserve">tal </w:t>
      </w:r>
      <w:r w:rsidR="00F85967" w:rsidRPr="00EF66C4">
        <w:rPr>
          <w:sz w:val="22"/>
          <w:szCs w:val="22"/>
        </w:rPr>
        <w:t>enca</w:t>
      </w:r>
      <w:r w:rsidR="00D22ACB" w:rsidRPr="00EF66C4">
        <w:rPr>
          <w:sz w:val="22"/>
          <w:szCs w:val="22"/>
        </w:rPr>
        <w:t xml:space="preserve">minhamento. </w:t>
      </w:r>
      <w:r w:rsidR="003A6537">
        <w:rPr>
          <w:sz w:val="22"/>
          <w:szCs w:val="22"/>
        </w:rPr>
        <w:t xml:space="preserve">Segundo </w:t>
      </w:r>
      <w:r w:rsidR="00D22ACB" w:rsidRPr="00EF66C4">
        <w:rPr>
          <w:sz w:val="22"/>
          <w:szCs w:val="22"/>
        </w:rPr>
        <w:t>ele, não seria justo apenar com multa os responsáveis, “</w:t>
      </w:r>
      <w:r w:rsidR="00D22ACB" w:rsidRPr="00EF66C4">
        <w:rPr>
          <w:i/>
          <w:sz w:val="22"/>
          <w:szCs w:val="22"/>
        </w:rPr>
        <w:t>uma vez que cumpriram a regulamentação de regência ao proceder a comparação do preço da ata de registro de preços de referência com outros dois ofertados no mercado</w:t>
      </w:r>
      <w:r w:rsidR="00D22ACB" w:rsidRPr="00EF66C4">
        <w:rPr>
          <w:sz w:val="22"/>
          <w:szCs w:val="22"/>
        </w:rPr>
        <w:t xml:space="preserve">”. Ainda conforme o dirigente da unidade instrutiva, seria desejável que o Serpro realizasse, tal como a auditora do Tribunal incumbida da instrução do processo, análise crítica dos itens componente da planilha de preços. Entretanto, em regra, não se pode exigir </w:t>
      </w:r>
      <w:r w:rsidR="003A6537">
        <w:rPr>
          <w:sz w:val="22"/>
          <w:szCs w:val="22"/>
        </w:rPr>
        <w:t xml:space="preserve">que </w:t>
      </w:r>
      <w:r w:rsidR="00D22ACB" w:rsidRPr="00EF66C4">
        <w:rPr>
          <w:sz w:val="22"/>
          <w:szCs w:val="22"/>
        </w:rPr>
        <w:t>o agente público</w:t>
      </w:r>
      <w:r w:rsidR="003A6537">
        <w:rPr>
          <w:sz w:val="22"/>
          <w:szCs w:val="22"/>
        </w:rPr>
        <w:t xml:space="preserve"> responsável pela contratação proceda</w:t>
      </w:r>
      <w:r w:rsidR="00D22ACB" w:rsidRPr="00EF66C4">
        <w:rPr>
          <w:sz w:val="22"/>
          <w:szCs w:val="22"/>
        </w:rPr>
        <w:t>, como feito na instrução</w:t>
      </w:r>
      <w:r w:rsidR="003A6537">
        <w:rPr>
          <w:sz w:val="22"/>
          <w:szCs w:val="22"/>
        </w:rPr>
        <w:t xml:space="preserve"> do auditor do TCU</w:t>
      </w:r>
      <w:r w:rsidR="00D22ACB" w:rsidRPr="00EF66C4">
        <w:rPr>
          <w:sz w:val="22"/>
          <w:szCs w:val="22"/>
        </w:rPr>
        <w:t>, “</w:t>
      </w:r>
      <w:r w:rsidR="00D22ACB" w:rsidRPr="00EF66C4">
        <w:rPr>
          <w:i/>
          <w:sz w:val="22"/>
          <w:szCs w:val="22"/>
        </w:rPr>
        <w:t>essa checagem prévia dos preços praticados entre o futuro contratado e seus fornecedores, sob pena de se inviabilizar o processo de contratação</w:t>
      </w:r>
      <w:r w:rsidR="00D22ACB" w:rsidRPr="00EF66C4">
        <w:rPr>
          <w:sz w:val="22"/>
          <w:szCs w:val="22"/>
        </w:rPr>
        <w:t xml:space="preserve">”. No caso concreto, tal fato só teria sido possível porque a análise do Tribunal deu-se </w:t>
      </w:r>
      <w:r w:rsidR="00D22ACB" w:rsidRPr="00EF66C4">
        <w:rPr>
          <w:b/>
          <w:sz w:val="22"/>
          <w:szCs w:val="22"/>
        </w:rPr>
        <w:t>a posteriori</w:t>
      </w:r>
      <w:r w:rsidR="00D22ACB" w:rsidRPr="00EF66C4">
        <w:rPr>
          <w:sz w:val="22"/>
          <w:szCs w:val="22"/>
        </w:rPr>
        <w:t>, e a contratada encaminhou tais informações ao TCU. Ao acolher a tese defendida pelo dirigente da unidade técnica, o relator destacou que “</w:t>
      </w:r>
      <w:r w:rsidR="00D22ACB" w:rsidRPr="00EF66C4">
        <w:rPr>
          <w:i/>
          <w:sz w:val="22"/>
          <w:szCs w:val="22"/>
        </w:rPr>
        <w:t>a</w:t>
      </w:r>
      <w:r w:rsidR="00D22ACB" w:rsidRPr="00EF66C4">
        <w:rPr>
          <w:i/>
          <w:snapToGrid w:val="0"/>
          <w:sz w:val="22"/>
          <w:szCs w:val="22"/>
          <w:lang w:eastAsia="pt-BR"/>
        </w:rPr>
        <w:t xml:space="preserve"> lei não exige que, durante o processo de contratação, o agente público efetue uma checagem prévia dos preços a serem praticados entre o futuro contratado e seus fornecedores. Interessa à Administração conhecer o preço final (de determinado bem ou serviço que pretende adquirir) que efetivamente é praticado pelas empresas no mercado, para servir de parâmetro ao processo de compra</w:t>
      </w:r>
      <w:r w:rsidR="00D22ACB" w:rsidRPr="00EF66C4">
        <w:rPr>
          <w:snapToGrid w:val="0"/>
          <w:sz w:val="22"/>
          <w:szCs w:val="22"/>
          <w:lang w:eastAsia="pt-BR"/>
        </w:rPr>
        <w:t xml:space="preserve">”. Por conseguinte, votou, no ponto, pela improcedência da representação, sendo acompanhado pelo Plenário. </w:t>
      </w:r>
      <w:r w:rsidR="00C731FC" w:rsidRPr="00EF66C4">
        <w:rPr>
          <w:b/>
          <w:i/>
          <w:color w:val="000000"/>
          <w:sz w:val="22"/>
          <w:szCs w:val="22"/>
        </w:rPr>
        <w:t>Acórdão n.º 1</w:t>
      </w:r>
      <w:r w:rsidRPr="00EF66C4">
        <w:rPr>
          <w:b/>
          <w:i/>
          <w:color w:val="000000"/>
          <w:sz w:val="22"/>
          <w:szCs w:val="22"/>
        </w:rPr>
        <w:t>750</w:t>
      </w:r>
      <w:r w:rsidR="00576018" w:rsidRPr="00EF66C4">
        <w:rPr>
          <w:b/>
          <w:i/>
          <w:color w:val="000000"/>
          <w:sz w:val="22"/>
          <w:szCs w:val="22"/>
        </w:rPr>
        <w:t>/</w:t>
      </w:r>
      <w:r w:rsidR="00C731FC" w:rsidRPr="00EF66C4">
        <w:rPr>
          <w:b/>
          <w:i/>
          <w:color w:val="000000"/>
          <w:sz w:val="22"/>
          <w:szCs w:val="22"/>
        </w:rPr>
        <w:t>2011-Plenário, TC-0</w:t>
      </w:r>
      <w:r w:rsidRPr="00EF66C4">
        <w:rPr>
          <w:b/>
          <w:i/>
          <w:color w:val="000000"/>
          <w:sz w:val="22"/>
          <w:szCs w:val="22"/>
        </w:rPr>
        <w:t>21</w:t>
      </w:r>
      <w:r w:rsidR="00576018" w:rsidRPr="00EF66C4">
        <w:rPr>
          <w:b/>
          <w:i/>
          <w:color w:val="000000"/>
          <w:sz w:val="22"/>
          <w:szCs w:val="22"/>
        </w:rPr>
        <w:t>.</w:t>
      </w:r>
      <w:r w:rsidRPr="00EF66C4">
        <w:rPr>
          <w:b/>
          <w:i/>
          <w:color w:val="000000"/>
          <w:sz w:val="22"/>
          <w:szCs w:val="22"/>
        </w:rPr>
        <w:t>094</w:t>
      </w:r>
      <w:r w:rsidR="009773FB" w:rsidRPr="00EF66C4">
        <w:rPr>
          <w:b/>
          <w:i/>
          <w:color w:val="000000"/>
          <w:sz w:val="22"/>
          <w:szCs w:val="22"/>
        </w:rPr>
        <w:t>/20</w:t>
      </w:r>
      <w:r w:rsidRPr="00EF66C4">
        <w:rPr>
          <w:b/>
          <w:i/>
          <w:color w:val="000000"/>
          <w:sz w:val="22"/>
          <w:szCs w:val="22"/>
        </w:rPr>
        <w:t>08</w:t>
      </w:r>
      <w:r w:rsidR="00576018" w:rsidRPr="00EF66C4">
        <w:rPr>
          <w:b/>
          <w:i/>
          <w:color w:val="000000"/>
          <w:sz w:val="22"/>
          <w:szCs w:val="22"/>
        </w:rPr>
        <w:t>-</w:t>
      </w:r>
      <w:r w:rsidRPr="00EF66C4">
        <w:rPr>
          <w:b/>
          <w:i/>
          <w:color w:val="000000"/>
          <w:sz w:val="22"/>
          <w:szCs w:val="22"/>
        </w:rPr>
        <w:t>4</w:t>
      </w:r>
      <w:r w:rsidR="00576018" w:rsidRPr="00EF66C4">
        <w:rPr>
          <w:b/>
          <w:i/>
          <w:color w:val="000000"/>
          <w:sz w:val="22"/>
          <w:szCs w:val="22"/>
        </w:rPr>
        <w:t xml:space="preserve">, rel. Min. </w:t>
      </w:r>
      <w:r w:rsidR="009773FB" w:rsidRPr="00EF66C4">
        <w:rPr>
          <w:b/>
          <w:i/>
          <w:color w:val="000000"/>
          <w:sz w:val="22"/>
          <w:szCs w:val="22"/>
        </w:rPr>
        <w:t>Raimundo Carrero</w:t>
      </w:r>
      <w:r w:rsidR="00576018" w:rsidRPr="00EF66C4">
        <w:rPr>
          <w:b/>
          <w:i/>
          <w:color w:val="000000"/>
          <w:sz w:val="22"/>
          <w:szCs w:val="22"/>
        </w:rPr>
        <w:t xml:space="preserve">, </w:t>
      </w:r>
      <w:r w:rsidR="009773FB" w:rsidRPr="00EF66C4">
        <w:rPr>
          <w:b/>
          <w:i/>
          <w:color w:val="000000"/>
          <w:sz w:val="22"/>
          <w:szCs w:val="22"/>
        </w:rPr>
        <w:t>2</w:t>
      </w:r>
      <w:r w:rsidRPr="00EF66C4">
        <w:rPr>
          <w:b/>
          <w:i/>
          <w:color w:val="000000"/>
          <w:sz w:val="22"/>
          <w:szCs w:val="22"/>
        </w:rPr>
        <w:t>9</w:t>
      </w:r>
      <w:r w:rsidR="00C731FC" w:rsidRPr="00EF66C4">
        <w:rPr>
          <w:b/>
          <w:i/>
          <w:color w:val="000000"/>
          <w:sz w:val="22"/>
          <w:szCs w:val="22"/>
        </w:rPr>
        <w:t>.06</w:t>
      </w:r>
      <w:r w:rsidR="00576018" w:rsidRPr="00EF66C4">
        <w:rPr>
          <w:b/>
          <w:i/>
          <w:color w:val="000000"/>
          <w:sz w:val="22"/>
          <w:szCs w:val="22"/>
        </w:rPr>
        <w:t>.201</w:t>
      </w:r>
      <w:r w:rsidR="00C731FC" w:rsidRPr="00EF66C4">
        <w:rPr>
          <w:b/>
          <w:i/>
          <w:color w:val="000000"/>
          <w:sz w:val="22"/>
          <w:szCs w:val="22"/>
        </w:rPr>
        <w:t>1</w:t>
      </w:r>
      <w:r w:rsidR="00576018" w:rsidRPr="00EF66C4">
        <w:rPr>
          <w:color w:val="000000"/>
          <w:sz w:val="22"/>
          <w:szCs w:val="22"/>
        </w:rPr>
        <w:t>.</w:t>
      </w:r>
    </w:p>
    <w:p w:rsidR="007F1DEB" w:rsidRPr="00EF66C4" w:rsidRDefault="007F1DEB" w:rsidP="00EF66C4">
      <w:pPr>
        <w:tabs>
          <w:tab w:val="left" w:pos="851"/>
        </w:tabs>
        <w:spacing w:after="0"/>
        <w:ind w:left="0"/>
        <w:rPr>
          <w:b/>
          <w:color w:val="FF0000"/>
          <w:sz w:val="22"/>
          <w:szCs w:val="22"/>
        </w:rPr>
      </w:pPr>
    </w:p>
    <w:p w:rsidR="00EA511F" w:rsidRPr="0018696B" w:rsidRDefault="00721298" w:rsidP="00EA511F">
      <w:pPr>
        <w:pStyle w:val="Corpodetexto"/>
        <w:widowControl w:val="0"/>
        <w:tabs>
          <w:tab w:val="left" w:pos="0"/>
          <w:tab w:val="left" w:pos="900"/>
          <w:tab w:val="left" w:pos="113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Contratação para tecnologia da informação: 1 - </w:t>
      </w:r>
      <w:r w:rsidR="007B114B" w:rsidRPr="0018696B">
        <w:rPr>
          <w:b/>
          <w:sz w:val="22"/>
          <w:szCs w:val="22"/>
        </w:rPr>
        <w:t>Aditivos contratuais fundamentados no § 1º do art. 65 da Lei 8.666/1993 devem ter por causa fato superveniente à assinatura da avença</w:t>
      </w:r>
    </w:p>
    <w:p w:rsidR="00EA511F" w:rsidRPr="0018696B" w:rsidRDefault="00EA511F" w:rsidP="0018696B">
      <w:pPr>
        <w:pStyle w:val="TCU-Ac-item9-"/>
        <w:ind w:firstLine="0"/>
        <w:rPr>
          <w:color w:val="000000"/>
          <w:sz w:val="22"/>
        </w:rPr>
      </w:pPr>
      <w:r w:rsidRPr="0018696B">
        <w:rPr>
          <w:color w:val="000000"/>
          <w:sz w:val="22"/>
        </w:rPr>
        <w:t>Processo de representação versou s</w:t>
      </w:r>
      <w:r w:rsidRPr="0018696B">
        <w:rPr>
          <w:sz w:val="22"/>
        </w:rPr>
        <w:t xml:space="preserve">obre possíveis irregularidades ocorridas na celebração de termos aditivos aos Contratos nºs 2/2008 e 3/2008, celebrados pelo Departamento de Informática do SUS - (Datasus) do Ministério da Saúde - (MS), para atendimento de necessidades relacionadas à tecnologia da informação – (TI).  </w:t>
      </w:r>
      <w:r w:rsidR="0096391F" w:rsidRPr="0018696B">
        <w:rPr>
          <w:sz w:val="22"/>
        </w:rPr>
        <w:t>Uma dessas irregularidades foi a utilização do § 1º do art. 65 da Lei 8.666/1993 como fundamento dos aditivos contratuais, tendo em vista que tal dispositivo refere-se a fatos supervenientes à contratação, sendo que as razões que levaram aos acréscimos de 25% nos valores inicialmente acordados em cada contrato já existi</w:t>
      </w:r>
      <w:r w:rsidR="00EC18C7" w:rsidRPr="0018696B">
        <w:rPr>
          <w:sz w:val="22"/>
        </w:rPr>
        <w:t>ri</w:t>
      </w:r>
      <w:r w:rsidR="0096391F" w:rsidRPr="0018696B">
        <w:rPr>
          <w:sz w:val="22"/>
        </w:rPr>
        <w:t>am à época do aditamento</w:t>
      </w:r>
      <w:r w:rsidR="00EC18C7" w:rsidRPr="0018696B">
        <w:rPr>
          <w:sz w:val="22"/>
        </w:rPr>
        <w:t>, denotando falta de planejamento</w:t>
      </w:r>
      <w:r w:rsidR="0096391F" w:rsidRPr="0018696B">
        <w:rPr>
          <w:sz w:val="22"/>
        </w:rPr>
        <w:t>. Ouvidos em audiência, os responsáveis alegaram</w:t>
      </w:r>
      <w:r w:rsidR="00AD3584" w:rsidRPr="0018696B">
        <w:rPr>
          <w:sz w:val="22"/>
        </w:rPr>
        <w:t xml:space="preserve">, </w:t>
      </w:r>
      <w:r w:rsidR="00EC18C7" w:rsidRPr="0018696B">
        <w:rPr>
          <w:sz w:val="22"/>
        </w:rPr>
        <w:t>dentre outros argumentos</w:t>
      </w:r>
      <w:r w:rsidR="00AD3584" w:rsidRPr="0018696B">
        <w:rPr>
          <w:sz w:val="22"/>
        </w:rPr>
        <w:t xml:space="preserve">, que os aditivos contratuais foram firmados </w:t>
      </w:r>
      <w:r w:rsidR="00EC18C7" w:rsidRPr="0018696B">
        <w:rPr>
          <w:sz w:val="22"/>
        </w:rPr>
        <w:t xml:space="preserve">em razão da assunção, pelo Datasus, dos serviços de TI dos seis hospitais federais do Rio de Janeiro, a partir de 2008, em razão de nova organização administrativa de instituições ligadas à saúde pública, em âmbito federal. </w:t>
      </w:r>
      <w:r w:rsidR="00552456" w:rsidRPr="0018696B">
        <w:rPr>
          <w:sz w:val="22"/>
        </w:rPr>
        <w:t>Para eles, o argumento de falta de planejamento não mereceria prosperar, “</w:t>
      </w:r>
      <w:r w:rsidR="00552456" w:rsidRPr="0018696B">
        <w:rPr>
          <w:i/>
          <w:sz w:val="22"/>
        </w:rPr>
        <w:t>uma vez que as decisões foram tomadas com supedâneo em fatos novos supervenientes às contratações efetuadas, e que em momento algum o administrador praticou conduta eivada de má-fé ou de vício de qualquer natureza</w:t>
      </w:r>
      <w:r w:rsidR="00552456" w:rsidRPr="0018696B">
        <w:rPr>
          <w:sz w:val="22"/>
        </w:rPr>
        <w:t>”</w:t>
      </w:r>
      <w:r w:rsidR="007B12DE" w:rsidRPr="0018696B">
        <w:rPr>
          <w:sz w:val="22"/>
        </w:rPr>
        <w:t xml:space="preserve">. Todavia, para a </w:t>
      </w:r>
      <w:r w:rsidR="007B114B" w:rsidRPr="0018696B">
        <w:rPr>
          <w:sz w:val="22"/>
        </w:rPr>
        <w:t>auditora incumbida da instrução do processo</w:t>
      </w:r>
      <w:r w:rsidR="007B12DE" w:rsidRPr="0018696B">
        <w:rPr>
          <w:sz w:val="22"/>
        </w:rPr>
        <w:t xml:space="preserve">, haveria, sim, </w:t>
      </w:r>
      <w:r w:rsidR="0040694A" w:rsidRPr="0018696B">
        <w:rPr>
          <w:sz w:val="22"/>
        </w:rPr>
        <w:t xml:space="preserve">indicativos de </w:t>
      </w:r>
      <w:r w:rsidR="007B12DE" w:rsidRPr="0018696B">
        <w:rPr>
          <w:sz w:val="22"/>
        </w:rPr>
        <w:t xml:space="preserve">falta de planejamento, dado que </w:t>
      </w:r>
      <w:r w:rsidR="0040694A" w:rsidRPr="0018696B">
        <w:rPr>
          <w:sz w:val="22"/>
        </w:rPr>
        <w:t>o término do contrato anterior</w:t>
      </w:r>
      <w:r w:rsidR="00FE3E12" w:rsidRPr="0018696B">
        <w:rPr>
          <w:sz w:val="22"/>
        </w:rPr>
        <w:t xml:space="preserve"> (Contrato 56/2006)</w:t>
      </w:r>
      <w:r w:rsidR="0040694A" w:rsidRPr="0018696B">
        <w:rPr>
          <w:sz w:val="22"/>
        </w:rPr>
        <w:t>, que acobertava os serviços de tecnologia contratados pelo Núcleo Estadual do MS no Rio de Janeiro, era de conhecimento dos responsáveis, não ensejando situação imprevisível ou nova a eles</w:t>
      </w:r>
      <w:r w:rsidR="007B114B" w:rsidRPr="0018696B">
        <w:rPr>
          <w:sz w:val="22"/>
        </w:rPr>
        <w:t xml:space="preserve">, que demoraram, por exemplo, a criar comissão para elaborar projeto básico para licitar os serviços de TI no Rio de Janeiro. </w:t>
      </w:r>
      <w:r w:rsidR="00FE3E12" w:rsidRPr="0018696B">
        <w:rPr>
          <w:sz w:val="22"/>
        </w:rPr>
        <w:t xml:space="preserve">Já o Diretor da unidade técnica </w:t>
      </w:r>
      <w:r w:rsidR="006056D8">
        <w:rPr>
          <w:sz w:val="22"/>
        </w:rPr>
        <w:t xml:space="preserve">do Tribunal </w:t>
      </w:r>
      <w:r w:rsidR="00FE3E12" w:rsidRPr="0018696B">
        <w:rPr>
          <w:sz w:val="22"/>
        </w:rPr>
        <w:t xml:space="preserve">ponderou que, além de os contratos em questão terem sido firmados por outra unidade do MS e não pelo Datasus, somente em julho de 2008 os responsáveis pela última instituição assumiram a gestão dos serviços de tecnologia dos hospitais federais no Rio de Janeiro. </w:t>
      </w:r>
      <w:r w:rsidR="006135D6" w:rsidRPr="0018696B">
        <w:rPr>
          <w:sz w:val="22"/>
        </w:rPr>
        <w:t xml:space="preserve">Ademais, as conturbações na execução do Contrato 56/2006 contribuíram para que o planejamento não fosse o mais adequado. Assim, a absorção do objeto do Contrato nº 56/2006 pelos Contratos nºs 2 e 3/2008, sob a forma de aditivo contratual, </w:t>
      </w:r>
      <w:r w:rsidR="00177ACF" w:rsidRPr="0018696B">
        <w:rPr>
          <w:sz w:val="22"/>
        </w:rPr>
        <w:t>teria sido</w:t>
      </w:r>
      <w:r w:rsidR="006135D6" w:rsidRPr="0018696B">
        <w:rPr>
          <w:sz w:val="22"/>
        </w:rPr>
        <w:t xml:space="preserve"> a alternativa encontrada para evitar os riscos derivados de </w:t>
      </w:r>
      <w:r w:rsidR="00177ACF" w:rsidRPr="0018696B">
        <w:rPr>
          <w:sz w:val="22"/>
        </w:rPr>
        <w:t xml:space="preserve">uma </w:t>
      </w:r>
      <w:r w:rsidR="006135D6" w:rsidRPr="0018696B">
        <w:rPr>
          <w:sz w:val="22"/>
        </w:rPr>
        <w:t>possível interrupção dos serviços então em andamento</w:t>
      </w:r>
      <w:r w:rsidR="00177ACF" w:rsidRPr="0018696B">
        <w:rPr>
          <w:sz w:val="22"/>
        </w:rPr>
        <w:t xml:space="preserve">. </w:t>
      </w:r>
      <w:r w:rsidR="0018696B" w:rsidRPr="0018696B">
        <w:rPr>
          <w:sz w:val="22"/>
        </w:rPr>
        <w:t xml:space="preserve">Para o relator, os fatos descritos nas instruções levadas </w:t>
      </w:r>
      <w:r w:rsidR="006056D8">
        <w:rPr>
          <w:sz w:val="22"/>
        </w:rPr>
        <w:t>a</w:t>
      </w:r>
      <w:r w:rsidR="0018696B" w:rsidRPr="0018696B">
        <w:rPr>
          <w:sz w:val="22"/>
        </w:rPr>
        <w:t xml:space="preserve"> efeito no âmbito da unidade técnica atenuaram a responsabilidade dos gestores do Datasus quanto à questionada deficiência no planejamento das contratações, ainda que à época dos aditivos eles já soubessem do prazo de execução do Contrato nº 56/2006. Por isso, ao acolher as justificativas dos responsáveis, votou por que o Tribunal emitisse alerta ao Datasus de que os aditivos contratuais, da maneira em que foram celebrados, em curto prazo após sua celebração, decorreram de deficiências de planejamento, visto que a demanda de projetos não implementados e o fim do Contrato nº 56/2006 já eram de conhecimento do órgão antes da realização do certame, sendo assente </w:t>
      </w:r>
      <w:r w:rsidR="006056D8">
        <w:rPr>
          <w:sz w:val="22"/>
        </w:rPr>
        <w:t>no Tribunal</w:t>
      </w:r>
      <w:r w:rsidR="0018696B" w:rsidRPr="0018696B">
        <w:rPr>
          <w:sz w:val="22"/>
        </w:rPr>
        <w:t xml:space="preserve"> que os motivos capazes de ensejar o acréscimo devem ser supervenientes à assinatura do contrato, consignando, ainda, que fosse informada a instituição pública que a reincidência injustificada em tal impropriedade poderia dar ensejo à imposição de sanções aos responsáveis. Nos termos do voto do relator, o Plenário manifestou sua anuência</w:t>
      </w:r>
      <w:r w:rsidR="006056D8">
        <w:rPr>
          <w:sz w:val="22"/>
        </w:rPr>
        <w:t>.</w:t>
      </w:r>
      <w:r w:rsidRPr="0018696B">
        <w:rPr>
          <w:i/>
          <w:color w:val="FF0000"/>
          <w:sz w:val="22"/>
        </w:rPr>
        <w:t xml:space="preserve"> </w:t>
      </w:r>
      <w:r w:rsidR="00552456" w:rsidRPr="0018696B">
        <w:rPr>
          <w:sz w:val="22"/>
        </w:rPr>
        <w:t>Precedentes citados: Acórdãos n</w:t>
      </w:r>
      <w:r w:rsidR="00552456" w:rsidRPr="0018696B">
        <w:rPr>
          <w:sz w:val="22"/>
          <w:u w:val="single"/>
          <w:vertAlign w:val="superscript"/>
        </w:rPr>
        <w:t>os</w:t>
      </w:r>
      <w:r w:rsidR="00552456" w:rsidRPr="0018696B">
        <w:rPr>
          <w:sz w:val="22"/>
        </w:rPr>
        <w:t xml:space="preserve"> 103/2004, do Plenário, 27</w:t>
      </w:r>
      <w:r w:rsidR="0040694A" w:rsidRPr="0018696B">
        <w:rPr>
          <w:sz w:val="22"/>
        </w:rPr>
        <w:t>2</w:t>
      </w:r>
      <w:r w:rsidR="00552456" w:rsidRPr="0018696B">
        <w:rPr>
          <w:sz w:val="22"/>
        </w:rPr>
        <w:t xml:space="preserve">7/2008, da 1ª Câmara e 5154/2009, da 2ª Câmara. </w:t>
      </w:r>
      <w:r w:rsidRPr="0018696B">
        <w:rPr>
          <w:b/>
          <w:i/>
          <w:color w:val="000000"/>
          <w:sz w:val="22"/>
        </w:rPr>
        <w:t>Acórdão n.º 1748/2011-Plenário, TC-010.508/2010-4, rel. Min. José Jorge, 29.06.2011</w:t>
      </w:r>
      <w:r w:rsidRPr="0018696B">
        <w:rPr>
          <w:color w:val="000000"/>
          <w:sz w:val="22"/>
        </w:rPr>
        <w:t>.</w:t>
      </w:r>
    </w:p>
    <w:p w:rsidR="00EA511F" w:rsidRDefault="00EA511F" w:rsidP="00EF66C4">
      <w:pPr>
        <w:pStyle w:val="Corpodetexto"/>
        <w:widowControl w:val="0"/>
        <w:tabs>
          <w:tab w:val="left" w:pos="0"/>
          <w:tab w:val="left" w:pos="900"/>
          <w:tab w:val="left" w:pos="113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after="0"/>
        <w:ind w:left="0"/>
        <w:rPr>
          <w:b/>
          <w:sz w:val="22"/>
          <w:szCs w:val="22"/>
        </w:rPr>
      </w:pPr>
    </w:p>
    <w:p w:rsidR="003A6537" w:rsidRPr="003A6537" w:rsidRDefault="00721298" w:rsidP="00EF66C4">
      <w:pPr>
        <w:pStyle w:val="Corpodetexto"/>
        <w:widowControl w:val="0"/>
        <w:tabs>
          <w:tab w:val="left" w:pos="0"/>
          <w:tab w:val="left" w:pos="900"/>
          <w:tab w:val="left" w:pos="113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Contratação para tecnologia da informação: 2 - </w:t>
      </w:r>
      <w:r w:rsidR="003A6537" w:rsidRPr="003A6537">
        <w:rPr>
          <w:b/>
          <w:sz w:val="22"/>
          <w:szCs w:val="22"/>
        </w:rPr>
        <w:t>Os acordos básicos de cooperação técnica internacional prestada ao Brasil não autorizam que a contraparte externa efetue, no interesse da Administração demandante, o desempenho de atribuições próprias dos órgãos públicos, nas quais não haverá transferência de conhecimento por parte do organismo internacional executor ou em que a assessoria técnica de um ente externo é dispensável, por se tratar de temas e práticas já de domínio público, demandados rotineiramente pela Administração, a exemplo da contratação de bens e serviços de natureza comum, usualmente disponíveis no mercado</w:t>
      </w:r>
    </w:p>
    <w:p w:rsidR="00A95F3C" w:rsidRPr="00EF66C4" w:rsidRDefault="0096391F" w:rsidP="00EF66C4">
      <w:pPr>
        <w:pStyle w:val="Corpodetexto"/>
        <w:widowControl w:val="0"/>
        <w:tabs>
          <w:tab w:val="left" w:pos="0"/>
          <w:tab w:val="left" w:pos="900"/>
          <w:tab w:val="left" w:pos="113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after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Ainda na </w:t>
      </w:r>
      <w:r w:rsidR="00A95F3C" w:rsidRPr="00EF66C4">
        <w:rPr>
          <w:color w:val="000000"/>
          <w:sz w:val="22"/>
          <w:szCs w:val="22"/>
        </w:rPr>
        <w:t>representação</w:t>
      </w:r>
      <w:r w:rsidR="00796F90" w:rsidRPr="00EF66C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que </w:t>
      </w:r>
      <w:r w:rsidR="00B26578" w:rsidRPr="00EF66C4">
        <w:rPr>
          <w:color w:val="000000"/>
          <w:sz w:val="22"/>
          <w:szCs w:val="22"/>
        </w:rPr>
        <w:t xml:space="preserve">versou </w:t>
      </w:r>
      <w:r w:rsidR="00796F90" w:rsidRPr="00EF66C4">
        <w:rPr>
          <w:color w:val="000000"/>
          <w:sz w:val="22"/>
          <w:szCs w:val="22"/>
        </w:rPr>
        <w:t>s</w:t>
      </w:r>
      <w:r w:rsidR="00796F90" w:rsidRPr="00EF66C4">
        <w:rPr>
          <w:sz w:val="22"/>
          <w:szCs w:val="22"/>
        </w:rPr>
        <w:t>obre possíveis irregularidades ocorridas na celebração de termos aditivos aos Contratos nºs 2/2008 e 3/2008, celebrados</w:t>
      </w:r>
      <w:r w:rsidR="00107BC1" w:rsidRPr="00EF66C4">
        <w:rPr>
          <w:sz w:val="22"/>
          <w:szCs w:val="22"/>
        </w:rPr>
        <w:t xml:space="preserve"> pelo Departamento de Informática do SUS - (Datasus) do Ministério da Saúde - (MS), para atendimento de necessidades relacionadas à tecnologia da informação</w:t>
      </w:r>
      <w:r w:rsidR="00FB7F51" w:rsidRPr="00EF66C4">
        <w:rPr>
          <w:sz w:val="22"/>
          <w:szCs w:val="22"/>
        </w:rPr>
        <w:t xml:space="preserve"> – (TI)</w:t>
      </w:r>
      <w:r>
        <w:rPr>
          <w:sz w:val="22"/>
          <w:szCs w:val="22"/>
        </w:rPr>
        <w:t>,</w:t>
      </w:r>
      <w:r w:rsidR="00107BC1" w:rsidRPr="00EF66C4">
        <w:rPr>
          <w:sz w:val="22"/>
          <w:szCs w:val="22"/>
        </w:rPr>
        <w:t xml:space="preserve"> </w:t>
      </w:r>
      <w:r w:rsidR="00FB7F51" w:rsidRPr="00EF66C4">
        <w:rPr>
          <w:sz w:val="22"/>
          <w:szCs w:val="22"/>
        </w:rPr>
        <w:t>o Tribunal</w:t>
      </w:r>
      <w:r w:rsidR="003A6537">
        <w:rPr>
          <w:sz w:val="22"/>
          <w:szCs w:val="22"/>
        </w:rPr>
        <w:t xml:space="preserve"> </w:t>
      </w:r>
      <w:r w:rsidR="00FB7F51" w:rsidRPr="00EF66C4">
        <w:rPr>
          <w:sz w:val="22"/>
          <w:szCs w:val="22"/>
        </w:rPr>
        <w:t>verific</w:t>
      </w:r>
      <w:r w:rsidR="003A6537">
        <w:rPr>
          <w:sz w:val="22"/>
          <w:szCs w:val="22"/>
        </w:rPr>
        <w:t>o</w:t>
      </w:r>
      <w:r>
        <w:rPr>
          <w:sz w:val="22"/>
          <w:szCs w:val="22"/>
        </w:rPr>
        <w:t>u</w:t>
      </w:r>
      <w:r w:rsidR="00FB7F51" w:rsidRPr="00EF66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 w:rsidR="00FB7F51" w:rsidRPr="00EF66C4">
        <w:rPr>
          <w:sz w:val="22"/>
          <w:szCs w:val="22"/>
        </w:rPr>
        <w:t>o MS</w:t>
      </w:r>
      <w:r w:rsidR="003A6537">
        <w:rPr>
          <w:sz w:val="22"/>
          <w:szCs w:val="22"/>
        </w:rPr>
        <w:t xml:space="preserve"> </w:t>
      </w:r>
      <w:r w:rsidR="00FB7F51" w:rsidRPr="00EF66C4">
        <w:rPr>
          <w:sz w:val="22"/>
          <w:szCs w:val="22"/>
        </w:rPr>
        <w:t xml:space="preserve">possuía </w:t>
      </w:r>
      <w:r w:rsidR="003A6537">
        <w:rPr>
          <w:sz w:val="22"/>
          <w:szCs w:val="22"/>
        </w:rPr>
        <w:t>acord</w:t>
      </w:r>
      <w:r w:rsidR="00FB7F51" w:rsidRPr="00EF66C4">
        <w:rPr>
          <w:sz w:val="22"/>
          <w:szCs w:val="22"/>
        </w:rPr>
        <w:t>os com a Organização das Nações Unidas para a Educação, a Ciência e Cultura - (Unesco) e o Programa da Nações Unidas para o Desenvolvimento - (PNUD) para execução de atividades cujos itens eram</w:t>
      </w:r>
      <w:r w:rsidR="009564CA">
        <w:rPr>
          <w:sz w:val="22"/>
          <w:szCs w:val="22"/>
        </w:rPr>
        <w:t xml:space="preserve"> alegadamente</w:t>
      </w:r>
      <w:r w:rsidR="00FB7F51" w:rsidRPr="00EF66C4">
        <w:rPr>
          <w:sz w:val="22"/>
          <w:szCs w:val="22"/>
        </w:rPr>
        <w:t xml:space="preserve"> similares aos cobertos pelo Contrato nº 2/2008. </w:t>
      </w:r>
      <w:r w:rsidR="009564CA">
        <w:rPr>
          <w:sz w:val="22"/>
          <w:szCs w:val="22"/>
        </w:rPr>
        <w:t>T</w:t>
      </w:r>
      <w:r w:rsidR="00FB7F51" w:rsidRPr="00EF66C4">
        <w:rPr>
          <w:sz w:val="22"/>
          <w:szCs w:val="22"/>
        </w:rPr>
        <w:t xml:space="preserve">ais serviços não poderiam ser absorvidos </w:t>
      </w:r>
      <w:r w:rsidR="009564CA">
        <w:rPr>
          <w:sz w:val="22"/>
          <w:szCs w:val="22"/>
        </w:rPr>
        <w:t>em</w:t>
      </w:r>
      <w:r w:rsidR="00FB7F51" w:rsidRPr="00EF66C4">
        <w:rPr>
          <w:sz w:val="22"/>
          <w:szCs w:val="22"/>
        </w:rPr>
        <w:t xml:space="preserve"> outros contratos de TI em virtude do alto nível de execução, a única alternativa possível seria a absorção dessas atividades nos Contratos n</w:t>
      </w:r>
      <w:r w:rsidR="00FB7F51" w:rsidRPr="00EF66C4">
        <w:rPr>
          <w:sz w:val="22"/>
          <w:szCs w:val="22"/>
          <w:u w:val="single"/>
          <w:vertAlign w:val="superscript"/>
        </w:rPr>
        <w:t>os</w:t>
      </w:r>
      <w:r w:rsidR="00FB7F51" w:rsidRPr="00EF66C4">
        <w:rPr>
          <w:sz w:val="22"/>
          <w:szCs w:val="22"/>
        </w:rPr>
        <w:t xml:space="preserve"> 2/2008 e 3/2008, que ainda vigoravam</w:t>
      </w:r>
      <w:r w:rsidR="009564CA">
        <w:rPr>
          <w:sz w:val="22"/>
          <w:szCs w:val="22"/>
        </w:rPr>
        <w:t xml:space="preserve">. </w:t>
      </w:r>
      <w:r w:rsidR="005452A4" w:rsidRPr="00EF66C4">
        <w:rPr>
          <w:sz w:val="22"/>
          <w:szCs w:val="22"/>
        </w:rPr>
        <w:t>Todavia, para a unidade técnica, “</w:t>
      </w:r>
      <w:r w:rsidR="005452A4" w:rsidRPr="00EF66C4">
        <w:rPr>
          <w:i/>
          <w:sz w:val="22"/>
          <w:szCs w:val="22"/>
        </w:rPr>
        <w:t>o responsável não poderia transferir a execução dos serviços de consultoria para os referidos contratos, pois parte-se da premissa de que tais serviços sejam de cunho excepcional</w:t>
      </w:r>
      <w:r w:rsidR="005452A4" w:rsidRPr="00EF66C4">
        <w:rPr>
          <w:sz w:val="22"/>
          <w:szCs w:val="22"/>
        </w:rPr>
        <w:t xml:space="preserve">”, tal como previsto em ato normativo emitido pelo Poder Executivo Federal (artigo 9º da Portaria MRE nº 433/2004). Além disso, a proibição explícita constante do § 6º do art. 4º do Decreto Federal nº 5.151/2004 somente permitiria à instituição executora nacional propor a contratação de serviços técnicos de consultoria mediante comprovação prévia de que esses serviços não podem ser desempenhados por seus próprios servidores. Na espécie, não haveria, portanto, comprovação quanto à excepcionalidade dos serviços contratados em substituição às atividades antes realizadas pela Unesco e pelo PNUD, haja vista terem sido estes absorvidos por contratos administrativos de TI. </w:t>
      </w:r>
      <w:r w:rsidR="00A87A22" w:rsidRPr="00EF66C4">
        <w:rPr>
          <w:sz w:val="22"/>
          <w:szCs w:val="22"/>
        </w:rPr>
        <w:t>Assim, ainda para a unidade instrutiva, não seria justificável</w:t>
      </w:r>
      <w:r w:rsidR="009564CA">
        <w:rPr>
          <w:sz w:val="22"/>
          <w:szCs w:val="22"/>
        </w:rPr>
        <w:t xml:space="preserve"> </w:t>
      </w:r>
      <w:r w:rsidR="00A87A22" w:rsidRPr="00EF66C4">
        <w:rPr>
          <w:sz w:val="22"/>
          <w:szCs w:val="22"/>
        </w:rPr>
        <w:t>a Administração</w:t>
      </w:r>
      <w:r w:rsidR="009564CA">
        <w:rPr>
          <w:sz w:val="22"/>
          <w:szCs w:val="22"/>
        </w:rPr>
        <w:t xml:space="preserve"> ter</w:t>
      </w:r>
      <w:r w:rsidR="00A87A22" w:rsidRPr="00EF66C4">
        <w:rPr>
          <w:sz w:val="22"/>
          <w:szCs w:val="22"/>
        </w:rPr>
        <w:t xml:space="preserve"> firma</w:t>
      </w:r>
      <w:r w:rsidR="009564CA">
        <w:rPr>
          <w:sz w:val="22"/>
          <w:szCs w:val="22"/>
        </w:rPr>
        <w:t>do</w:t>
      </w:r>
      <w:r w:rsidR="00A87A22" w:rsidRPr="00EF66C4">
        <w:rPr>
          <w:sz w:val="22"/>
          <w:szCs w:val="22"/>
        </w:rPr>
        <w:t xml:space="preserve"> acordos de cooperação com organismos internacionais para serviços que pode</w:t>
      </w:r>
      <w:r w:rsidR="003A6537">
        <w:rPr>
          <w:sz w:val="22"/>
          <w:szCs w:val="22"/>
        </w:rPr>
        <w:t>ria</w:t>
      </w:r>
      <w:r w:rsidR="00A87A22" w:rsidRPr="00EF66C4">
        <w:rPr>
          <w:sz w:val="22"/>
          <w:szCs w:val="22"/>
        </w:rPr>
        <w:t>m ser executados por meio de contratos</w:t>
      </w:r>
      <w:r w:rsidR="003A6537">
        <w:rPr>
          <w:sz w:val="22"/>
          <w:szCs w:val="22"/>
        </w:rPr>
        <w:t xml:space="preserve"> administrativos</w:t>
      </w:r>
      <w:r w:rsidR="00A87A22" w:rsidRPr="00EF66C4">
        <w:rPr>
          <w:sz w:val="22"/>
          <w:szCs w:val="22"/>
        </w:rPr>
        <w:t xml:space="preserve">. Propôs, então, que o TCU alertasse ao Ministério da Saúde quanto </w:t>
      </w:r>
      <w:r w:rsidR="009564CA">
        <w:rPr>
          <w:sz w:val="22"/>
          <w:szCs w:val="22"/>
        </w:rPr>
        <w:t xml:space="preserve">ao descabimento de </w:t>
      </w:r>
      <w:r w:rsidR="00A87A22" w:rsidRPr="00EF66C4">
        <w:rPr>
          <w:sz w:val="22"/>
          <w:szCs w:val="22"/>
        </w:rPr>
        <w:t>celebração de acordos de cooperação com organismos internacionais para a prestação de serviços que podem ser executados por contratos administrativos, uma vez que a realização do devido processo licitatório constituiria o meio adequado para escolha do prestador de serviço. Ao acolher a proposta, o relator destacou entendimento firmado pelo Tribunal por intermédio do Acórdão nº 1339/2009-Plenário, em que constou que “</w:t>
      </w:r>
      <w:r w:rsidR="00A87A22" w:rsidRPr="00EF66C4">
        <w:rPr>
          <w:i/>
          <w:sz w:val="22"/>
          <w:szCs w:val="22"/>
        </w:rPr>
        <w:t>os</w:t>
      </w:r>
      <w:r w:rsidR="00A87A22" w:rsidRPr="00EF66C4">
        <w:rPr>
          <w:sz w:val="22"/>
          <w:szCs w:val="22"/>
        </w:rPr>
        <w:t xml:space="preserve"> </w:t>
      </w:r>
      <w:r w:rsidR="00A87A22" w:rsidRPr="00EF66C4">
        <w:rPr>
          <w:i/>
          <w:sz w:val="22"/>
          <w:szCs w:val="22"/>
        </w:rPr>
        <w:t>acordos básicos de cooperação técnica internacional prestada ao Brasil não autorizam que a contraparte externa efetue, no interesse da Administração demandante, o desempenho de atribuições próprias dos órgãos públicos, nas quais não haverá transferência de conhecimento por parte do organismo internacional executor ou em que a assessoria técnica de um ente externo é dispensável, por se tratar de temas e práticas já de domínio público, demandados rotineiramente pela Administração, a exemplo da contra</w:t>
      </w:r>
      <w:r w:rsidR="003A6537">
        <w:rPr>
          <w:i/>
          <w:sz w:val="22"/>
          <w:szCs w:val="22"/>
        </w:rPr>
        <w:t>ta</w:t>
      </w:r>
      <w:r w:rsidR="00A87A22" w:rsidRPr="00EF66C4">
        <w:rPr>
          <w:i/>
          <w:sz w:val="22"/>
          <w:szCs w:val="22"/>
        </w:rPr>
        <w:t>ção de bens e serviços de natureza comum, usualmente disponíveis no mercado”</w:t>
      </w:r>
      <w:r w:rsidR="00A87A22" w:rsidRPr="00EF66C4">
        <w:rPr>
          <w:sz w:val="22"/>
          <w:szCs w:val="22"/>
        </w:rPr>
        <w:t>.</w:t>
      </w:r>
      <w:r w:rsidR="00A87A22" w:rsidRPr="00EF66C4">
        <w:rPr>
          <w:i/>
          <w:sz w:val="22"/>
          <w:szCs w:val="22"/>
        </w:rPr>
        <w:t xml:space="preserve"> </w:t>
      </w:r>
      <w:r w:rsidR="00A87A22" w:rsidRPr="00EF66C4">
        <w:rPr>
          <w:sz w:val="22"/>
          <w:szCs w:val="22"/>
        </w:rPr>
        <w:t xml:space="preserve">Nos termos do voto do relator, o Plenário manifestou sua anuência. </w:t>
      </w:r>
      <w:r w:rsidR="00A95F3C" w:rsidRPr="00EF66C4">
        <w:rPr>
          <w:b/>
          <w:i/>
          <w:color w:val="000000"/>
          <w:sz w:val="22"/>
          <w:szCs w:val="22"/>
        </w:rPr>
        <w:t>Acórdão n.º 1748/2011-Plenário, TC-010.508/2010-4, rel. Min. José Jorge, 29.06.2011</w:t>
      </w:r>
      <w:r w:rsidR="00A95F3C" w:rsidRPr="00EF66C4">
        <w:rPr>
          <w:color w:val="000000"/>
          <w:sz w:val="22"/>
          <w:szCs w:val="22"/>
        </w:rPr>
        <w:t>.</w:t>
      </w:r>
    </w:p>
    <w:p w:rsidR="00A95F3C" w:rsidRPr="00EF66C4" w:rsidRDefault="00A95F3C" w:rsidP="00EF66C4">
      <w:pPr>
        <w:widowControl w:val="0"/>
        <w:tabs>
          <w:tab w:val="left" w:pos="0"/>
          <w:tab w:val="left" w:pos="900"/>
          <w:tab w:val="left" w:pos="113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spacing w:after="0"/>
        <w:ind w:left="0"/>
        <w:rPr>
          <w:snapToGrid w:val="0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7334B1" w:rsidRPr="00363FA1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363FA1" w:rsidRDefault="00C10DD5" w:rsidP="00805659">
            <w:pPr>
              <w:pStyle w:val="enter-3pt"/>
              <w:tabs>
                <w:tab w:val="left" w:pos="2590"/>
              </w:tabs>
              <w:spacing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363FA1">
              <w:rPr>
                <w:b/>
                <w:i/>
                <w:color w:val="000000"/>
                <w:sz w:val="18"/>
                <w:szCs w:val="18"/>
              </w:rPr>
              <w:t>Elaboração: Secretaria das Sessões</w:t>
            </w:r>
          </w:p>
          <w:p w:rsidR="007334B1" w:rsidRPr="00363FA1" w:rsidRDefault="007334B1" w:rsidP="00805659">
            <w:pPr>
              <w:pStyle w:val="enter-3pt"/>
              <w:tabs>
                <w:tab w:val="left" w:pos="2590"/>
              </w:tabs>
              <w:spacing w:line="240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63FA1">
              <w:rPr>
                <w:b/>
                <w:i/>
                <w:color w:val="000000"/>
                <w:sz w:val="18"/>
                <w:szCs w:val="18"/>
              </w:rPr>
              <w:t xml:space="preserve">Contato: </w:t>
            </w:r>
            <w:hyperlink r:id="rId8" w:history="1">
              <w:r w:rsidRPr="00363FA1">
                <w:rPr>
                  <w:rStyle w:val="Hyperlink"/>
                  <w:b/>
                  <w:i/>
                  <w:color w:val="000000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7334B1" w:rsidRPr="00906778" w:rsidRDefault="007334B1" w:rsidP="00805659">
      <w:pPr>
        <w:pStyle w:val="enter-3pt"/>
        <w:tabs>
          <w:tab w:val="left" w:pos="2590"/>
        </w:tabs>
        <w:spacing w:line="240" w:lineRule="auto"/>
        <w:jc w:val="center"/>
        <w:rPr>
          <w:b/>
          <w:color w:val="FF0000"/>
          <w:sz w:val="22"/>
          <w:szCs w:val="22"/>
        </w:rPr>
      </w:pPr>
    </w:p>
    <w:sectPr w:rsidR="007334B1" w:rsidRPr="00906778" w:rsidSect="00F340CD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07" w:rsidRDefault="00427407" w:rsidP="008B0547">
      <w:pPr>
        <w:spacing w:after="0"/>
      </w:pPr>
      <w:r>
        <w:separator/>
      </w:r>
    </w:p>
  </w:endnote>
  <w:endnote w:type="continuationSeparator" w:id="0">
    <w:p w:rsidR="00427407" w:rsidRDefault="00427407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91" w:rsidRPr="00C906CD" w:rsidRDefault="009B5291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3E4396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07" w:rsidRDefault="00427407" w:rsidP="008B0547">
      <w:pPr>
        <w:spacing w:after="0"/>
      </w:pPr>
      <w:r>
        <w:separator/>
      </w:r>
    </w:p>
  </w:footnote>
  <w:footnote w:type="continuationSeparator" w:id="0">
    <w:p w:rsidR="00427407" w:rsidRDefault="00427407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91" w:rsidRDefault="0063462B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291">
      <w:rPr>
        <w:rFonts w:ascii="Arial" w:hAnsi="Arial" w:cs="Arial"/>
        <w:b/>
      </w:rPr>
      <w:t>TRIBUNAL DE CONTAS DA UNIÃO</w:t>
    </w:r>
  </w:p>
  <w:p w:rsidR="009B5291" w:rsidRPr="00515E7B" w:rsidRDefault="0063462B" w:rsidP="00080148">
    <w:pPr>
      <w:spacing w:after="0"/>
      <w:rPr>
        <w:rFonts w:ascii="Arial" w:hAnsi="Arial" w:cs="Arial"/>
        <w:b/>
      </w:rPr>
    </w:pPr>
    <w:r w:rsidRPr="00515E7B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39D1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MjBli2wAAAAcBAAAPAAAAZHJzL2Rvd25yZXYueG1sTI7NTsMwEITvSLyDtUhcKurQQmlC&#10;nAoBufVCAXHdxksSEa/T2G0DT88iDnCcH818+Wp0nTrQEFrPBi6nCSjiytuWawMvz+XFElSIyBY7&#10;z2TgkwKsitOTHDPrj/xEh02slYxwyNBAE2OfaR2qhhyGqe+JJXv3g8Mocqi1HfAo467TsyRZaIct&#10;y0ODPd03VH1s9s5AKF9pV35NqknyNq89zXYP60c05vxsvLsFFWmMf2X4wRd0KIRp6/dsg+oMXKdS&#10;NDBfXoGSOF2kN6C2v4Yucv2fv/gG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TIwZ&#10;YtsAAAAHAQAADwAAAAAAAAAAAAAAAABrBAAAZHJzL2Rvd25yZXYueG1sUEsFBgAAAAAEAAQA8wAA&#10;AHMFAAAAAA==&#10;">
              <w10:wrap anchorx="margin"/>
            </v:line>
          </w:pict>
        </mc:Fallback>
      </mc:AlternateContent>
    </w:r>
    <w:r w:rsidR="009B5291" w:rsidRPr="00515E7B">
      <w:rPr>
        <w:rFonts w:ascii="Arial" w:hAnsi="Arial" w:cs="Arial"/>
        <w:noProof/>
        <w:lang w:eastAsia="pt-BR"/>
      </w:rPr>
      <w:t>Info</w:t>
    </w:r>
    <w:r w:rsidR="009B5291">
      <w:rPr>
        <w:rFonts w:ascii="Arial" w:hAnsi="Arial" w:cs="Arial"/>
        <w:noProof/>
        <w:lang w:eastAsia="pt-BR"/>
      </w:rPr>
      <w:t>rmativo de Jurisprudência sobre L</w:t>
    </w:r>
    <w:r w:rsidR="009B5291" w:rsidRPr="00515E7B">
      <w:rPr>
        <w:rFonts w:ascii="Arial" w:hAnsi="Arial" w:cs="Arial"/>
        <w:noProof/>
        <w:lang w:eastAsia="pt-BR"/>
      </w:rPr>
      <w:t xml:space="preserve">icitações e </w:t>
    </w:r>
    <w:r w:rsidR="009B5291">
      <w:rPr>
        <w:rFonts w:ascii="Arial" w:hAnsi="Arial" w:cs="Arial"/>
        <w:noProof/>
        <w:lang w:eastAsia="pt-BR"/>
      </w:rPr>
      <w:t>C</w:t>
    </w:r>
    <w:r w:rsidR="009B5291" w:rsidRPr="00515E7B">
      <w:rPr>
        <w:rFonts w:ascii="Arial" w:hAnsi="Arial" w:cs="Arial"/>
        <w:noProof/>
        <w:lang w:eastAsia="pt-BR"/>
      </w:rPr>
      <w:t>ontratos</w:t>
    </w:r>
    <w:r w:rsidR="00EA511F">
      <w:rPr>
        <w:rFonts w:ascii="Arial" w:hAnsi="Arial" w:cs="Arial"/>
        <w:noProof/>
        <w:lang w:eastAsia="pt-BR"/>
      </w:rPr>
      <w:t xml:space="preserve"> nº 69</w:t>
    </w:r>
  </w:p>
  <w:p w:rsidR="009B5291" w:rsidRDefault="009B52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3D0350"/>
    <w:multiLevelType w:val="hybridMultilevel"/>
    <w:tmpl w:val="720CCA86"/>
    <w:lvl w:ilvl="0" w:tplc="E6D07442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538BA"/>
    <w:multiLevelType w:val="multilevel"/>
    <w:tmpl w:val="003A07F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0E9C30D1"/>
    <w:multiLevelType w:val="hybridMultilevel"/>
    <w:tmpl w:val="96E087E8"/>
    <w:lvl w:ilvl="0" w:tplc="3678EC1C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7844A58"/>
    <w:multiLevelType w:val="hybridMultilevel"/>
    <w:tmpl w:val="5A222BB8"/>
    <w:lvl w:ilvl="0" w:tplc="C8562B38">
      <w:start w:val="2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7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9283672"/>
    <w:multiLevelType w:val="hybridMultilevel"/>
    <w:tmpl w:val="889899D2"/>
    <w:lvl w:ilvl="0" w:tplc="E45636D6">
      <w:start w:val="2"/>
      <w:numFmt w:val="decimal"/>
      <w:pStyle w:val="Normal-numerado-VOT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00E7711"/>
    <w:multiLevelType w:val="singleLevel"/>
    <w:tmpl w:val="1692631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11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22E7845"/>
    <w:multiLevelType w:val="multilevel"/>
    <w:tmpl w:val="90E2D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3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4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5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0"/>
  </w:num>
  <w:num w:numId="5">
    <w:abstractNumId w:val="11"/>
  </w:num>
  <w:num w:numId="6">
    <w:abstractNumId w:val="16"/>
  </w:num>
  <w:num w:numId="7">
    <w:abstractNumId w:val="23"/>
  </w:num>
  <w:num w:numId="8">
    <w:abstractNumId w:val="21"/>
  </w:num>
  <w:num w:numId="9">
    <w:abstractNumId w:val="18"/>
  </w:num>
  <w:num w:numId="10">
    <w:abstractNumId w:val="7"/>
  </w:num>
  <w:num w:numId="11">
    <w:abstractNumId w:val="25"/>
  </w:num>
  <w:num w:numId="12">
    <w:abstractNumId w:val="5"/>
  </w:num>
  <w:num w:numId="13">
    <w:abstractNumId w:val="15"/>
  </w:num>
  <w:num w:numId="14">
    <w:abstractNumId w:val="22"/>
  </w:num>
  <w:num w:numId="15">
    <w:abstractNumId w:val="14"/>
  </w:num>
  <w:num w:numId="16">
    <w:abstractNumId w:val="2"/>
  </w:num>
  <w:num w:numId="17">
    <w:abstractNumId w:val="13"/>
  </w:num>
  <w:num w:numId="18">
    <w:abstractNumId w:val="24"/>
    <w:lvlOverride w:ilvl="0">
      <w:startOverride w:val="1"/>
    </w:lvlOverride>
  </w:num>
  <w:num w:numId="19">
    <w:abstractNumId w:val="19"/>
  </w:num>
  <w:num w:numId="20">
    <w:abstractNumId w:val="12"/>
  </w:num>
  <w:num w:numId="21">
    <w:abstractNumId w:val="8"/>
  </w:num>
  <w:num w:numId="22">
    <w:abstractNumId w:val="10"/>
  </w:num>
  <w:num w:numId="23">
    <w:abstractNumId w:val="1"/>
  </w:num>
  <w:num w:numId="24">
    <w:abstractNumId w:val="3"/>
  </w:num>
  <w:num w:numId="25">
    <w:abstractNumId w:val="6"/>
  </w:num>
  <w:num w:numId="2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605"/>
    <w:rsid w:val="00000D6F"/>
    <w:rsid w:val="00001878"/>
    <w:rsid w:val="00003CEA"/>
    <w:rsid w:val="00004614"/>
    <w:rsid w:val="0000515A"/>
    <w:rsid w:val="00005435"/>
    <w:rsid w:val="00005E1E"/>
    <w:rsid w:val="000118CC"/>
    <w:rsid w:val="00011D5A"/>
    <w:rsid w:val="00012468"/>
    <w:rsid w:val="0001636D"/>
    <w:rsid w:val="00020C27"/>
    <w:rsid w:val="00020C75"/>
    <w:rsid w:val="00023D72"/>
    <w:rsid w:val="000253D1"/>
    <w:rsid w:val="00025450"/>
    <w:rsid w:val="000271FA"/>
    <w:rsid w:val="00030080"/>
    <w:rsid w:val="00032198"/>
    <w:rsid w:val="00033047"/>
    <w:rsid w:val="00033551"/>
    <w:rsid w:val="00033E4B"/>
    <w:rsid w:val="00037DCE"/>
    <w:rsid w:val="00041450"/>
    <w:rsid w:val="000420A4"/>
    <w:rsid w:val="000460E4"/>
    <w:rsid w:val="0004660A"/>
    <w:rsid w:val="0005205F"/>
    <w:rsid w:val="00052B15"/>
    <w:rsid w:val="0005356E"/>
    <w:rsid w:val="000540FC"/>
    <w:rsid w:val="0005412B"/>
    <w:rsid w:val="00054432"/>
    <w:rsid w:val="000562CD"/>
    <w:rsid w:val="00056A5A"/>
    <w:rsid w:val="00056D51"/>
    <w:rsid w:val="0006028E"/>
    <w:rsid w:val="00061C2E"/>
    <w:rsid w:val="000622E0"/>
    <w:rsid w:val="00065E95"/>
    <w:rsid w:val="00070785"/>
    <w:rsid w:val="0007259B"/>
    <w:rsid w:val="00074384"/>
    <w:rsid w:val="00074AC5"/>
    <w:rsid w:val="00077A56"/>
    <w:rsid w:val="00080148"/>
    <w:rsid w:val="000835D8"/>
    <w:rsid w:val="00084282"/>
    <w:rsid w:val="00084727"/>
    <w:rsid w:val="00087006"/>
    <w:rsid w:val="0009133A"/>
    <w:rsid w:val="000916AF"/>
    <w:rsid w:val="00092C2E"/>
    <w:rsid w:val="00094C5B"/>
    <w:rsid w:val="00095D98"/>
    <w:rsid w:val="0009748C"/>
    <w:rsid w:val="00097863"/>
    <w:rsid w:val="00097BF6"/>
    <w:rsid w:val="000A0EF8"/>
    <w:rsid w:val="000A152A"/>
    <w:rsid w:val="000A1EBD"/>
    <w:rsid w:val="000A2C56"/>
    <w:rsid w:val="000A47EA"/>
    <w:rsid w:val="000A6269"/>
    <w:rsid w:val="000A62BD"/>
    <w:rsid w:val="000B0ECB"/>
    <w:rsid w:val="000B0FEA"/>
    <w:rsid w:val="000B2AFA"/>
    <w:rsid w:val="000B612A"/>
    <w:rsid w:val="000B639F"/>
    <w:rsid w:val="000B6BC1"/>
    <w:rsid w:val="000C02AD"/>
    <w:rsid w:val="000C4A10"/>
    <w:rsid w:val="000C531B"/>
    <w:rsid w:val="000D1878"/>
    <w:rsid w:val="000D1B91"/>
    <w:rsid w:val="000D1EF5"/>
    <w:rsid w:val="000D1FD7"/>
    <w:rsid w:val="000D6418"/>
    <w:rsid w:val="000D7DB6"/>
    <w:rsid w:val="000D7DED"/>
    <w:rsid w:val="000E020F"/>
    <w:rsid w:val="000E12F7"/>
    <w:rsid w:val="000E2D47"/>
    <w:rsid w:val="000E3B31"/>
    <w:rsid w:val="000E504D"/>
    <w:rsid w:val="000E79B4"/>
    <w:rsid w:val="000E7FD4"/>
    <w:rsid w:val="000F2133"/>
    <w:rsid w:val="000F2F92"/>
    <w:rsid w:val="000F6D85"/>
    <w:rsid w:val="000F7CEE"/>
    <w:rsid w:val="000F7D84"/>
    <w:rsid w:val="00101E59"/>
    <w:rsid w:val="00102140"/>
    <w:rsid w:val="00102D37"/>
    <w:rsid w:val="001041ED"/>
    <w:rsid w:val="00107BC1"/>
    <w:rsid w:val="001104BA"/>
    <w:rsid w:val="00112676"/>
    <w:rsid w:val="00112A5F"/>
    <w:rsid w:val="0011373A"/>
    <w:rsid w:val="00114511"/>
    <w:rsid w:val="00116BAB"/>
    <w:rsid w:val="00125F9A"/>
    <w:rsid w:val="00126026"/>
    <w:rsid w:val="00130A0C"/>
    <w:rsid w:val="00133EA9"/>
    <w:rsid w:val="00135512"/>
    <w:rsid w:val="00137B22"/>
    <w:rsid w:val="00140FED"/>
    <w:rsid w:val="00141D7A"/>
    <w:rsid w:val="001420D1"/>
    <w:rsid w:val="00142C16"/>
    <w:rsid w:val="001444A2"/>
    <w:rsid w:val="00151F92"/>
    <w:rsid w:val="0015258E"/>
    <w:rsid w:val="00152ECC"/>
    <w:rsid w:val="001532E4"/>
    <w:rsid w:val="00156A48"/>
    <w:rsid w:val="00156DDB"/>
    <w:rsid w:val="00157614"/>
    <w:rsid w:val="00157AFE"/>
    <w:rsid w:val="00157C0F"/>
    <w:rsid w:val="0016045B"/>
    <w:rsid w:val="00170A16"/>
    <w:rsid w:val="00171E89"/>
    <w:rsid w:val="001737F7"/>
    <w:rsid w:val="001744E7"/>
    <w:rsid w:val="00176375"/>
    <w:rsid w:val="001766A9"/>
    <w:rsid w:val="00177ACF"/>
    <w:rsid w:val="001809AA"/>
    <w:rsid w:val="00181339"/>
    <w:rsid w:val="0018696B"/>
    <w:rsid w:val="00195F77"/>
    <w:rsid w:val="001A0CC1"/>
    <w:rsid w:val="001A330B"/>
    <w:rsid w:val="001A58D8"/>
    <w:rsid w:val="001A60A2"/>
    <w:rsid w:val="001A79D3"/>
    <w:rsid w:val="001B3E8E"/>
    <w:rsid w:val="001B4F90"/>
    <w:rsid w:val="001B6823"/>
    <w:rsid w:val="001B7F4F"/>
    <w:rsid w:val="001C0575"/>
    <w:rsid w:val="001C1568"/>
    <w:rsid w:val="001C437E"/>
    <w:rsid w:val="001C71E3"/>
    <w:rsid w:val="001D03C7"/>
    <w:rsid w:val="001D1478"/>
    <w:rsid w:val="001D1E52"/>
    <w:rsid w:val="001D56C3"/>
    <w:rsid w:val="001D74CE"/>
    <w:rsid w:val="001E0BF1"/>
    <w:rsid w:val="001E1E28"/>
    <w:rsid w:val="001E2620"/>
    <w:rsid w:val="001E4147"/>
    <w:rsid w:val="001E7019"/>
    <w:rsid w:val="001E71F9"/>
    <w:rsid w:val="001E747D"/>
    <w:rsid w:val="001E7C3D"/>
    <w:rsid w:val="001F00DF"/>
    <w:rsid w:val="001F1E8F"/>
    <w:rsid w:val="00200260"/>
    <w:rsid w:val="002002CE"/>
    <w:rsid w:val="0020066F"/>
    <w:rsid w:val="0020107A"/>
    <w:rsid w:val="0020135D"/>
    <w:rsid w:val="00201FED"/>
    <w:rsid w:val="00202EAD"/>
    <w:rsid w:val="002035B3"/>
    <w:rsid w:val="00203A6F"/>
    <w:rsid w:val="00203A99"/>
    <w:rsid w:val="00211816"/>
    <w:rsid w:val="00217B1B"/>
    <w:rsid w:val="00225D42"/>
    <w:rsid w:val="00226AEF"/>
    <w:rsid w:val="00226D9D"/>
    <w:rsid w:val="00227776"/>
    <w:rsid w:val="00232158"/>
    <w:rsid w:val="002328F9"/>
    <w:rsid w:val="0023395B"/>
    <w:rsid w:val="00233CE3"/>
    <w:rsid w:val="002343BF"/>
    <w:rsid w:val="0023535F"/>
    <w:rsid w:val="002415A6"/>
    <w:rsid w:val="00242061"/>
    <w:rsid w:val="00242CBC"/>
    <w:rsid w:val="002435FC"/>
    <w:rsid w:val="002442D9"/>
    <w:rsid w:val="00244BA7"/>
    <w:rsid w:val="0024593F"/>
    <w:rsid w:val="002476B6"/>
    <w:rsid w:val="00253242"/>
    <w:rsid w:val="00254590"/>
    <w:rsid w:val="00257D8A"/>
    <w:rsid w:val="00261488"/>
    <w:rsid w:val="00262359"/>
    <w:rsid w:val="0026362E"/>
    <w:rsid w:val="002639CA"/>
    <w:rsid w:val="002649A7"/>
    <w:rsid w:val="00264FC3"/>
    <w:rsid w:val="002663B7"/>
    <w:rsid w:val="002666C5"/>
    <w:rsid w:val="00271CD7"/>
    <w:rsid w:val="00271D81"/>
    <w:rsid w:val="0027213F"/>
    <w:rsid w:val="00273E72"/>
    <w:rsid w:val="00274068"/>
    <w:rsid w:val="0027498E"/>
    <w:rsid w:val="00274EC3"/>
    <w:rsid w:val="0027686D"/>
    <w:rsid w:val="00276DC0"/>
    <w:rsid w:val="00277F47"/>
    <w:rsid w:val="00280F3D"/>
    <w:rsid w:val="002810D9"/>
    <w:rsid w:val="00281830"/>
    <w:rsid w:val="002830F6"/>
    <w:rsid w:val="00287326"/>
    <w:rsid w:val="0029043B"/>
    <w:rsid w:val="00290A06"/>
    <w:rsid w:val="0029211E"/>
    <w:rsid w:val="0029450E"/>
    <w:rsid w:val="00296797"/>
    <w:rsid w:val="00297A00"/>
    <w:rsid w:val="002A040F"/>
    <w:rsid w:val="002A190F"/>
    <w:rsid w:val="002A2129"/>
    <w:rsid w:val="002A3796"/>
    <w:rsid w:val="002A3B3F"/>
    <w:rsid w:val="002A5A02"/>
    <w:rsid w:val="002A6CE6"/>
    <w:rsid w:val="002B409B"/>
    <w:rsid w:val="002B4392"/>
    <w:rsid w:val="002B56C3"/>
    <w:rsid w:val="002B5AD5"/>
    <w:rsid w:val="002B5C5A"/>
    <w:rsid w:val="002B6422"/>
    <w:rsid w:val="002B71BA"/>
    <w:rsid w:val="002C208E"/>
    <w:rsid w:val="002C2BE8"/>
    <w:rsid w:val="002C506F"/>
    <w:rsid w:val="002C7B61"/>
    <w:rsid w:val="002C7B6D"/>
    <w:rsid w:val="002D0D5A"/>
    <w:rsid w:val="002D155C"/>
    <w:rsid w:val="002D1637"/>
    <w:rsid w:val="002D1688"/>
    <w:rsid w:val="002D1BA5"/>
    <w:rsid w:val="002D35F5"/>
    <w:rsid w:val="002D47FE"/>
    <w:rsid w:val="002D532D"/>
    <w:rsid w:val="002D739A"/>
    <w:rsid w:val="002D76AB"/>
    <w:rsid w:val="002D786D"/>
    <w:rsid w:val="002E1545"/>
    <w:rsid w:val="002E1910"/>
    <w:rsid w:val="002E28BA"/>
    <w:rsid w:val="002E361C"/>
    <w:rsid w:val="002E3943"/>
    <w:rsid w:val="002E3F7C"/>
    <w:rsid w:val="002E4254"/>
    <w:rsid w:val="002E4F13"/>
    <w:rsid w:val="002E4FB7"/>
    <w:rsid w:val="002E6712"/>
    <w:rsid w:val="002F104B"/>
    <w:rsid w:val="002F13B4"/>
    <w:rsid w:val="002F1C09"/>
    <w:rsid w:val="002F4696"/>
    <w:rsid w:val="002F5F3B"/>
    <w:rsid w:val="002F65E6"/>
    <w:rsid w:val="002F693C"/>
    <w:rsid w:val="002F7C6D"/>
    <w:rsid w:val="003020F4"/>
    <w:rsid w:val="003025C7"/>
    <w:rsid w:val="0030360F"/>
    <w:rsid w:val="00303790"/>
    <w:rsid w:val="00303984"/>
    <w:rsid w:val="00304A73"/>
    <w:rsid w:val="003057F7"/>
    <w:rsid w:val="003069F9"/>
    <w:rsid w:val="00310208"/>
    <w:rsid w:val="0031058F"/>
    <w:rsid w:val="0031089E"/>
    <w:rsid w:val="00310D69"/>
    <w:rsid w:val="003147B7"/>
    <w:rsid w:val="003149A9"/>
    <w:rsid w:val="00317E59"/>
    <w:rsid w:val="00320465"/>
    <w:rsid w:val="00322AE7"/>
    <w:rsid w:val="00325246"/>
    <w:rsid w:val="003275E4"/>
    <w:rsid w:val="00330069"/>
    <w:rsid w:val="00330144"/>
    <w:rsid w:val="0033244F"/>
    <w:rsid w:val="00335B7E"/>
    <w:rsid w:val="00337E16"/>
    <w:rsid w:val="00340E66"/>
    <w:rsid w:val="00340F10"/>
    <w:rsid w:val="00342A44"/>
    <w:rsid w:val="0034486B"/>
    <w:rsid w:val="00344D92"/>
    <w:rsid w:val="003455A2"/>
    <w:rsid w:val="00345BD4"/>
    <w:rsid w:val="00347FBB"/>
    <w:rsid w:val="00350E87"/>
    <w:rsid w:val="00353B7C"/>
    <w:rsid w:val="0035438E"/>
    <w:rsid w:val="00355828"/>
    <w:rsid w:val="00356E38"/>
    <w:rsid w:val="00357CBE"/>
    <w:rsid w:val="00361487"/>
    <w:rsid w:val="00361661"/>
    <w:rsid w:val="00363FA1"/>
    <w:rsid w:val="00372E83"/>
    <w:rsid w:val="00377407"/>
    <w:rsid w:val="00381780"/>
    <w:rsid w:val="003824E4"/>
    <w:rsid w:val="00383CFE"/>
    <w:rsid w:val="003853FF"/>
    <w:rsid w:val="00385609"/>
    <w:rsid w:val="00385DAB"/>
    <w:rsid w:val="0038696B"/>
    <w:rsid w:val="00387CBD"/>
    <w:rsid w:val="003900C7"/>
    <w:rsid w:val="0039039F"/>
    <w:rsid w:val="00390ED6"/>
    <w:rsid w:val="00391B5C"/>
    <w:rsid w:val="00392509"/>
    <w:rsid w:val="00392EFD"/>
    <w:rsid w:val="00393FCC"/>
    <w:rsid w:val="003943E5"/>
    <w:rsid w:val="00395263"/>
    <w:rsid w:val="00397D8E"/>
    <w:rsid w:val="003A105C"/>
    <w:rsid w:val="003A2222"/>
    <w:rsid w:val="003A3262"/>
    <w:rsid w:val="003A5479"/>
    <w:rsid w:val="003A5C1B"/>
    <w:rsid w:val="003A6537"/>
    <w:rsid w:val="003A7C7F"/>
    <w:rsid w:val="003B023B"/>
    <w:rsid w:val="003B0304"/>
    <w:rsid w:val="003B043F"/>
    <w:rsid w:val="003B155C"/>
    <w:rsid w:val="003B1E19"/>
    <w:rsid w:val="003B2E10"/>
    <w:rsid w:val="003B33CE"/>
    <w:rsid w:val="003B343D"/>
    <w:rsid w:val="003B391B"/>
    <w:rsid w:val="003B4936"/>
    <w:rsid w:val="003B56D7"/>
    <w:rsid w:val="003C1911"/>
    <w:rsid w:val="003C1B4F"/>
    <w:rsid w:val="003C2288"/>
    <w:rsid w:val="003C2344"/>
    <w:rsid w:val="003C3336"/>
    <w:rsid w:val="003C39E6"/>
    <w:rsid w:val="003C5833"/>
    <w:rsid w:val="003C6DEB"/>
    <w:rsid w:val="003C7585"/>
    <w:rsid w:val="003C7A5C"/>
    <w:rsid w:val="003D1DB2"/>
    <w:rsid w:val="003D660C"/>
    <w:rsid w:val="003D73BD"/>
    <w:rsid w:val="003D7CCE"/>
    <w:rsid w:val="003E0D8C"/>
    <w:rsid w:val="003E154A"/>
    <w:rsid w:val="003E1B68"/>
    <w:rsid w:val="003E2785"/>
    <w:rsid w:val="003E4396"/>
    <w:rsid w:val="003E65D7"/>
    <w:rsid w:val="003F1CE1"/>
    <w:rsid w:val="003F413A"/>
    <w:rsid w:val="003F54FB"/>
    <w:rsid w:val="003F6D1F"/>
    <w:rsid w:val="00405316"/>
    <w:rsid w:val="0040694A"/>
    <w:rsid w:val="0041153E"/>
    <w:rsid w:val="00412CEF"/>
    <w:rsid w:val="004141A8"/>
    <w:rsid w:val="004169D8"/>
    <w:rsid w:val="0041735C"/>
    <w:rsid w:val="004201AF"/>
    <w:rsid w:val="00425FF9"/>
    <w:rsid w:val="00427407"/>
    <w:rsid w:val="00427B3B"/>
    <w:rsid w:val="00427EBF"/>
    <w:rsid w:val="00431085"/>
    <w:rsid w:val="00435269"/>
    <w:rsid w:val="004362AB"/>
    <w:rsid w:val="00441101"/>
    <w:rsid w:val="004415FB"/>
    <w:rsid w:val="00441CE3"/>
    <w:rsid w:val="004421F5"/>
    <w:rsid w:val="0044434A"/>
    <w:rsid w:val="0044437F"/>
    <w:rsid w:val="00445E76"/>
    <w:rsid w:val="00446606"/>
    <w:rsid w:val="004471BC"/>
    <w:rsid w:val="00447217"/>
    <w:rsid w:val="00452C60"/>
    <w:rsid w:val="00457F93"/>
    <w:rsid w:val="004617A9"/>
    <w:rsid w:val="0046384E"/>
    <w:rsid w:val="00464CF4"/>
    <w:rsid w:val="00466E73"/>
    <w:rsid w:val="0046706B"/>
    <w:rsid w:val="00467815"/>
    <w:rsid w:val="00471284"/>
    <w:rsid w:val="00472FB0"/>
    <w:rsid w:val="00473696"/>
    <w:rsid w:val="00473721"/>
    <w:rsid w:val="0047491E"/>
    <w:rsid w:val="004836D8"/>
    <w:rsid w:val="004837C6"/>
    <w:rsid w:val="00483998"/>
    <w:rsid w:val="00484E4C"/>
    <w:rsid w:val="004878ED"/>
    <w:rsid w:val="00491438"/>
    <w:rsid w:val="00492E3F"/>
    <w:rsid w:val="00493F5C"/>
    <w:rsid w:val="00495DB3"/>
    <w:rsid w:val="004A171B"/>
    <w:rsid w:val="004A2385"/>
    <w:rsid w:val="004A2D91"/>
    <w:rsid w:val="004A50CE"/>
    <w:rsid w:val="004A7912"/>
    <w:rsid w:val="004B0194"/>
    <w:rsid w:val="004B0E2A"/>
    <w:rsid w:val="004B1113"/>
    <w:rsid w:val="004B1DC3"/>
    <w:rsid w:val="004B36AE"/>
    <w:rsid w:val="004C61A3"/>
    <w:rsid w:val="004C6E03"/>
    <w:rsid w:val="004C780C"/>
    <w:rsid w:val="004D03BA"/>
    <w:rsid w:val="004D3441"/>
    <w:rsid w:val="004D6A38"/>
    <w:rsid w:val="004D6C65"/>
    <w:rsid w:val="004D708E"/>
    <w:rsid w:val="004D760C"/>
    <w:rsid w:val="004D7C91"/>
    <w:rsid w:val="004E1DC9"/>
    <w:rsid w:val="004E26E4"/>
    <w:rsid w:val="004E357A"/>
    <w:rsid w:val="004E5000"/>
    <w:rsid w:val="004E65EB"/>
    <w:rsid w:val="004E6A9B"/>
    <w:rsid w:val="004F3D4A"/>
    <w:rsid w:val="004F7174"/>
    <w:rsid w:val="00500823"/>
    <w:rsid w:val="00500DD0"/>
    <w:rsid w:val="005012AA"/>
    <w:rsid w:val="005012CF"/>
    <w:rsid w:val="0050355D"/>
    <w:rsid w:val="005055B5"/>
    <w:rsid w:val="00506619"/>
    <w:rsid w:val="00510D1D"/>
    <w:rsid w:val="00511BBF"/>
    <w:rsid w:val="00515E7B"/>
    <w:rsid w:val="005217F8"/>
    <w:rsid w:val="0052267A"/>
    <w:rsid w:val="005239DD"/>
    <w:rsid w:val="00523CA1"/>
    <w:rsid w:val="005266F4"/>
    <w:rsid w:val="0052675C"/>
    <w:rsid w:val="005303B5"/>
    <w:rsid w:val="00531143"/>
    <w:rsid w:val="005340EA"/>
    <w:rsid w:val="00534A44"/>
    <w:rsid w:val="00536332"/>
    <w:rsid w:val="00542821"/>
    <w:rsid w:val="00543514"/>
    <w:rsid w:val="005438A1"/>
    <w:rsid w:val="00543B81"/>
    <w:rsid w:val="00543EB8"/>
    <w:rsid w:val="00543F41"/>
    <w:rsid w:val="00544550"/>
    <w:rsid w:val="00544FCF"/>
    <w:rsid w:val="005450DC"/>
    <w:rsid w:val="005452A4"/>
    <w:rsid w:val="00545A47"/>
    <w:rsid w:val="00545FC7"/>
    <w:rsid w:val="0054634E"/>
    <w:rsid w:val="00546B67"/>
    <w:rsid w:val="005472B8"/>
    <w:rsid w:val="0055208A"/>
    <w:rsid w:val="00552456"/>
    <w:rsid w:val="00554A33"/>
    <w:rsid w:val="0055716D"/>
    <w:rsid w:val="005571A6"/>
    <w:rsid w:val="00557953"/>
    <w:rsid w:val="00557A3D"/>
    <w:rsid w:val="00560E55"/>
    <w:rsid w:val="00562E8F"/>
    <w:rsid w:val="0056301A"/>
    <w:rsid w:val="005635AD"/>
    <w:rsid w:val="005640E1"/>
    <w:rsid w:val="00564EA1"/>
    <w:rsid w:val="0056534C"/>
    <w:rsid w:val="00567CEE"/>
    <w:rsid w:val="005713F4"/>
    <w:rsid w:val="00571E64"/>
    <w:rsid w:val="005729DE"/>
    <w:rsid w:val="00573D3B"/>
    <w:rsid w:val="00575CC3"/>
    <w:rsid w:val="00576018"/>
    <w:rsid w:val="00580F26"/>
    <w:rsid w:val="00581A7C"/>
    <w:rsid w:val="0058427E"/>
    <w:rsid w:val="005864FA"/>
    <w:rsid w:val="00590907"/>
    <w:rsid w:val="0059346F"/>
    <w:rsid w:val="00594A7B"/>
    <w:rsid w:val="00594C0C"/>
    <w:rsid w:val="005A2D82"/>
    <w:rsid w:val="005A3835"/>
    <w:rsid w:val="005A3AEC"/>
    <w:rsid w:val="005A6858"/>
    <w:rsid w:val="005A72F2"/>
    <w:rsid w:val="005B2194"/>
    <w:rsid w:val="005B2BC3"/>
    <w:rsid w:val="005B4CFA"/>
    <w:rsid w:val="005B5B3D"/>
    <w:rsid w:val="005B7112"/>
    <w:rsid w:val="005B7166"/>
    <w:rsid w:val="005B76C0"/>
    <w:rsid w:val="005B7847"/>
    <w:rsid w:val="005C18EE"/>
    <w:rsid w:val="005C1A79"/>
    <w:rsid w:val="005C7644"/>
    <w:rsid w:val="005C7BF4"/>
    <w:rsid w:val="005D2B0F"/>
    <w:rsid w:val="005D3352"/>
    <w:rsid w:val="005D6516"/>
    <w:rsid w:val="005E12DD"/>
    <w:rsid w:val="005E269C"/>
    <w:rsid w:val="005E3586"/>
    <w:rsid w:val="005E3EC0"/>
    <w:rsid w:val="005E4DEE"/>
    <w:rsid w:val="005E5FF1"/>
    <w:rsid w:val="005F01CE"/>
    <w:rsid w:val="005F135B"/>
    <w:rsid w:val="005F4E54"/>
    <w:rsid w:val="005F70B6"/>
    <w:rsid w:val="005F7A87"/>
    <w:rsid w:val="006017DF"/>
    <w:rsid w:val="00601F0A"/>
    <w:rsid w:val="00604DBE"/>
    <w:rsid w:val="006056D8"/>
    <w:rsid w:val="006063E1"/>
    <w:rsid w:val="006065E4"/>
    <w:rsid w:val="00606F56"/>
    <w:rsid w:val="00610010"/>
    <w:rsid w:val="00610039"/>
    <w:rsid w:val="00610381"/>
    <w:rsid w:val="00611C07"/>
    <w:rsid w:val="00611E07"/>
    <w:rsid w:val="00612045"/>
    <w:rsid w:val="00612F12"/>
    <w:rsid w:val="006135D6"/>
    <w:rsid w:val="00613AC9"/>
    <w:rsid w:val="00615808"/>
    <w:rsid w:val="00620E86"/>
    <w:rsid w:val="006219DD"/>
    <w:rsid w:val="00621D63"/>
    <w:rsid w:val="00623DAF"/>
    <w:rsid w:val="006242BF"/>
    <w:rsid w:val="00625B39"/>
    <w:rsid w:val="00631FE7"/>
    <w:rsid w:val="00632ACC"/>
    <w:rsid w:val="006345C1"/>
    <w:rsid w:val="0063462B"/>
    <w:rsid w:val="00637FDD"/>
    <w:rsid w:val="00641E57"/>
    <w:rsid w:val="006503A5"/>
    <w:rsid w:val="00650463"/>
    <w:rsid w:val="00651660"/>
    <w:rsid w:val="00652171"/>
    <w:rsid w:val="006532C3"/>
    <w:rsid w:val="006611C2"/>
    <w:rsid w:val="00661BD2"/>
    <w:rsid w:val="00664D4A"/>
    <w:rsid w:val="00666285"/>
    <w:rsid w:val="00670FEA"/>
    <w:rsid w:val="00671DC9"/>
    <w:rsid w:val="0067252D"/>
    <w:rsid w:val="006734AA"/>
    <w:rsid w:val="006734B3"/>
    <w:rsid w:val="0067353C"/>
    <w:rsid w:val="00676163"/>
    <w:rsid w:val="00677C22"/>
    <w:rsid w:val="006805CC"/>
    <w:rsid w:val="006808CC"/>
    <w:rsid w:val="00685899"/>
    <w:rsid w:val="0068672E"/>
    <w:rsid w:val="00692D30"/>
    <w:rsid w:val="00695597"/>
    <w:rsid w:val="00696A89"/>
    <w:rsid w:val="00696F75"/>
    <w:rsid w:val="00697477"/>
    <w:rsid w:val="006A037E"/>
    <w:rsid w:val="006A2019"/>
    <w:rsid w:val="006A21CC"/>
    <w:rsid w:val="006A2F76"/>
    <w:rsid w:val="006A3D41"/>
    <w:rsid w:val="006A7796"/>
    <w:rsid w:val="006B0495"/>
    <w:rsid w:val="006B0DCB"/>
    <w:rsid w:val="006B2408"/>
    <w:rsid w:val="006B3AF9"/>
    <w:rsid w:val="006B414C"/>
    <w:rsid w:val="006B4B0F"/>
    <w:rsid w:val="006B505D"/>
    <w:rsid w:val="006C32CF"/>
    <w:rsid w:val="006C335E"/>
    <w:rsid w:val="006C3A1F"/>
    <w:rsid w:val="006C5C6C"/>
    <w:rsid w:val="006C7DE0"/>
    <w:rsid w:val="006D02D8"/>
    <w:rsid w:val="006D3DC7"/>
    <w:rsid w:val="006D4245"/>
    <w:rsid w:val="006E0A93"/>
    <w:rsid w:val="006E1404"/>
    <w:rsid w:val="006E4064"/>
    <w:rsid w:val="006E58EA"/>
    <w:rsid w:val="006F0036"/>
    <w:rsid w:val="006F2F67"/>
    <w:rsid w:val="006F4DE0"/>
    <w:rsid w:val="006F4FB2"/>
    <w:rsid w:val="006F5E2D"/>
    <w:rsid w:val="006F6483"/>
    <w:rsid w:val="006F6EEB"/>
    <w:rsid w:val="006F7332"/>
    <w:rsid w:val="007025BA"/>
    <w:rsid w:val="0070385B"/>
    <w:rsid w:val="0070407E"/>
    <w:rsid w:val="0070494F"/>
    <w:rsid w:val="00705758"/>
    <w:rsid w:val="0070717A"/>
    <w:rsid w:val="00707244"/>
    <w:rsid w:val="00712CCC"/>
    <w:rsid w:val="007136E9"/>
    <w:rsid w:val="00713DE5"/>
    <w:rsid w:val="007174DA"/>
    <w:rsid w:val="00720910"/>
    <w:rsid w:val="00720F29"/>
    <w:rsid w:val="00721298"/>
    <w:rsid w:val="007224C2"/>
    <w:rsid w:val="00731409"/>
    <w:rsid w:val="007334B1"/>
    <w:rsid w:val="007339F3"/>
    <w:rsid w:val="00737FEC"/>
    <w:rsid w:val="00740292"/>
    <w:rsid w:val="00742B07"/>
    <w:rsid w:val="00750492"/>
    <w:rsid w:val="0075064C"/>
    <w:rsid w:val="00755956"/>
    <w:rsid w:val="00756AA0"/>
    <w:rsid w:val="00757CE6"/>
    <w:rsid w:val="00764CB0"/>
    <w:rsid w:val="007666D8"/>
    <w:rsid w:val="007671B6"/>
    <w:rsid w:val="007671DA"/>
    <w:rsid w:val="00767C28"/>
    <w:rsid w:val="00770C72"/>
    <w:rsid w:val="007719A8"/>
    <w:rsid w:val="00773CAE"/>
    <w:rsid w:val="00774593"/>
    <w:rsid w:val="00774DDE"/>
    <w:rsid w:val="00776EDA"/>
    <w:rsid w:val="00777599"/>
    <w:rsid w:val="00785646"/>
    <w:rsid w:val="00785CF8"/>
    <w:rsid w:val="00796068"/>
    <w:rsid w:val="00796CC0"/>
    <w:rsid w:val="00796CF1"/>
    <w:rsid w:val="00796F90"/>
    <w:rsid w:val="007979EA"/>
    <w:rsid w:val="007A1A35"/>
    <w:rsid w:val="007A2166"/>
    <w:rsid w:val="007A2B7F"/>
    <w:rsid w:val="007A5922"/>
    <w:rsid w:val="007B114B"/>
    <w:rsid w:val="007B12DE"/>
    <w:rsid w:val="007B1ABA"/>
    <w:rsid w:val="007B259B"/>
    <w:rsid w:val="007B3F28"/>
    <w:rsid w:val="007B5018"/>
    <w:rsid w:val="007B65B3"/>
    <w:rsid w:val="007C08AB"/>
    <w:rsid w:val="007C1FBA"/>
    <w:rsid w:val="007C4E99"/>
    <w:rsid w:val="007C5151"/>
    <w:rsid w:val="007C546B"/>
    <w:rsid w:val="007C670D"/>
    <w:rsid w:val="007C7359"/>
    <w:rsid w:val="007D0ED0"/>
    <w:rsid w:val="007D1F01"/>
    <w:rsid w:val="007D3E0E"/>
    <w:rsid w:val="007D48CF"/>
    <w:rsid w:val="007D4A4A"/>
    <w:rsid w:val="007E0E05"/>
    <w:rsid w:val="007E1DD3"/>
    <w:rsid w:val="007E209F"/>
    <w:rsid w:val="007E2878"/>
    <w:rsid w:val="007E4655"/>
    <w:rsid w:val="007E55E0"/>
    <w:rsid w:val="007E5800"/>
    <w:rsid w:val="007E5C50"/>
    <w:rsid w:val="007F0546"/>
    <w:rsid w:val="007F1DEB"/>
    <w:rsid w:val="007F22A5"/>
    <w:rsid w:val="007F5688"/>
    <w:rsid w:val="0080038A"/>
    <w:rsid w:val="0080065F"/>
    <w:rsid w:val="00805084"/>
    <w:rsid w:val="008051DE"/>
    <w:rsid w:val="00805659"/>
    <w:rsid w:val="0080733E"/>
    <w:rsid w:val="00810CC2"/>
    <w:rsid w:val="0081324B"/>
    <w:rsid w:val="0081440E"/>
    <w:rsid w:val="00816193"/>
    <w:rsid w:val="008165E4"/>
    <w:rsid w:val="008234BD"/>
    <w:rsid w:val="00824A8C"/>
    <w:rsid w:val="00825155"/>
    <w:rsid w:val="00825EB9"/>
    <w:rsid w:val="008303E2"/>
    <w:rsid w:val="00833A8F"/>
    <w:rsid w:val="008341F8"/>
    <w:rsid w:val="008359F3"/>
    <w:rsid w:val="00835DB6"/>
    <w:rsid w:val="00836AC2"/>
    <w:rsid w:val="008406D5"/>
    <w:rsid w:val="00843BED"/>
    <w:rsid w:val="00844C5B"/>
    <w:rsid w:val="00847B37"/>
    <w:rsid w:val="008501A4"/>
    <w:rsid w:val="008505A1"/>
    <w:rsid w:val="00850817"/>
    <w:rsid w:val="00851D16"/>
    <w:rsid w:val="00851E54"/>
    <w:rsid w:val="0085433A"/>
    <w:rsid w:val="00854B32"/>
    <w:rsid w:val="00855F2B"/>
    <w:rsid w:val="00856252"/>
    <w:rsid w:val="00857634"/>
    <w:rsid w:val="0086124E"/>
    <w:rsid w:val="00861B74"/>
    <w:rsid w:val="008652C9"/>
    <w:rsid w:val="00866992"/>
    <w:rsid w:val="00866CA9"/>
    <w:rsid w:val="00867E32"/>
    <w:rsid w:val="00872942"/>
    <w:rsid w:val="00875991"/>
    <w:rsid w:val="00875BB5"/>
    <w:rsid w:val="008771B6"/>
    <w:rsid w:val="00877240"/>
    <w:rsid w:val="00877FDD"/>
    <w:rsid w:val="00880FED"/>
    <w:rsid w:val="0088186D"/>
    <w:rsid w:val="008841C8"/>
    <w:rsid w:val="00885367"/>
    <w:rsid w:val="008855A4"/>
    <w:rsid w:val="00887082"/>
    <w:rsid w:val="00887DC7"/>
    <w:rsid w:val="00891FCC"/>
    <w:rsid w:val="00892BB8"/>
    <w:rsid w:val="00893014"/>
    <w:rsid w:val="0089513A"/>
    <w:rsid w:val="00896755"/>
    <w:rsid w:val="008A2417"/>
    <w:rsid w:val="008A5D49"/>
    <w:rsid w:val="008A751E"/>
    <w:rsid w:val="008A756C"/>
    <w:rsid w:val="008B0547"/>
    <w:rsid w:val="008B11A3"/>
    <w:rsid w:val="008B1FE5"/>
    <w:rsid w:val="008B2AD7"/>
    <w:rsid w:val="008B3A74"/>
    <w:rsid w:val="008B3D72"/>
    <w:rsid w:val="008B434A"/>
    <w:rsid w:val="008B5DA7"/>
    <w:rsid w:val="008B608D"/>
    <w:rsid w:val="008B7B55"/>
    <w:rsid w:val="008C3A5B"/>
    <w:rsid w:val="008C3D50"/>
    <w:rsid w:val="008C43C8"/>
    <w:rsid w:val="008C5B71"/>
    <w:rsid w:val="008D2382"/>
    <w:rsid w:val="008D5667"/>
    <w:rsid w:val="008D6F5D"/>
    <w:rsid w:val="008E003A"/>
    <w:rsid w:val="008E15E3"/>
    <w:rsid w:val="008E2045"/>
    <w:rsid w:val="008E4C62"/>
    <w:rsid w:val="008E727E"/>
    <w:rsid w:val="008F2902"/>
    <w:rsid w:val="008F4593"/>
    <w:rsid w:val="008F660B"/>
    <w:rsid w:val="009005CE"/>
    <w:rsid w:val="00901376"/>
    <w:rsid w:val="0090188B"/>
    <w:rsid w:val="009021A4"/>
    <w:rsid w:val="00904305"/>
    <w:rsid w:val="00904EC5"/>
    <w:rsid w:val="00906778"/>
    <w:rsid w:val="00914B48"/>
    <w:rsid w:val="0091511B"/>
    <w:rsid w:val="00917B6F"/>
    <w:rsid w:val="009239AA"/>
    <w:rsid w:val="009245B5"/>
    <w:rsid w:val="00925EF2"/>
    <w:rsid w:val="00935C40"/>
    <w:rsid w:val="00935F4D"/>
    <w:rsid w:val="0093795C"/>
    <w:rsid w:val="00937DCB"/>
    <w:rsid w:val="00937F7E"/>
    <w:rsid w:val="009440DE"/>
    <w:rsid w:val="0094417D"/>
    <w:rsid w:val="009444E6"/>
    <w:rsid w:val="00944A8E"/>
    <w:rsid w:val="009455E6"/>
    <w:rsid w:val="0094589B"/>
    <w:rsid w:val="009509C0"/>
    <w:rsid w:val="00950EC4"/>
    <w:rsid w:val="00953B70"/>
    <w:rsid w:val="0095542C"/>
    <w:rsid w:val="009564CA"/>
    <w:rsid w:val="00956BA7"/>
    <w:rsid w:val="00956FD8"/>
    <w:rsid w:val="009575F7"/>
    <w:rsid w:val="00957E4B"/>
    <w:rsid w:val="0096021A"/>
    <w:rsid w:val="00960F73"/>
    <w:rsid w:val="0096391F"/>
    <w:rsid w:val="009642CA"/>
    <w:rsid w:val="0096655D"/>
    <w:rsid w:val="00970771"/>
    <w:rsid w:val="00971139"/>
    <w:rsid w:val="00972B10"/>
    <w:rsid w:val="0097401F"/>
    <w:rsid w:val="009773FB"/>
    <w:rsid w:val="009779BE"/>
    <w:rsid w:val="00981FA0"/>
    <w:rsid w:val="0098263A"/>
    <w:rsid w:val="00983541"/>
    <w:rsid w:val="00984366"/>
    <w:rsid w:val="00984E80"/>
    <w:rsid w:val="0098690F"/>
    <w:rsid w:val="009879BC"/>
    <w:rsid w:val="00987EE5"/>
    <w:rsid w:val="00991CD8"/>
    <w:rsid w:val="00991EBE"/>
    <w:rsid w:val="00993C2E"/>
    <w:rsid w:val="00997C8A"/>
    <w:rsid w:val="009A1339"/>
    <w:rsid w:val="009A3006"/>
    <w:rsid w:val="009A3994"/>
    <w:rsid w:val="009B5291"/>
    <w:rsid w:val="009B5D6F"/>
    <w:rsid w:val="009B62AF"/>
    <w:rsid w:val="009B7AB9"/>
    <w:rsid w:val="009C4B6D"/>
    <w:rsid w:val="009D0928"/>
    <w:rsid w:val="009D1B99"/>
    <w:rsid w:val="009D2884"/>
    <w:rsid w:val="009D5393"/>
    <w:rsid w:val="009D5445"/>
    <w:rsid w:val="009D565F"/>
    <w:rsid w:val="009D65B9"/>
    <w:rsid w:val="009D70EE"/>
    <w:rsid w:val="009E04DC"/>
    <w:rsid w:val="009E0FB3"/>
    <w:rsid w:val="009E1B24"/>
    <w:rsid w:val="009E3B5A"/>
    <w:rsid w:val="009E5105"/>
    <w:rsid w:val="009E59A1"/>
    <w:rsid w:val="009E66EE"/>
    <w:rsid w:val="009F4326"/>
    <w:rsid w:val="009F7FA6"/>
    <w:rsid w:val="00A0082F"/>
    <w:rsid w:val="00A0244C"/>
    <w:rsid w:val="00A02FFD"/>
    <w:rsid w:val="00A033FF"/>
    <w:rsid w:val="00A0409E"/>
    <w:rsid w:val="00A06137"/>
    <w:rsid w:val="00A063FE"/>
    <w:rsid w:val="00A06EDB"/>
    <w:rsid w:val="00A07ACC"/>
    <w:rsid w:val="00A1329C"/>
    <w:rsid w:val="00A14E25"/>
    <w:rsid w:val="00A16A60"/>
    <w:rsid w:val="00A17A3D"/>
    <w:rsid w:val="00A2062A"/>
    <w:rsid w:val="00A2066E"/>
    <w:rsid w:val="00A21E19"/>
    <w:rsid w:val="00A236A1"/>
    <w:rsid w:val="00A239A8"/>
    <w:rsid w:val="00A25B79"/>
    <w:rsid w:val="00A30683"/>
    <w:rsid w:val="00A3115F"/>
    <w:rsid w:val="00A32209"/>
    <w:rsid w:val="00A33030"/>
    <w:rsid w:val="00A378A2"/>
    <w:rsid w:val="00A407B6"/>
    <w:rsid w:val="00A40CDE"/>
    <w:rsid w:val="00A43FBD"/>
    <w:rsid w:val="00A43FD4"/>
    <w:rsid w:val="00A44703"/>
    <w:rsid w:val="00A465B4"/>
    <w:rsid w:val="00A52DA1"/>
    <w:rsid w:val="00A5757E"/>
    <w:rsid w:val="00A60F52"/>
    <w:rsid w:val="00A61DFE"/>
    <w:rsid w:val="00A62AA8"/>
    <w:rsid w:val="00A63B4C"/>
    <w:rsid w:val="00A6526F"/>
    <w:rsid w:val="00A664E7"/>
    <w:rsid w:val="00A66E7F"/>
    <w:rsid w:val="00A67917"/>
    <w:rsid w:val="00A70904"/>
    <w:rsid w:val="00A709BB"/>
    <w:rsid w:val="00A75C52"/>
    <w:rsid w:val="00A767B2"/>
    <w:rsid w:val="00A81B11"/>
    <w:rsid w:val="00A82B9E"/>
    <w:rsid w:val="00A84186"/>
    <w:rsid w:val="00A846F1"/>
    <w:rsid w:val="00A857B4"/>
    <w:rsid w:val="00A85B14"/>
    <w:rsid w:val="00A875C0"/>
    <w:rsid w:val="00A87A22"/>
    <w:rsid w:val="00A87C15"/>
    <w:rsid w:val="00A92706"/>
    <w:rsid w:val="00A9529F"/>
    <w:rsid w:val="00A95F3C"/>
    <w:rsid w:val="00A9704A"/>
    <w:rsid w:val="00A97AD0"/>
    <w:rsid w:val="00AA1377"/>
    <w:rsid w:val="00AA49AF"/>
    <w:rsid w:val="00AA4F2F"/>
    <w:rsid w:val="00AA57CE"/>
    <w:rsid w:val="00AA7540"/>
    <w:rsid w:val="00AB3E6B"/>
    <w:rsid w:val="00AB51C8"/>
    <w:rsid w:val="00AB7B25"/>
    <w:rsid w:val="00AC0BAE"/>
    <w:rsid w:val="00AC126F"/>
    <w:rsid w:val="00AC3256"/>
    <w:rsid w:val="00AC4B34"/>
    <w:rsid w:val="00AD05A6"/>
    <w:rsid w:val="00AD283D"/>
    <w:rsid w:val="00AD3584"/>
    <w:rsid w:val="00AE05EA"/>
    <w:rsid w:val="00AE0EDF"/>
    <w:rsid w:val="00AE1128"/>
    <w:rsid w:val="00AE1AB0"/>
    <w:rsid w:val="00AE2609"/>
    <w:rsid w:val="00AE29A8"/>
    <w:rsid w:val="00AE3137"/>
    <w:rsid w:val="00AE439A"/>
    <w:rsid w:val="00AE591D"/>
    <w:rsid w:val="00AE617A"/>
    <w:rsid w:val="00AE713F"/>
    <w:rsid w:val="00AF09C7"/>
    <w:rsid w:val="00AF4B16"/>
    <w:rsid w:val="00AF4BF4"/>
    <w:rsid w:val="00B0025D"/>
    <w:rsid w:val="00B006D8"/>
    <w:rsid w:val="00B036E4"/>
    <w:rsid w:val="00B03D35"/>
    <w:rsid w:val="00B05065"/>
    <w:rsid w:val="00B05194"/>
    <w:rsid w:val="00B06B45"/>
    <w:rsid w:val="00B06D33"/>
    <w:rsid w:val="00B074B3"/>
    <w:rsid w:val="00B10AD8"/>
    <w:rsid w:val="00B14E4C"/>
    <w:rsid w:val="00B17303"/>
    <w:rsid w:val="00B21343"/>
    <w:rsid w:val="00B219AA"/>
    <w:rsid w:val="00B21A5B"/>
    <w:rsid w:val="00B22786"/>
    <w:rsid w:val="00B25143"/>
    <w:rsid w:val="00B2585D"/>
    <w:rsid w:val="00B26578"/>
    <w:rsid w:val="00B266FA"/>
    <w:rsid w:val="00B26C40"/>
    <w:rsid w:val="00B26D82"/>
    <w:rsid w:val="00B27359"/>
    <w:rsid w:val="00B33FC2"/>
    <w:rsid w:val="00B347F1"/>
    <w:rsid w:val="00B34A99"/>
    <w:rsid w:val="00B3502B"/>
    <w:rsid w:val="00B35755"/>
    <w:rsid w:val="00B35774"/>
    <w:rsid w:val="00B3599F"/>
    <w:rsid w:val="00B35C3E"/>
    <w:rsid w:val="00B36473"/>
    <w:rsid w:val="00B40BEA"/>
    <w:rsid w:val="00B44029"/>
    <w:rsid w:val="00B44FFA"/>
    <w:rsid w:val="00B45428"/>
    <w:rsid w:val="00B47943"/>
    <w:rsid w:val="00B50446"/>
    <w:rsid w:val="00B50A6E"/>
    <w:rsid w:val="00B512D2"/>
    <w:rsid w:val="00B527BF"/>
    <w:rsid w:val="00B530FD"/>
    <w:rsid w:val="00B5313D"/>
    <w:rsid w:val="00B53C9C"/>
    <w:rsid w:val="00B558FE"/>
    <w:rsid w:val="00B56396"/>
    <w:rsid w:val="00B5639B"/>
    <w:rsid w:val="00B57FA2"/>
    <w:rsid w:val="00B60C3E"/>
    <w:rsid w:val="00B615CB"/>
    <w:rsid w:val="00B63E30"/>
    <w:rsid w:val="00B645FA"/>
    <w:rsid w:val="00B64775"/>
    <w:rsid w:val="00B663CD"/>
    <w:rsid w:val="00B67B4F"/>
    <w:rsid w:val="00B81718"/>
    <w:rsid w:val="00B86AF6"/>
    <w:rsid w:val="00B86E2A"/>
    <w:rsid w:val="00B877AA"/>
    <w:rsid w:val="00B9389E"/>
    <w:rsid w:val="00B96EA4"/>
    <w:rsid w:val="00B971F0"/>
    <w:rsid w:val="00B97282"/>
    <w:rsid w:val="00B97A3E"/>
    <w:rsid w:val="00BA2F02"/>
    <w:rsid w:val="00BA2FFD"/>
    <w:rsid w:val="00BA428A"/>
    <w:rsid w:val="00BA58B6"/>
    <w:rsid w:val="00BA62AD"/>
    <w:rsid w:val="00BB0267"/>
    <w:rsid w:val="00BB078B"/>
    <w:rsid w:val="00BB37AF"/>
    <w:rsid w:val="00BB4769"/>
    <w:rsid w:val="00BB4C08"/>
    <w:rsid w:val="00BB61BE"/>
    <w:rsid w:val="00BB779D"/>
    <w:rsid w:val="00BC1DBD"/>
    <w:rsid w:val="00BC5737"/>
    <w:rsid w:val="00BD1747"/>
    <w:rsid w:val="00BD3C68"/>
    <w:rsid w:val="00BD421D"/>
    <w:rsid w:val="00BD6B87"/>
    <w:rsid w:val="00BD73FC"/>
    <w:rsid w:val="00BD79B1"/>
    <w:rsid w:val="00BE04D9"/>
    <w:rsid w:val="00BE4614"/>
    <w:rsid w:val="00BE4E6F"/>
    <w:rsid w:val="00BE5100"/>
    <w:rsid w:val="00BE529D"/>
    <w:rsid w:val="00BE53DD"/>
    <w:rsid w:val="00BE573E"/>
    <w:rsid w:val="00BE6637"/>
    <w:rsid w:val="00BF10E8"/>
    <w:rsid w:val="00BF2033"/>
    <w:rsid w:val="00BF3158"/>
    <w:rsid w:val="00BF3169"/>
    <w:rsid w:val="00BF51B7"/>
    <w:rsid w:val="00C00953"/>
    <w:rsid w:val="00C03312"/>
    <w:rsid w:val="00C039A5"/>
    <w:rsid w:val="00C03A04"/>
    <w:rsid w:val="00C046F7"/>
    <w:rsid w:val="00C064FE"/>
    <w:rsid w:val="00C06EA1"/>
    <w:rsid w:val="00C10C0B"/>
    <w:rsid w:val="00C10DD5"/>
    <w:rsid w:val="00C11F76"/>
    <w:rsid w:val="00C13759"/>
    <w:rsid w:val="00C15A27"/>
    <w:rsid w:val="00C15FEF"/>
    <w:rsid w:val="00C1776A"/>
    <w:rsid w:val="00C2104E"/>
    <w:rsid w:val="00C22519"/>
    <w:rsid w:val="00C2305C"/>
    <w:rsid w:val="00C233D0"/>
    <w:rsid w:val="00C2380D"/>
    <w:rsid w:val="00C24162"/>
    <w:rsid w:val="00C24E78"/>
    <w:rsid w:val="00C2509D"/>
    <w:rsid w:val="00C27A2E"/>
    <w:rsid w:val="00C34ABD"/>
    <w:rsid w:val="00C35288"/>
    <w:rsid w:val="00C353CF"/>
    <w:rsid w:val="00C35F43"/>
    <w:rsid w:val="00C37088"/>
    <w:rsid w:val="00C3715E"/>
    <w:rsid w:val="00C408D5"/>
    <w:rsid w:val="00C41D3C"/>
    <w:rsid w:val="00C43801"/>
    <w:rsid w:val="00C44A07"/>
    <w:rsid w:val="00C44BDC"/>
    <w:rsid w:val="00C45BFB"/>
    <w:rsid w:val="00C45DCE"/>
    <w:rsid w:val="00C46D15"/>
    <w:rsid w:val="00C471BB"/>
    <w:rsid w:val="00C50C7D"/>
    <w:rsid w:val="00C50FF9"/>
    <w:rsid w:val="00C54B14"/>
    <w:rsid w:val="00C6352A"/>
    <w:rsid w:val="00C65B2D"/>
    <w:rsid w:val="00C65C5D"/>
    <w:rsid w:val="00C6656A"/>
    <w:rsid w:val="00C66C03"/>
    <w:rsid w:val="00C711E5"/>
    <w:rsid w:val="00C719C4"/>
    <w:rsid w:val="00C730CB"/>
    <w:rsid w:val="00C731FC"/>
    <w:rsid w:val="00C73782"/>
    <w:rsid w:val="00C80D90"/>
    <w:rsid w:val="00C81B05"/>
    <w:rsid w:val="00C83AEE"/>
    <w:rsid w:val="00C85531"/>
    <w:rsid w:val="00C85563"/>
    <w:rsid w:val="00C85AC7"/>
    <w:rsid w:val="00C87F13"/>
    <w:rsid w:val="00C9045E"/>
    <w:rsid w:val="00C906CD"/>
    <w:rsid w:val="00C9133D"/>
    <w:rsid w:val="00C934E0"/>
    <w:rsid w:val="00C96454"/>
    <w:rsid w:val="00CA0FB8"/>
    <w:rsid w:val="00CA15F3"/>
    <w:rsid w:val="00CA2680"/>
    <w:rsid w:val="00CA4D23"/>
    <w:rsid w:val="00CA6716"/>
    <w:rsid w:val="00CB036A"/>
    <w:rsid w:val="00CB0D34"/>
    <w:rsid w:val="00CB6B8D"/>
    <w:rsid w:val="00CB79F7"/>
    <w:rsid w:val="00CC1939"/>
    <w:rsid w:val="00CC42D4"/>
    <w:rsid w:val="00CC64E3"/>
    <w:rsid w:val="00CC7712"/>
    <w:rsid w:val="00CD179A"/>
    <w:rsid w:val="00CD2536"/>
    <w:rsid w:val="00CD407F"/>
    <w:rsid w:val="00CD5740"/>
    <w:rsid w:val="00CD7420"/>
    <w:rsid w:val="00CD7910"/>
    <w:rsid w:val="00CE0BA7"/>
    <w:rsid w:val="00CE2909"/>
    <w:rsid w:val="00CE6ACB"/>
    <w:rsid w:val="00CE6D09"/>
    <w:rsid w:val="00CF0E4D"/>
    <w:rsid w:val="00CF230D"/>
    <w:rsid w:val="00CF5489"/>
    <w:rsid w:val="00CF7615"/>
    <w:rsid w:val="00CF7823"/>
    <w:rsid w:val="00D003F8"/>
    <w:rsid w:val="00D01AFE"/>
    <w:rsid w:val="00D02757"/>
    <w:rsid w:val="00D02FB7"/>
    <w:rsid w:val="00D04613"/>
    <w:rsid w:val="00D05C77"/>
    <w:rsid w:val="00D10769"/>
    <w:rsid w:val="00D11642"/>
    <w:rsid w:val="00D116C7"/>
    <w:rsid w:val="00D13AC5"/>
    <w:rsid w:val="00D14E5F"/>
    <w:rsid w:val="00D14FB2"/>
    <w:rsid w:val="00D16754"/>
    <w:rsid w:val="00D17548"/>
    <w:rsid w:val="00D17CC6"/>
    <w:rsid w:val="00D2041E"/>
    <w:rsid w:val="00D20454"/>
    <w:rsid w:val="00D20D10"/>
    <w:rsid w:val="00D22ACB"/>
    <w:rsid w:val="00D23801"/>
    <w:rsid w:val="00D25AEC"/>
    <w:rsid w:val="00D25B2F"/>
    <w:rsid w:val="00D3215F"/>
    <w:rsid w:val="00D341C9"/>
    <w:rsid w:val="00D3447D"/>
    <w:rsid w:val="00D3488B"/>
    <w:rsid w:val="00D361DE"/>
    <w:rsid w:val="00D37427"/>
    <w:rsid w:val="00D3793E"/>
    <w:rsid w:val="00D37FB2"/>
    <w:rsid w:val="00D41A6A"/>
    <w:rsid w:val="00D4233A"/>
    <w:rsid w:val="00D44B3D"/>
    <w:rsid w:val="00D46C4C"/>
    <w:rsid w:val="00D51F18"/>
    <w:rsid w:val="00D53537"/>
    <w:rsid w:val="00D551C8"/>
    <w:rsid w:val="00D55972"/>
    <w:rsid w:val="00D564BB"/>
    <w:rsid w:val="00D565FA"/>
    <w:rsid w:val="00D568ED"/>
    <w:rsid w:val="00D574F2"/>
    <w:rsid w:val="00D6014E"/>
    <w:rsid w:val="00D630E7"/>
    <w:rsid w:val="00D63655"/>
    <w:rsid w:val="00D700E5"/>
    <w:rsid w:val="00D70900"/>
    <w:rsid w:val="00D719EB"/>
    <w:rsid w:val="00D71B77"/>
    <w:rsid w:val="00D74A87"/>
    <w:rsid w:val="00D76186"/>
    <w:rsid w:val="00D771E9"/>
    <w:rsid w:val="00D86DD4"/>
    <w:rsid w:val="00D92529"/>
    <w:rsid w:val="00D9416B"/>
    <w:rsid w:val="00DA1613"/>
    <w:rsid w:val="00DA3DE0"/>
    <w:rsid w:val="00DA5AAB"/>
    <w:rsid w:val="00DA671A"/>
    <w:rsid w:val="00DA6858"/>
    <w:rsid w:val="00DB1CD7"/>
    <w:rsid w:val="00DB2651"/>
    <w:rsid w:val="00DB30B1"/>
    <w:rsid w:val="00DB3ECD"/>
    <w:rsid w:val="00DB4717"/>
    <w:rsid w:val="00DC12C8"/>
    <w:rsid w:val="00DC6F31"/>
    <w:rsid w:val="00DC7FFD"/>
    <w:rsid w:val="00DD1B11"/>
    <w:rsid w:val="00DD6D82"/>
    <w:rsid w:val="00DE045E"/>
    <w:rsid w:val="00DE1240"/>
    <w:rsid w:val="00DE1AA5"/>
    <w:rsid w:val="00DE231A"/>
    <w:rsid w:val="00DE23D6"/>
    <w:rsid w:val="00DE2CB6"/>
    <w:rsid w:val="00DE2DDE"/>
    <w:rsid w:val="00DE395F"/>
    <w:rsid w:val="00DE3B34"/>
    <w:rsid w:val="00DE5414"/>
    <w:rsid w:val="00DE7312"/>
    <w:rsid w:val="00DF0C37"/>
    <w:rsid w:val="00DF24FD"/>
    <w:rsid w:val="00DF2506"/>
    <w:rsid w:val="00DF301A"/>
    <w:rsid w:val="00DF3469"/>
    <w:rsid w:val="00DF3BE2"/>
    <w:rsid w:val="00DF448D"/>
    <w:rsid w:val="00DF4E2C"/>
    <w:rsid w:val="00DF4E34"/>
    <w:rsid w:val="00DF75EC"/>
    <w:rsid w:val="00E0133D"/>
    <w:rsid w:val="00E019ED"/>
    <w:rsid w:val="00E02392"/>
    <w:rsid w:val="00E02654"/>
    <w:rsid w:val="00E0312F"/>
    <w:rsid w:val="00E04C48"/>
    <w:rsid w:val="00E06065"/>
    <w:rsid w:val="00E079C6"/>
    <w:rsid w:val="00E1273C"/>
    <w:rsid w:val="00E1434A"/>
    <w:rsid w:val="00E146CF"/>
    <w:rsid w:val="00E14BED"/>
    <w:rsid w:val="00E17711"/>
    <w:rsid w:val="00E23C05"/>
    <w:rsid w:val="00E2425F"/>
    <w:rsid w:val="00E242F0"/>
    <w:rsid w:val="00E245B0"/>
    <w:rsid w:val="00E247E2"/>
    <w:rsid w:val="00E304EB"/>
    <w:rsid w:val="00E329D0"/>
    <w:rsid w:val="00E33746"/>
    <w:rsid w:val="00E342B3"/>
    <w:rsid w:val="00E3451F"/>
    <w:rsid w:val="00E36ADF"/>
    <w:rsid w:val="00E36B53"/>
    <w:rsid w:val="00E37585"/>
    <w:rsid w:val="00E41B64"/>
    <w:rsid w:val="00E42C35"/>
    <w:rsid w:val="00E469D5"/>
    <w:rsid w:val="00E46CD5"/>
    <w:rsid w:val="00E500D9"/>
    <w:rsid w:val="00E51AB5"/>
    <w:rsid w:val="00E52345"/>
    <w:rsid w:val="00E52763"/>
    <w:rsid w:val="00E53796"/>
    <w:rsid w:val="00E563AE"/>
    <w:rsid w:val="00E662CD"/>
    <w:rsid w:val="00E67427"/>
    <w:rsid w:val="00E73271"/>
    <w:rsid w:val="00E735DA"/>
    <w:rsid w:val="00E74214"/>
    <w:rsid w:val="00E74762"/>
    <w:rsid w:val="00E74D52"/>
    <w:rsid w:val="00E75855"/>
    <w:rsid w:val="00E7609C"/>
    <w:rsid w:val="00E775FD"/>
    <w:rsid w:val="00E82556"/>
    <w:rsid w:val="00E8380C"/>
    <w:rsid w:val="00E85CBE"/>
    <w:rsid w:val="00E86566"/>
    <w:rsid w:val="00E875F5"/>
    <w:rsid w:val="00E92527"/>
    <w:rsid w:val="00E92A93"/>
    <w:rsid w:val="00E93620"/>
    <w:rsid w:val="00E93BAA"/>
    <w:rsid w:val="00E97045"/>
    <w:rsid w:val="00EA270C"/>
    <w:rsid w:val="00EA511F"/>
    <w:rsid w:val="00EA5CB5"/>
    <w:rsid w:val="00EA5CF4"/>
    <w:rsid w:val="00EB09B9"/>
    <w:rsid w:val="00EB31FD"/>
    <w:rsid w:val="00EB76F7"/>
    <w:rsid w:val="00EB7CB1"/>
    <w:rsid w:val="00EC0569"/>
    <w:rsid w:val="00EC0C7B"/>
    <w:rsid w:val="00EC18C7"/>
    <w:rsid w:val="00EC1C35"/>
    <w:rsid w:val="00EC5E45"/>
    <w:rsid w:val="00EC7462"/>
    <w:rsid w:val="00ED0557"/>
    <w:rsid w:val="00ED0CF0"/>
    <w:rsid w:val="00ED34D4"/>
    <w:rsid w:val="00ED3D84"/>
    <w:rsid w:val="00ED766C"/>
    <w:rsid w:val="00ED76FB"/>
    <w:rsid w:val="00EE05C2"/>
    <w:rsid w:val="00EE30EE"/>
    <w:rsid w:val="00EE3C6D"/>
    <w:rsid w:val="00EE4C6E"/>
    <w:rsid w:val="00EE5135"/>
    <w:rsid w:val="00EE61BE"/>
    <w:rsid w:val="00EE6DE6"/>
    <w:rsid w:val="00EF057C"/>
    <w:rsid w:val="00EF1D14"/>
    <w:rsid w:val="00EF4FEE"/>
    <w:rsid w:val="00EF66C4"/>
    <w:rsid w:val="00EF6873"/>
    <w:rsid w:val="00F00BE1"/>
    <w:rsid w:val="00F01128"/>
    <w:rsid w:val="00F01B31"/>
    <w:rsid w:val="00F03AB9"/>
    <w:rsid w:val="00F06479"/>
    <w:rsid w:val="00F076C5"/>
    <w:rsid w:val="00F120D9"/>
    <w:rsid w:val="00F124BE"/>
    <w:rsid w:val="00F125DE"/>
    <w:rsid w:val="00F24232"/>
    <w:rsid w:val="00F24B70"/>
    <w:rsid w:val="00F2526C"/>
    <w:rsid w:val="00F25C79"/>
    <w:rsid w:val="00F27170"/>
    <w:rsid w:val="00F30016"/>
    <w:rsid w:val="00F3144A"/>
    <w:rsid w:val="00F31C75"/>
    <w:rsid w:val="00F32543"/>
    <w:rsid w:val="00F33277"/>
    <w:rsid w:val="00F340CD"/>
    <w:rsid w:val="00F341CC"/>
    <w:rsid w:val="00F36B6C"/>
    <w:rsid w:val="00F36D10"/>
    <w:rsid w:val="00F40CAB"/>
    <w:rsid w:val="00F47C5C"/>
    <w:rsid w:val="00F54856"/>
    <w:rsid w:val="00F57650"/>
    <w:rsid w:val="00F579FC"/>
    <w:rsid w:val="00F60C74"/>
    <w:rsid w:val="00F62773"/>
    <w:rsid w:val="00F64F51"/>
    <w:rsid w:val="00F66122"/>
    <w:rsid w:val="00F666FD"/>
    <w:rsid w:val="00F67A35"/>
    <w:rsid w:val="00F759AD"/>
    <w:rsid w:val="00F765E8"/>
    <w:rsid w:val="00F8200C"/>
    <w:rsid w:val="00F85967"/>
    <w:rsid w:val="00F85D77"/>
    <w:rsid w:val="00F86D88"/>
    <w:rsid w:val="00F87FA7"/>
    <w:rsid w:val="00F90898"/>
    <w:rsid w:val="00F914C8"/>
    <w:rsid w:val="00F9473C"/>
    <w:rsid w:val="00FA40A3"/>
    <w:rsid w:val="00FA45CD"/>
    <w:rsid w:val="00FA5B17"/>
    <w:rsid w:val="00FB33FA"/>
    <w:rsid w:val="00FB3BA6"/>
    <w:rsid w:val="00FB4D65"/>
    <w:rsid w:val="00FB5954"/>
    <w:rsid w:val="00FB6040"/>
    <w:rsid w:val="00FB6695"/>
    <w:rsid w:val="00FB7F51"/>
    <w:rsid w:val="00FC0253"/>
    <w:rsid w:val="00FC0CDF"/>
    <w:rsid w:val="00FC0D7C"/>
    <w:rsid w:val="00FC163A"/>
    <w:rsid w:val="00FC183A"/>
    <w:rsid w:val="00FC19F5"/>
    <w:rsid w:val="00FC3D1C"/>
    <w:rsid w:val="00FD08A7"/>
    <w:rsid w:val="00FD1295"/>
    <w:rsid w:val="00FD2E55"/>
    <w:rsid w:val="00FD2FA9"/>
    <w:rsid w:val="00FD3572"/>
    <w:rsid w:val="00FD54CC"/>
    <w:rsid w:val="00FE06A2"/>
    <w:rsid w:val="00FE0CE6"/>
    <w:rsid w:val="00FE28C8"/>
    <w:rsid w:val="00FE3E12"/>
    <w:rsid w:val="00FE79EF"/>
    <w:rsid w:val="00FF025A"/>
    <w:rsid w:val="00FF088B"/>
    <w:rsid w:val="00FF0AC4"/>
    <w:rsid w:val="00FF10AF"/>
    <w:rsid w:val="00FF334E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FA85763-568B-458C-ABF8-691EC7C7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uiPriority w:val="99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uiPriority w:val="99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18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19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uiPriority w:val="99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21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Standard">
    <w:name w:val="Standard"/>
    <w:rsid w:val="00594C0C"/>
    <w:pPr>
      <w:suppressAutoHyphens/>
      <w:autoSpaceDN w:val="0"/>
      <w:spacing w:after="120"/>
      <w:jc w:val="both"/>
      <w:textAlignment w:val="baseline"/>
    </w:pPr>
    <w:rPr>
      <w:rFonts w:eastAsia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B084-1715-4A05-9BBC-92B073E4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2552</Words>
  <Characters>13785</Characters>
  <Application>Microsoft Office Word</Application>
  <DocSecurity>4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16305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2011-07-21T21:33:00Z</cp:lastPrinted>
  <dcterms:created xsi:type="dcterms:W3CDTF">2015-05-07T12:39:00Z</dcterms:created>
  <dcterms:modified xsi:type="dcterms:W3CDTF">2015-05-07T12:39:00Z</dcterms:modified>
</cp:coreProperties>
</file>