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805084">
        <w:rPr>
          <w:rFonts w:ascii="Times New Roman" w:hAnsi="Times New Roman"/>
          <w:b/>
          <w:i w:val="0"/>
          <w:color w:val="000000"/>
          <w:sz w:val="22"/>
          <w:szCs w:val="22"/>
        </w:rPr>
        <w:t>21</w:t>
      </w:r>
      <w:r w:rsidRPr="00097863">
        <w:rPr>
          <w:rFonts w:ascii="Times New Roman" w:hAnsi="Times New Roman"/>
          <w:b/>
          <w:i w:val="0"/>
          <w:color w:val="000000"/>
          <w:sz w:val="22"/>
          <w:szCs w:val="22"/>
        </w:rPr>
        <w:t xml:space="preserve"> </w:t>
      </w:r>
      <w:r w:rsidR="00AE591D">
        <w:rPr>
          <w:rFonts w:ascii="Times New Roman" w:hAnsi="Times New Roman"/>
          <w:b/>
          <w:i w:val="0"/>
          <w:color w:val="000000"/>
          <w:sz w:val="22"/>
          <w:szCs w:val="22"/>
        </w:rPr>
        <w:t xml:space="preserve">e </w:t>
      </w:r>
      <w:r w:rsidR="00805084">
        <w:rPr>
          <w:rFonts w:ascii="Times New Roman" w:hAnsi="Times New Roman"/>
          <w:b/>
          <w:i w:val="0"/>
          <w:color w:val="000000"/>
          <w:sz w:val="22"/>
          <w:szCs w:val="22"/>
        </w:rPr>
        <w:t>22</w:t>
      </w:r>
      <w:r w:rsidR="00AE591D">
        <w:rPr>
          <w:rFonts w:ascii="Times New Roman" w:hAnsi="Times New Roman"/>
          <w:b/>
          <w:i w:val="0"/>
          <w:color w:val="000000"/>
          <w:sz w:val="22"/>
          <w:szCs w:val="22"/>
        </w:rPr>
        <w:t xml:space="preserve"> de junho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AA4F2F">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B5291" w:rsidRDefault="009444E6" w:rsidP="00AF4B16">
      <w:pPr>
        <w:pStyle w:val="tita"/>
        <w:tabs>
          <w:tab w:val="left" w:pos="2590"/>
        </w:tabs>
        <w:spacing w:before="60" w:after="60" w:line="240" w:lineRule="auto"/>
        <w:jc w:val="both"/>
        <w:rPr>
          <w:b w:val="0"/>
          <w:i w:val="0"/>
          <w:iCs w:val="0"/>
          <w:color w:val="000000"/>
          <w:sz w:val="22"/>
          <w:szCs w:val="22"/>
        </w:rPr>
      </w:pPr>
      <w:r w:rsidRPr="009B5291">
        <w:rPr>
          <w:i w:val="0"/>
          <w:iCs w:val="0"/>
          <w:color w:val="000000"/>
          <w:sz w:val="22"/>
          <w:szCs w:val="22"/>
        </w:rPr>
        <w:t>Plenário</w:t>
      </w:r>
    </w:p>
    <w:p w:rsidR="00AF4B16" w:rsidRPr="00AF4B16" w:rsidRDefault="00AF4B16" w:rsidP="00AF4B16">
      <w:pPr>
        <w:spacing w:before="60" w:after="60"/>
        <w:ind w:left="0"/>
        <w:rPr>
          <w:sz w:val="22"/>
          <w:szCs w:val="22"/>
        </w:rPr>
      </w:pPr>
      <w:r w:rsidRPr="00AF4B16">
        <w:rPr>
          <w:sz w:val="22"/>
          <w:szCs w:val="22"/>
        </w:rPr>
        <w:t xml:space="preserve">Licitação na modalidade convite: a regularidade com a seguridade social e </w:t>
      </w:r>
      <w:r>
        <w:rPr>
          <w:sz w:val="22"/>
          <w:szCs w:val="22"/>
        </w:rPr>
        <w:t xml:space="preserve">com o </w:t>
      </w:r>
      <w:r w:rsidRPr="00AF4B16">
        <w:rPr>
          <w:sz w:val="22"/>
          <w:szCs w:val="22"/>
        </w:rPr>
        <w:t>FGTS deve</w:t>
      </w:r>
      <w:r>
        <w:rPr>
          <w:sz w:val="22"/>
          <w:szCs w:val="22"/>
        </w:rPr>
        <w:t>m</w:t>
      </w:r>
      <w:r w:rsidRPr="00AF4B16">
        <w:rPr>
          <w:sz w:val="22"/>
          <w:szCs w:val="22"/>
        </w:rPr>
        <w:t xml:space="preserve"> ser exigid</w:t>
      </w:r>
      <w:r>
        <w:rPr>
          <w:sz w:val="22"/>
          <w:szCs w:val="22"/>
        </w:rPr>
        <w:t>os</w:t>
      </w:r>
      <w:r w:rsidRPr="00AF4B16">
        <w:rPr>
          <w:sz w:val="22"/>
          <w:szCs w:val="22"/>
        </w:rPr>
        <w:t xml:space="preserve"> de todos os licitantes participantes do certame e não só daquele declarado vencedor</w:t>
      </w:r>
      <w:r>
        <w:rPr>
          <w:sz w:val="22"/>
          <w:szCs w:val="22"/>
        </w:rPr>
        <w:t>.</w:t>
      </w:r>
    </w:p>
    <w:p w:rsidR="00AF4B16" w:rsidRPr="00AF4B16" w:rsidRDefault="00AF4B16" w:rsidP="00AF4B16">
      <w:pPr>
        <w:pStyle w:val="TCU-RelVoto-1"/>
        <w:spacing w:before="60" w:after="60"/>
        <w:ind w:firstLine="0"/>
        <w:rPr>
          <w:sz w:val="22"/>
        </w:rPr>
      </w:pPr>
      <w:r w:rsidRPr="00AF4B16">
        <w:rPr>
          <w:sz w:val="22"/>
        </w:rPr>
        <w:t xml:space="preserve">No caso de ordem judicial para que </w:t>
      </w:r>
      <w:r w:rsidR="001B7085">
        <w:rPr>
          <w:sz w:val="22"/>
        </w:rPr>
        <w:t>a</w:t>
      </w:r>
      <w:r w:rsidR="001B7085" w:rsidRPr="00AF4B16">
        <w:rPr>
          <w:sz w:val="22"/>
        </w:rPr>
        <w:t xml:space="preserve"> Administração Pública </w:t>
      </w:r>
      <w:r w:rsidRPr="00AF4B16">
        <w:rPr>
          <w:sz w:val="22"/>
        </w:rPr>
        <w:t>firme contrato decorrente de licitação por ela anteriormente anulada, os valores da planilha orçamentária devem corresponder àqueles que constaram do certame, sendo que as futuras alterações contratuais estão, de modo geral, limitadas aos limites legais impostos pela pelo artigo 65 da Lei 8.666/1993. No caso de alterações qualitativas que demandem que tais limites sejam superados, devem ser observadas as condições e formalidades referidas na Decisão 21</w:t>
      </w:r>
      <w:r>
        <w:rPr>
          <w:sz w:val="22"/>
        </w:rPr>
        <w:t>5/1999</w:t>
      </w:r>
      <w:r w:rsidR="001B7085">
        <w:rPr>
          <w:sz w:val="22"/>
        </w:rPr>
        <w:t xml:space="preserve"> </w:t>
      </w:r>
      <w:r>
        <w:rPr>
          <w:sz w:val="22"/>
        </w:rPr>
        <w:t>do Plenário do Tribunal.</w:t>
      </w:r>
    </w:p>
    <w:p w:rsidR="00AF4B16" w:rsidRPr="00AF4B16" w:rsidRDefault="00AF4B16" w:rsidP="00AF4B16">
      <w:pPr>
        <w:pStyle w:val="Corpodetexto"/>
        <w:tabs>
          <w:tab w:val="left" w:pos="2590"/>
        </w:tabs>
        <w:spacing w:before="60" w:after="60"/>
        <w:ind w:left="0"/>
        <w:rPr>
          <w:color w:val="000000"/>
          <w:sz w:val="22"/>
          <w:szCs w:val="22"/>
        </w:rPr>
      </w:pPr>
      <w:r w:rsidRPr="00AF4B16">
        <w:rPr>
          <w:color w:val="000000"/>
          <w:sz w:val="22"/>
          <w:szCs w:val="22"/>
        </w:rPr>
        <w:t xml:space="preserve">Licitação do </w:t>
      </w:r>
      <w:r w:rsidRPr="00AF4B16">
        <w:rPr>
          <w:sz w:val="22"/>
          <w:szCs w:val="22"/>
        </w:rPr>
        <w:t>tipo menor preço global</w:t>
      </w:r>
      <w:r w:rsidRPr="00AF4B16">
        <w:rPr>
          <w:color w:val="000000"/>
          <w:sz w:val="22"/>
          <w:szCs w:val="22"/>
        </w:rPr>
        <w:t xml:space="preserve">: </w:t>
      </w:r>
    </w:p>
    <w:p w:rsidR="006242BF" w:rsidRPr="00AF4B16" w:rsidRDefault="00AF4B16" w:rsidP="00AF4B16">
      <w:pPr>
        <w:pStyle w:val="Corpodetexto"/>
        <w:tabs>
          <w:tab w:val="left" w:pos="851"/>
          <w:tab w:val="left" w:pos="2590"/>
        </w:tabs>
        <w:spacing w:before="60" w:after="60"/>
        <w:ind w:left="0"/>
        <w:rPr>
          <w:color w:val="000000"/>
          <w:sz w:val="22"/>
          <w:szCs w:val="22"/>
        </w:rPr>
      </w:pPr>
      <w:r w:rsidRPr="00AF4B16">
        <w:rPr>
          <w:color w:val="000000"/>
          <w:sz w:val="22"/>
          <w:szCs w:val="22"/>
        </w:rPr>
        <w:tab/>
        <w:t>1 - A restrição quanto a participação de determinadas marcas em licitação deve ser formal e tecnicamente justificada no processo de contratação;</w:t>
      </w:r>
    </w:p>
    <w:p w:rsidR="00AF4B16" w:rsidRPr="00AF4B16" w:rsidRDefault="00AF4B16" w:rsidP="00AF4B16">
      <w:pPr>
        <w:pStyle w:val="Default"/>
        <w:tabs>
          <w:tab w:val="left" w:pos="851"/>
        </w:tabs>
        <w:spacing w:before="60" w:after="60"/>
        <w:jc w:val="both"/>
        <w:rPr>
          <w:sz w:val="22"/>
          <w:szCs w:val="22"/>
        </w:rPr>
      </w:pPr>
      <w:r w:rsidRPr="00AF4B16">
        <w:rPr>
          <w:sz w:val="22"/>
          <w:szCs w:val="22"/>
        </w:rPr>
        <w:tab/>
        <w:t xml:space="preserve">2 - </w:t>
      </w:r>
      <w:r w:rsidRPr="00AF4B16">
        <w:rPr>
          <w:color w:val="auto"/>
          <w:sz w:val="22"/>
          <w:szCs w:val="22"/>
        </w:rPr>
        <w:t>A decisão do administrador em não</w:t>
      </w:r>
      <w:r w:rsidR="00BC2849">
        <w:rPr>
          <w:color w:val="auto"/>
          <w:sz w:val="22"/>
          <w:szCs w:val="22"/>
        </w:rPr>
        <w:t xml:space="preserve"> parcelar</w:t>
      </w:r>
      <w:r w:rsidRPr="00AF4B16">
        <w:rPr>
          <w:color w:val="auto"/>
          <w:sz w:val="22"/>
          <w:szCs w:val="22"/>
        </w:rPr>
        <w:t xml:space="preserve"> uma contratação deve ser obrigatoriamente precedida de estudos técnicos que</w:t>
      </w:r>
      <w:r w:rsidR="00D11409">
        <w:rPr>
          <w:color w:val="auto"/>
          <w:sz w:val="22"/>
          <w:szCs w:val="22"/>
        </w:rPr>
        <w:t xml:space="preserve"> a</w:t>
      </w:r>
      <w:r w:rsidRPr="00AF4B16">
        <w:rPr>
          <w:color w:val="auto"/>
          <w:sz w:val="22"/>
          <w:szCs w:val="22"/>
        </w:rPr>
        <w:t xml:space="preserve"> justifiquem.</w:t>
      </w:r>
      <w:r w:rsidRPr="00AF4B16">
        <w:rPr>
          <w:sz w:val="22"/>
          <w:szCs w:val="22"/>
        </w:rPr>
        <w:t xml:space="preserve"> </w:t>
      </w:r>
    </w:p>
    <w:p w:rsidR="00AF4B16" w:rsidRPr="00906778" w:rsidRDefault="00AF4B16" w:rsidP="00AF4B16">
      <w:pPr>
        <w:pStyle w:val="Corpodetexto"/>
        <w:tabs>
          <w:tab w:val="left" w:pos="2590"/>
        </w:tabs>
        <w:spacing w:before="60" w:after="60"/>
        <w:ind w:left="0"/>
        <w:rPr>
          <w:b/>
          <w:color w:val="FF0000"/>
          <w:sz w:val="22"/>
          <w:szCs w:val="22"/>
        </w:rPr>
      </w:pPr>
    </w:p>
    <w:p w:rsidR="003C6DEB" w:rsidRPr="00906778" w:rsidRDefault="003C6DEB" w:rsidP="00621D63">
      <w:pPr>
        <w:pBdr>
          <w:top w:val="threeDEmboss" w:sz="24" w:space="0" w:color="auto"/>
        </w:pBdr>
        <w:tabs>
          <w:tab w:val="left" w:pos="284"/>
          <w:tab w:val="left" w:pos="2590"/>
        </w:tabs>
        <w:spacing w:after="0"/>
        <w:ind w:left="0"/>
        <w:jc w:val="center"/>
        <w:rPr>
          <w:rFonts w:ascii="Cambria" w:hAnsi="Cambria"/>
          <w:b/>
          <w:bCs/>
          <w:smallCaps/>
          <w:sz w:val="22"/>
          <w:szCs w:val="22"/>
        </w:rPr>
      </w:pPr>
      <w:r w:rsidRPr="00906778">
        <w:rPr>
          <w:rFonts w:ascii="Cambria" w:hAnsi="Cambria"/>
          <w:b/>
          <w:bCs/>
          <w:smallCaps/>
          <w:sz w:val="22"/>
          <w:szCs w:val="22"/>
        </w:rPr>
        <w:t>PLENÁRIO</w:t>
      </w:r>
    </w:p>
    <w:p w:rsidR="00E02654" w:rsidRDefault="00E02654" w:rsidP="006E1404">
      <w:pPr>
        <w:spacing w:after="0"/>
        <w:ind w:left="0"/>
        <w:rPr>
          <w:b/>
          <w:color w:val="FF0000"/>
          <w:sz w:val="22"/>
          <w:szCs w:val="22"/>
        </w:rPr>
      </w:pPr>
    </w:p>
    <w:p w:rsidR="006E1404" w:rsidRPr="00AF4B16" w:rsidRDefault="00E02654" w:rsidP="00AF4B16">
      <w:pPr>
        <w:spacing w:after="0"/>
        <w:ind w:left="0"/>
        <w:rPr>
          <w:b/>
          <w:sz w:val="22"/>
          <w:szCs w:val="22"/>
        </w:rPr>
      </w:pPr>
      <w:r w:rsidRPr="00AF4B16">
        <w:rPr>
          <w:b/>
          <w:sz w:val="22"/>
          <w:szCs w:val="22"/>
        </w:rPr>
        <w:t xml:space="preserve">Licitação na modalidade convite: a regularidade com a seguridade social e </w:t>
      </w:r>
      <w:r w:rsidR="00AF4B16">
        <w:rPr>
          <w:b/>
          <w:sz w:val="22"/>
          <w:szCs w:val="22"/>
        </w:rPr>
        <w:t xml:space="preserve">com o </w:t>
      </w:r>
      <w:r w:rsidRPr="00AF4B16">
        <w:rPr>
          <w:b/>
          <w:sz w:val="22"/>
          <w:szCs w:val="22"/>
        </w:rPr>
        <w:t>FGTS deve</w:t>
      </w:r>
      <w:r w:rsidR="00AF4B16">
        <w:rPr>
          <w:b/>
          <w:sz w:val="22"/>
          <w:szCs w:val="22"/>
        </w:rPr>
        <w:t>m ser exigidos</w:t>
      </w:r>
      <w:r w:rsidRPr="00AF4B16">
        <w:rPr>
          <w:b/>
          <w:sz w:val="22"/>
          <w:szCs w:val="22"/>
        </w:rPr>
        <w:t xml:space="preserve"> de todos os licitantes</w:t>
      </w:r>
      <w:r w:rsidR="006611C2" w:rsidRPr="00AF4B16">
        <w:rPr>
          <w:b/>
          <w:sz w:val="22"/>
          <w:szCs w:val="22"/>
        </w:rPr>
        <w:t xml:space="preserve"> participantes do certame e não só daquele declarado vencedor</w:t>
      </w:r>
    </w:p>
    <w:p w:rsidR="006E1404" w:rsidRPr="00AF4B16" w:rsidRDefault="006E1404" w:rsidP="00AF4B16">
      <w:pPr>
        <w:pStyle w:val="TCU-SemRecuo"/>
        <w:spacing w:after="0"/>
        <w:rPr>
          <w:snapToGrid w:val="0"/>
          <w:sz w:val="22"/>
          <w:szCs w:val="22"/>
        </w:rPr>
      </w:pPr>
      <w:r w:rsidRPr="00AF4B16">
        <w:rPr>
          <w:sz w:val="22"/>
          <w:szCs w:val="22"/>
        </w:rPr>
        <w:t xml:space="preserve">Pedidos de reexame foram interpostos por diversos responsáveis contra o Acórdão 2890/2010, do Plenário, no qual o Tribunal examinou denúncia sobre supostas ilegalidades em licitações realizadas pelo Município de Nordestina/BA, para consecução de obras beneficiadas </w:t>
      </w:r>
      <w:r w:rsidR="00E02654" w:rsidRPr="00AF4B16">
        <w:rPr>
          <w:sz w:val="22"/>
          <w:szCs w:val="22"/>
        </w:rPr>
        <w:t>com</w:t>
      </w:r>
      <w:r w:rsidRPr="00AF4B16">
        <w:rPr>
          <w:sz w:val="22"/>
          <w:szCs w:val="22"/>
        </w:rPr>
        <w:t xml:space="preserve"> recursos </w:t>
      </w:r>
      <w:r w:rsidR="00E02654" w:rsidRPr="00AF4B16">
        <w:rPr>
          <w:sz w:val="22"/>
          <w:szCs w:val="22"/>
        </w:rPr>
        <w:t>oriundo</w:t>
      </w:r>
      <w:r w:rsidRPr="00AF4B16">
        <w:rPr>
          <w:sz w:val="22"/>
          <w:szCs w:val="22"/>
        </w:rPr>
        <w:t xml:space="preserve">s de convênios celebrados com entes federais. Conforme o </w:t>
      </w:r>
      <w:r w:rsidRPr="00AF4B16">
        <w:rPr>
          <w:b/>
          <w:sz w:val="22"/>
          <w:szCs w:val="22"/>
        </w:rPr>
        <w:t xml:space="preserve">decisum </w:t>
      </w:r>
      <w:r w:rsidRPr="00AF4B16">
        <w:rPr>
          <w:sz w:val="22"/>
          <w:szCs w:val="22"/>
        </w:rPr>
        <w:t xml:space="preserve">inicial, uma das irregularidades observadas consistiu na habilitação, em vários </w:t>
      </w:r>
      <w:r w:rsidR="00E02654" w:rsidRPr="00AF4B16">
        <w:rPr>
          <w:sz w:val="22"/>
          <w:szCs w:val="22"/>
        </w:rPr>
        <w:t>convites</w:t>
      </w:r>
      <w:r w:rsidRPr="00AF4B16">
        <w:rPr>
          <w:sz w:val="22"/>
          <w:szCs w:val="22"/>
        </w:rPr>
        <w:t>, de empresas que não apresentaram</w:t>
      </w:r>
      <w:r w:rsidR="00E02654" w:rsidRPr="00AF4B16">
        <w:rPr>
          <w:sz w:val="22"/>
          <w:szCs w:val="22"/>
        </w:rPr>
        <w:t xml:space="preserve"> tempestivamente</w:t>
      </w:r>
      <w:r w:rsidRPr="00AF4B16">
        <w:rPr>
          <w:sz w:val="22"/>
          <w:szCs w:val="22"/>
        </w:rPr>
        <w:t xml:space="preserve"> as devidas certidões de regularidade para com a seguridade social e FGTS, exigência constante do art. 29, inciso IV, da Lei nº 8.666/93. Nesta etapa processual, reforçando conclusões do acórdão recorrido, o relator destacou que não se trata de verificar, no que </w:t>
      </w:r>
      <w:r w:rsidR="00E02654" w:rsidRPr="00AF4B16">
        <w:rPr>
          <w:sz w:val="22"/>
          <w:szCs w:val="22"/>
        </w:rPr>
        <w:t xml:space="preserve">se refere à regularidade fiscal, </w:t>
      </w:r>
      <w:r w:rsidR="001B7085">
        <w:rPr>
          <w:sz w:val="22"/>
          <w:szCs w:val="22"/>
        </w:rPr>
        <w:t>apenas</w:t>
      </w:r>
      <w:r w:rsidR="00E02654" w:rsidRPr="00AF4B16">
        <w:rPr>
          <w:sz w:val="22"/>
          <w:szCs w:val="22"/>
        </w:rPr>
        <w:t xml:space="preserve"> a situação da licitante vencedor, mas de todos os licitantes que participem de um convite. Diante disso</w:t>
      </w:r>
      <w:r w:rsidR="00E02654" w:rsidRPr="00AF4B16">
        <w:rPr>
          <w:i/>
          <w:sz w:val="22"/>
          <w:szCs w:val="22"/>
        </w:rPr>
        <w:t xml:space="preserve">, </w:t>
      </w:r>
      <w:r w:rsidR="00E02654" w:rsidRPr="00AF4B16">
        <w:rPr>
          <w:sz w:val="22"/>
          <w:szCs w:val="22"/>
        </w:rPr>
        <w:t>“</w:t>
      </w:r>
      <w:r w:rsidR="00E02654" w:rsidRPr="00AF4B16">
        <w:rPr>
          <w:i/>
          <w:sz w:val="22"/>
          <w:szCs w:val="22"/>
        </w:rPr>
        <w:t>prosseguir em certames com essa ausência e posteriormente homologá-los representa grave afronta à lei</w:t>
      </w:r>
      <w:r w:rsidR="00E02654" w:rsidRPr="00AF4B16">
        <w:rPr>
          <w:sz w:val="22"/>
          <w:szCs w:val="22"/>
        </w:rPr>
        <w:t xml:space="preserve">”. Votou, então, pelo não provimento dos pedidos de reexame intentados, no que foi acompanhado pelo Plenário. </w:t>
      </w:r>
      <w:r w:rsidRPr="00AF4B16">
        <w:rPr>
          <w:b/>
          <w:i/>
          <w:sz w:val="22"/>
          <w:szCs w:val="22"/>
        </w:rPr>
        <w:t>Acórdão n.º 1676/2011-Plenário, TC-020.288/2007-5, rel. Min. Ubiratan Aguiar, 22.06.2011</w:t>
      </w:r>
      <w:r w:rsidRPr="00AF4B16">
        <w:rPr>
          <w:sz w:val="22"/>
          <w:szCs w:val="22"/>
        </w:rPr>
        <w:t>.</w:t>
      </w:r>
    </w:p>
    <w:p w:rsidR="006E1404" w:rsidRPr="00AF4B16" w:rsidRDefault="006E1404" w:rsidP="00AF4B16">
      <w:pPr>
        <w:pStyle w:val="tita"/>
        <w:tabs>
          <w:tab w:val="left" w:pos="2590"/>
        </w:tabs>
        <w:spacing w:before="0" w:after="0" w:line="240" w:lineRule="auto"/>
        <w:jc w:val="both"/>
        <w:rPr>
          <w:i w:val="0"/>
          <w:iCs w:val="0"/>
          <w:color w:val="FF0000"/>
          <w:sz w:val="22"/>
          <w:szCs w:val="22"/>
        </w:rPr>
      </w:pPr>
    </w:p>
    <w:p w:rsidR="002035B3" w:rsidRPr="00AF4B16" w:rsidRDefault="002035B3" w:rsidP="00AF4B16">
      <w:pPr>
        <w:pStyle w:val="TCU-RelVoto-1"/>
        <w:spacing w:after="0"/>
        <w:ind w:firstLine="0"/>
        <w:rPr>
          <w:b/>
          <w:sz w:val="22"/>
        </w:rPr>
      </w:pPr>
      <w:r w:rsidRPr="00AF4B16">
        <w:rPr>
          <w:b/>
          <w:sz w:val="22"/>
        </w:rPr>
        <w:t xml:space="preserve">No caso de ordem judicial para que </w:t>
      </w:r>
      <w:r w:rsidR="001B7085">
        <w:rPr>
          <w:b/>
          <w:sz w:val="22"/>
        </w:rPr>
        <w:t>a</w:t>
      </w:r>
      <w:r w:rsidR="001B7085" w:rsidRPr="00AF4B16">
        <w:rPr>
          <w:b/>
          <w:sz w:val="22"/>
        </w:rPr>
        <w:t xml:space="preserve"> Administração Pública </w:t>
      </w:r>
      <w:r w:rsidRPr="00AF4B16">
        <w:rPr>
          <w:b/>
          <w:sz w:val="22"/>
        </w:rPr>
        <w:t xml:space="preserve">firme contrato decorrente de licitação por ela anteriormente anulada, os valores da planilha orçamentária devem corresponder àqueles que constaram do certame, sendo que as futuras alterações contratuais estão, de modo geral, limitadas aos limites legais impostos pela pelo artigo 65 da Lei 8.666/1993. No caso de alterações qualitativas que demandem que tais limites sejam superados, devem ser observadas as condições e formalidades referidas na Decisão 215/1999 do Plenário do Tribunal </w:t>
      </w:r>
    </w:p>
    <w:p w:rsidR="00576018" w:rsidRPr="00AF4B16" w:rsidRDefault="00E02654" w:rsidP="00AF4B16">
      <w:pPr>
        <w:pStyle w:val="TCU-RelVoto-1"/>
        <w:spacing w:after="0"/>
        <w:ind w:firstLine="0"/>
        <w:rPr>
          <w:snapToGrid w:val="0"/>
          <w:sz w:val="22"/>
        </w:rPr>
      </w:pPr>
      <w:r w:rsidRPr="00AF4B16">
        <w:rPr>
          <w:sz w:val="22"/>
        </w:rPr>
        <w:t xml:space="preserve">Auditoria do Tribunal </w:t>
      </w:r>
      <w:r w:rsidR="000C531B" w:rsidRPr="00AF4B16">
        <w:rPr>
          <w:sz w:val="22"/>
        </w:rPr>
        <w:t>realizada no Departamento Penitenciário Nacional – (Depen), na Caixa Econômica Federal – (CEF) e no Governo do Estado do Rio Grande do Sul, com o objetivo verificar a conformidade da aplicação de recursos federais em obras públicas de construção e ampliação de penitenciárias</w:t>
      </w:r>
      <w:r w:rsidR="00242CBC" w:rsidRPr="00AF4B16">
        <w:rPr>
          <w:sz w:val="22"/>
        </w:rPr>
        <w:t xml:space="preserve">, detectou </w:t>
      </w:r>
      <w:r w:rsidR="00242CBC" w:rsidRPr="00AF4B16">
        <w:rPr>
          <w:snapToGrid w:val="0"/>
          <w:sz w:val="22"/>
        </w:rPr>
        <w:t xml:space="preserve">indícios de irregularidades no Contrato nº 329/2010, consistentes em </w:t>
      </w:r>
      <w:r w:rsidR="00242CBC" w:rsidRPr="00AF4B16">
        <w:rPr>
          <w:sz w:val="22"/>
        </w:rPr>
        <w:t xml:space="preserve">alterações substanciais nos itens de composição da avença, quando comparado com o que fora efetivamente licitado. Inicialmente, </w:t>
      </w:r>
      <w:r w:rsidR="001B7085">
        <w:rPr>
          <w:sz w:val="22"/>
        </w:rPr>
        <w:t xml:space="preserve">certa </w:t>
      </w:r>
      <w:r w:rsidR="00242CBC" w:rsidRPr="00AF4B16">
        <w:rPr>
          <w:sz w:val="22"/>
        </w:rPr>
        <w:t xml:space="preserve">empresa privada </w:t>
      </w:r>
      <w:r w:rsidR="00A465B4" w:rsidRPr="00AF4B16">
        <w:rPr>
          <w:sz w:val="22"/>
        </w:rPr>
        <w:t>houvera</w:t>
      </w:r>
      <w:r w:rsidR="00242CBC" w:rsidRPr="00AF4B16">
        <w:rPr>
          <w:sz w:val="22"/>
        </w:rPr>
        <w:t xml:space="preserve"> vencido a Concorrência nº 162/2007, anulada pela Secretaria de Segurança Pública do Estado do Rio Grande do Sul, em virtude de erros na planilha orçamentária da licitação. Todavia, </w:t>
      </w:r>
      <w:r w:rsidR="001B7085">
        <w:rPr>
          <w:sz w:val="22"/>
        </w:rPr>
        <w:t>posteriormente</w:t>
      </w:r>
      <w:r w:rsidR="00242CBC" w:rsidRPr="00AF4B16">
        <w:rPr>
          <w:sz w:val="22"/>
        </w:rPr>
        <w:t xml:space="preserve"> </w:t>
      </w:r>
      <w:r w:rsidR="003C2344" w:rsidRPr="00AF4B16">
        <w:rPr>
          <w:sz w:val="22"/>
        </w:rPr>
        <w:t xml:space="preserve">o Superior Tribunal de Justiça declarou ilegal o ato anulatório da licitação, determinando que o contrato relativo ao certame fosse firmado com a empresa declarada vencedora. Ocorre que, ao invés de firmar contrato nos moldes da licitação que fora anulada, o termo contratual foi assinado pelo Estado do Rio Grande do Sul com as alterações no objeto promovidas para a realização de uma nova licitação planejada para aquele mesmo ano. </w:t>
      </w:r>
      <w:r w:rsidR="005472B8" w:rsidRPr="00AF4B16">
        <w:rPr>
          <w:sz w:val="22"/>
        </w:rPr>
        <w:t>No entanto, para o relator, “</w:t>
      </w:r>
      <w:r w:rsidR="005472B8" w:rsidRPr="00AF4B16">
        <w:rPr>
          <w:i/>
          <w:sz w:val="22"/>
        </w:rPr>
        <w:t>o correto seria a assinatura de um contrato cujo objeto corre</w:t>
      </w:r>
      <w:r w:rsidR="00A465B4" w:rsidRPr="00AF4B16">
        <w:rPr>
          <w:i/>
          <w:sz w:val="22"/>
        </w:rPr>
        <w:t>s</w:t>
      </w:r>
      <w:r w:rsidR="005472B8" w:rsidRPr="00AF4B16">
        <w:rPr>
          <w:i/>
          <w:sz w:val="22"/>
        </w:rPr>
        <w:t>pondesse ao descrito na planilha orçamentária da primeira licitação</w:t>
      </w:r>
      <w:r w:rsidR="005472B8" w:rsidRPr="00AF4B16">
        <w:rPr>
          <w:sz w:val="22"/>
        </w:rPr>
        <w:t>”. Após isto, “</w:t>
      </w:r>
      <w:r w:rsidR="005472B8" w:rsidRPr="00AF4B16">
        <w:rPr>
          <w:i/>
          <w:sz w:val="22"/>
        </w:rPr>
        <w:t>dever-se-ia promover as alterações contratuais necessárias, respeitando-se o limite legal de 25 % (art. 65,§ 1º, da Lei nº 8.666/1993), tendo-se o valor inicial do contrato como referência</w:t>
      </w:r>
      <w:r w:rsidR="005472B8" w:rsidRPr="00AF4B16">
        <w:rPr>
          <w:sz w:val="22"/>
        </w:rPr>
        <w:t>”. Caso as mudanças qualitativas o ultrapassassem</w:t>
      </w:r>
      <w:r w:rsidR="003D1DB2" w:rsidRPr="00AF4B16">
        <w:rPr>
          <w:sz w:val="22"/>
        </w:rPr>
        <w:t xml:space="preserve"> o limite referencial disposto na Lei nº 8.666/1993</w:t>
      </w:r>
      <w:r w:rsidR="005472B8" w:rsidRPr="00AF4B16">
        <w:rPr>
          <w:sz w:val="22"/>
        </w:rPr>
        <w:t xml:space="preserve">, </w:t>
      </w:r>
      <w:r w:rsidR="003D1DB2" w:rsidRPr="00AF4B16">
        <w:rPr>
          <w:sz w:val="22"/>
        </w:rPr>
        <w:t>“</w:t>
      </w:r>
      <w:r w:rsidR="005472B8" w:rsidRPr="00AF4B16">
        <w:rPr>
          <w:i/>
          <w:sz w:val="22"/>
        </w:rPr>
        <w:t xml:space="preserve">o aditamento só seria possível se preenchidos os requisitos discriminados na letra </w:t>
      </w:r>
      <w:r w:rsidR="003D1DB2" w:rsidRPr="00AF4B16">
        <w:rPr>
          <w:i/>
          <w:sz w:val="22"/>
        </w:rPr>
        <w:t>‘b’</w:t>
      </w:r>
      <w:r w:rsidR="005472B8" w:rsidRPr="00AF4B16">
        <w:rPr>
          <w:i/>
          <w:sz w:val="22"/>
        </w:rPr>
        <w:t xml:space="preserve"> na Decisão nº 215/1999 - TCU – Plenário</w:t>
      </w:r>
      <w:r w:rsidR="003D1DB2" w:rsidRPr="00AF4B16">
        <w:rPr>
          <w:sz w:val="22"/>
        </w:rPr>
        <w:t xml:space="preserve">”. Como as formalidades e condições estabelecidas no aresto não foram cumpridas, entendeu o relator tratar de </w:t>
      </w:r>
      <w:r w:rsidR="00A465B4" w:rsidRPr="00AF4B16">
        <w:rPr>
          <w:sz w:val="22"/>
        </w:rPr>
        <w:t>irregularidade grave</w:t>
      </w:r>
      <w:r w:rsidR="003D1DB2" w:rsidRPr="00AF4B16">
        <w:rPr>
          <w:sz w:val="22"/>
        </w:rPr>
        <w:t>, de acordo com a classificação adotada pela Lei de Diretrizes Orçamentárias, votou</w:t>
      </w:r>
      <w:r w:rsidR="001B7085">
        <w:rPr>
          <w:sz w:val="22"/>
        </w:rPr>
        <w:t>, assim,</w:t>
      </w:r>
      <w:r w:rsidR="003D1DB2" w:rsidRPr="00AF4B16">
        <w:rPr>
          <w:sz w:val="22"/>
        </w:rPr>
        <w:t xml:space="preserve"> por que fossem promovidas diversas audiências de responsáveis, sem prejuízo de serem encaminhadas informações aos órgãos e entidades públicos potencialmente </w:t>
      </w:r>
      <w:r w:rsidR="00A465B4" w:rsidRPr="00AF4B16">
        <w:rPr>
          <w:sz w:val="22"/>
        </w:rPr>
        <w:t xml:space="preserve">envolvidos </w:t>
      </w:r>
      <w:r w:rsidR="003D1DB2" w:rsidRPr="00AF4B16">
        <w:rPr>
          <w:sz w:val="22"/>
        </w:rPr>
        <w:t xml:space="preserve">com as obras em questão a respeito das impropriedades observadas, no que contou com a anuência do Plenário. </w:t>
      </w:r>
      <w:r w:rsidR="00D574F2" w:rsidRPr="00AF4B16">
        <w:rPr>
          <w:color w:val="000000"/>
          <w:sz w:val="22"/>
        </w:rPr>
        <w:t xml:space="preserve">Precedente citado: </w:t>
      </w:r>
      <w:r w:rsidR="005472B8" w:rsidRPr="00AF4B16">
        <w:rPr>
          <w:sz w:val="22"/>
        </w:rPr>
        <w:t>Acórdão nº 749/2010</w:t>
      </w:r>
      <w:r w:rsidR="00D574F2" w:rsidRPr="00AF4B16">
        <w:rPr>
          <w:color w:val="000000"/>
          <w:sz w:val="22"/>
        </w:rPr>
        <w:t xml:space="preserve">, do Plenário. </w:t>
      </w:r>
      <w:r w:rsidR="00937DCB" w:rsidRPr="00AF4B16">
        <w:rPr>
          <w:color w:val="FF0000"/>
          <w:sz w:val="22"/>
        </w:rPr>
        <w:t xml:space="preserve"> </w:t>
      </w:r>
      <w:r w:rsidR="00C731FC" w:rsidRPr="00AF4B16">
        <w:rPr>
          <w:b/>
          <w:i/>
          <w:sz w:val="22"/>
        </w:rPr>
        <w:t>Acórdão n.º 1</w:t>
      </w:r>
      <w:r w:rsidR="009773FB" w:rsidRPr="00AF4B16">
        <w:rPr>
          <w:b/>
          <w:i/>
          <w:sz w:val="22"/>
        </w:rPr>
        <w:t>676</w:t>
      </w:r>
      <w:r w:rsidR="00576018" w:rsidRPr="00AF4B16">
        <w:rPr>
          <w:b/>
          <w:i/>
          <w:sz w:val="22"/>
        </w:rPr>
        <w:t>/</w:t>
      </w:r>
      <w:r w:rsidR="00C731FC" w:rsidRPr="00AF4B16">
        <w:rPr>
          <w:b/>
          <w:i/>
          <w:sz w:val="22"/>
        </w:rPr>
        <w:t>2011-Plenário, TC-0</w:t>
      </w:r>
      <w:r w:rsidR="009773FB" w:rsidRPr="00AF4B16">
        <w:rPr>
          <w:b/>
          <w:i/>
          <w:sz w:val="22"/>
        </w:rPr>
        <w:t>08</w:t>
      </w:r>
      <w:r w:rsidR="00576018" w:rsidRPr="00AF4B16">
        <w:rPr>
          <w:b/>
          <w:i/>
          <w:sz w:val="22"/>
        </w:rPr>
        <w:t>.</w:t>
      </w:r>
      <w:r w:rsidR="009773FB" w:rsidRPr="00AF4B16">
        <w:rPr>
          <w:b/>
          <w:i/>
          <w:sz w:val="22"/>
        </w:rPr>
        <w:t>847/2011</w:t>
      </w:r>
      <w:r w:rsidR="00576018" w:rsidRPr="00AF4B16">
        <w:rPr>
          <w:b/>
          <w:i/>
          <w:sz w:val="22"/>
        </w:rPr>
        <w:t>-</w:t>
      </w:r>
      <w:r w:rsidR="0000515A" w:rsidRPr="00AF4B16">
        <w:rPr>
          <w:b/>
          <w:i/>
          <w:sz w:val="22"/>
        </w:rPr>
        <w:t>8</w:t>
      </w:r>
      <w:r w:rsidR="00576018" w:rsidRPr="00AF4B16">
        <w:rPr>
          <w:b/>
          <w:i/>
          <w:sz w:val="22"/>
        </w:rPr>
        <w:t xml:space="preserve">, rel. Min. </w:t>
      </w:r>
      <w:r w:rsidR="009773FB" w:rsidRPr="00AF4B16">
        <w:rPr>
          <w:b/>
          <w:i/>
          <w:sz w:val="22"/>
        </w:rPr>
        <w:t>Raimundo Carrero</w:t>
      </w:r>
      <w:r w:rsidR="00576018" w:rsidRPr="00AF4B16">
        <w:rPr>
          <w:b/>
          <w:i/>
          <w:sz w:val="22"/>
        </w:rPr>
        <w:t xml:space="preserve">, </w:t>
      </w:r>
      <w:r w:rsidR="009773FB" w:rsidRPr="00AF4B16">
        <w:rPr>
          <w:b/>
          <w:i/>
          <w:sz w:val="22"/>
        </w:rPr>
        <w:t>22</w:t>
      </w:r>
      <w:r w:rsidR="00C731FC" w:rsidRPr="00AF4B16">
        <w:rPr>
          <w:b/>
          <w:i/>
          <w:sz w:val="22"/>
        </w:rPr>
        <w:t>.06</w:t>
      </w:r>
      <w:r w:rsidR="00576018" w:rsidRPr="00AF4B16">
        <w:rPr>
          <w:b/>
          <w:i/>
          <w:sz w:val="22"/>
        </w:rPr>
        <w:t>.201</w:t>
      </w:r>
      <w:r w:rsidR="00C731FC" w:rsidRPr="00AF4B16">
        <w:rPr>
          <w:b/>
          <w:i/>
          <w:sz w:val="22"/>
        </w:rPr>
        <w:t>1</w:t>
      </w:r>
      <w:r w:rsidR="00576018" w:rsidRPr="00AF4B16">
        <w:rPr>
          <w:sz w:val="22"/>
        </w:rPr>
        <w:t>.</w:t>
      </w:r>
    </w:p>
    <w:p w:rsidR="007F1DEB" w:rsidRPr="00AF4B16" w:rsidRDefault="007F1DEB" w:rsidP="00AF4B16">
      <w:pPr>
        <w:tabs>
          <w:tab w:val="left" w:pos="851"/>
        </w:tabs>
        <w:spacing w:after="0"/>
        <w:ind w:left="0"/>
        <w:rPr>
          <w:b/>
          <w:color w:val="FF0000"/>
          <w:sz w:val="22"/>
          <w:szCs w:val="22"/>
        </w:rPr>
      </w:pPr>
    </w:p>
    <w:p w:rsidR="00000D6F" w:rsidRPr="00AF4B16" w:rsidRDefault="00AF4B16" w:rsidP="00AF4B16">
      <w:pPr>
        <w:pStyle w:val="Corpodetexto"/>
        <w:tabs>
          <w:tab w:val="left" w:pos="1134"/>
          <w:tab w:val="left" w:pos="2590"/>
        </w:tabs>
        <w:spacing w:after="0"/>
        <w:ind w:left="0"/>
        <w:rPr>
          <w:b/>
          <w:color w:val="000000"/>
          <w:sz w:val="22"/>
          <w:szCs w:val="22"/>
        </w:rPr>
      </w:pPr>
      <w:r w:rsidRPr="00AF4B16">
        <w:rPr>
          <w:b/>
          <w:color w:val="000000"/>
          <w:sz w:val="22"/>
          <w:szCs w:val="22"/>
        </w:rPr>
        <w:t xml:space="preserve">Licitação do </w:t>
      </w:r>
      <w:r w:rsidRPr="00AF4B16">
        <w:rPr>
          <w:b/>
          <w:sz w:val="22"/>
          <w:szCs w:val="22"/>
        </w:rPr>
        <w:t>tipo menor preço global</w:t>
      </w:r>
      <w:r w:rsidRPr="00AF4B16">
        <w:rPr>
          <w:b/>
          <w:color w:val="000000"/>
          <w:sz w:val="22"/>
          <w:szCs w:val="22"/>
        </w:rPr>
        <w:t xml:space="preserve">: 1 - </w:t>
      </w:r>
      <w:r w:rsidR="006611C2" w:rsidRPr="00AF4B16">
        <w:rPr>
          <w:b/>
          <w:color w:val="000000"/>
          <w:sz w:val="22"/>
          <w:szCs w:val="22"/>
        </w:rPr>
        <w:t xml:space="preserve">A restrição quanto a </w:t>
      </w:r>
      <w:r w:rsidRPr="00AF4B16">
        <w:rPr>
          <w:b/>
          <w:color w:val="000000"/>
          <w:sz w:val="22"/>
          <w:szCs w:val="22"/>
        </w:rPr>
        <w:t xml:space="preserve">participação de </w:t>
      </w:r>
      <w:r w:rsidR="006611C2" w:rsidRPr="00AF4B16">
        <w:rPr>
          <w:b/>
          <w:color w:val="000000"/>
          <w:sz w:val="22"/>
          <w:szCs w:val="22"/>
        </w:rPr>
        <w:t xml:space="preserve">determinadas marcas em licitação deve ser </w:t>
      </w:r>
      <w:r w:rsidRPr="00AF4B16">
        <w:rPr>
          <w:b/>
          <w:color w:val="000000"/>
          <w:sz w:val="22"/>
          <w:szCs w:val="22"/>
        </w:rPr>
        <w:t>formal e tecnicamente justificada no processo de contratação</w:t>
      </w:r>
    </w:p>
    <w:p w:rsidR="00000D6F" w:rsidRPr="00AF4B16" w:rsidRDefault="00774DDE" w:rsidP="00AF4B16">
      <w:pPr>
        <w:pStyle w:val="TCU-Epgrafe"/>
        <w:tabs>
          <w:tab w:val="left" w:pos="1134"/>
        </w:tabs>
        <w:ind w:left="0"/>
        <w:rPr>
          <w:color w:val="FF0000"/>
          <w:sz w:val="22"/>
          <w:szCs w:val="22"/>
        </w:rPr>
      </w:pPr>
      <w:r w:rsidRPr="00AF4B16">
        <w:rPr>
          <w:sz w:val="22"/>
          <w:szCs w:val="22"/>
        </w:rPr>
        <w:t xml:space="preserve">Por conta de </w:t>
      </w:r>
      <w:r w:rsidR="002035B3" w:rsidRPr="00AF4B16">
        <w:rPr>
          <w:sz w:val="22"/>
          <w:szCs w:val="22"/>
        </w:rPr>
        <w:t>representação</w:t>
      </w:r>
      <w:r w:rsidRPr="00AF4B16">
        <w:rPr>
          <w:sz w:val="22"/>
          <w:szCs w:val="22"/>
        </w:rPr>
        <w:t>, o Tribunal apurou possíveis irregularidades n</w:t>
      </w:r>
      <w:r w:rsidR="002035B3" w:rsidRPr="00AF4B16">
        <w:rPr>
          <w:sz w:val="22"/>
          <w:szCs w:val="22"/>
        </w:rPr>
        <w:t>a Concorrência n</w:t>
      </w:r>
      <w:r w:rsidRPr="00AF4B16">
        <w:rPr>
          <w:sz w:val="22"/>
          <w:szCs w:val="22"/>
        </w:rPr>
        <w:t>º</w:t>
      </w:r>
      <w:r w:rsidR="002035B3" w:rsidRPr="00AF4B16">
        <w:rPr>
          <w:sz w:val="22"/>
          <w:szCs w:val="22"/>
        </w:rPr>
        <w:t xml:space="preserve"> 6.986/2011, tipo menor preço global, promovida pelo Serviço Nacional de Aprendizagem Comercial – Administração Regional/SP</w:t>
      </w:r>
      <w:r w:rsidRPr="00AF4B16">
        <w:rPr>
          <w:sz w:val="22"/>
          <w:szCs w:val="22"/>
        </w:rPr>
        <w:t xml:space="preserve"> – (Senac/SP)</w:t>
      </w:r>
      <w:r w:rsidR="002035B3" w:rsidRPr="00AF4B16">
        <w:rPr>
          <w:sz w:val="22"/>
          <w:szCs w:val="22"/>
        </w:rPr>
        <w:t xml:space="preserve">, </w:t>
      </w:r>
      <w:r w:rsidR="006611C2" w:rsidRPr="00AF4B16">
        <w:rPr>
          <w:sz w:val="22"/>
          <w:szCs w:val="22"/>
        </w:rPr>
        <w:t>cujo</w:t>
      </w:r>
      <w:r w:rsidR="002035B3" w:rsidRPr="00AF4B16">
        <w:rPr>
          <w:sz w:val="22"/>
          <w:szCs w:val="22"/>
        </w:rPr>
        <w:t xml:space="preserve"> objeto </w:t>
      </w:r>
      <w:r w:rsidR="006611C2" w:rsidRPr="00AF4B16">
        <w:rPr>
          <w:sz w:val="22"/>
          <w:szCs w:val="22"/>
        </w:rPr>
        <w:t>consistiu n</w:t>
      </w:r>
      <w:r w:rsidR="002035B3" w:rsidRPr="00AF4B16">
        <w:rPr>
          <w:sz w:val="22"/>
          <w:szCs w:val="22"/>
        </w:rPr>
        <w:t xml:space="preserve">a contratação de empresa especializada para fornecimento de todo equipamento, material, mão-de-obra, maquinaria, ferramentas e instrumentos necessários para instalação de sistema de ar condicionado </w:t>
      </w:r>
      <w:r w:rsidR="006611C2" w:rsidRPr="00AF4B16">
        <w:rPr>
          <w:sz w:val="22"/>
          <w:szCs w:val="22"/>
        </w:rPr>
        <w:t>em</w:t>
      </w:r>
      <w:r w:rsidR="002035B3" w:rsidRPr="00AF4B16">
        <w:rPr>
          <w:sz w:val="22"/>
          <w:szCs w:val="22"/>
        </w:rPr>
        <w:t xml:space="preserve"> unidades do Senac</w:t>
      </w:r>
      <w:r w:rsidRPr="00AF4B16">
        <w:rPr>
          <w:sz w:val="22"/>
          <w:szCs w:val="22"/>
        </w:rPr>
        <w:t>/SP,</w:t>
      </w:r>
      <w:r w:rsidR="002035B3" w:rsidRPr="00AF4B16">
        <w:rPr>
          <w:sz w:val="22"/>
          <w:szCs w:val="22"/>
        </w:rPr>
        <w:t xml:space="preserve"> situadas em </w:t>
      </w:r>
      <w:r w:rsidRPr="00AF4B16">
        <w:rPr>
          <w:sz w:val="22"/>
          <w:szCs w:val="22"/>
        </w:rPr>
        <w:t>diversos municípios do Estado</w:t>
      </w:r>
      <w:r w:rsidR="002035B3" w:rsidRPr="00AF4B16">
        <w:rPr>
          <w:sz w:val="22"/>
          <w:szCs w:val="22"/>
        </w:rPr>
        <w:t>.</w:t>
      </w:r>
      <w:r w:rsidRPr="00AF4B16">
        <w:rPr>
          <w:sz w:val="22"/>
          <w:szCs w:val="22"/>
        </w:rPr>
        <w:t xml:space="preserve"> Dentre tais irregularidades, constou a necessidade de que o fornecimento de equipamentos fosse restrito às marcas Toshiba, LG e Daikin, não sendo aceitas as marcas Hitachi, Mitsubishi e equivalentes. Para a unidade técnica, </w:t>
      </w:r>
      <w:r w:rsidR="0016045B" w:rsidRPr="00AF4B16">
        <w:rPr>
          <w:sz w:val="22"/>
          <w:szCs w:val="22"/>
        </w:rPr>
        <w:t>a previsão de marcas específicas deve contar com as devidas justificativas técnicas, pois, caso contrário, levaria à exclusão de potenciais fornecedores que teriam condições de participar do certame licitatório. Nesse quadro, ressaltou o relator que no caso de opções gerenciais que restrinjam o universo de possíveis interessados na licitação, “</w:t>
      </w:r>
      <w:r w:rsidR="0016045B" w:rsidRPr="00AF4B16">
        <w:rPr>
          <w:i/>
          <w:sz w:val="22"/>
          <w:szCs w:val="22"/>
        </w:rPr>
        <w:t>é dever da Administração Licitante formalizar, no processo licitatório, os elementos que serviram de embasamento ao processo decisório, exibindo-os aos órgãos de controle</w:t>
      </w:r>
      <w:r w:rsidR="0016045B" w:rsidRPr="00AF4B16">
        <w:rPr>
          <w:sz w:val="22"/>
          <w:szCs w:val="22"/>
        </w:rPr>
        <w:t xml:space="preserve">”, o que, na espécie, não ocorreu. Por conseguinte, por essa e por outras irregularidades, votou por que o Tribunal determinasse, cautelarmente, a suspensão da licitação, até que se decida sobre o mérito da questão suscitada, de modo a evitar que o prosseguimento irregular do certame acarretasse situações de fato ensejadoras de direitos subjetivos e tumulto na execução do objeto. Nos termos do voto do relator, o Plenário manifestou sua anuência. </w:t>
      </w:r>
      <w:r w:rsidR="00B14E4C" w:rsidRPr="00AF4B16">
        <w:rPr>
          <w:b/>
          <w:i/>
          <w:sz w:val="22"/>
          <w:szCs w:val="22"/>
        </w:rPr>
        <w:t>Acórdão nº 1</w:t>
      </w:r>
      <w:r w:rsidR="002035B3" w:rsidRPr="00AF4B16">
        <w:rPr>
          <w:b/>
          <w:i/>
          <w:sz w:val="22"/>
          <w:szCs w:val="22"/>
        </w:rPr>
        <w:t>695</w:t>
      </w:r>
      <w:r w:rsidR="00000D6F" w:rsidRPr="00AF4B16">
        <w:rPr>
          <w:b/>
          <w:i/>
          <w:sz w:val="22"/>
          <w:szCs w:val="22"/>
        </w:rPr>
        <w:t>/2011-Plenário, TC-0</w:t>
      </w:r>
      <w:r w:rsidR="002035B3" w:rsidRPr="00AF4B16">
        <w:rPr>
          <w:b/>
          <w:i/>
          <w:sz w:val="22"/>
          <w:szCs w:val="22"/>
        </w:rPr>
        <w:t>15</w:t>
      </w:r>
      <w:r w:rsidR="00000D6F" w:rsidRPr="00AF4B16">
        <w:rPr>
          <w:b/>
          <w:i/>
          <w:sz w:val="22"/>
          <w:szCs w:val="22"/>
        </w:rPr>
        <w:t>.</w:t>
      </w:r>
      <w:r w:rsidR="002035B3" w:rsidRPr="00AF4B16">
        <w:rPr>
          <w:b/>
          <w:i/>
          <w:sz w:val="22"/>
          <w:szCs w:val="22"/>
        </w:rPr>
        <w:t>264</w:t>
      </w:r>
      <w:r w:rsidR="00000D6F" w:rsidRPr="00AF4B16">
        <w:rPr>
          <w:b/>
          <w:i/>
          <w:sz w:val="22"/>
          <w:szCs w:val="22"/>
        </w:rPr>
        <w:t>/20</w:t>
      </w:r>
      <w:r w:rsidR="002035B3" w:rsidRPr="00AF4B16">
        <w:rPr>
          <w:b/>
          <w:i/>
          <w:sz w:val="22"/>
          <w:szCs w:val="22"/>
        </w:rPr>
        <w:t>11</w:t>
      </w:r>
      <w:r w:rsidR="00000D6F" w:rsidRPr="00AF4B16">
        <w:rPr>
          <w:b/>
          <w:i/>
          <w:sz w:val="22"/>
          <w:szCs w:val="22"/>
        </w:rPr>
        <w:t>-</w:t>
      </w:r>
      <w:r w:rsidR="002035B3" w:rsidRPr="00AF4B16">
        <w:rPr>
          <w:b/>
          <w:i/>
          <w:sz w:val="22"/>
          <w:szCs w:val="22"/>
        </w:rPr>
        <w:t>4</w:t>
      </w:r>
      <w:r w:rsidR="00000D6F" w:rsidRPr="00AF4B16">
        <w:rPr>
          <w:b/>
          <w:i/>
          <w:sz w:val="22"/>
          <w:szCs w:val="22"/>
        </w:rPr>
        <w:t xml:space="preserve">, rel. Min-Subst. </w:t>
      </w:r>
      <w:r w:rsidR="002035B3" w:rsidRPr="00AF4B16">
        <w:rPr>
          <w:b/>
          <w:i/>
          <w:sz w:val="22"/>
          <w:szCs w:val="22"/>
        </w:rPr>
        <w:t>Marcos Bemquerer Costa</w:t>
      </w:r>
      <w:r w:rsidR="00000D6F" w:rsidRPr="00AF4B16">
        <w:rPr>
          <w:b/>
          <w:i/>
          <w:sz w:val="22"/>
          <w:szCs w:val="22"/>
        </w:rPr>
        <w:t xml:space="preserve">, </w:t>
      </w:r>
      <w:r w:rsidR="002035B3" w:rsidRPr="00AF4B16">
        <w:rPr>
          <w:b/>
          <w:i/>
          <w:sz w:val="22"/>
          <w:szCs w:val="22"/>
        </w:rPr>
        <w:t>22</w:t>
      </w:r>
      <w:r w:rsidR="00000D6F" w:rsidRPr="00AF4B16">
        <w:rPr>
          <w:b/>
          <w:i/>
          <w:sz w:val="22"/>
          <w:szCs w:val="22"/>
        </w:rPr>
        <w:t>.06.2011.</w:t>
      </w:r>
    </w:p>
    <w:p w:rsidR="00000D6F" w:rsidRPr="00AF4B16" w:rsidRDefault="00000D6F" w:rsidP="00AF4B16">
      <w:pPr>
        <w:pStyle w:val="Corpodetexto"/>
        <w:tabs>
          <w:tab w:val="left" w:pos="1134"/>
          <w:tab w:val="left" w:pos="2590"/>
        </w:tabs>
        <w:spacing w:after="0"/>
        <w:ind w:left="0"/>
        <w:rPr>
          <w:b/>
          <w:color w:val="FF0000"/>
          <w:sz w:val="22"/>
          <w:szCs w:val="22"/>
        </w:rPr>
      </w:pPr>
    </w:p>
    <w:p w:rsidR="00D11409" w:rsidRDefault="00AF4B16" w:rsidP="00AF4B16">
      <w:pPr>
        <w:pStyle w:val="Default"/>
        <w:tabs>
          <w:tab w:val="left" w:pos="1134"/>
        </w:tabs>
        <w:jc w:val="both"/>
        <w:rPr>
          <w:b/>
          <w:color w:val="auto"/>
          <w:sz w:val="22"/>
          <w:szCs w:val="22"/>
        </w:rPr>
      </w:pPr>
      <w:r w:rsidRPr="00AF4B16">
        <w:rPr>
          <w:b/>
          <w:sz w:val="22"/>
          <w:szCs w:val="22"/>
        </w:rPr>
        <w:t>Licitação do tipo menor preço global</w:t>
      </w:r>
      <w:r>
        <w:rPr>
          <w:b/>
          <w:sz w:val="22"/>
          <w:szCs w:val="22"/>
        </w:rPr>
        <w:t>: 2</w:t>
      </w:r>
      <w:r w:rsidRPr="00AF4B16">
        <w:rPr>
          <w:b/>
          <w:sz w:val="22"/>
          <w:szCs w:val="22"/>
        </w:rPr>
        <w:t xml:space="preserve"> - </w:t>
      </w:r>
      <w:r>
        <w:rPr>
          <w:b/>
          <w:color w:val="auto"/>
          <w:sz w:val="22"/>
          <w:szCs w:val="22"/>
        </w:rPr>
        <w:t>A</w:t>
      </w:r>
      <w:r w:rsidRPr="00AF4B16">
        <w:rPr>
          <w:b/>
          <w:color w:val="auto"/>
          <w:sz w:val="22"/>
          <w:szCs w:val="22"/>
        </w:rPr>
        <w:t xml:space="preserve"> decisão do administrador em não</w:t>
      </w:r>
      <w:r w:rsidR="00BC2849">
        <w:rPr>
          <w:b/>
          <w:color w:val="auto"/>
          <w:sz w:val="22"/>
          <w:szCs w:val="22"/>
        </w:rPr>
        <w:t xml:space="preserve"> parcelar</w:t>
      </w:r>
      <w:r w:rsidRPr="00AF4B16">
        <w:rPr>
          <w:b/>
          <w:color w:val="auto"/>
          <w:sz w:val="22"/>
          <w:szCs w:val="22"/>
        </w:rPr>
        <w:t xml:space="preserve"> uma contratação deve ser obrigatoriamente precedida de estudos técnicos que</w:t>
      </w:r>
      <w:r w:rsidR="00D11409">
        <w:rPr>
          <w:b/>
          <w:color w:val="auto"/>
          <w:sz w:val="22"/>
          <w:szCs w:val="22"/>
        </w:rPr>
        <w:t xml:space="preserve"> a</w:t>
      </w:r>
      <w:r w:rsidRPr="00AF4B16">
        <w:rPr>
          <w:b/>
          <w:color w:val="auto"/>
          <w:sz w:val="22"/>
          <w:szCs w:val="22"/>
        </w:rPr>
        <w:t xml:space="preserve"> justifiquem</w:t>
      </w:r>
    </w:p>
    <w:p w:rsidR="0016045B" w:rsidRPr="00AF4B16" w:rsidRDefault="0016045B" w:rsidP="00AF4B16">
      <w:pPr>
        <w:pStyle w:val="Default"/>
        <w:tabs>
          <w:tab w:val="left" w:pos="1134"/>
        </w:tabs>
        <w:jc w:val="both"/>
        <w:rPr>
          <w:color w:val="FF0000"/>
          <w:sz w:val="22"/>
          <w:szCs w:val="22"/>
        </w:rPr>
      </w:pPr>
      <w:r w:rsidRPr="00AF4B16">
        <w:rPr>
          <w:sz w:val="22"/>
          <w:szCs w:val="22"/>
        </w:rPr>
        <w:t xml:space="preserve">Ainda na representação em que apurou possíveis irregularidades na Concorrência nº 6.986/2011, tipo menor preço global, promovida pelo Serviço Nacional de Aprendizagem Comercial – Administração Regional/SP – (Senac/SP), o TCU analisou a </w:t>
      </w:r>
      <w:r w:rsidRPr="00AF4B16">
        <w:rPr>
          <w:color w:val="auto"/>
          <w:sz w:val="22"/>
          <w:szCs w:val="22"/>
        </w:rPr>
        <w:t>concentração do objeto em um único contrato, quando a licitação poderia ser realizada em seis parcelas, com a consequente ampliação do universo de participantes e do caráter competitivo da licitação, em contrariedade à Súmula/TCU n. 247</w:t>
      </w:r>
      <w:r w:rsidRPr="00AF4B16">
        <w:rPr>
          <w:sz w:val="22"/>
          <w:szCs w:val="22"/>
        </w:rPr>
        <w:t xml:space="preserve">. </w:t>
      </w:r>
      <w:r w:rsidR="006611C2" w:rsidRPr="00AF4B16">
        <w:rPr>
          <w:sz w:val="22"/>
          <w:szCs w:val="22"/>
        </w:rPr>
        <w:t xml:space="preserve">A esse respeito, o Presidente da Comissão Permanente de Licitação do Senac/SP alegou </w:t>
      </w:r>
      <w:r w:rsidR="006611C2" w:rsidRPr="00AF4B16">
        <w:rPr>
          <w:color w:val="auto"/>
          <w:sz w:val="22"/>
          <w:szCs w:val="22"/>
        </w:rPr>
        <w:t>que “</w:t>
      </w:r>
      <w:r w:rsidR="006611C2" w:rsidRPr="00AF4B16">
        <w:rPr>
          <w:i/>
          <w:color w:val="auto"/>
          <w:sz w:val="22"/>
          <w:szCs w:val="22"/>
        </w:rPr>
        <w:t>a aquisição de todos os equipamentos por uma única empresa propicia um desconto maior no preço do produto e reduz os custos indiretos, a exemplo do custo de gerenciamento, visto que as reformas ocorrerão no mesmo período</w:t>
      </w:r>
      <w:r w:rsidR="006611C2" w:rsidRPr="00AF4B16">
        <w:rPr>
          <w:color w:val="auto"/>
          <w:sz w:val="22"/>
          <w:szCs w:val="22"/>
        </w:rPr>
        <w:t>”. Não haveria, então, perda de economia da escala. Para a unidade técnica, nos termos da Súmula 247, “</w:t>
      </w:r>
      <w:r w:rsidR="006611C2" w:rsidRPr="00AF4B16">
        <w:rPr>
          <w:i/>
          <w:color w:val="auto"/>
          <w:sz w:val="22"/>
          <w:szCs w:val="22"/>
        </w:rPr>
        <w:t>o TCU admite exceção à regra da adjudicação por item, aceitando a contratação global, desde que não haja prejuízo para o conjunto ou complexo de obras ou a perda de economia de escala</w:t>
      </w:r>
      <w:r w:rsidR="006611C2" w:rsidRPr="00AF4B16">
        <w:rPr>
          <w:color w:val="auto"/>
          <w:sz w:val="22"/>
          <w:szCs w:val="22"/>
        </w:rPr>
        <w:t>”. Todavia, “</w:t>
      </w:r>
      <w:r w:rsidR="006611C2" w:rsidRPr="00AF4B16">
        <w:rPr>
          <w:i/>
          <w:color w:val="auto"/>
          <w:sz w:val="22"/>
          <w:szCs w:val="22"/>
        </w:rPr>
        <w:t>há que se considerar que a decisão do administrador em parcelar ou não uma contratação deve ser obrigatoriamente precedida de estudos técnicos que justifiquem a decisão mais adequada a ser tomada</w:t>
      </w:r>
      <w:r w:rsidR="006611C2" w:rsidRPr="00AF4B16">
        <w:rPr>
          <w:color w:val="auto"/>
          <w:sz w:val="22"/>
          <w:szCs w:val="22"/>
        </w:rPr>
        <w:t>” e não somente justificações. Na espécie, “</w:t>
      </w:r>
      <w:r w:rsidR="006611C2" w:rsidRPr="00AF4B16">
        <w:rPr>
          <w:i/>
          <w:color w:val="auto"/>
          <w:sz w:val="22"/>
          <w:szCs w:val="22"/>
        </w:rPr>
        <w:t>conjuga-se a prestação de serviços de engenharia e a aquisição de equipamentos de ar condicionado, sendo que a ausência de estudos preliminares indicando as possíveis formas de contratação inviabiliza apurar se a forma adotada pelo Senac/SP apresenta-se competitiva e isonômica, além de assegurar que será obtida a proposta mais vantajosa para o ente licitador, princípios norteadores do processo licitatório</w:t>
      </w:r>
      <w:r w:rsidR="006611C2" w:rsidRPr="00AF4B16">
        <w:rPr>
          <w:color w:val="auto"/>
          <w:sz w:val="22"/>
          <w:szCs w:val="22"/>
        </w:rPr>
        <w:t xml:space="preserve">”. </w:t>
      </w:r>
      <w:r w:rsidRPr="00AF4B16">
        <w:rPr>
          <w:sz w:val="22"/>
          <w:szCs w:val="22"/>
        </w:rPr>
        <w:t xml:space="preserve">Por conseguinte, por essa e por outras irregularidades, votou por que o Tribunal determinasse, cautelarmente, a suspensão da licitação, até que se decida sobre o mérito da questão suscitada, de modo a evitar que o prosseguimento irregular do certame acarretasse situações de fato ensejadoras de direitos subjetivos e tumulto na execução do objeto. Nos termos do voto do relator, o Plenário manifestou sua anuência. </w:t>
      </w:r>
      <w:r w:rsidRPr="00AF4B16">
        <w:rPr>
          <w:b/>
          <w:i/>
          <w:color w:val="auto"/>
          <w:sz w:val="22"/>
          <w:szCs w:val="22"/>
        </w:rPr>
        <w:t>Acórdão nº 1695/2011-Plenário, TC-015.264/2011-4, rel. Min-Subst. Marcos Bemquerer Costa, 22.06.2011.</w:t>
      </w:r>
    </w:p>
    <w:p w:rsidR="003B4936" w:rsidRPr="00906778" w:rsidRDefault="003B4936" w:rsidP="00E93620">
      <w:pPr>
        <w:pStyle w:val="Default"/>
        <w:jc w:val="both"/>
        <w:rPr>
          <w:b/>
          <w:color w:val="FF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363FA1" w:rsidTr="0030360F">
        <w:trPr>
          <w:trHeight w:val="779"/>
          <w:jc w:val="center"/>
        </w:trPr>
        <w:tc>
          <w:tcPr>
            <w:tcW w:w="0" w:type="auto"/>
            <w:vAlign w:val="center"/>
          </w:tcPr>
          <w:p w:rsidR="007334B1" w:rsidRPr="00363FA1" w:rsidRDefault="00C10DD5" w:rsidP="00805659">
            <w:pPr>
              <w:pStyle w:val="enter-3pt"/>
              <w:tabs>
                <w:tab w:val="left" w:pos="2590"/>
              </w:tabs>
              <w:spacing w:line="240" w:lineRule="auto"/>
              <w:jc w:val="center"/>
              <w:rPr>
                <w:b/>
                <w:i/>
                <w:color w:val="000000"/>
                <w:sz w:val="18"/>
                <w:szCs w:val="18"/>
              </w:rPr>
            </w:pPr>
            <w:r w:rsidRPr="00363FA1">
              <w:rPr>
                <w:b/>
                <w:i/>
                <w:color w:val="000000"/>
                <w:sz w:val="18"/>
                <w:szCs w:val="18"/>
              </w:rPr>
              <w:t>Elaboração: Secretaria das Sessões</w:t>
            </w:r>
          </w:p>
          <w:p w:rsidR="007334B1" w:rsidRPr="00363FA1" w:rsidRDefault="007334B1" w:rsidP="00805659">
            <w:pPr>
              <w:pStyle w:val="enter-3pt"/>
              <w:tabs>
                <w:tab w:val="left" w:pos="2590"/>
              </w:tabs>
              <w:spacing w:line="240" w:lineRule="auto"/>
              <w:jc w:val="center"/>
              <w:rPr>
                <w:b/>
                <w:i/>
                <w:color w:val="000000"/>
                <w:sz w:val="22"/>
                <w:szCs w:val="22"/>
              </w:rPr>
            </w:pPr>
            <w:r w:rsidRPr="00363FA1">
              <w:rPr>
                <w:b/>
                <w:i/>
                <w:color w:val="000000"/>
                <w:sz w:val="18"/>
                <w:szCs w:val="18"/>
              </w:rPr>
              <w:t xml:space="preserve">Contato: </w:t>
            </w:r>
            <w:hyperlink r:id="rId7" w:history="1">
              <w:r w:rsidRPr="00363FA1">
                <w:rPr>
                  <w:rStyle w:val="Hyperlink"/>
                  <w:b/>
                  <w:i/>
                  <w:color w:val="000000"/>
                  <w:sz w:val="18"/>
                  <w:szCs w:val="18"/>
                </w:rPr>
                <w:t>infojuris@tcu.gov.br</w:t>
              </w:r>
            </w:hyperlink>
          </w:p>
        </w:tc>
      </w:tr>
    </w:tbl>
    <w:p w:rsidR="007334B1" w:rsidRPr="00906778" w:rsidRDefault="007334B1" w:rsidP="00805659">
      <w:pPr>
        <w:pStyle w:val="enter-3pt"/>
        <w:tabs>
          <w:tab w:val="left" w:pos="2590"/>
        </w:tabs>
        <w:spacing w:line="240" w:lineRule="auto"/>
        <w:jc w:val="center"/>
        <w:rPr>
          <w:b/>
          <w:color w:val="FF0000"/>
          <w:sz w:val="22"/>
          <w:szCs w:val="22"/>
        </w:rPr>
      </w:pPr>
    </w:p>
    <w:sectPr w:rsidR="007334B1" w:rsidRPr="00906778" w:rsidSect="00F340CD">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A1" w:rsidRDefault="00862AA1" w:rsidP="008B0547">
      <w:pPr>
        <w:spacing w:after="0"/>
      </w:pPr>
      <w:r>
        <w:separator/>
      </w:r>
    </w:p>
  </w:endnote>
  <w:endnote w:type="continuationSeparator" w:id="0">
    <w:p w:rsidR="00862AA1" w:rsidRDefault="00862AA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91" w:rsidRPr="00C906CD" w:rsidRDefault="009B5291"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D10288">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A1" w:rsidRDefault="00862AA1" w:rsidP="008B0547">
      <w:pPr>
        <w:spacing w:after="0"/>
      </w:pPr>
      <w:r>
        <w:separator/>
      </w:r>
    </w:p>
  </w:footnote>
  <w:footnote w:type="continuationSeparator" w:id="0">
    <w:p w:rsidR="00862AA1" w:rsidRDefault="00862AA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91" w:rsidRDefault="001A725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291">
      <w:rPr>
        <w:rFonts w:ascii="Arial" w:hAnsi="Arial" w:cs="Arial"/>
        <w:b/>
      </w:rPr>
      <w:t>TRIBUNAL DE CONTAS DA UNIÃO</w:t>
    </w:r>
  </w:p>
  <w:p w:rsidR="009B5291" w:rsidRPr="00515E7B" w:rsidRDefault="001A7255"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D1C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9B5291" w:rsidRPr="00515E7B">
      <w:rPr>
        <w:rFonts w:ascii="Arial" w:hAnsi="Arial" w:cs="Arial"/>
        <w:noProof/>
        <w:lang w:eastAsia="pt-BR"/>
      </w:rPr>
      <w:t>Info</w:t>
    </w:r>
    <w:r w:rsidR="009B5291">
      <w:rPr>
        <w:rFonts w:ascii="Arial" w:hAnsi="Arial" w:cs="Arial"/>
        <w:noProof/>
        <w:lang w:eastAsia="pt-BR"/>
      </w:rPr>
      <w:t>rmativo de Jurisprudência sobre L</w:t>
    </w:r>
    <w:r w:rsidR="009B5291" w:rsidRPr="00515E7B">
      <w:rPr>
        <w:rFonts w:ascii="Arial" w:hAnsi="Arial" w:cs="Arial"/>
        <w:noProof/>
        <w:lang w:eastAsia="pt-BR"/>
      </w:rPr>
      <w:t xml:space="preserve">icitações e </w:t>
    </w:r>
    <w:r w:rsidR="009B5291">
      <w:rPr>
        <w:rFonts w:ascii="Arial" w:hAnsi="Arial" w:cs="Arial"/>
        <w:noProof/>
        <w:lang w:eastAsia="pt-BR"/>
      </w:rPr>
      <w:t>C</w:t>
    </w:r>
    <w:r w:rsidR="009B5291" w:rsidRPr="00515E7B">
      <w:rPr>
        <w:rFonts w:ascii="Arial" w:hAnsi="Arial" w:cs="Arial"/>
        <w:noProof/>
        <w:lang w:eastAsia="pt-BR"/>
      </w:rPr>
      <w:t>ontratos</w:t>
    </w:r>
    <w:r w:rsidR="00805084">
      <w:rPr>
        <w:rFonts w:ascii="Arial" w:hAnsi="Arial" w:cs="Arial"/>
        <w:noProof/>
        <w:lang w:eastAsia="pt-BR"/>
      </w:rPr>
      <w:t xml:space="preserve"> nº 68</w:t>
    </w:r>
  </w:p>
  <w:p w:rsidR="009B5291" w:rsidRDefault="009B52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9">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6"/>
  </w:num>
  <w:num w:numId="3">
    <w:abstractNumId w:val="8"/>
  </w:num>
  <w:num w:numId="4">
    <w:abstractNumId w:val="0"/>
  </w:num>
  <w:num w:numId="5">
    <w:abstractNumId w:val="10"/>
  </w:num>
  <w:num w:numId="6">
    <w:abstractNumId w:val="15"/>
  </w:num>
  <w:num w:numId="7">
    <w:abstractNumId w:val="22"/>
  </w:num>
  <w:num w:numId="8">
    <w:abstractNumId w:val="20"/>
  </w:num>
  <w:num w:numId="9">
    <w:abstractNumId w:val="17"/>
  </w:num>
  <w:num w:numId="10">
    <w:abstractNumId w:val="6"/>
  </w:num>
  <w:num w:numId="11">
    <w:abstractNumId w:val="24"/>
  </w:num>
  <w:num w:numId="12">
    <w:abstractNumId w:val="4"/>
  </w:num>
  <w:num w:numId="13">
    <w:abstractNumId w:val="14"/>
  </w:num>
  <w:num w:numId="14">
    <w:abstractNumId w:val="21"/>
  </w:num>
  <w:num w:numId="15">
    <w:abstractNumId w:val="13"/>
  </w:num>
  <w:num w:numId="16">
    <w:abstractNumId w:val="2"/>
  </w:num>
  <w:num w:numId="17">
    <w:abstractNumId w:val="12"/>
  </w:num>
  <w:num w:numId="18">
    <w:abstractNumId w:val="23"/>
    <w:lvlOverride w:ilvl="0">
      <w:startOverride w:val="1"/>
    </w:lvlOverride>
  </w:num>
  <w:num w:numId="19">
    <w:abstractNumId w:val="18"/>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D6F"/>
    <w:rsid w:val="00001878"/>
    <w:rsid w:val="00003CEA"/>
    <w:rsid w:val="00004614"/>
    <w:rsid w:val="0000515A"/>
    <w:rsid w:val="00005435"/>
    <w:rsid w:val="00005E1E"/>
    <w:rsid w:val="000118CC"/>
    <w:rsid w:val="00011D5A"/>
    <w:rsid w:val="00012468"/>
    <w:rsid w:val="0001636D"/>
    <w:rsid w:val="00020C27"/>
    <w:rsid w:val="00020C75"/>
    <w:rsid w:val="00023D72"/>
    <w:rsid w:val="000253D1"/>
    <w:rsid w:val="00025450"/>
    <w:rsid w:val="000271FA"/>
    <w:rsid w:val="00030080"/>
    <w:rsid w:val="00032198"/>
    <w:rsid w:val="00033047"/>
    <w:rsid w:val="00033551"/>
    <w:rsid w:val="00037DCE"/>
    <w:rsid w:val="00041450"/>
    <w:rsid w:val="000420A4"/>
    <w:rsid w:val="000460E4"/>
    <w:rsid w:val="0004660A"/>
    <w:rsid w:val="0005205F"/>
    <w:rsid w:val="00052B15"/>
    <w:rsid w:val="0005356E"/>
    <w:rsid w:val="000540FC"/>
    <w:rsid w:val="0005412B"/>
    <w:rsid w:val="00054432"/>
    <w:rsid w:val="000562CD"/>
    <w:rsid w:val="00056A5A"/>
    <w:rsid w:val="00056B7A"/>
    <w:rsid w:val="00056D51"/>
    <w:rsid w:val="0006028E"/>
    <w:rsid w:val="00061C2E"/>
    <w:rsid w:val="000622E0"/>
    <w:rsid w:val="00065E95"/>
    <w:rsid w:val="00070785"/>
    <w:rsid w:val="0007259B"/>
    <w:rsid w:val="00074384"/>
    <w:rsid w:val="00074AC5"/>
    <w:rsid w:val="00077A56"/>
    <w:rsid w:val="00080148"/>
    <w:rsid w:val="000835D8"/>
    <w:rsid w:val="00084282"/>
    <w:rsid w:val="00084727"/>
    <w:rsid w:val="00087006"/>
    <w:rsid w:val="0009133A"/>
    <w:rsid w:val="000916AF"/>
    <w:rsid w:val="00092C2E"/>
    <w:rsid w:val="00094C5B"/>
    <w:rsid w:val="00095D98"/>
    <w:rsid w:val="0009748C"/>
    <w:rsid w:val="00097863"/>
    <w:rsid w:val="00097BF6"/>
    <w:rsid w:val="000A0EF8"/>
    <w:rsid w:val="000A152A"/>
    <w:rsid w:val="000A1EBD"/>
    <w:rsid w:val="000A2C56"/>
    <w:rsid w:val="000A47EA"/>
    <w:rsid w:val="000A6269"/>
    <w:rsid w:val="000A62BD"/>
    <w:rsid w:val="000B0ECB"/>
    <w:rsid w:val="000B0FEA"/>
    <w:rsid w:val="000B2AFA"/>
    <w:rsid w:val="000B612A"/>
    <w:rsid w:val="000B639F"/>
    <w:rsid w:val="000B66AC"/>
    <w:rsid w:val="000B6BC1"/>
    <w:rsid w:val="000C02AD"/>
    <w:rsid w:val="000C4A10"/>
    <w:rsid w:val="000C531B"/>
    <w:rsid w:val="000D1878"/>
    <w:rsid w:val="000D1B91"/>
    <w:rsid w:val="000D1EF5"/>
    <w:rsid w:val="000D1FD7"/>
    <w:rsid w:val="000D6418"/>
    <w:rsid w:val="000D7DB6"/>
    <w:rsid w:val="000D7DED"/>
    <w:rsid w:val="000E020F"/>
    <w:rsid w:val="000E12F7"/>
    <w:rsid w:val="000E2D47"/>
    <w:rsid w:val="000E3B31"/>
    <w:rsid w:val="000E504D"/>
    <w:rsid w:val="000E79B4"/>
    <w:rsid w:val="000E7FD4"/>
    <w:rsid w:val="000F2133"/>
    <w:rsid w:val="000F2F92"/>
    <w:rsid w:val="000F6D85"/>
    <w:rsid w:val="000F7CEE"/>
    <w:rsid w:val="000F7D84"/>
    <w:rsid w:val="00101E59"/>
    <w:rsid w:val="00102140"/>
    <w:rsid w:val="00102D37"/>
    <w:rsid w:val="001041ED"/>
    <w:rsid w:val="001104BA"/>
    <w:rsid w:val="00112676"/>
    <w:rsid w:val="00112A5F"/>
    <w:rsid w:val="0011373A"/>
    <w:rsid w:val="00114511"/>
    <w:rsid w:val="00116BAB"/>
    <w:rsid w:val="00125F9A"/>
    <w:rsid w:val="00126026"/>
    <w:rsid w:val="00130A0C"/>
    <w:rsid w:val="00133EA9"/>
    <w:rsid w:val="00135512"/>
    <w:rsid w:val="00137B22"/>
    <w:rsid w:val="00140FED"/>
    <w:rsid w:val="00141D7A"/>
    <w:rsid w:val="001420D1"/>
    <w:rsid w:val="00142C16"/>
    <w:rsid w:val="001444A2"/>
    <w:rsid w:val="00151F92"/>
    <w:rsid w:val="0015258E"/>
    <w:rsid w:val="00152ECC"/>
    <w:rsid w:val="001532E4"/>
    <w:rsid w:val="00156A48"/>
    <w:rsid w:val="00156DDB"/>
    <w:rsid w:val="00157614"/>
    <w:rsid w:val="00157AFE"/>
    <w:rsid w:val="00157C0F"/>
    <w:rsid w:val="0016045B"/>
    <w:rsid w:val="00170A16"/>
    <w:rsid w:val="00171E89"/>
    <w:rsid w:val="001737F7"/>
    <w:rsid w:val="001744E7"/>
    <w:rsid w:val="00176375"/>
    <w:rsid w:val="001766A9"/>
    <w:rsid w:val="001809AA"/>
    <w:rsid w:val="00181339"/>
    <w:rsid w:val="00191F77"/>
    <w:rsid w:val="00195F77"/>
    <w:rsid w:val="001A0CC1"/>
    <w:rsid w:val="001A330B"/>
    <w:rsid w:val="001A5555"/>
    <w:rsid w:val="001A58D8"/>
    <w:rsid w:val="001A60A2"/>
    <w:rsid w:val="001A7255"/>
    <w:rsid w:val="001A79D3"/>
    <w:rsid w:val="001B3E8E"/>
    <w:rsid w:val="001B4F90"/>
    <w:rsid w:val="001B6823"/>
    <w:rsid w:val="001B7085"/>
    <w:rsid w:val="001B7F4F"/>
    <w:rsid w:val="001C0575"/>
    <w:rsid w:val="001C1568"/>
    <w:rsid w:val="001C437E"/>
    <w:rsid w:val="001C71E3"/>
    <w:rsid w:val="001D03C7"/>
    <w:rsid w:val="001D1478"/>
    <w:rsid w:val="001D1E52"/>
    <w:rsid w:val="001D56C3"/>
    <w:rsid w:val="001D74CE"/>
    <w:rsid w:val="001E0BF1"/>
    <w:rsid w:val="001E1E28"/>
    <w:rsid w:val="001E2620"/>
    <w:rsid w:val="001E4147"/>
    <w:rsid w:val="001E7019"/>
    <w:rsid w:val="001E71F9"/>
    <w:rsid w:val="001E747D"/>
    <w:rsid w:val="001E7C3D"/>
    <w:rsid w:val="001F00DF"/>
    <w:rsid w:val="001F1E8F"/>
    <w:rsid w:val="00200260"/>
    <w:rsid w:val="002002CE"/>
    <w:rsid w:val="0020066F"/>
    <w:rsid w:val="0020107A"/>
    <w:rsid w:val="0020135D"/>
    <w:rsid w:val="00201FED"/>
    <w:rsid w:val="00202EAD"/>
    <w:rsid w:val="002035B3"/>
    <w:rsid w:val="00203A6F"/>
    <w:rsid w:val="00203A99"/>
    <w:rsid w:val="00211816"/>
    <w:rsid w:val="00217B1B"/>
    <w:rsid w:val="00225D42"/>
    <w:rsid w:val="00226AEF"/>
    <w:rsid w:val="00226D9D"/>
    <w:rsid w:val="00227776"/>
    <w:rsid w:val="00232158"/>
    <w:rsid w:val="002328F9"/>
    <w:rsid w:val="0023395B"/>
    <w:rsid w:val="00233CE3"/>
    <w:rsid w:val="002343BF"/>
    <w:rsid w:val="0023535F"/>
    <w:rsid w:val="002415A6"/>
    <w:rsid w:val="00242061"/>
    <w:rsid w:val="00242CBC"/>
    <w:rsid w:val="002435FC"/>
    <w:rsid w:val="002442D9"/>
    <w:rsid w:val="00244BA7"/>
    <w:rsid w:val="0024593F"/>
    <w:rsid w:val="002476B6"/>
    <w:rsid w:val="00253242"/>
    <w:rsid w:val="00254590"/>
    <w:rsid w:val="00257D8A"/>
    <w:rsid w:val="00261488"/>
    <w:rsid w:val="00262359"/>
    <w:rsid w:val="0026362E"/>
    <w:rsid w:val="002639CA"/>
    <w:rsid w:val="002649A7"/>
    <w:rsid w:val="00264FC3"/>
    <w:rsid w:val="002663B7"/>
    <w:rsid w:val="002666C5"/>
    <w:rsid w:val="00271CD7"/>
    <w:rsid w:val="00271D81"/>
    <w:rsid w:val="0027213F"/>
    <w:rsid w:val="00273E72"/>
    <w:rsid w:val="00274068"/>
    <w:rsid w:val="0027498E"/>
    <w:rsid w:val="0027686D"/>
    <w:rsid w:val="00276DC0"/>
    <w:rsid w:val="00277F47"/>
    <w:rsid w:val="00280F3D"/>
    <w:rsid w:val="002810D9"/>
    <w:rsid w:val="00281830"/>
    <w:rsid w:val="002830F6"/>
    <w:rsid w:val="00287326"/>
    <w:rsid w:val="0029043B"/>
    <w:rsid w:val="00290A06"/>
    <w:rsid w:val="0029211E"/>
    <w:rsid w:val="0029450E"/>
    <w:rsid w:val="00296797"/>
    <w:rsid w:val="00297A00"/>
    <w:rsid w:val="002A040F"/>
    <w:rsid w:val="002A190F"/>
    <w:rsid w:val="002A2129"/>
    <w:rsid w:val="002A3796"/>
    <w:rsid w:val="002A3B3F"/>
    <w:rsid w:val="002A5A02"/>
    <w:rsid w:val="002A6CE6"/>
    <w:rsid w:val="002B409B"/>
    <w:rsid w:val="002B4392"/>
    <w:rsid w:val="002B56C3"/>
    <w:rsid w:val="002B5AD5"/>
    <w:rsid w:val="002B5C5A"/>
    <w:rsid w:val="002B6422"/>
    <w:rsid w:val="002B71BA"/>
    <w:rsid w:val="002C208E"/>
    <w:rsid w:val="002C2BE8"/>
    <w:rsid w:val="002C506F"/>
    <w:rsid w:val="002C7B61"/>
    <w:rsid w:val="002C7B6D"/>
    <w:rsid w:val="002D0D5A"/>
    <w:rsid w:val="002D155C"/>
    <w:rsid w:val="002D1637"/>
    <w:rsid w:val="002D1688"/>
    <w:rsid w:val="002D1BA5"/>
    <w:rsid w:val="002D35F5"/>
    <w:rsid w:val="002D47FE"/>
    <w:rsid w:val="002D532D"/>
    <w:rsid w:val="002D739A"/>
    <w:rsid w:val="002D76AB"/>
    <w:rsid w:val="002D786D"/>
    <w:rsid w:val="002E1545"/>
    <w:rsid w:val="002E1910"/>
    <w:rsid w:val="002E28BA"/>
    <w:rsid w:val="002E361C"/>
    <w:rsid w:val="002E3943"/>
    <w:rsid w:val="002E3F7C"/>
    <w:rsid w:val="002E4254"/>
    <w:rsid w:val="002E4F13"/>
    <w:rsid w:val="002E4FB7"/>
    <w:rsid w:val="002E6712"/>
    <w:rsid w:val="002F104B"/>
    <w:rsid w:val="002F1C09"/>
    <w:rsid w:val="002F4696"/>
    <w:rsid w:val="002F5F3B"/>
    <w:rsid w:val="002F65E6"/>
    <w:rsid w:val="002F693C"/>
    <w:rsid w:val="002F7C6D"/>
    <w:rsid w:val="003020F4"/>
    <w:rsid w:val="003025C7"/>
    <w:rsid w:val="0030360F"/>
    <w:rsid w:val="00303790"/>
    <w:rsid w:val="00303984"/>
    <w:rsid w:val="00304A73"/>
    <w:rsid w:val="003057F7"/>
    <w:rsid w:val="003069F9"/>
    <w:rsid w:val="00310208"/>
    <w:rsid w:val="0031058F"/>
    <w:rsid w:val="0031089E"/>
    <w:rsid w:val="00310D69"/>
    <w:rsid w:val="003131A4"/>
    <w:rsid w:val="003147B7"/>
    <w:rsid w:val="003149A9"/>
    <w:rsid w:val="00317E59"/>
    <w:rsid w:val="00320465"/>
    <w:rsid w:val="00322AE7"/>
    <w:rsid w:val="00325246"/>
    <w:rsid w:val="003275E4"/>
    <w:rsid w:val="00330069"/>
    <w:rsid w:val="00330144"/>
    <w:rsid w:val="0033244F"/>
    <w:rsid w:val="00335B7E"/>
    <w:rsid w:val="00337E16"/>
    <w:rsid w:val="00340E66"/>
    <w:rsid w:val="00340F10"/>
    <w:rsid w:val="00342A44"/>
    <w:rsid w:val="0034486B"/>
    <w:rsid w:val="00344D92"/>
    <w:rsid w:val="003455A2"/>
    <w:rsid w:val="00345BD4"/>
    <w:rsid w:val="00347FBB"/>
    <w:rsid w:val="00350E87"/>
    <w:rsid w:val="00353B7C"/>
    <w:rsid w:val="0035438E"/>
    <w:rsid w:val="00355828"/>
    <w:rsid w:val="00356E38"/>
    <w:rsid w:val="00357CBE"/>
    <w:rsid w:val="00361487"/>
    <w:rsid w:val="00361661"/>
    <w:rsid w:val="00363FA1"/>
    <w:rsid w:val="00372E83"/>
    <w:rsid w:val="00377407"/>
    <w:rsid w:val="00381780"/>
    <w:rsid w:val="003824E4"/>
    <w:rsid w:val="00383CFE"/>
    <w:rsid w:val="003853FF"/>
    <w:rsid w:val="00385609"/>
    <w:rsid w:val="00385DAB"/>
    <w:rsid w:val="0038696B"/>
    <w:rsid w:val="00387CBD"/>
    <w:rsid w:val="003900C7"/>
    <w:rsid w:val="0039039F"/>
    <w:rsid w:val="00390ED6"/>
    <w:rsid w:val="00391B5C"/>
    <w:rsid w:val="00392509"/>
    <w:rsid w:val="00393FCC"/>
    <w:rsid w:val="003943E5"/>
    <w:rsid w:val="00395263"/>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2344"/>
    <w:rsid w:val="003C3336"/>
    <w:rsid w:val="003C39E6"/>
    <w:rsid w:val="003C5833"/>
    <w:rsid w:val="003C6DEB"/>
    <w:rsid w:val="003C7585"/>
    <w:rsid w:val="003C7A5C"/>
    <w:rsid w:val="003D1DB2"/>
    <w:rsid w:val="003D660C"/>
    <w:rsid w:val="003D73BD"/>
    <w:rsid w:val="003D7CCE"/>
    <w:rsid w:val="003E0D8C"/>
    <w:rsid w:val="003E154A"/>
    <w:rsid w:val="003E1B68"/>
    <w:rsid w:val="003E2785"/>
    <w:rsid w:val="003E65D7"/>
    <w:rsid w:val="003F1CE1"/>
    <w:rsid w:val="003F413A"/>
    <w:rsid w:val="003F44C4"/>
    <w:rsid w:val="003F54FB"/>
    <w:rsid w:val="003F6D1F"/>
    <w:rsid w:val="00405316"/>
    <w:rsid w:val="0041153E"/>
    <w:rsid w:val="00412CEF"/>
    <w:rsid w:val="004141A8"/>
    <w:rsid w:val="004169D8"/>
    <w:rsid w:val="0041735C"/>
    <w:rsid w:val="004201AF"/>
    <w:rsid w:val="00425FF9"/>
    <w:rsid w:val="00427B3B"/>
    <w:rsid w:val="00427EBF"/>
    <w:rsid w:val="00431085"/>
    <w:rsid w:val="00435269"/>
    <w:rsid w:val="004362AB"/>
    <w:rsid w:val="00441101"/>
    <w:rsid w:val="004415FB"/>
    <w:rsid w:val="00441CE3"/>
    <w:rsid w:val="004421F5"/>
    <w:rsid w:val="0044434A"/>
    <w:rsid w:val="0044437F"/>
    <w:rsid w:val="00445E76"/>
    <w:rsid w:val="00446606"/>
    <w:rsid w:val="004471BC"/>
    <w:rsid w:val="00447217"/>
    <w:rsid w:val="00452C60"/>
    <w:rsid w:val="00457F93"/>
    <w:rsid w:val="004617A9"/>
    <w:rsid w:val="0046384E"/>
    <w:rsid w:val="00464CF4"/>
    <w:rsid w:val="00466E73"/>
    <w:rsid w:val="0046706B"/>
    <w:rsid w:val="00467815"/>
    <w:rsid w:val="00471284"/>
    <w:rsid w:val="00472FB0"/>
    <w:rsid w:val="00473696"/>
    <w:rsid w:val="00473721"/>
    <w:rsid w:val="0047491E"/>
    <w:rsid w:val="00477284"/>
    <w:rsid w:val="004836D8"/>
    <w:rsid w:val="004837C6"/>
    <w:rsid w:val="00483998"/>
    <w:rsid w:val="00484E4C"/>
    <w:rsid w:val="004878ED"/>
    <w:rsid w:val="00491438"/>
    <w:rsid w:val="00492E3F"/>
    <w:rsid w:val="00493F5C"/>
    <w:rsid w:val="00495DB3"/>
    <w:rsid w:val="004A171B"/>
    <w:rsid w:val="004A2385"/>
    <w:rsid w:val="004A2D91"/>
    <w:rsid w:val="004A50CE"/>
    <w:rsid w:val="004A7912"/>
    <w:rsid w:val="004B0194"/>
    <w:rsid w:val="004B0E2A"/>
    <w:rsid w:val="004B1113"/>
    <w:rsid w:val="004B1DC3"/>
    <w:rsid w:val="004B36AE"/>
    <w:rsid w:val="004C61A3"/>
    <w:rsid w:val="004C6E03"/>
    <w:rsid w:val="004C780C"/>
    <w:rsid w:val="004D03BA"/>
    <w:rsid w:val="004D3441"/>
    <w:rsid w:val="004D6A38"/>
    <w:rsid w:val="004D6C65"/>
    <w:rsid w:val="004D708E"/>
    <w:rsid w:val="004D760C"/>
    <w:rsid w:val="004D7C91"/>
    <w:rsid w:val="004E1DC9"/>
    <w:rsid w:val="004E26E4"/>
    <w:rsid w:val="004E357A"/>
    <w:rsid w:val="004E5000"/>
    <w:rsid w:val="004E65EB"/>
    <w:rsid w:val="004E6A9B"/>
    <w:rsid w:val="004F3D4A"/>
    <w:rsid w:val="004F7174"/>
    <w:rsid w:val="00500823"/>
    <w:rsid w:val="00500DD0"/>
    <w:rsid w:val="005012AA"/>
    <w:rsid w:val="005012CF"/>
    <w:rsid w:val="0050355D"/>
    <w:rsid w:val="005055B5"/>
    <w:rsid w:val="00506619"/>
    <w:rsid w:val="00510D1D"/>
    <w:rsid w:val="00511BBF"/>
    <w:rsid w:val="00515E7B"/>
    <w:rsid w:val="005217F8"/>
    <w:rsid w:val="0052267A"/>
    <w:rsid w:val="005239DD"/>
    <w:rsid w:val="00523CA1"/>
    <w:rsid w:val="005266F4"/>
    <w:rsid w:val="0052675C"/>
    <w:rsid w:val="005303B5"/>
    <w:rsid w:val="00531143"/>
    <w:rsid w:val="005340EA"/>
    <w:rsid w:val="00534A44"/>
    <w:rsid w:val="00536332"/>
    <w:rsid w:val="00542821"/>
    <w:rsid w:val="00543514"/>
    <w:rsid w:val="005438A1"/>
    <w:rsid w:val="00543B81"/>
    <w:rsid w:val="00543EB8"/>
    <w:rsid w:val="00543F41"/>
    <w:rsid w:val="00544550"/>
    <w:rsid w:val="00544FCF"/>
    <w:rsid w:val="005450DC"/>
    <w:rsid w:val="00545A47"/>
    <w:rsid w:val="00545FC7"/>
    <w:rsid w:val="0054634E"/>
    <w:rsid w:val="00546B67"/>
    <w:rsid w:val="005472B8"/>
    <w:rsid w:val="0055208A"/>
    <w:rsid w:val="00554A33"/>
    <w:rsid w:val="0055716D"/>
    <w:rsid w:val="005571A6"/>
    <w:rsid w:val="00557953"/>
    <w:rsid w:val="00557A3D"/>
    <w:rsid w:val="00560E55"/>
    <w:rsid w:val="00562E8F"/>
    <w:rsid w:val="0056301A"/>
    <w:rsid w:val="005635AD"/>
    <w:rsid w:val="005640E1"/>
    <w:rsid w:val="00564EA1"/>
    <w:rsid w:val="0056534C"/>
    <w:rsid w:val="00567CEE"/>
    <w:rsid w:val="005713F4"/>
    <w:rsid w:val="00571E64"/>
    <w:rsid w:val="005729DE"/>
    <w:rsid w:val="00573D3B"/>
    <w:rsid w:val="00575CC3"/>
    <w:rsid w:val="00576018"/>
    <w:rsid w:val="00580F26"/>
    <w:rsid w:val="00581A7C"/>
    <w:rsid w:val="0058427E"/>
    <w:rsid w:val="005864FA"/>
    <w:rsid w:val="00590907"/>
    <w:rsid w:val="0059346F"/>
    <w:rsid w:val="00594A7B"/>
    <w:rsid w:val="005A2D82"/>
    <w:rsid w:val="005A3835"/>
    <w:rsid w:val="005A3AEC"/>
    <w:rsid w:val="005A6858"/>
    <w:rsid w:val="005A72F2"/>
    <w:rsid w:val="005B2194"/>
    <w:rsid w:val="005B2BC3"/>
    <w:rsid w:val="005B4CFA"/>
    <w:rsid w:val="005B5B3D"/>
    <w:rsid w:val="005B7112"/>
    <w:rsid w:val="005B7166"/>
    <w:rsid w:val="005B7847"/>
    <w:rsid w:val="005C18EE"/>
    <w:rsid w:val="005C1A79"/>
    <w:rsid w:val="005C7644"/>
    <w:rsid w:val="005C7BF4"/>
    <w:rsid w:val="005D2B0F"/>
    <w:rsid w:val="005D3352"/>
    <w:rsid w:val="005D6516"/>
    <w:rsid w:val="005E12DD"/>
    <w:rsid w:val="005E269C"/>
    <w:rsid w:val="005E3586"/>
    <w:rsid w:val="005E3EC0"/>
    <w:rsid w:val="005E4DEE"/>
    <w:rsid w:val="005E5FF1"/>
    <w:rsid w:val="005F01CE"/>
    <w:rsid w:val="005F135B"/>
    <w:rsid w:val="005F4E54"/>
    <w:rsid w:val="005F70B6"/>
    <w:rsid w:val="005F7A87"/>
    <w:rsid w:val="006017DF"/>
    <w:rsid w:val="00601F0A"/>
    <w:rsid w:val="00604DBE"/>
    <w:rsid w:val="006063E1"/>
    <w:rsid w:val="006065E4"/>
    <w:rsid w:val="00606F56"/>
    <w:rsid w:val="00610010"/>
    <w:rsid w:val="00610039"/>
    <w:rsid w:val="00610381"/>
    <w:rsid w:val="00611C07"/>
    <w:rsid w:val="00611E07"/>
    <w:rsid w:val="00612045"/>
    <w:rsid w:val="00612F12"/>
    <w:rsid w:val="00613AC9"/>
    <w:rsid w:val="00615808"/>
    <w:rsid w:val="00620E86"/>
    <w:rsid w:val="006219DD"/>
    <w:rsid w:val="00621D63"/>
    <w:rsid w:val="00623DAF"/>
    <w:rsid w:val="006242BF"/>
    <w:rsid w:val="00625B39"/>
    <w:rsid w:val="00631FE7"/>
    <w:rsid w:val="00632ACC"/>
    <w:rsid w:val="006345C1"/>
    <w:rsid w:val="00637FDD"/>
    <w:rsid w:val="00641E57"/>
    <w:rsid w:val="006503A5"/>
    <w:rsid w:val="00650463"/>
    <w:rsid w:val="00651660"/>
    <w:rsid w:val="00652171"/>
    <w:rsid w:val="006532C3"/>
    <w:rsid w:val="006611C2"/>
    <w:rsid w:val="00661BD2"/>
    <w:rsid w:val="00664D4A"/>
    <w:rsid w:val="00666285"/>
    <w:rsid w:val="00670FEA"/>
    <w:rsid w:val="00671DC9"/>
    <w:rsid w:val="0067252D"/>
    <w:rsid w:val="006734AA"/>
    <w:rsid w:val="006734B3"/>
    <w:rsid w:val="0067353C"/>
    <w:rsid w:val="00676163"/>
    <w:rsid w:val="00677C22"/>
    <w:rsid w:val="006805CC"/>
    <w:rsid w:val="006808CC"/>
    <w:rsid w:val="00685899"/>
    <w:rsid w:val="00692D30"/>
    <w:rsid w:val="00695597"/>
    <w:rsid w:val="00696A89"/>
    <w:rsid w:val="00696F75"/>
    <w:rsid w:val="00697477"/>
    <w:rsid w:val="006A037E"/>
    <w:rsid w:val="006A2019"/>
    <w:rsid w:val="006A21CC"/>
    <w:rsid w:val="006A2F76"/>
    <w:rsid w:val="006A3D41"/>
    <w:rsid w:val="006A7796"/>
    <w:rsid w:val="006B0495"/>
    <w:rsid w:val="006B0DCB"/>
    <w:rsid w:val="006B2408"/>
    <w:rsid w:val="006B3AF9"/>
    <w:rsid w:val="006B414C"/>
    <w:rsid w:val="006B4B0F"/>
    <w:rsid w:val="006B505D"/>
    <w:rsid w:val="006C32CF"/>
    <w:rsid w:val="006C335E"/>
    <w:rsid w:val="006C3A1F"/>
    <w:rsid w:val="006C5C6C"/>
    <w:rsid w:val="006C7DE0"/>
    <w:rsid w:val="006D02D8"/>
    <w:rsid w:val="006D3DC7"/>
    <w:rsid w:val="006D4245"/>
    <w:rsid w:val="006E0A93"/>
    <w:rsid w:val="006E1404"/>
    <w:rsid w:val="006E4064"/>
    <w:rsid w:val="006E58EA"/>
    <w:rsid w:val="006F0036"/>
    <w:rsid w:val="006F2F67"/>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74DA"/>
    <w:rsid w:val="00720910"/>
    <w:rsid w:val="00720F29"/>
    <w:rsid w:val="007224C2"/>
    <w:rsid w:val="00731409"/>
    <w:rsid w:val="007334B1"/>
    <w:rsid w:val="007339F3"/>
    <w:rsid w:val="00737FEC"/>
    <w:rsid w:val="00740292"/>
    <w:rsid w:val="00742B07"/>
    <w:rsid w:val="00750492"/>
    <w:rsid w:val="0075064C"/>
    <w:rsid w:val="00755956"/>
    <w:rsid w:val="00756AA0"/>
    <w:rsid w:val="00757CE6"/>
    <w:rsid w:val="00764CB0"/>
    <w:rsid w:val="007666D8"/>
    <w:rsid w:val="007671B6"/>
    <w:rsid w:val="007671DA"/>
    <w:rsid w:val="00767C28"/>
    <w:rsid w:val="00770C72"/>
    <w:rsid w:val="007719A8"/>
    <w:rsid w:val="00773CAE"/>
    <w:rsid w:val="00774593"/>
    <w:rsid w:val="00774DDE"/>
    <w:rsid w:val="00776EDA"/>
    <w:rsid w:val="00777599"/>
    <w:rsid w:val="00785646"/>
    <w:rsid w:val="00785CF8"/>
    <w:rsid w:val="00796068"/>
    <w:rsid w:val="00796CC0"/>
    <w:rsid w:val="00796CF1"/>
    <w:rsid w:val="007979EA"/>
    <w:rsid w:val="007A1A35"/>
    <w:rsid w:val="007A2166"/>
    <w:rsid w:val="007A2B7F"/>
    <w:rsid w:val="007A5922"/>
    <w:rsid w:val="007B1ABA"/>
    <w:rsid w:val="007B259B"/>
    <w:rsid w:val="007B3F28"/>
    <w:rsid w:val="007B5018"/>
    <w:rsid w:val="007B65B3"/>
    <w:rsid w:val="007C08AB"/>
    <w:rsid w:val="007C1FBA"/>
    <w:rsid w:val="007C4E99"/>
    <w:rsid w:val="007C5151"/>
    <w:rsid w:val="007C546B"/>
    <w:rsid w:val="007C670D"/>
    <w:rsid w:val="007C7359"/>
    <w:rsid w:val="007D0ED0"/>
    <w:rsid w:val="007D1F01"/>
    <w:rsid w:val="007D3E0E"/>
    <w:rsid w:val="007D48CF"/>
    <w:rsid w:val="007D4A4A"/>
    <w:rsid w:val="007E0E05"/>
    <w:rsid w:val="007E1DD3"/>
    <w:rsid w:val="007E209F"/>
    <w:rsid w:val="007E2878"/>
    <w:rsid w:val="007E4655"/>
    <w:rsid w:val="007E55E0"/>
    <w:rsid w:val="007E5C50"/>
    <w:rsid w:val="007F0546"/>
    <w:rsid w:val="007F1DEB"/>
    <w:rsid w:val="007F22A5"/>
    <w:rsid w:val="007F5688"/>
    <w:rsid w:val="0080038A"/>
    <w:rsid w:val="0080065F"/>
    <w:rsid w:val="00805084"/>
    <w:rsid w:val="008051DE"/>
    <w:rsid w:val="00805659"/>
    <w:rsid w:val="0080733E"/>
    <w:rsid w:val="00810CC2"/>
    <w:rsid w:val="0081324B"/>
    <w:rsid w:val="0081440E"/>
    <w:rsid w:val="00816193"/>
    <w:rsid w:val="008165E4"/>
    <w:rsid w:val="008234BD"/>
    <w:rsid w:val="00824A8C"/>
    <w:rsid w:val="00825155"/>
    <w:rsid w:val="00825EB9"/>
    <w:rsid w:val="008303E2"/>
    <w:rsid w:val="00833A8F"/>
    <w:rsid w:val="008341F8"/>
    <w:rsid w:val="008359F3"/>
    <w:rsid w:val="00835DB6"/>
    <w:rsid w:val="00836AC2"/>
    <w:rsid w:val="008406D5"/>
    <w:rsid w:val="00843BED"/>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2AA1"/>
    <w:rsid w:val="008652C9"/>
    <w:rsid w:val="00866992"/>
    <w:rsid w:val="00866CA9"/>
    <w:rsid w:val="00867E32"/>
    <w:rsid w:val="00872942"/>
    <w:rsid w:val="00875991"/>
    <w:rsid w:val="00875BB5"/>
    <w:rsid w:val="008771B6"/>
    <w:rsid w:val="00877240"/>
    <w:rsid w:val="00877FDD"/>
    <w:rsid w:val="00880FED"/>
    <w:rsid w:val="0088186D"/>
    <w:rsid w:val="008841C8"/>
    <w:rsid w:val="00885367"/>
    <w:rsid w:val="008855A4"/>
    <w:rsid w:val="00887082"/>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3A74"/>
    <w:rsid w:val="008B3D72"/>
    <w:rsid w:val="008B434A"/>
    <w:rsid w:val="008B5DA7"/>
    <w:rsid w:val="008B7B55"/>
    <w:rsid w:val="008C3A5B"/>
    <w:rsid w:val="008C3D50"/>
    <w:rsid w:val="008C43C8"/>
    <w:rsid w:val="008C5B71"/>
    <w:rsid w:val="008D2382"/>
    <w:rsid w:val="008D5667"/>
    <w:rsid w:val="008D6F5D"/>
    <w:rsid w:val="008E003A"/>
    <w:rsid w:val="008E15E3"/>
    <w:rsid w:val="008E2045"/>
    <w:rsid w:val="008E4C62"/>
    <w:rsid w:val="008E727E"/>
    <w:rsid w:val="008F2902"/>
    <w:rsid w:val="008F4593"/>
    <w:rsid w:val="008F660B"/>
    <w:rsid w:val="009005CE"/>
    <w:rsid w:val="00901376"/>
    <w:rsid w:val="0090188B"/>
    <w:rsid w:val="009021A4"/>
    <w:rsid w:val="00904305"/>
    <w:rsid w:val="00904EC5"/>
    <w:rsid w:val="00906778"/>
    <w:rsid w:val="00914B48"/>
    <w:rsid w:val="0091511B"/>
    <w:rsid w:val="00917B6F"/>
    <w:rsid w:val="009239AA"/>
    <w:rsid w:val="009245B5"/>
    <w:rsid w:val="00925EF2"/>
    <w:rsid w:val="00935C40"/>
    <w:rsid w:val="00935F4D"/>
    <w:rsid w:val="0093795C"/>
    <w:rsid w:val="00937DCB"/>
    <w:rsid w:val="00937F7E"/>
    <w:rsid w:val="009440DE"/>
    <w:rsid w:val="009444E6"/>
    <w:rsid w:val="00944A8E"/>
    <w:rsid w:val="009455E6"/>
    <w:rsid w:val="0094589B"/>
    <w:rsid w:val="009509C0"/>
    <w:rsid w:val="00950EC4"/>
    <w:rsid w:val="00953B70"/>
    <w:rsid w:val="0095542C"/>
    <w:rsid w:val="00956BA7"/>
    <w:rsid w:val="00956FD8"/>
    <w:rsid w:val="0095728C"/>
    <w:rsid w:val="009575F7"/>
    <w:rsid w:val="00957E4B"/>
    <w:rsid w:val="0096021A"/>
    <w:rsid w:val="00960F73"/>
    <w:rsid w:val="009642CA"/>
    <w:rsid w:val="0096655D"/>
    <w:rsid w:val="00970771"/>
    <w:rsid w:val="00971139"/>
    <w:rsid w:val="00972B10"/>
    <w:rsid w:val="0097401F"/>
    <w:rsid w:val="009773FB"/>
    <w:rsid w:val="009779BE"/>
    <w:rsid w:val="00981FA0"/>
    <w:rsid w:val="0098263A"/>
    <w:rsid w:val="00983541"/>
    <w:rsid w:val="00984366"/>
    <w:rsid w:val="00984E80"/>
    <w:rsid w:val="0098690F"/>
    <w:rsid w:val="009879BC"/>
    <w:rsid w:val="00987EE5"/>
    <w:rsid w:val="00991CD8"/>
    <w:rsid w:val="00991EBE"/>
    <w:rsid w:val="00993C2E"/>
    <w:rsid w:val="00997C8A"/>
    <w:rsid w:val="009A1339"/>
    <w:rsid w:val="009A3006"/>
    <w:rsid w:val="009A3994"/>
    <w:rsid w:val="009B5291"/>
    <w:rsid w:val="009B5D6F"/>
    <w:rsid w:val="009B62AF"/>
    <w:rsid w:val="009B7AB9"/>
    <w:rsid w:val="009C4B6D"/>
    <w:rsid w:val="009D0928"/>
    <w:rsid w:val="009D1B99"/>
    <w:rsid w:val="009D2884"/>
    <w:rsid w:val="009D5393"/>
    <w:rsid w:val="009D5445"/>
    <w:rsid w:val="009D565F"/>
    <w:rsid w:val="009D65B9"/>
    <w:rsid w:val="009D70EE"/>
    <w:rsid w:val="009E04DC"/>
    <w:rsid w:val="009E0FB3"/>
    <w:rsid w:val="009E1B24"/>
    <w:rsid w:val="009E3B5A"/>
    <w:rsid w:val="009E5105"/>
    <w:rsid w:val="009E59A1"/>
    <w:rsid w:val="009E66EE"/>
    <w:rsid w:val="009F4326"/>
    <w:rsid w:val="009F7FA6"/>
    <w:rsid w:val="00A0082F"/>
    <w:rsid w:val="00A0244C"/>
    <w:rsid w:val="00A033FF"/>
    <w:rsid w:val="00A0409E"/>
    <w:rsid w:val="00A06137"/>
    <w:rsid w:val="00A063FE"/>
    <w:rsid w:val="00A06EDB"/>
    <w:rsid w:val="00A07ACC"/>
    <w:rsid w:val="00A1329C"/>
    <w:rsid w:val="00A14E25"/>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65B4"/>
    <w:rsid w:val="00A52DA1"/>
    <w:rsid w:val="00A5757E"/>
    <w:rsid w:val="00A60F52"/>
    <w:rsid w:val="00A61DFE"/>
    <w:rsid w:val="00A62AA8"/>
    <w:rsid w:val="00A63B4C"/>
    <w:rsid w:val="00A6526F"/>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529F"/>
    <w:rsid w:val="00A9704A"/>
    <w:rsid w:val="00A97AD0"/>
    <w:rsid w:val="00AA1377"/>
    <w:rsid w:val="00AA49AF"/>
    <w:rsid w:val="00AA4F2F"/>
    <w:rsid w:val="00AA57CE"/>
    <w:rsid w:val="00AA7540"/>
    <w:rsid w:val="00AB3E6B"/>
    <w:rsid w:val="00AB4B0F"/>
    <w:rsid w:val="00AB51C8"/>
    <w:rsid w:val="00AB7B25"/>
    <w:rsid w:val="00AC0BAE"/>
    <w:rsid w:val="00AC126F"/>
    <w:rsid w:val="00AC3256"/>
    <w:rsid w:val="00AC4B34"/>
    <w:rsid w:val="00AD05A6"/>
    <w:rsid w:val="00AD283D"/>
    <w:rsid w:val="00AE05EA"/>
    <w:rsid w:val="00AE0EDF"/>
    <w:rsid w:val="00AE1128"/>
    <w:rsid w:val="00AE1AB0"/>
    <w:rsid w:val="00AE2609"/>
    <w:rsid w:val="00AE29A8"/>
    <w:rsid w:val="00AE3137"/>
    <w:rsid w:val="00AE439A"/>
    <w:rsid w:val="00AE591D"/>
    <w:rsid w:val="00AE617A"/>
    <w:rsid w:val="00AE713F"/>
    <w:rsid w:val="00AF09C7"/>
    <w:rsid w:val="00AF4B16"/>
    <w:rsid w:val="00AF4BF4"/>
    <w:rsid w:val="00B0025D"/>
    <w:rsid w:val="00B006D8"/>
    <w:rsid w:val="00B036E4"/>
    <w:rsid w:val="00B03D35"/>
    <w:rsid w:val="00B05065"/>
    <w:rsid w:val="00B05194"/>
    <w:rsid w:val="00B06B45"/>
    <w:rsid w:val="00B06D33"/>
    <w:rsid w:val="00B074B3"/>
    <w:rsid w:val="00B10AD8"/>
    <w:rsid w:val="00B14E4C"/>
    <w:rsid w:val="00B17303"/>
    <w:rsid w:val="00B21343"/>
    <w:rsid w:val="00B219AA"/>
    <w:rsid w:val="00B21A5B"/>
    <w:rsid w:val="00B22786"/>
    <w:rsid w:val="00B25143"/>
    <w:rsid w:val="00B2585D"/>
    <w:rsid w:val="00B266FA"/>
    <w:rsid w:val="00B26C40"/>
    <w:rsid w:val="00B26D82"/>
    <w:rsid w:val="00B27359"/>
    <w:rsid w:val="00B33FC2"/>
    <w:rsid w:val="00B347F1"/>
    <w:rsid w:val="00B34A99"/>
    <w:rsid w:val="00B3502B"/>
    <w:rsid w:val="00B35755"/>
    <w:rsid w:val="00B35774"/>
    <w:rsid w:val="00B3599F"/>
    <w:rsid w:val="00B35C3E"/>
    <w:rsid w:val="00B36473"/>
    <w:rsid w:val="00B40BEA"/>
    <w:rsid w:val="00B44029"/>
    <w:rsid w:val="00B44FFA"/>
    <w:rsid w:val="00B45428"/>
    <w:rsid w:val="00B47943"/>
    <w:rsid w:val="00B50446"/>
    <w:rsid w:val="00B50A6E"/>
    <w:rsid w:val="00B512D2"/>
    <w:rsid w:val="00B527BF"/>
    <w:rsid w:val="00B530FD"/>
    <w:rsid w:val="00B5313D"/>
    <w:rsid w:val="00B53C9C"/>
    <w:rsid w:val="00B558FE"/>
    <w:rsid w:val="00B56396"/>
    <w:rsid w:val="00B5639B"/>
    <w:rsid w:val="00B60C3E"/>
    <w:rsid w:val="00B615CB"/>
    <w:rsid w:val="00B63E30"/>
    <w:rsid w:val="00B645FA"/>
    <w:rsid w:val="00B64775"/>
    <w:rsid w:val="00B663CD"/>
    <w:rsid w:val="00B67B4F"/>
    <w:rsid w:val="00B81718"/>
    <w:rsid w:val="00B86AF6"/>
    <w:rsid w:val="00B86E2A"/>
    <w:rsid w:val="00B877AA"/>
    <w:rsid w:val="00B9389E"/>
    <w:rsid w:val="00B96EA4"/>
    <w:rsid w:val="00B97282"/>
    <w:rsid w:val="00B97A3E"/>
    <w:rsid w:val="00BA2F02"/>
    <w:rsid w:val="00BA2FFD"/>
    <w:rsid w:val="00BA428A"/>
    <w:rsid w:val="00BA58B6"/>
    <w:rsid w:val="00BA62AD"/>
    <w:rsid w:val="00BB0267"/>
    <w:rsid w:val="00BB078B"/>
    <w:rsid w:val="00BB37AF"/>
    <w:rsid w:val="00BB4769"/>
    <w:rsid w:val="00BB4C08"/>
    <w:rsid w:val="00BB61BE"/>
    <w:rsid w:val="00BB779D"/>
    <w:rsid w:val="00BC1DBD"/>
    <w:rsid w:val="00BC2849"/>
    <w:rsid w:val="00BC5737"/>
    <w:rsid w:val="00BD1747"/>
    <w:rsid w:val="00BD3C68"/>
    <w:rsid w:val="00BD421D"/>
    <w:rsid w:val="00BD6B87"/>
    <w:rsid w:val="00BD73FC"/>
    <w:rsid w:val="00BD79B1"/>
    <w:rsid w:val="00BE04D9"/>
    <w:rsid w:val="00BE4614"/>
    <w:rsid w:val="00BE4E6F"/>
    <w:rsid w:val="00BE5100"/>
    <w:rsid w:val="00BE529D"/>
    <w:rsid w:val="00BE53DD"/>
    <w:rsid w:val="00BE573E"/>
    <w:rsid w:val="00BE6637"/>
    <w:rsid w:val="00BF10E8"/>
    <w:rsid w:val="00BF2033"/>
    <w:rsid w:val="00BF3158"/>
    <w:rsid w:val="00BF3169"/>
    <w:rsid w:val="00BF51B7"/>
    <w:rsid w:val="00C00953"/>
    <w:rsid w:val="00C03312"/>
    <w:rsid w:val="00C039A5"/>
    <w:rsid w:val="00C03A04"/>
    <w:rsid w:val="00C046F7"/>
    <w:rsid w:val="00C064FE"/>
    <w:rsid w:val="00C06EA1"/>
    <w:rsid w:val="00C10C0B"/>
    <w:rsid w:val="00C10DD5"/>
    <w:rsid w:val="00C11F76"/>
    <w:rsid w:val="00C15A27"/>
    <w:rsid w:val="00C15FEF"/>
    <w:rsid w:val="00C1776A"/>
    <w:rsid w:val="00C2104E"/>
    <w:rsid w:val="00C22519"/>
    <w:rsid w:val="00C2305C"/>
    <w:rsid w:val="00C233D0"/>
    <w:rsid w:val="00C2380D"/>
    <w:rsid w:val="00C24162"/>
    <w:rsid w:val="00C24E78"/>
    <w:rsid w:val="00C2509D"/>
    <w:rsid w:val="00C27A2E"/>
    <w:rsid w:val="00C34ABD"/>
    <w:rsid w:val="00C35288"/>
    <w:rsid w:val="00C353CF"/>
    <w:rsid w:val="00C35F43"/>
    <w:rsid w:val="00C37088"/>
    <w:rsid w:val="00C3715E"/>
    <w:rsid w:val="00C408D5"/>
    <w:rsid w:val="00C41D3C"/>
    <w:rsid w:val="00C43801"/>
    <w:rsid w:val="00C44A07"/>
    <w:rsid w:val="00C44BDC"/>
    <w:rsid w:val="00C45BFB"/>
    <w:rsid w:val="00C45DCE"/>
    <w:rsid w:val="00C46D15"/>
    <w:rsid w:val="00C471BB"/>
    <w:rsid w:val="00C50C7D"/>
    <w:rsid w:val="00C50FF9"/>
    <w:rsid w:val="00C54B14"/>
    <w:rsid w:val="00C6352A"/>
    <w:rsid w:val="00C65B2D"/>
    <w:rsid w:val="00C65C5D"/>
    <w:rsid w:val="00C6656A"/>
    <w:rsid w:val="00C66C03"/>
    <w:rsid w:val="00C711E5"/>
    <w:rsid w:val="00C719C4"/>
    <w:rsid w:val="00C730CB"/>
    <w:rsid w:val="00C731FC"/>
    <w:rsid w:val="00C73782"/>
    <w:rsid w:val="00C80D90"/>
    <w:rsid w:val="00C81B05"/>
    <w:rsid w:val="00C83AEE"/>
    <w:rsid w:val="00C85531"/>
    <w:rsid w:val="00C85563"/>
    <w:rsid w:val="00C85AC7"/>
    <w:rsid w:val="00C87F13"/>
    <w:rsid w:val="00C9045E"/>
    <w:rsid w:val="00C906CD"/>
    <w:rsid w:val="00C9133D"/>
    <w:rsid w:val="00C934E0"/>
    <w:rsid w:val="00C96454"/>
    <w:rsid w:val="00CA0FB8"/>
    <w:rsid w:val="00CA15F3"/>
    <w:rsid w:val="00CA2680"/>
    <w:rsid w:val="00CA4D23"/>
    <w:rsid w:val="00CA6716"/>
    <w:rsid w:val="00CB036A"/>
    <w:rsid w:val="00CB0D34"/>
    <w:rsid w:val="00CB6B8D"/>
    <w:rsid w:val="00CB79F7"/>
    <w:rsid w:val="00CC1939"/>
    <w:rsid w:val="00CC42D4"/>
    <w:rsid w:val="00CC64E3"/>
    <w:rsid w:val="00CC7712"/>
    <w:rsid w:val="00CD179A"/>
    <w:rsid w:val="00CD2536"/>
    <w:rsid w:val="00CD407F"/>
    <w:rsid w:val="00CD5740"/>
    <w:rsid w:val="00CD7420"/>
    <w:rsid w:val="00CD7910"/>
    <w:rsid w:val="00CE0BA7"/>
    <w:rsid w:val="00CE6ACB"/>
    <w:rsid w:val="00CE6D09"/>
    <w:rsid w:val="00CF0E4D"/>
    <w:rsid w:val="00CF230D"/>
    <w:rsid w:val="00CF5489"/>
    <w:rsid w:val="00CF7615"/>
    <w:rsid w:val="00CF7823"/>
    <w:rsid w:val="00D003F8"/>
    <w:rsid w:val="00D01AFE"/>
    <w:rsid w:val="00D02757"/>
    <w:rsid w:val="00D02FB7"/>
    <w:rsid w:val="00D04613"/>
    <w:rsid w:val="00D05C77"/>
    <w:rsid w:val="00D10288"/>
    <w:rsid w:val="00D10769"/>
    <w:rsid w:val="00D11409"/>
    <w:rsid w:val="00D11422"/>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215F"/>
    <w:rsid w:val="00D341C9"/>
    <w:rsid w:val="00D3447D"/>
    <w:rsid w:val="00D3488B"/>
    <w:rsid w:val="00D361DE"/>
    <w:rsid w:val="00D37427"/>
    <w:rsid w:val="00D3793E"/>
    <w:rsid w:val="00D37FB2"/>
    <w:rsid w:val="00D41A6A"/>
    <w:rsid w:val="00D4233A"/>
    <w:rsid w:val="00D44B3D"/>
    <w:rsid w:val="00D46C4C"/>
    <w:rsid w:val="00D51F18"/>
    <w:rsid w:val="00D53537"/>
    <w:rsid w:val="00D551C8"/>
    <w:rsid w:val="00D55972"/>
    <w:rsid w:val="00D564BB"/>
    <w:rsid w:val="00D565FA"/>
    <w:rsid w:val="00D568ED"/>
    <w:rsid w:val="00D574F2"/>
    <w:rsid w:val="00D6014E"/>
    <w:rsid w:val="00D630E7"/>
    <w:rsid w:val="00D63655"/>
    <w:rsid w:val="00D700E5"/>
    <w:rsid w:val="00D70900"/>
    <w:rsid w:val="00D719EB"/>
    <w:rsid w:val="00D71B77"/>
    <w:rsid w:val="00D74A87"/>
    <w:rsid w:val="00D76186"/>
    <w:rsid w:val="00D771E9"/>
    <w:rsid w:val="00D86DD4"/>
    <w:rsid w:val="00D92529"/>
    <w:rsid w:val="00D9416B"/>
    <w:rsid w:val="00DA1613"/>
    <w:rsid w:val="00DA3DE0"/>
    <w:rsid w:val="00DA5AAB"/>
    <w:rsid w:val="00DA671A"/>
    <w:rsid w:val="00DA6858"/>
    <w:rsid w:val="00DB1CD7"/>
    <w:rsid w:val="00DB2651"/>
    <w:rsid w:val="00DB30B1"/>
    <w:rsid w:val="00DB3ECD"/>
    <w:rsid w:val="00DB4717"/>
    <w:rsid w:val="00DC12C8"/>
    <w:rsid w:val="00DC6F31"/>
    <w:rsid w:val="00DC7FFD"/>
    <w:rsid w:val="00DD1B11"/>
    <w:rsid w:val="00DD6D82"/>
    <w:rsid w:val="00DE045E"/>
    <w:rsid w:val="00DE1240"/>
    <w:rsid w:val="00DE1AA5"/>
    <w:rsid w:val="00DE231A"/>
    <w:rsid w:val="00DE23D6"/>
    <w:rsid w:val="00DE2CB6"/>
    <w:rsid w:val="00DE2DDE"/>
    <w:rsid w:val="00DE395F"/>
    <w:rsid w:val="00DE3B34"/>
    <w:rsid w:val="00DE5414"/>
    <w:rsid w:val="00DE7312"/>
    <w:rsid w:val="00DF0C37"/>
    <w:rsid w:val="00DF24FD"/>
    <w:rsid w:val="00DF2506"/>
    <w:rsid w:val="00DF301A"/>
    <w:rsid w:val="00DF3469"/>
    <w:rsid w:val="00DF3BE2"/>
    <w:rsid w:val="00DF4E2C"/>
    <w:rsid w:val="00DF4E34"/>
    <w:rsid w:val="00DF75EC"/>
    <w:rsid w:val="00E0133D"/>
    <w:rsid w:val="00E019ED"/>
    <w:rsid w:val="00E02392"/>
    <w:rsid w:val="00E02654"/>
    <w:rsid w:val="00E0312F"/>
    <w:rsid w:val="00E04C48"/>
    <w:rsid w:val="00E06065"/>
    <w:rsid w:val="00E079C6"/>
    <w:rsid w:val="00E1273C"/>
    <w:rsid w:val="00E1434A"/>
    <w:rsid w:val="00E146CF"/>
    <w:rsid w:val="00E14BED"/>
    <w:rsid w:val="00E17711"/>
    <w:rsid w:val="00E23C05"/>
    <w:rsid w:val="00E2425F"/>
    <w:rsid w:val="00E242F0"/>
    <w:rsid w:val="00E245B0"/>
    <w:rsid w:val="00E247E2"/>
    <w:rsid w:val="00E304EB"/>
    <w:rsid w:val="00E329D0"/>
    <w:rsid w:val="00E33746"/>
    <w:rsid w:val="00E342B3"/>
    <w:rsid w:val="00E3451F"/>
    <w:rsid w:val="00E36ADF"/>
    <w:rsid w:val="00E36B53"/>
    <w:rsid w:val="00E37585"/>
    <w:rsid w:val="00E41B64"/>
    <w:rsid w:val="00E42C35"/>
    <w:rsid w:val="00E469D5"/>
    <w:rsid w:val="00E46CD5"/>
    <w:rsid w:val="00E500D9"/>
    <w:rsid w:val="00E51AB5"/>
    <w:rsid w:val="00E52345"/>
    <w:rsid w:val="00E52763"/>
    <w:rsid w:val="00E53796"/>
    <w:rsid w:val="00E563AE"/>
    <w:rsid w:val="00E662CD"/>
    <w:rsid w:val="00E67427"/>
    <w:rsid w:val="00E73271"/>
    <w:rsid w:val="00E735DA"/>
    <w:rsid w:val="00E74214"/>
    <w:rsid w:val="00E74762"/>
    <w:rsid w:val="00E74D52"/>
    <w:rsid w:val="00E75855"/>
    <w:rsid w:val="00E7609C"/>
    <w:rsid w:val="00E82556"/>
    <w:rsid w:val="00E8380C"/>
    <w:rsid w:val="00E85CBE"/>
    <w:rsid w:val="00E86566"/>
    <w:rsid w:val="00E875F5"/>
    <w:rsid w:val="00E92527"/>
    <w:rsid w:val="00E92A93"/>
    <w:rsid w:val="00E93620"/>
    <w:rsid w:val="00E93BAA"/>
    <w:rsid w:val="00E97045"/>
    <w:rsid w:val="00EA270C"/>
    <w:rsid w:val="00EA5CB5"/>
    <w:rsid w:val="00EA5CF4"/>
    <w:rsid w:val="00EB09B9"/>
    <w:rsid w:val="00EB31FD"/>
    <w:rsid w:val="00EB76F7"/>
    <w:rsid w:val="00EB7CB1"/>
    <w:rsid w:val="00EC0569"/>
    <w:rsid w:val="00EC0C7B"/>
    <w:rsid w:val="00EC1C35"/>
    <w:rsid w:val="00EC5E45"/>
    <w:rsid w:val="00EC7462"/>
    <w:rsid w:val="00ED0557"/>
    <w:rsid w:val="00ED0CF0"/>
    <w:rsid w:val="00ED34D4"/>
    <w:rsid w:val="00ED3D84"/>
    <w:rsid w:val="00ED766C"/>
    <w:rsid w:val="00ED76FB"/>
    <w:rsid w:val="00EE05C2"/>
    <w:rsid w:val="00EE30EE"/>
    <w:rsid w:val="00EE3C6D"/>
    <w:rsid w:val="00EE4C6E"/>
    <w:rsid w:val="00EE5135"/>
    <w:rsid w:val="00EE61BE"/>
    <w:rsid w:val="00EE6DE6"/>
    <w:rsid w:val="00EF057C"/>
    <w:rsid w:val="00EF1D14"/>
    <w:rsid w:val="00EF4FEE"/>
    <w:rsid w:val="00EF6873"/>
    <w:rsid w:val="00F00BE1"/>
    <w:rsid w:val="00F01B31"/>
    <w:rsid w:val="00F03AB9"/>
    <w:rsid w:val="00F06479"/>
    <w:rsid w:val="00F076C5"/>
    <w:rsid w:val="00F120D9"/>
    <w:rsid w:val="00F124BE"/>
    <w:rsid w:val="00F125DE"/>
    <w:rsid w:val="00F24232"/>
    <w:rsid w:val="00F24B70"/>
    <w:rsid w:val="00F2526C"/>
    <w:rsid w:val="00F25C79"/>
    <w:rsid w:val="00F27170"/>
    <w:rsid w:val="00F30016"/>
    <w:rsid w:val="00F3144A"/>
    <w:rsid w:val="00F31C75"/>
    <w:rsid w:val="00F32543"/>
    <w:rsid w:val="00F33277"/>
    <w:rsid w:val="00F340CD"/>
    <w:rsid w:val="00F341CC"/>
    <w:rsid w:val="00F36B6C"/>
    <w:rsid w:val="00F36D10"/>
    <w:rsid w:val="00F40CAB"/>
    <w:rsid w:val="00F47C5C"/>
    <w:rsid w:val="00F54856"/>
    <w:rsid w:val="00F57650"/>
    <w:rsid w:val="00F579FC"/>
    <w:rsid w:val="00F60C74"/>
    <w:rsid w:val="00F62773"/>
    <w:rsid w:val="00F64F51"/>
    <w:rsid w:val="00F66122"/>
    <w:rsid w:val="00F666FD"/>
    <w:rsid w:val="00F67A35"/>
    <w:rsid w:val="00F759AD"/>
    <w:rsid w:val="00F765E8"/>
    <w:rsid w:val="00F8200C"/>
    <w:rsid w:val="00F85D77"/>
    <w:rsid w:val="00F86D88"/>
    <w:rsid w:val="00F87FA7"/>
    <w:rsid w:val="00F90898"/>
    <w:rsid w:val="00F914C8"/>
    <w:rsid w:val="00F9473C"/>
    <w:rsid w:val="00FA40A3"/>
    <w:rsid w:val="00FA45CD"/>
    <w:rsid w:val="00FA5B17"/>
    <w:rsid w:val="00FB33FA"/>
    <w:rsid w:val="00FB3BA6"/>
    <w:rsid w:val="00FB4D65"/>
    <w:rsid w:val="00FB5954"/>
    <w:rsid w:val="00FB6040"/>
    <w:rsid w:val="00FB6695"/>
    <w:rsid w:val="00FC0253"/>
    <w:rsid w:val="00FC0CDF"/>
    <w:rsid w:val="00FC0D7C"/>
    <w:rsid w:val="00FC163A"/>
    <w:rsid w:val="00FC183A"/>
    <w:rsid w:val="00FC19F5"/>
    <w:rsid w:val="00FC3D1C"/>
    <w:rsid w:val="00FD08A7"/>
    <w:rsid w:val="00FD1295"/>
    <w:rsid w:val="00FD2E55"/>
    <w:rsid w:val="00FD2FA9"/>
    <w:rsid w:val="00FD3572"/>
    <w:rsid w:val="00FD54CC"/>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EA684D8-5623-4EF7-9607-66D98538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uiPriority w:val="99"/>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uiPriority w:val="99"/>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625">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086459710">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9034</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10685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2011-02-04T20:41:00Z</cp:lastPrinted>
  <dcterms:created xsi:type="dcterms:W3CDTF">2015-05-07T12:39:00Z</dcterms:created>
  <dcterms:modified xsi:type="dcterms:W3CDTF">2015-05-07T12:39:00Z</dcterms:modified>
</cp:coreProperties>
</file>