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097863" w:rsidRDefault="009444E6" w:rsidP="00AA4F2F">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097863">
        <w:rPr>
          <w:rFonts w:ascii="Times New Roman" w:hAnsi="Times New Roman"/>
          <w:b/>
          <w:i w:val="0"/>
          <w:color w:val="000000"/>
          <w:sz w:val="22"/>
          <w:szCs w:val="22"/>
        </w:rPr>
        <w:t xml:space="preserve">Sessões: </w:t>
      </w:r>
      <w:r w:rsidR="00521A31">
        <w:rPr>
          <w:rFonts w:ascii="Times New Roman" w:hAnsi="Times New Roman"/>
          <w:b/>
          <w:i w:val="0"/>
          <w:color w:val="000000"/>
          <w:sz w:val="22"/>
          <w:szCs w:val="22"/>
        </w:rPr>
        <w:t>7</w:t>
      </w:r>
      <w:r w:rsidRPr="00097863">
        <w:rPr>
          <w:rFonts w:ascii="Times New Roman" w:hAnsi="Times New Roman"/>
          <w:b/>
          <w:i w:val="0"/>
          <w:color w:val="000000"/>
          <w:sz w:val="22"/>
          <w:szCs w:val="22"/>
        </w:rPr>
        <w:t xml:space="preserve"> </w:t>
      </w:r>
      <w:r w:rsidR="00AE591D">
        <w:rPr>
          <w:rFonts w:ascii="Times New Roman" w:hAnsi="Times New Roman"/>
          <w:b/>
          <w:i w:val="0"/>
          <w:color w:val="000000"/>
          <w:sz w:val="22"/>
          <w:szCs w:val="22"/>
        </w:rPr>
        <w:t xml:space="preserve">e </w:t>
      </w:r>
      <w:r w:rsidR="00521A31">
        <w:rPr>
          <w:rFonts w:ascii="Times New Roman" w:hAnsi="Times New Roman"/>
          <w:b/>
          <w:i w:val="0"/>
          <w:color w:val="000000"/>
          <w:sz w:val="22"/>
          <w:szCs w:val="22"/>
        </w:rPr>
        <w:t>8</w:t>
      </w:r>
      <w:r w:rsidR="00AE591D">
        <w:rPr>
          <w:rFonts w:ascii="Times New Roman" w:hAnsi="Times New Roman"/>
          <w:b/>
          <w:i w:val="0"/>
          <w:color w:val="000000"/>
          <w:sz w:val="22"/>
          <w:szCs w:val="22"/>
        </w:rPr>
        <w:t xml:space="preserve"> de junho </w:t>
      </w:r>
      <w:r w:rsidRPr="00097863">
        <w:rPr>
          <w:rFonts w:ascii="Times New Roman" w:hAnsi="Times New Roman"/>
          <w:b/>
          <w:i w:val="0"/>
          <w:color w:val="000000"/>
          <w:sz w:val="22"/>
          <w:szCs w:val="22"/>
        </w:rPr>
        <w:t>de 201</w:t>
      </w:r>
      <w:r w:rsidR="00467815" w:rsidRPr="00097863">
        <w:rPr>
          <w:rFonts w:ascii="Times New Roman" w:hAnsi="Times New Roman"/>
          <w:b/>
          <w:i w:val="0"/>
          <w:color w:val="000000"/>
          <w:sz w:val="22"/>
          <w:szCs w:val="22"/>
        </w:rPr>
        <w:t>1</w:t>
      </w:r>
    </w:p>
    <w:p w:rsidR="002D35F5" w:rsidRPr="00097863" w:rsidRDefault="002D35F5" w:rsidP="00AA4F2F">
      <w:pPr>
        <w:pStyle w:val="Corpodetexto2"/>
        <w:spacing w:after="0" w:line="240" w:lineRule="auto"/>
        <w:ind w:left="0"/>
        <w:rPr>
          <w:sz w:val="22"/>
          <w:szCs w:val="22"/>
        </w:rPr>
      </w:pPr>
      <w:r w:rsidRPr="00097863">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097863" w:rsidRDefault="00FF7C62" w:rsidP="00AA4F2F">
      <w:pPr>
        <w:pStyle w:val="Corpodetexto2"/>
        <w:spacing w:after="0" w:line="240" w:lineRule="auto"/>
        <w:ind w:left="0"/>
        <w:rPr>
          <w:sz w:val="22"/>
          <w:szCs w:val="22"/>
        </w:rPr>
      </w:pPr>
    </w:p>
    <w:p w:rsidR="002D35F5" w:rsidRPr="00D53537" w:rsidRDefault="002D35F5" w:rsidP="00AA4F2F">
      <w:pPr>
        <w:pBdr>
          <w:top w:val="threeDEmboss" w:sz="24" w:space="2" w:color="auto"/>
        </w:pBdr>
        <w:tabs>
          <w:tab w:val="left" w:pos="284"/>
        </w:tabs>
        <w:spacing w:after="0"/>
        <w:ind w:left="0"/>
        <w:jc w:val="center"/>
        <w:rPr>
          <w:rFonts w:ascii="Cambria" w:hAnsi="Cambria"/>
          <w:b/>
          <w:bCs/>
          <w:smallCaps/>
          <w:sz w:val="22"/>
          <w:szCs w:val="22"/>
        </w:rPr>
      </w:pPr>
      <w:r w:rsidRPr="00D53537">
        <w:rPr>
          <w:rFonts w:ascii="Cambria" w:hAnsi="Cambria"/>
          <w:b/>
          <w:bCs/>
          <w:smallCaps/>
          <w:sz w:val="22"/>
          <w:szCs w:val="22"/>
        </w:rPr>
        <w:t>S</w:t>
      </w:r>
      <w:r w:rsidR="00FF7C62" w:rsidRPr="00D53537">
        <w:rPr>
          <w:rFonts w:ascii="Cambria" w:hAnsi="Cambria"/>
          <w:b/>
          <w:bCs/>
          <w:smallCaps/>
          <w:sz w:val="22"/>
          <w:szCs w:val="22"/>
        </w:rPr>
        <w:t>UMÁRIO</w:t>
      </w:r>
    </w:p>
    <w:p w:rsidR="009444E6" w:rsidRPr="00056FCA" w:rsidRDefault="009444E6" w:rsidP="00056FCA">
      <w:pPr>
        <w:pStyle w:val="tita"/>
        <w:tabs>
          <w:tab w:val="left" w:pos="2590"/>
        </w:tabs>
        <w:spacing w:before="60" w:after="60" w:line="240" w:lineRule="auto"/>
        <w:jc w:val="both"/>
        <w:rPr>
          <w:i w:val="0"/>
          <w:iCs w:val="0"/>
          <w:sz w:val="22"/>
          <w:szCs w:val="22"/>
        </w:rPr>
      </w:pPr>
      <w:r w:rsidRPr="00056FCA">
        <w:rPr>
          <w:i w:val="0"/>
          <w:iCs w:val="0"/>
          <w:sz w:val="22"/>
          <w:szCs w:val="22"/>
        </w:rPr>
        <w:t>Plenário</w:t>
      </w:r>
    </w:p>
    <w:p w:rsidR="00056FCA" w:rsidRPr="00056FCA" w:rsidRDefault="00056FCA" w:rsidP="00056FCA">
      <w:pPr>
        <w:pStyle w:val="Corpodetexto"/>
        <w:tabs>
          <w:tab w:val="left" w:pos="1134"/>
          <w:tab w:val="left" w:pos="2590"/>
        </w:tabs>
        <w:spacing w:before="60" w:after="60"/>
        <w:ind w:left="0"/>
        <w:rPr>
          <w:color w:val="FF0000"/>
          <w:sz w:val="22"/>
          <w:szCs w:val="22"/>
        </w:rPr>
      </w:pPr>
      <w:r w:rsidRPr="00056FCA">
        <w:rPr>
          <w:sz w:val="22"/>
          <w:szCs w:val="22"/>
        </w:rPr>
        <w:t>Contratação de serviços: a inexistência de padrões que possam ser objetivamente estabelecidos no instrumento convocatório do pregão impedem o uso da modalidade</w:t>
      </w:r>
      <w:r>
        <w:rPr>
          <w:sz w:val="22"/>
          <w:szCs w:val="22"/>
        </w:rPr>
        <w:t>.</w:t>
      </w:r>
    </w:p>
    <w:p w:rsidR="00056FCA" w:rsidRPr="00056FCA" w:rsidRDefault="00056FCA" w:rsidP="00056FCA">
      <w:pPr>
        <w:tabs>
          <w:tab w:val="left" w:pos="851"/>
        </w:tabs>
        <w:spacing w:before="60" w:after="60"/>
        <w:ind w:left="0"/>
        <w:rPr>
          <w:sz w:val="22"/>
          <w:szCs w:val="22"/>
        </w:rPr>
      </w:pPr>
      <w:r w:rsidRPr="00056FCA">
        <w:rPr>
          <w:sz w:val="22"/>
          <w:szCs w:val="22"/>
        </w:rPr>
        <w:t>Apesar de não existir comando legal que obrigue o Poder Judiciário a utilizar, sempre que possível, o pregão eletrônico para suas contratações, seus órgãos devem motivar a escolha da forma presencial, sob pena de se configurar possível ato de gestão antieconômico</w:t>
      </w:r>
      <w:r>
        <w:rPr>
          <w:sz w:val="22"/>
          <w:szCs w:val="22"/>
        </w:rPr>
        <w:t>.</w:t>
      </w:r>
    </w:p>
    <w:p w:rsidR="00056FCA" w:rsidRPr="00056FCA" w:rsidRDefault="00056FCA" w:rsidP="00056FCA">
      <w:pPr>
        <w:pStyle w:val="Corpodetexto"/>
        <w:tabs>
          <w:tab w:val="left" w:pos="1134"/>
          <w:tab w:val="left" w:pos="2590"/>
        </w:tabs>
        <w:spacing w:before="60" w:after="60"/>
        <w:ind w:left="0"/>
        <w:rPr>
          <w:sz w:val="22"/>
          <w:szCs w:val="22"/>
        </w:rPr>
      </w:pPr>
      <w:r w:rsidRPr="00056FCA">
        <w:rPr>
          <w:sz w:val="22"/>
          <w:szCs w:val="22"/>
        </w:rPr>
        <w:t xml:space="preserve">Reajuste de contratos administrativos: a superveniência de ato normativo editado por instituição pública contratante estabelecendo novos valores referenciais não autoriza, </w:t>
      </w:r>
      <w:r w:rsidRPr="00056FCA">
        <w:rPr>
          <w:i/>
          <w:sz w:val="22"/>
          <w:szCs w:val="22"/>
        </w:rPr>
        <w:t>per si</w:t>
      </w:r>
      <w:r w:rsidRPr="00056FCA">
        <w:rPr>
          <w:sz w:val="22"/>
          <w:szCs w:val="22"/>
        </w:rPr>
        <w:t>, o reajuste imediato de contrato já em andamento</w:t>
      </w:r>
      <w:r>
        <w:rPr>
          <w:sz w:val="22"/>
          <w:szCs w:val="22"/>
        </w:rPr>
        <w:t>.</w:t>
      </w:r>
    </w:p>
    <w:p w:rsidR="006242BF" w:rsidRPr="00C87F13" w:rsidRDefault="006242BF" w:rsidP="00056FCA">
      <w:pPr>
        <w:pStyle w:val="Corpodetexto"/>
        <w:tabs>
          <w:tab w:val="left" w:pos="2590"/>
        </w:tabs>
        <w:spacing w:before="60" w:after="60"/>
        <w:rPr>
          <w:b/>
          <w:color w:val="FF0000"/>
          <w:sz w:val="22"/>
          <w:szCs w:val="22"/>
        </w:rPr>
      </w:pPr>
    </w:p>
    <w:p w:rsidR="003C6DEB" w:rsidRPr="00621D63" w:rsidRDefault="003C6DEB" w:rsidP="00621D63">
      <w:pPr>
        <w:pBdr>
          <w:top w:val="threeDEmboss" w:sz="24" w:space="0" w:color="auto"/>
        </w:pBdr>
        <w:tabs>
          <w:tab w:val="left" w:pos="284"/>
          <w:tab w:val="left" w:pos="2590"/>
        </w:tabs>
        <w:spacing w:after="0"/>
        <w:ind w:left="0"/>
        <w:jc w:val="center"/>
        <w:rPr>
          <w:rFonts w:ascii="Cambria" w:hAnsi="Cambria"/>
          <w:b/>
          <w:bCs/>
          <w:smallCaps/>
          <w:sz w:val="22"/>
          <w:szCs w:val="22"/>
        </w:rPr>
      </w:pPr>
      <w:r w:rsidRPr="00621D63">
        <w:rPr>
          <w:rFonts w:ascii="Cambria" w:hAnsi="Cambria"/>
          <w:b/>
          <w:bCs/>
          <w:smallCaps/>
          <w:sz w:val="22"/>
          <w:szCs w:val="22"/>
        </w:rPr>
        <w:t>PLENÁRIO</w:t>
      </w:r>
    </w:p>
    <w:p w:rsidR="003C6DEB" w:rsidRPr="00621D63" w:rsidRDefault="003C6DEB" w:rsidP="00621D63">
      <w:pPr>
        <w:pStyle w:val="tita"/>
        <w:tabs>
          <w:tab w:val="left" w:pos="2590"/>
        </w:tabs>
        <w:spacing w:before="0" w:after="0" w:line="240" w:lineRule="auto"/>
        <w:jc w:val="both"/>
        <w:rPr>
          <w:i w:val="0"/>
          <w:iCs w:val="0"/>
          <w:sz w:val="22"/>
          <w:szCs w:val="22"/>
        </w:rPr>
      </w:pPr>
    </w:p>
    <w:p w:rsidR="00EE05C2" w:rsidRPr="00181254" w:rsidRDefault="00056FCA" w:rsidP="00CB036A">
      <w:pPr>
        <w:pStyle w:val="Corpodetexto"/>
        <w:tabs>
          <w:tab w:val="left" w:pos="1134"/>
          <w:tab w:val="left" w:pos="2590"/>
        </w:tabs>
        <w:spacing w:after="0"/>
        <w:ind w:left="0"/>
        <w:rPr>
          <w:b/>
          <w:color w:val="FF0000"/>
          <w:sz w:val="22"/>
          <w:szCs w:val="22"/>
        </w:rPr>
      </w:pPr>
      <w:r>
        <w:rPr>
          <w:b/>
          <w:sz w:val="22"/>
          <w:szCs w:val="22"/>
        </w:rPr>
        <w:t>Contratação de serviços: a</w:t>
      </w:r>
      <w:r w:rsidR="00181254" w:rsidRPr="00181254">
        <w:rPr>
          <w:b/>
          <w:color w:val="FF0000"/>
          <w:sz w:val="22"/>
          <w:szCs w:val="22"/>
        </w:rPr>
        <w:t xml:space="preserve"> </w:t>
      </w:r>
      <w:r w:rsidR="00181254" w:rsidRPr="00181254">
        <w:rPr>
          <w:b/>
          <w:sz w:val="22"/>
          <w:szCs w:val="22"/>
        </w:rPr>
        <w:t xml:space="preserve">inexistência de padrões que possam ser objetivamente estabelecidos no instrumento convocatório do pregão impedem o uso </w:t>
      </w:r>
      <w:r>
        <w:rPr>
          <w:b/>
          <w:sz w:val="22"/>
          <w:szCs w:val="22"/>
        </w:rPr>
        <w:t xml:space="preserve">da </w:t>
      </w:r>
      <w:r w:rsidR="00181254" w:rsidRPr="00181254">
        <w:rPr>
          <w:b/>
          <w:sz w:val="22"/>
          <w:szCs w:val="22"/>
        </w:rPr>
        <w:t>modalidade</w:t>
      </w:r>
    </w:p>
    <w:p w:rsidR="00576018" w:rsidRPr="00181254" w:rsidRDefault="00E551BD" w:rsidP="00181254">
      <w:pPr>
        <w:spacing w:after="0"/>
        <w:ind w:left="0"/>
        <w:rPr>
          <w:snapToGrid w:val="0"/>
          <w:color w:val="000000"/>
          <w:sz w:val="22"/>
          <w:szCs w:val="22"/>
        </w:rPr>
      </w:pPr>
      <w:r w:rsidRPr="00181254">
        <w:rPr>
          <w:sz w:val="22"/>
          <w:szCs w:val="22"/>
        </w:rPr>
        <w:t>Representação formulada ao Tribunal noticiou irregularidades no Pregão Presencial 019/DALC/SBGR/2011, conduzido pela Empresa Brasileira de Infraestrutura Aeroportuária – (Infraero), c</w:t>
      </w:r>
      <w:r w:rsidR="00181BA4" w:rsidRPr="00181254">
        <w:rPr>
          <w:sz w:val="22"/>
          <w:szCs w:val="22"/>
        </w:rPr>
        <w:t>uj</w:t>
      </w:r>
      <w:r w:rsidRPr="00181254">
        <w:rPr>
          <w:sz w:val="22"/>
          <w:szCs w:val="22"/>
        </w:rPr>
        <w:t xml:space="preserve">o objeto </w:t>
      </w:r>
      <w:r w:rsidR="00181BA4" w:rsidRPr="00181254">
        <w:rPr>
          <w:sz w:val="22"/>
          <w:szCs w:val="22"/>
        </w:rPr>
        <w:t>c</w:t>
      </w:r>
      <w:r w:rsidRPr="00181254">
        <w:rPr>
          <w:sz w:val="22"/>
          <w:szCs w:val="22"/>
        </w:rPr>
        <w:t>onsisti</w:t>
      </w:r>
      <w:r w:rsidR="00181BA4" w:rsidRPr="00181254">
        <w:rPr>
          <w:sz w:val="22"/>
          <w:szCs w:val="22"/>
        </w:rPr>
        <w:t>u</w:t>
      </w:r>
      <w:r w:rsidRPr="00181254">
        <w:rPr>
          <w:sz w:val="22"/>
          <w:szCs w:val="22"/>
        </w:rPr>
        <w:t xml:space="preserve"> na concessão de uso de área destinada à implantação e exploração comercial de estacionamento de veículos, mediante a instalação de edifícios-garagem por sistema modular com tecnologia de armazenamento automatizado dos veículos no Aeropo</w:t>
      </w:r>
      <w:r w:rsidR="00181BA4" w:rsidRPr="00181254">
        <w:rPr>
          <w:sz w:val="22"/>
          <w:szCs w:val="22"/>
        </w:rPr>
        <w:t>r</w:t>
      </w:r>
      <w:r w:rsidRPr="00181254">
        <w:rPr>
          <w:sz w:val="22"/>
          <w:szCs w:val="22"/>
        </w:rPr>
        <w:t>to Internacional de Guarulhos</w:t>
      </w:r>
      <w:r w:rsidR="00181BA4" w:rsidRPr="00181254">
        <w:rPr>
          <w:sz w:val="22"/>
          <w:szCs w:val="22"/>
        </w:rPr>
        <w:t>,</w:t>
      </w:r>
      <w:r w:rsidRPr="00181254">
        <w:rPr>
          <w:sz w:val="22"/>
          <w:szCs w:val="22"/>
        </w:rPr>
        <w:t xml:space="preserve"> em São Paulo</w:t>
      </w:r>
      <w:r w:rsidR="00181BA4" w:rsidRPr="00181254">
        <w:rPr>
          <w:sz w:val="22"/>
          <w:szCs w:val="22"/>
        </w:rPr>
        <w:t>,</w:t>
      </w:r>
      <w:r w:rsidRPr="00181254">
        <w:rPr>
          <w:sz w:val="22"/>
          <w:szCs w:val="22"/>
        </w:rPr>
        <w:t xml:space="preserve"> pelo prazo improrrogável de 240 meses. De acordo com o representante, uma das irregularidades residiria na inadequação no uso do pregão, haja vista que tal modalidade deveria ser empregada na aquisição de bens e serviços comuns, assim entendidos aqueles cujos padrões de desempenho e qualidade possam ser objetivamente definidos pelo edital, por meio de especificações usuais no mercado, o que não </w:t>
      </w:r>
      <w:r w:rsidR="00181254">
        <w:rPr>
          <w:sz w:val="22"/>
          <w:szCs w:val="22"/>
        </w:rPr>
        <w:t>o</w:t>
      </w:r>
      <w:r w:rsidRPr="00181254">
        <w:rPr>
          <w:sz w:val="22"/>
          <w:szCs w:val="22"/>
        </w:rPr>
        <w:t xml:space="preserve">correria </w:t>
      </w:r>
      <w:r w:rsidR="00181254">
        <w:rPr>
          <w:sz w:val="22"/>
          <w:szCs w:val="22"/>
        </w:rPr>
        <w:t>na espécie</w:t>
      </w:r>
      <w:r w:rsidRPr="00181254">
        <w:rPr>
          <w:sz w:val="22"/>
          <w:szCs w:val="22"/>
        </w:rPr>
        <w:t xml:space="preserve">, considerando as peculiaridades do certame. </w:t>
      </w:r>
      <w:r w:rsidR="00BC05AB" w:rsidRPr="00181254">
        <w:rPr>
          <w:sz w:val="22"/>
          <w:szCs w:val="22"/>
        </w:rPr>
        <w:t xml:space="preserve">Ao examinar a matéria, a unidade técnica entendeu assistir razão ao representante, </w:t>
      </w:r>
      <w:r w:rsidR="00F85CB3" w:rsidRPr="00181254">
        <w:rPr>
          <w:sz w:val="22"/>
          <w:szCs w:val="22"/>
        </w:rPr>
        <w:t xml:space="preserve">ressaltando, inicialmente, que as </w:t>
      </w:r>
      <w:r w:rsidR="00181254">
        <w:rPr>
          <w:sz w:val="22"/>
          <w:szCs w:val="22"/>
        </w:rPr>
        <w:t>característica</w:t>
      </w:r>
      <w:r w:rsidR="00F85CB3" w:rsidRPr="00181254">
        <w:rPr>
          <w:sz w:val="22"/>
          <w:szCs w:val="22"/>
        </w:rPr>
        <w:t>s do empreendimento indica</w:t>
      </w:r>
      <w:r w:rsidR="00181254">
        <w:rPr>
          <w:sz w:val="22"/>
          <w:szCs w:val="22"/>
        </w:rPr>
        <w:t>ria</w:t>
      </w:r>
      <w:r w:rsidR="00F85CB3" w:rsidRPr="00181254">
        <w:rPr>
          <w:sz w:val="22"/>
          <w:szCs w:val="22"/>
        </w:rPr>
        <w:t>m que, de fato, não se trata de bem ou serviço comum. Neste sentido, assinalou que a concessão da área em questão foi atrelada a uma série de exigências que, a par de sua complexidade, comportam, em princípio, um sem-número de soluções possíveis. Destacou, também, a ausência quase absoluta de estudos e projetos previamente elaborados pela Infraero que pudessem conferir um mínimo de especificidade às edificações a serem realizadas pela empresa contratada. Com isso, entendeu que resta</w:t>
      </w:r>
      <w:r w:rsidR="00181254">
        <w:rPr>
          <w:sz w:val="22"/>
          <w:szCs w:val="22"/>
        </w:rPr>
        <w:t>ria</w:t>
      </w:r>
      <w:r w:rsidR="00F85CB3" w:rsidRPr="00181254">
        <w:rPr>
          <w:sz w:val="22"/>
          <w:szCs w:val="22"/>
        </w:rPr>
        <w:t xml:space="preserve"> impossibilitado o estabelecimento de padrões objetivos de desempenho e qualidade do empreendimento, o que, nos termos do art. 1º da Lei 10.520/2002, imped</w:t>
      </w:r>
      <w:r w:rsidR="00181254">
        <w:rPr>
          <w:sz w:val="22"/>
          <w:szCs w:val="22"/>
        </w:rPr>
        <w:t>iria</w:t>
      </w:r>
      <w:r w:rsidR="00F85CB3" w:rsidRPr="00181254">
        <w:rPr>
          <w:sz w:val="22"/>
          <w:szCs w:val="22"/>
        </w:rPr>
        <w:t xml:space="preserve"> a adoção </w:t>
      </w:r>
      <w:r w:rsidR="00181254">
        <w:rPr>
          <w:sz w:val="22"/>
          <w:szCs w:val="22"/>
        </w:rPr>
        <w:t>do</w:t>
      </w:r>
      <w:r w:rsidR="00F85CB3" w:rsidRPr="00181254">
        <w:rPr>
          <w:sz w:val="22"/>
          <w:szCs w:val="22"/>
        </w:rPr>
        <w:t xml:space="preserve"> pregão. O relator, ao concordar com as análises da unidade técnica, destacou, em seu voto, </w:t>
      </w:r>
      <w:r w:rsidR="00181254">
        <w:rPr>
          <w:sz w:val="22"/>
          <w:szCs w:val="22"/>
        </w:rPr>
        <w:t xml:space="preserve">que o </w:t>
      </w:r>
      <w:r w:rsidR="00F85CB3" w:rsidRPr="00181254">
        <w:rPr>
          <w:sz w:val="22"/>
          <w:szCs w:val="22"/>
        </w:rPr>
        <w:t>objeto do Pregão Presencial 019/DALC/SBGR/2011 “</w:t>
      </w:r>
      <w:r w:rsidR="00F85CB3" w:rsidRPr="00181254">
        <w:rPr>
          <w:i/>
          <w:sz w:val="22"/>
          <w:szCs w:val="22"/>
        </w:rPr>
        <w:t>em nada se assemelha a serviços comuns, haja vista a inexistência de padrões que possam ser objetivamente estabelecidos no instrumento convocatório</w:t>
      </w:r>
      <w:r w:rsidR="00F85CB3" w:rsidRPr="00181254">
        <w:rPr>
          <w:sz w:val="22"/>
          <w:szCs w:val="22"/>
        </w:rPr>
        <w:t>”, pois “</w:t>
      </w:r>
      <w:r w:rsidR="00F85CB3" w:rsidRPr="00181254">
        <w:rPr>
          <w:i/>
          <w:sz w:val="22"/>
          <w:szCs w:val="22"/>
        </w:rPr>
        <w:t>o procedimento instaurado pela Infraero está repleto de indefinições e carente de quaisquer padrões que possam balizar, não só a formulação das propostas por parte dos licitantes, mas também as próprias ações dos gestores da estatal</w:t>
      </w:r>
      <w:r w:rsidR="00F85CB3" w:rsidRPr="00181254">
        <w:rPr>
          <w:sz w:val="22"/>
          <w:szCs w:val="22"/>
        </w:rPr>
        <w:t xml:space="preserve">”. Diante do fato, entendeu irregular o uso do pregão para a contratação pretendida. Contudo, considerando que </w:t>
      </w:r>
      <w:r w:rsidR="005D6E51" w:rsidRPr="00181254">
        <w:rPr>
          <w:sz w:val="22"/>
          <w:szCs w:val="22"/>
        </w:rPr>
        <w:t xml:space="preserve">o certame licitatório foi revogado pela da Infraero, concluiu o relator pela perda de objeto da representação, votando pelo arquivamento do processo, sem prejuízo de ser dado conhecimento à empresa estatal das análises levados à efeito pelo Tribunal, para que, na eventualidade de serem realizados novos procedimentos licitatórios em substituição ao Pregão 019/DALC/SBGR/2011, sejam corrigidas as irregularidades apontadas neste processo. Nos termos do voto do relator, o Plenário manifestou sua anuência. </w:t>
      </w:r>
      <w:r w:rsidR="00C731FC" w:rsidRPr="00181254">
        <w:rPr>
          <w:b/>
          <w:i/>
          <w:color w:val="000000"/>
          <w:sz w:val="22"/>
          <w:szCs w:val="22"/>
        </w:rPr>
        <w:t>Acórdão n.º 1</w:t>
      </w:r>
      <w:r w:rsidRPr="00181254">
        <w:rPr>
          <w:b/>
          <w:i/>
          <w:color w:val="000000"/>
          <w:sz w:val="22"/>
          <w:szCs w:val="22"/>
        </w:rPr>
        <w:t>536</w:t>
      </w:r>
      <w:r w:rsidR="00576018" w:rsidRPr="00181254">
        <w:rPr>
          <w:b/>
          <w:i/>
          <w:color w:val="000000"/>
          <w:sz w:val="22"/>
          <w:szCs w:val="22"/>
        </w:rPr>
        <w:t>/</w:t>
      </w:r>
      <w:r w:rsidR="00C731FC" w:rsidRPr="00181254">
        <w:rPr>
          <w:b/>
          <w:i/>
          <w:color w:val="000000"/>
          <w:sz w:val="22"/>
          <w:szCs w:val="22"/>
        </w:rPr>
        <w:t>2011-Plenário, TC-0</w:t>
      </w:r>
      <w:r w:rsidRPr="00181254">
        <w:rPr>
          <w:b/>
          <w:i/>
          <w:color w:val="000000"/>
          <w:sz w:val="22"/>
          <w:szCs w:val="22"/>
        </w:rPr>
        <w:t>06</w:t>
      </w:r>
      <w:r w:rsidR="00576018" w:rsidRPr="00181254">
        <w:rPr>
          <w:b/>
          <w:i/>
          <w:color w:val="000000"/>
          <w:sz w:val="22"/>
          <w:szCs w:val="22"/>
        </w:rPr>
        <w:t>.</w:t>
      </w:r>
      <w:r w:rsidRPr="00181254">
        <w:rPr>
          <w:b/>
          <w:i/>
          <w:color w:val="000000"/>
          <w:sz w:val="22"/>
          <w:szCs w:val="22"/>
        </w:rPr>
        <w:t>763</w:t>
      </w:r>
      <w:r w:rsidR="00576018" w:rsidRPr="00181254">
        <w:rPr>
          <w:b/>
          <w:i/>
          <w:color w:val="000000"/>
          <w:sz w:val="22"/>
          <w:szCs w:val="22"/>
        </w:rPr>
        <w:t>/20</w:t>
      </w:r>
      <w:r w:rsidRPr="00181254">
        <w:rPr>
          <w:b/>
          <w:i/>
          <w:color w:val="000000"/>
          <w:sz w:val="22"/>
          <w:szCs w:val="22"/>
        </w:rPr>
        <w:t>11</w:t>
      </w:r>
      <w:r w:rsidR="00576018" w:rsidRPr="00181254">
        <w:rPr>
          <w:b/>
          <w:i/>
          <w:color w:val="000000"/>
          <w:sz w:val="22"/>
          <w:szCs w:val="22"/>
        </w:rPr>
        <w:t>-</w:t>
      </w:r>
      <w:r w:rsidRPr="00181254">
        <w:rPr>
          <w:b/>
          <w:i/>
          <w:color w:val="000000"/>
          <w:sz w:val="22"/>
          <w:szCs w:val="22"/>
        </w:rPr>
        <w:t>1</w:t>
      </w:r>
      <w:r w:rsidR="00576018" w:rsidRPr="00181254">
        <w:rPr>
          <w:b/>
          <w:i/>
          <w:color w:val="000000"/>
          <w:sz w:val="22"/>
          <w:szCs w:val="22"/>
        </w:rPr>
        <w:t xml:space="preserve">, rel. Min. </w:t>
      </w:r>
      <w:r w:rsidR="004878ED" w:rsidRPr="00181254">
        <w:rPr>
          <w:b/>
          <w:i/>
          <w:color w:val="000000"/>
          <w:sz w:val="22"/>
          <w:szCs w:val="22"/>
        </w:rPr>
        <w:t>A</w:t>
      </w:r>
      <w:r w:rsidR="00FD61F5" w:rsidRPr="00181254">
        <w:rPr>
          <w:b/>
          <w:i/>
          <w:color w:val="000000"/>
          <w:sz w:val="22"/>
          <w:szCs w:val="22"/>
        </w:rPr>
        <w:t>rold</w:t>
      </w:r>
      <w:r w:rsidR="004878ED" w:rsidRPr="00181254">
        <w:rPr>
          <w:b/>
          <w:i/>
          <w:color w:val="000000"/>
          <w:sz w:val="22"/>
          <w:szCs w:val="22"/>
        </w:rPr>
        <w:t xml:space="preserve">o </w:t>
      </w:r>
      <w:r w:rsidR="00FD61F5" w:rsidRPr="00181254">
        <w:rPr>
          <w:b/>
          <w:i/>
          <w:color w:val="000000"/>
          <w:sz w:val="22"/>
          <w:szCs w:val="22"/>
        </w:rPr>
        <w:t>Cedraz</w:t>
      </w:r>
      <w:r w:rsidR="00576018" w:rsidRPr="00181254">
        <w:rPr>
          <w:b/>
          <w:i/>
          <w:color w:val="000000"/>
          <w:sz w:val="22"/>
          <w:szCs w:val="22"/>
        </w:rPr>
        <w:t xml:space="preserve">, </w:t>
      </w:r>
      <w:r w:rsidR="00FD61F5" w:rsidRPr="00181254">
        <w:rPr>
          <w:b/>
          <w:i/>
          <w:color w:val="000000"/>
          <w:sz w:val="22"/>
          <w:szCs w:val="22"/>
        </w:rPr>
        <w:t>08</w:t>
      </w:r>
      <w:r w:rsidR="00C731FC" w:rsidRPr="00181254">
        <w:rPr>
          <w:b/>
          <w:i/>
          <w:color w:val="000000"/>
          <w:sz w:val="22"/>
          <w:szCs w:val="22"/>
        </w:rPr>
        <w:t>.06</w:t>
      </w:r>
      <w:r w:rsidR="00576018" w:rsidRPr="00181254">
        <w:rPr>
          <w:b/>
          <w:i/>
          <w:color w:val="000000"/>
          <w:sz w:val="22"/>
          <w:szCs w:val="22"/>
        </w:rPr>
        <w:t>.201</w:t>
      </w:r>
      <w:r w:rsidR="00C731FC" w:rsidRPr="00181254">
        <w:rPr>
          <w:b/>
          <w:i/>
          <w:color w:val="000000"/>
          <w:sz w:val="22"/>
          <w:szCs w:val="22"/>
        </w:rPr>
        <w:t>1</w:t>
      </w:r>
      <w:r w:rsidR="00576018" w:rsidRPr="00181254">
        <w:rPr>
          <w:color w:val="000000"/>
          <w:sz w:val="22"/>
          <w:szCs w:val="22"/>
        </w:rPr>
        <w:t>.</w:t>
      </w:r>
    </w:p>
    <w:p w:rsidR="007F1DEB" w:rsidRPr="009D1C99" w:rsidRDefault="007F1DEB" w:rsidP="00181254">
      <w:pPr>
        <w:tabs>
          <w:tab w:val="left" w:pos="851"/>
        </w:tabs>
        <w:spacing w:after="0"/>
        <w:ind w:left="0"/>
        <w:rPr>
          <w:b/>
          <w:sz w:val="22"/>
          <w:szCs w:val="22"/>
        </w:rPr>
      </w:pPr>
    </w:p>
    <w:p w:rsidR="002A5A02" w:rsidRPr="009D1C99" w:rsidRDefault="00181254" w:rsidP="00181254">
      <w:pPr>
        <w:tabs>
          <w:tab w:val="left" w:pos="851"/>
        </w:tabs>
        <w:spacing w:after="0"/>
        <w:ind w:left="0"/>
        <w:rPr>
          <w:b/>
          <w:sz w:val="22"/>
          <w:szCs w:val="22"/>
        </w:rPr>
      </w:pPr>
      <w:r w:rsidRPr="009D1C99">
        <w:rPr>
          <w:b/>
          <w:sz w:val="22"/>
          <w:szCs w:val="22"/>
        </w:rPr>
        <w:t>Apesar de não existir comando legal que obrigue o Poder Judiciário</w:t>
      </w:r>
      <w:r w:rsidR="009D1C99" w:rsidRPr="009D1C99">
        <w:rPr>
          <w:b/>
          <w:sz w:val="22"/>
          <w:szCs w:val="22"/>
        </w:rPr>
        <w:t xml:space="preserve"> a utilizar, sempre que possível, o pregão eletrônico para suas contratações, seus </w:t>
      </w:r>
      <w:r w:rsidRPr="009D1C99">
        <w:rPr>
          <w:b/>
          <w:sz w:val="22"/>
          <w:szCs w:val="22"/>
        </w:rPr>
        <w:t>órgãos devem motivar a escolha da forma presencial</w:t>
      </w:r>
      <w:r w:rsidR="009D1C99" w:rsidRPr="009D1C99">
        <w:rPr>
          <w:b/>
          <w:sz w:val="22"/>
          <w:szCs w:val="22"/>
        </w:rPr>
        <w:t>,</w:t>
      </w:r>
      <w:r w:rsidRPr="009D1C99">
        <w:rPr>
          <w:b/>
          <w:sz w:val="22"/>
          <w:szCs w:val="22"/>
        </w:rPr>
        <w:t xml:space="preserve"> sob pena de se configurar possível ato de gestão antieconômico</w:t>
      </w:r>
    </w:p>
    <w:p w:rsidR="002A5A02" w:rsidRPr="009D1C99" w:rsidRDefault="00847B67" w:rsidP="009D1C99">
      <w:pPr>
        <w:pStyle w:val="Corpodetexto"/>
        <w:numPr>
          <w:ilvl w:val="1"/>
          <w:numId w:val="0"/>
        </w:numPr>
        <w:tabs>
          <w:tab w:val="num" w:pos="360"/>
          <w:tab w:val="left" w:pos="1134"/>
        </w:tabs>
        <w:spacing w:after="0"/>
        <w:rPr>
          <w:b/>
          <w:i/>
          <w:sz w:val="22"/>
          <w:szCs w:val="22"/>
        </w:rPr>
      </w:pPr>
      <w:r w:rsidRPr="00181254">
        <w:rPr>
          <w:snapToGrid w:val="0"/>
          <w:sz w:val="22"/>
          <w:szCs w:val="22"/>
        </w:rPr>
        <w:t xml:space="preserve">Em face de determinação constante do Acórdão nº 1.402/2009-Plenário, unidade técnica do Tribunal realizou acompanhamento de contratações de bens e serviços de tecnologia da informação </w:t>
      </w:r>
      <w:r w:rsidR="00181254">
        <w:rPr>
          <w:snapToGrid w:val="0"/>
          <w:sz w:val="22"/>
          <w:szCs w:val="22"/>
        </w:rPr>
        <w:t xml:space="preserve">- </w:t>
      </w:r>
      <w:r w:rsidRPr="00181254">
        <w:rPr>
          <w:snapToGrid w:val="0"/>
          <w:sz w:val="22"/>
          <w:szCs w:val="22"/>
        </w:rPr>
        <w:t>(TI), efetuadas por diversas instituições federais.</w:t>
      </w:r>
      <w:r w:rsidR="009A21FD" w:rsidRPr="00181254">
        <w:rPr>
          <w:snapToGrid w:val="0"/>
          <w:sz w:val="22"/>
          <w:szCs w:val="22"/>
        </w:rPr>
        <w:t xml:space="preserve"> Dentre os problemas mais comuns diagnosticados em tais contratações, verificou-se que </w:t>
      </w:r>
      <w:r w:rsidR="009A21FD" w:rsidRPr="00181254">
        <w:rPr>
          <w:sz w:val="22"/>
          <w:szCs w:val="22"/>
        </w:rPr>
        <w:t xml:space="preserve">alguns órgãos do Poder Judiciário não motivam expressamente a escolha </w:t>
      </w:r>
      <w:r w:rsidR="00874E74" w:rsidRPr="00181254">
        <w:rPr>
          <w:sz w:val="22"/>
          <w:szCs w:val="22"/>
        </w:rPr>
        <w:t>d</w:t>
      </w:r>
      <w:r w:rsidR="009A21FD" w:rsidRPr="00181254">
        <w:rPr>
          <w:sz w:val="22"/>
          <w:szCs w:val="22"/>
        </w:rPr>
        <w:t>o pregão presencial, em detrimento do pregão na forma eletrônica, por entenderem que não est</w:t>
      </w:r>
      <w:r w:rsidR="00181254">
        <w:rPr>
          <w:sz w:val="22"/>
          <w:szCs w:val="22"/>
        </w:rPr>
        <w:t>arem</w:t>
      </w:r>
      <w:r w:rsidR="009A21FD" w:rsidRPr="00181254">
        <w:rPr>
          <w:sz w:val="22"/>
          <w:szCs w:val="22"/>
        </w:rPr>
        <w:t xml:space="preserve"> obrigados a seguir o Decreto nº 5.450/2005.</w:t>
      </w:r>
      <w:r w:rsidR="00C657EE" w:rsidRPr="00181254">
        <w:rPr>
          <w:sz w:val="22"/>
          <w:szCs w:val="22"/>
        </w:rPr>
        <w:t xml:space="preserve"> A unidade técnica, ao examinar o assunto, destacou que </w:t>
      </w:r>
      <w:r w:rsidR="00E47C06" w:rsidRPr="00181254">
        <w:rPr>
          <w:sz w:val="22"/>
          <w:szCs w:val="22"/>
        </w:rPr>
        <w:t>“e</w:t>
      </w:r>
      <w:r w:rsidR="00C657EE" w:rsidRPr="00181254">
        <w:rPr>
          <w:i/>
          <w:sz w:val="22"/>
          <w:szCs w:val="22"/>
        </w:rPr>
        <w:t>mbora o Poder Judiciário não se encontre vinculado ao Decreto 5.450/2005, deve-se reconhecer que o pregão na forma eletrônica apresenta vantagens consideráveis em relação ao pregão presencial, dentre as quais se destacam: maior competitividade e menor probabilidade de formação de cartéis, além de evitar o contato direto entre pregoeiro e licitantes</w:t>
      </w:r>
      <w:r w:rsidR="00E47C06" w:rsidRPr="00181254">
        <w:rPr>
          <w:sz w:val="22"/>
          <w:szCs w:val="22"/>
        </w:rPr>
        <w:t>”</w:t>
      </w:r>
      <w:r w:rsidR="00C657EE" w:rsidRPr="00181254">
        <w:rPr>
          <w:i/>
          <w:sz w:val="22"/>
          <w:szCs w:val="22"/>
        </w:rPr>
        <w:t>.</w:t>
      </w:r>
      <w:r w:rsidR="00887D40">
        <w:rPr>
          <w:i/>
          <w:sz w:val="22"/>
          <w:szCs w:val="22"/>
        </w:rPr>
        <w:t xml:space="preserve"> </w:t>
      </w:r>
      <w:r w:rsidR="00887D40">
        <w:rPr>
          <w:sz w:val="22"/>
          <w:szCs w:val="22"/>
        </w:rPr>
        <w:t xml:space="preserve">O </w:t>
      </w:r>
      <w:r w:rsidR="00E47C06" w:rsidRPr="00181254">
        <w:rPr>
          <w:sz w:val="22"/>
          <w:szCs w:val="22"/>
        </w:rPr>
        <w:t>processo do pregão eletrônico</w:t>
      </w:r>
      <w:r w:rsidR="00887D40">
        <w:rPr>
          <w:sz w:val="22"/>
          <w:szCs w:val="22"/>
        </w:rPr>
        <w:t>, ademais,</w:t>
      </w:r>
      <w:r w:rsidR="00E47C06" w:rsidRPr="00181254">
        <w:rPr>
          <w:sz w:val="22"/>
          <w:szCs w:val="22"/>
        </w:rPr>
        <w:t xml:space="preserve"> permitiria que o cidadão pudesse acompanhá-lo em tempo real, de qualquer lugar do país, trazendo maior transparência e controle social para as compras da Administração Pública. Ao concordar com a unidade técnica, o relator consignou que “</w:t>
      </w:r>
      <w:r w:rsidR="00E47C06" w:rsidRPr="00181254">
        <w:rPr>
          <w:i/>
          <w:sz w:val="22"/>
          <w:szCs w:val="22"/>
        </w:rPr>
        <w:t xml:space="preserve">embora não exista comando legal que obrigue o Poder Judiciário a realizar pregão eletrônico, os órgãos devem motivar a escolha da forma presencial sob pena de se configurar possível ato de gestão antieconômico”. </w:t>
      </w:r>
      <w:r w:rsidR="00E47C06" w:rsidRPr="00181254">
        <w:rPr>
          <w:sz w:val="22"/>
          <w:szCs w:val="22"/>
        </w:rPr>
        <w:t>Diante disso, por julgar oportuno que o Tribunal recomend</w:t>
      </w:r>
      <w:r w:rsidR="00887D40">
        <w:rPr>
          <w:sz w:val="22"/>
          <w:szCs w:val="22"/>
        </w:rPr>
        <w:t>asse</w:t>
      </w:r>
      <w:r w:rsidR="00E47C06" w:rsidRPr="00181254">
        <w:rPr>
          <w:sz w:val="22"/>
          <w:szCs w:val="22"/>
        </w:rPr>
        <w:t xml:space="preserve"> ao Conselho Nacional de Justiça que os órgãos do </w:t>
      </w:r>
      <w:r w:rsidR="00887D40">
        <w:rPr>
          <w:sz w:val="22"/>
          <w:szCs w:val="22"/>
        </w:rPr>
        <w:t xml:space="preserve">Poder </w:t>
      </w:r>
      <w:r w:rsidR="00E47C06" w:rsidRPr="00181254">
        <w:rPr>
          <w:sz w:val="22"/>
          <w:szCs w:val="22"/>
        </w:rPr>
        <w:t>Judiciário motiv</w:t>
      </w:r>
      <w:r w:rsidR="00887D40">
        <w:rPr>
          <w:sz w:val="22"/>
          <w:szCs w:val="22"/>
        </w:rPr>
        <w:t>em</w:t>
      </w:r>
      <w:r w:rsidR="00E47C06" w:rsidRPr="00181254">
        <w:rPr>
          <w:sz w:val="22"/>
          <w:szCs w:val="22"/>
        </w:rPr>
        <w:t xml:space="preserve"> expressamente a escolha pelo pregão presencial na contratação de bens e serviços comuns de TI,</w:t>
      </w:r>
      <w:r w:rsidR="00887D40">
        <w:rPr>
          <w:sz w:val="22"/>
          <w:szCs w:val="22"/>
        </w:rPr>
        <w:t xml:space="preserve"> o relator</w:t>
      </w:r>
      <w:r w:rsidR="00E47C06" w:rsidRPr="00181254">
        <w:rPr>
          <w:sz w:val="22"/>
          <w:szCs w:val="22"/>
        </w:rPr>
        <w:t xml:space="preserve"> apresentou voto nesse sentido, que foi aprovado pelo Plenário.</w:t>
      </w:r>
      <w:r w:rsidR="00C657EE" w:rsidRPr="00181254">
        <w:rPr>
          <w:color w:val="FF0000"/>
          <w:sz w:val="22"/>
          <w:szCs w:val="22"/>
        </w:rPr>
        <w:t xml:space="preserve"> </w:t>
      </w:r>
      <w:r w:rsidR="00C657EE" w:rsidRPr="00181254">
        <w:rPr>
          <w:color w:val="000000"/>
          <w:sz w:val="22"/>
          <w:szCs w:val="22"/>
        </w:rPr>
        <w:t>Precedente citado: Acórdão 2</w:t>
      </w:r>
      <w:r w:rsidR="00C657EE" w:rsidRPr="00181254">
        <w:rPr>
          <w:sz w:val="22"/>
          <w:szCs w:val="22"/>
        </w:rPr>
        <w:t>.245/2010, do Plenário</w:t>
      </w:r>
      <w:r w:rsidR="00C15FEF" w:rsidRPr="00181254">
        <w:rPr>
          <w:color w:val="000000"/>
          <w:sz w:val="22"/>
          <w:szCs w:val="22"/>
        </w:rPr>
        <w:t>.</w:t>
      </w:r>
      <w:r w:rsidR="002A5A02" w:rsidRPr="00181254">
        <w:rPr>
          <w:color w:val="FF0000"/>
          <w:sz w:val="22"/>
          <w:szCs w:val="22"/>
          <w:lang w:eastAsia="pt-BR"/>
        </w:rPr>
        <w:t xml:space="preserve"> </w:t>
      </w:r>
      <w:r w:rsidR="00521A31" w:rsidRPr="00181254">
        <w:rPr>
          <w:b/>
          <w:i/>
          <w:color w:val="000000"/>
          <w:sz w:val="22"/>
          <w:szCs w:val="22"/>
        </w:rPr>
        <w:t>Acórdão n.º 1515/2011-Plenário, TC-0</w:t>
      </w:r>
      <w:r w:rsidR="002A5A02" w:rsidRPr="00181254">
        <w:rPr>
          <w:b/>
          <w:i/>
          <w:color w:val="000000"/>
          <w:sz w:val="22"/>
          <w:szCs w:val="22"/>
        </w:rPr>
        <w:t>1</w:t>
      </w:r>
      <w:r w:rsidR="00521A31" w:rsidRPr="00181254">
        <w:rPr>
          <w:b/>
          <w:i/>
          <w:color w:val="000000"/>
          <w:sz w:val="22"/>
          <w:szCs w:val="22"/>
        </w:rPr>
        <w:t>7</w:t>
      </w:r>
      <w:r w:rsidR="002A5A02" w:rsidRPr="00181254">
        <w:rPr>
          <w:b/>
          <w:i/>
          <w:color w:val="000000"/>
          <w:sz w:val="22"/>
          <w:szCs w:val="22"/>
        </w:rPr>
        <w:t>.</w:t>
      </w:r>
      <w:r w:rsidR="00521A31" w:rsidRPr="00181254">
        <w:rPr>
          <w:b/>
          <w:i/>
          <w:color w:val="000000"/>
          <w:sz w:val="22"/>
          <w:szCs w:val="22"/>
        </w:rPr>
        <w:t>907</w:t>
      </w:r>
      <w:r w:rsidR="002A5A02" w:rsidRPr="00181254">
        <w:rPr>
          <w:b/>
          <w:i/>
          <w:color w:val="000000"/>
          <w:sz w:val="22"/>
          <w:szCs w:val="22"/>
        </w:rPr>
        <w:t>/200</w:t>
      </w:r>
      <w:r w:rsidR="00521A31" w:rsidRPr="00181254">
        <w:rPr>
          <w:b/>
          <w:i/>
          <w:color w:val="000000"/>
          <w:sz w:val="22"/>
          <w:szCs w:val="22"/>
        </w:rPr>
        <w:t>9-0</w:t>
      </w:r>
      <w:r w:rsidR="002A5A02" w:rsidRPr="00181254">
        <w:rPr>
          <w:b/>
          <w:i/>
          <w:color w:val="000000"/>
          <w:sz w:val="22"/>
          <w:szCs w:val="22"/>
        </w:rPr>
        <w:t xml:space="preserve">, </w:t>
      </w:r>
      <w:r w:rsidR="002A5A02" w:rsidRPr="009D1C99">
        <w:rPr>
          <w:b/>
          <w:i/>
          <w:sz w:val="22"/>
          <w:szCs w:val="22"/>
        </w:rPr>
        <w:t xml:space="preserve">rel. Min. </w:t>
      </w:r>
      <w:r w:rsidR="00521A31" w:rsidRPr="009D1C99">
        <w:rPr>
          <w:b/>
          <w:i/>
          <w:sz w:val="22"/>
          <w:szCs w:val="22"/>
        </w:rPr>
        <w:t>Raimundo Carreiro</w:t>
      </w:r>
      <w:r w:rsidR="002A5A02" w:rsidRPr="009D1C99">
        <w:rPr>
          <w:b/>
          <w:i/>
          <w:sz w:val="22"/>
          <w:szCs w:val="22"/>
        </w:rPr>
        <w:t xml:space="preserve">, </w:t>
      </w:r>
      <w:r w:rsidR="00521A31" w:rsidRPr="009D1C99">
        <w:rPr>
          <w:b/>
          <w:i/>
          <w:sz w:val="22"/>
          <w:szCs w:val="22"/>
        </w:rPr>
        <w:t>08</w:t>
      </w:r>
      <w:r w:rsidR="002A5A02" w:rsidRPr="009D1C99">
        <w:rPr>
          <w:b/>
          <w:i/>
          <w:sz w:val="22"/>
          <w:szCs w:val="22"/>
        </w:rPr>
        <w:t>.06.2011.</w:t>
      </w:r>
    </w:p>
    <w:p w:rsidR="00056A5A" w:rsidRPr="009D1C99" w:rsidRDefault="00056A5A" w:rsidP="009D1C99">
      <w:pPr>
        <w:tabs>
          <w:tab w:val="left" w:pos="1134"/>
        </w:tabs>
        <w:spacing w:after="0"/>
        <w:ind w:left="0"/>
        <w:rPr>
          <w:b/>
          <w:sz w:val="22"/>
          <w:szCs w:val="22"/>
        </w:rPr>
      </w:pPr>
    </w:p>
    <w:p w:rsidR="00C85531" w:rsidRPr="009D1C99" w:rsidRDefault="009D1C99" w:rsidP="009D1C99">
      <w:pPr>
        <w:pStyle w:val="Corpodetexto"/>
        <w:tabs>
          <w:tab w:val="left" w:pos="1134"/>
          <w:tab w:val="left" w:pos="2590"/>
        </w:tabs>
        <w:spacing w:after="0"/>
        <w:ind w:left="0"/>
        <w:rPr>
          <w:b/>
          <w:sz w:val="22"/>
          <w:szCs w:val="22"/>
        </w:rPr>
      </w:pPr>
      <w:r>
        <w:rPr>
          <w:b/>
          <w:sz w:val="22"/>
          <w:szCs w:val="22"/>
        </w:rPr>
        <w:t xml:space="preserve">Reajuste de contratos administrativos: a superveniência de ato normativo </w:t>
      </w:r>
      <w:r w:rsidR="00056FCA">
        <w:rPr>
          <w:b/>
          <w:sz w:val="22"/>
          <w:szCs w:val="22"/>
        </w:rPr>
        <w:t xml:space="preserve">editado por </w:t>
      </w:r>
      <w:r>
        <w:rPr>
          <w:b/>
          <w:sz w:val="22"/>
          <w:szCs w:val="22"/>
        </w:rPr>
        <w:t>instituição pública contratante estabelecendo novos valores referenciais não autoriza</w:t>
      </w:r>
      <w:r w:rsidR="00056FCA">
        <w:rPr>
          <w:b/>
          <w:sz w:val="22"/>
          <w:szCs w:val="22"/>
        </w:rPr>
        <w:t xml:space="preserve">, </w:t>
      </w:r>
      <w:r w:rsidR="00056FCA">
        <w:rPr>
          <w:b/>
          <w:i/>
          <w:sz w:val="22"/>
          <w:szCs w:val="22"/>
        </w:rPr>
        <w:t>per si</w:t>
      </w:r>
      <w:r w:rsidR="00056FCA">
        <w:rPr>
          <w:b/>
          <w:sz w:val="22"/>
          <w:szCs w:val="22"/>
        </w:rPr>
        <w:t>,</w:t>
      </w:r>
      <w:r>
        <w:rPr>
          <w:b/>
          <w:sz w:val="22"/>
          <w:szCs w:val="22"/>
        </w:rPr>
        <w:t xml:space="preserve"> o reajuste imediato de contrato </w:t>
      </w:r>
      <w:r w:rsidR="00056FCA">
        <w:rPr>
          <w:b/>
          <w:sz w:val="22"/>
          <w:szCs w:val="22"/>
        </w:rPr>
        <w:t xml:space="preserve">já </w:t>
      </w:r>
      <w:r>
        <w:rPr>
          <w:b/>
          <w:sz w:val="22"/>
          <w:szCs w:val="22"/>
        </w:rPr>
        <w:t>em andamento</w:t>
      </w:r>
    </w:p>
    <w:p w:rsidR="006721E9" w:rsidRPr="009D1C99" w:rsidRDefault="006721E9" w:rsidP="009D1C99">
      <w:pPr>
        <w:pStyle w:val="Normal-numerado-VOT01"/>
        <w:numPr>
          <w:ilvl w:val="0"/>
          <w:numId w:val="0"/>
        </w:numPr>
        <w:spacing w:before="0" w:after="0"/>
        <w:rPr>
          <w:sz w:val="22"/>
          <w:szCs w:val="22"/>
        </w:rPr>
      </w:pPr>
      <w:r w:rsidRPr="009D1C99">
        <w:rPr>
          <w:sz w:val="22"/>
          <w:szCs w:val="22"/>
        </w:rPr>
        <w:t>Mediante representação, o TCU apurou possíveis irregularidades no contrato CRT/SP/6/2008</w:t>
      </w:r>
      <w:r w:rsidR="009D1C99">
        <w:rPr>
          <w:sz w:val="22"/>
          <w:szCs w:val="22"/>
        </w:rPr>
        <w:t>,</w:t>
      </w:r>
      <w:r w:rsidRPr="009D1C99">
        <w:rPr>
          <w:sz w:val="22"/>
          <w:szCs w:val="22"/>
        </w:rPr>
        <w:t xml:space="preserve"> celebrado entre a Superintendência Regional do Instituto Nacional de Colonização e Reforma Agrária no Estado de São Paulo - (SR-I</w:t>
      </w:r>
      <w:r w:rsidR="00304001" w:rsidRPr="009D1C99">
        <w:rPr>
          <w:sz w:val="22"/>
          <w:szCs w:val="22"/>
        </w:rPr>
        <w:t>ncra</w:t>
      </w:r>
      <w:r w:rsidRPr="009D1C99">
        <w:rPr>
          <w:sz w:val="22"/>
          <w:szCs w:val="22"/>
        </w:rPr>
        <w:t>/SP) com fundação privada e cujo objeto consistiu em serviços de assessoria técnica, social e ambiental, de forma continuada, às famílias assentadas nos Projetos de Reforma Agrária e Projetos de Assentamentos reconhecidos pelo I</w:t>
      </w:r>
      <w:r w:rsidR="00304001" w:rsidRPr="009D1C99">
        <w:rPr>
          <w:sz w:val="22"/>
          <w:szCs w:val="22"/>
        </w:rPr>
        <w:t>ncra</w:t>
      </w:r>
      <w:r w:rsidRPr="009D1C99">
        <w:rPr>
          <w:sz w:val="22"/>
          <w:szCs w:val="22"/>
        </w:rPr>
        <w:t>. Dentre tais irregularidades, constou a firmatura do primeiro termo aditivo ao ajuste, elevando o custo anual por família atendida de R$ 540,00 para R$ 796,00, a partir de 30/10/2008</w:t>
      </w:r>
      <w:r w:rsidR="00304001" w:rsidRPr="009D1C99">
        <w:rPr>
          <w:sz w:val="22"/>
          <w:szCs w:val="22"/>
        </w:rPr>
        <w:t>, em razão de ato normativo editado pelo Incra em 29/08/2008</w:t>
      </w:r>
      <w:r w:rsidR="0032145F" w:rsidRPr="009D1C99">
        <w:rPr>
          <w:sz w:val="22"/>
          <w:szCs w:val="22"/>
        </w:rPr>
        <w:t xml:space="preserve"> (norma de execução nº 77)</w:t>
      </w:r>
      <w:r w:rsidRPr="009D1C99">
        <w:rPr>
          <w:sz w:val="22"/>
          <w:szCs w:val="22"/>
        </w:rPr>
        <w:t>.</w:t>
      </w:r>
      <w:r w:rsidR="00304001" w:rsidRPr="009D1C99">
        <w:rPr>
          <w:sz w:val="22"/>
          <w:szCs w:val="22"/>
        </w:rPr>
        <w:t xml:space="preserve"> Como o contrato inicial fora firmado em 02/07/2008, o reajuste, para a unidade técnica, não estaria condizente com as disposições da Lei 8.666/1993. Para ela, "</w:t>
      </w:r>
      <w:r w:rsidR="00304001" w:rsidRPr="009D1C99">
        <w:rPr>
          <w:i/>
          <w:sz w:val="22"/>
          <w:szCs w:val="22"/>
        </w:rPr>
        <w:t>não faz sentido que, logo após uma licitação por menor preço, haja alteração contratual para pagar [a contratada] pelo valor máximo admitido pelo normativo do Incra</w:t>
      </w:r>
      <w:r w:rsidR="00304001" w:rsidRPr="009D1C99">
        <w:rPr>
          <w:sz w:val="22"/>
          <w:szCs w:val="22"/>
        </w:rPr>
        <w:t xml:space="preserve">". De sua parte, o relator destacou que </w:t>
      </w:r>
      <w:r w:rsidR="009D1C99">
        <w:rPr>
          <w:sz w:val="22"/>
          <w:szCs w:val="22"/>
        </w:rPr>
        <w:t xml:space="preserve">a atribuição de </w:t>
      </w:r>
      <w:r w:rsidR="00304001" w:rsidRPr="009D1C99">
        <w:rPr>
          <w:sz w:val="22"/>
          <w:szCs w:val="22"/>
        </w:rPr>
        <w:t xml:space="preserve">um novo valor para o contrato, de modo tão prematuro, só seria justificado em razão de desequilíbrio econômico-financeiro da avença, o que não seria o caso, posto não ter sido demonstrado nem pelo Incra, nem pela Fundação contratada, </w:t>
      </w:r>
      <w:bookmarkStart w:id="1" w:name="art65"/>
      <w:bookmarkStart w:id="2" w:name="art65iid"/>
      <w:bookmarkEnd w:id="1"/>
      <w:bookmarkEnd w:id="2"/>
      <w:r w:rsidR="00304001" w:rsidRPr="009D1C99">
        <w:rPr>
          <w:sz w:val="22"/>
          <w:szCs w:val="22"/>
        </w:rPr>
        <w:t>a superveniência "</w:t>
      </w:r>
      <w:r w:rsidR="00304001" w:rsidRPr="009D1C99">
        <w:rPr>
          <w:i/>
          <w:sz w:val="22"/>
          <w:szCs w:val="22"/>
        </w:rPr>
        <w:t>de fatos imprevisíveis, ou previsíveis porém de consequências incalculáveis, retardadores ou impeditivos da execução do ajustado, ou, ainda, em caso de força maior, caso fortuito ou fato do príncipe, configurando álea econômica extraordinária e extracontratual</w:t>
      </w:r>
      <w:r w:rsidR="00304001" w:rsidRPr="009D1C99">
        <w:rPr>
          <w:sz w:val="22"/>
          <w:szCs w:val="22"/>
        </w:rPr>
        <w:t xml:space="preserve">", conforme dispõe o art. 65, II, 'd' da Lei nº 8.666/1993. </w:t>
      </w:r>
      <w:r w:rsidR="0032145F" w:rsidRPr="009D1C99">
        <w:rPr>
          <w:sz w:val="22"/>
          <w:szCs w:val="22"/>
        </w:rPr>
        <w:t>Assim, para o relator, a SR-Incra/SP teria utilizado indevidamente o novo teto referencial estabelecido</w:t>
      </w:r>
      <w:r w:rsidR="00887D40">
        <w:rPr>
          <w:sz w:val="22"/>
          <w:szCs w:val="22"/>
        </w:rPr>
        <w:t xml:space="preserve"> pela</w:t>
      </w:r>
      <w:r w:rsidR="0032145F" w:rsidRPr="009D1C99">
        <w:rPr>
          <w:sz w:val="22"/>
          <w:szCs w:val="22"/>
        </w:rPr>
        <w:t xml:space="preserve"> norma de execução nº 77 como se fosse espécie de tabelamento, para reajustar, de forma automática e injustificada, o Contrato CRT/SP/6/2008. Por conseguinte, propôs o relator</w:t>
      </w:r>
      <w:r w:rsidR="00657AF2" w:rsidRPr="009D1C99">
        <w:rPr>
          <w:sz w:val="22"/>
          <w:szCs w:val="22"/>
        </w:rPr>
        <w:t xml:space="preserve"> que fosse assinado prazo para que a SR-Incra/SP promov</w:t>
      </w:r>
      <w:r w:rsidR="00FD61F5" w:rsidRPr="009D1C99">
        <w:rPr>
          <w:sz w:val="22"/>
          <w:szCs w:val="22"/>
        </w:rPr>
        <w:t>esse</w:t>
      </w:r>
      <w:r w:rsidR="00657AF2" w:rsidRPr="009D1C99">
        <w:rPr>
          <w:sz w:val="22"/>
          <w:szCs w:val="22"/>
        </w:rPr>
        <w:t xml:space="preserve"> a anulação do primeiro termo aditivo ao contrato CRT/SP/6/2008, firmado em 30/10/2008, </w:t>
      </w:r>
      <w:r w:rsidR="009D1C99">
        <w:rPr>
          <w:sz w:val="22"/>
          <w:szCs w:val="22"/>
        </w:rPr>
        <w:t xml:space="preserve">tendo em conta a ausência de </w:t>
      </w:r>
      <w:r w:rsidR="00657AF2" w:rsidRPr="009D1C99">
        <w:rPr>
          <w:sz w:val="22"/>
          <w:szCs w:val="22"/>
        </w:rPr>
        <w:t>respaldo legal</w:t>
      </w:r>
      <w:r w:rsidR="009D1C99">
        <w:rPr>
          <w:sz w:val="22"/>
          <w:szCs w:val="22"/>
        </w:rPr>
        <w:t xml:space="preserve"> para o ajuste</w:t>
      </w:r>
      <w:r w:rsidR="00657AF2" w:rsidRPr="009D1C99">
        <w:rPr>
          <w:sz w:val="22"/>
          <w:szCs w:val="22"/>
        </w:rPr>
        <w:t>, bem como apur</w:t>
      </w:r>
      <w:r w:rsidR="00FD61F5" w:rsidRPr="009D1C99">
        <w:rPr>
          <w:sz w:val="22"/>
          <w:szCs w:val="22"/>
        </w:rPr>
        <w:t>ass</w:t>
      </w:r>
      <w:r w:rsidR="00657AF2" w:rsidRPr="009D1C99">
        <w:rPr>
          <w:sz w:val="22"/>
          <w:szCs w:val="22"/>
        </w:rPr>
        <w:t xml:space="preserve">e o valor indevidamente pago à </w:t>
      </w:r>
      <w:r w:rsidR="00FD61F5" w:rsidRPr="009D1C99">
        <w:rPr>
          <w:sz w:val="22"/>
          <w:szCs w:val="22"/>
        </w:rPr>
        <w:t>fundação privada contratada</w:t>
      </w:r>
      <w:r w:rsidR="00657AF2" w:rsidRPr="009D1C99">
        <w:rPr>
          <w:sz w:val="22"/>
          <w:szCs w:val="22"/>
        </w:rPr>
        <w:t xml:space="preserve"> e adot</w:t>
      </w:r>
      <w:r w:rsidR="00FD61F5" w:rsidRPr="009D1C99">
        <w:rPr>
          <w:sz w:val="22"/>
          <w:szCs w:val="22"/>
        </w:rPr>
        <w:t>asse, ainda,</w:t>
      </w:r>
      <w:r w:rsidR="00657AF2" w:rsidRPr="009D1C99">
        <w:rPr>
          <w:sz w:val="22"/>
          <w:szCs w:val="22"/>
        </w:rPr>
        <w:t xml:space="preserve"> medidas para obter a recomposição do erário</w:t>
      </w:r>
      <w:r w:rsidR="00FD61F5" w:rsidRPr="009D1C99">
        <w:rPr>
          <w:sz w:val="22"/>
          <w:szCs w:val="22"/>
        </w:rPr>
        <w:t>, o que foi aprovado pelo Plenário.</w:t>
      </w:r>
      <w:r w:rsidR="00C9133D" w:rsidRPr="009D1C99">
        <w:rPr>
          <w:color w:val="FF0000"/>
          <w:sz w:val="22"/>
          <w:szCs w:val="22"/>
        </w:rPr>
        <w:t xml:space="preserve"> </w:t>
      </w:r>
      <w:r w:rsidRPr="009D1C99">
        <w:rPr>
          <w:b/>
          <w:i/>
          <w:sz w:val="22"/>
          <w:szCs w:val="22"/>
        </w:rPr>
        <w:t>Acórdão nº 1556/2011-Plenário, TC-027.120/2010-1, rel. Min-Subst. Weder de Oliveira, 08.06.2011.</w:t>
      </w:r>
    </w:p>
    <w:p w:rsidR="003B4936" w:rsidRPr="00E93620" w:rsidRDefault="003B4936" w:rsidP="006721E9">
      <w:pPr>
        <w:tabs>
          <w:tab w:val="left" w:pos="851"/>
        </w:tabs>
        <w:spacing w:after="0"/>
        <w:ind w:left="0"/>
        <w:rPr>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7334B1" w:rsidRPr="00805659" w:rsidTr="0030360F">
        <w:trPr>
          <w:trHeight w:val="779"/>
          <w:jc w:val="center"/>
        </w:trPr>
        <w:tc>
          <w:tcPr>
            <w:tcW w:w="0" w:type="auto"/>
            <w:vAlign w:val="center"/>
          </w:tcPr>
          <w:p w:rsidR="007334B1" w:rsidRPr="002E6712" w:rsidRDefault="00C10DD5" w:rsidP="00805659">
            <w:pPr>
              <w:pStyle w:val="enter-3pt"/>
              <w:tabs>
                <w:tab w:val="left" w:pos="2590"/>
              </w:tabs>
              <w:spacing w:line="240" w:lineRule="auto"/>
              <w:jc w:val="center"/>
              <w:rPr>
                <w:b/>
                <w:i/>
                <w:sz w:val="18"/>
                <w:szCs w:val="18"/>
              </w:rPr>
            </w:pPr>
            <w:r w:rsidRPr="002E6712">
              <w:rPr>
                <w:b/>
                <w:i/>
                <w:sz w:val="18"/>
                <w:szCs w:val="18"/>
              </w:rPr>
              <w:t>Elaboração: Secretaria das Sessões</w:t>
            </w:r>
          </w:p>
          <w:p w:rsidR="007334B1" w:rsidRPr="002E6712" w:rsidRDefault="007334B1" w:rsidP="00805659">
            <w:pPr>
              <w:pStyle w:val="enter-3pt"/>
              <w:tabs>
                <w:tab w:val="left" w:pos="2590"/>
              </w:tabs>
              <w:spacing w:line="240" w:lineRule="auto"/>
              <w:jc w:val="center"/>
              <w:rPr>
                <w:b/>
                <w:i/>
                <w:sz w:val="22"/>
                <w:szCs w:val="22"/>
              </w:rPr>
            </w:pPr>
            <w:r w:rsidRPr="002E6712">
              <w:rPr>
                <w:b/>
                <w:i/>
                <w:sz w:val="18"/>
                <w:szCs w:val="18"/>
              </w:rPr>
              <w:t xml:space="preserve">Contato: </w:t>
            </w:r>
            <w:hyperlink r:id="rId8" w:history="1">
              <w:r w:rsidRPr="002E6712">
                <w:rPr>
                  <w:rStyle w:val="Hyperlink"/>
                  <w:b/>
                  <w:i/>
                  <w:color w:val="auto"/>
                  <w:sz w:val="18"/>
                  <w:szCs w:val="18"/>
                </w:rPr>
                <w:t>infojuris@tcu.gov.br</w:t>
              </w:r>
            </w:hyperlink>
          </w:p>
        </w:tc>
      </w:tr>
    </w:tbl>
    <w:p w:rsidR="007334B1" w:rsidRPr="00805659" w:rsidRDefault="007334B1" w:rsidP="00805659">
      <w:pPr>
        <w:pStyle w:val="enter-3pt"/>
        <w:tabs>
          <w:tab w:val="left" w:pos="2590"/>
        </w:tabs>
        <w:spacing w:line="240" w:lineRule="auto"/>
        <w:jc w:val="center"/>
        <w:rPr>
          <w:b/>
          <w:color w:val="FF0000"/>
          <w:sz w:val="22"/>
          <w:szCs w:val="22"/>
        </w:rPr>
      </w:pPr>
    </w:p>
    <w:sectPr w:rsidR="007334B1" w:rsidRPr="00805659" w:rsidSect="00F340CD">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D03" w:rsidRDefault="00CE4D03" w:rsidP="008B0547">
      <w:pPr>
        <w:spacing w:after="0"/>
      </w:pPr>
      <w:r>
        <w:separator/>
      </w:r>
    </w:p>
  </w:endnote>
  <w:endnote w:type="continuationSeparator" w:id="0">
    <w:p w:rsidR="00CE4D03" w:rsidRDefault="00CE4D03"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Pr="00C906CD" w:rsidRDefault="00C906CD"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E6448A">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D03" w:rsidRDefault="00CE4D03" w:rsidP="008B0547">
      <w:pPr>
        <w:spacing w:after="0"/>
      </w:pPr>
      <w:r>
        <w:separator/>
      </w:r>
    </w:p>
  </w:footnote>
  <w:footnote w:type="continuationSeparator" w:id="0">
    <w:p w:rsidR="00CE4D03" w:rsidRDefault="00CE4D03"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Default="00107F34"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547">
      <w:rPr>
        <w:rFonts w:ascii="Arial" w:hAnsi="Arial" w:cs="Arial"/>
        <w:b/>
      </w:rPr>
      <w:t>TRIBUNAL DE CONTAS DA UNIÃO</w:t>
    </w:r>
  </w:p>
  <w:p w:rsidR="008B0547" w:rsidRPr="00515E7B" w:rsidRDefault="00107F34"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A4B26"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515E7B" w:rsidRPr="00515E7B">
      <w:rPr>
        <w:rFonts w:ascii="Arial" w:hAnsi="Arial" w:cs="Arial"/>
        <w:noProof/>
        <w:lang w:eastAsia="pt-BR"/>
      </w:rPr>
      <w:t>Info</w:t>
    </w:r>
    <w:r w:rsidR="006F4DE0">
      <w:rPr>
        <w:rFonts w:ascii="Arial" w:hAnsi="Arial" w:cs="Arial"/>
        <w:noProof/>
        <w:lang w:eastAsia="pt-BR"/>
      </w:rPr>
      <w:t>rmativo</w:t>
    </w:r>
    <w:r w:rsidR="00515E7B">
      <w:rPr>
        <w:rFonts w:ascii="Arial" w:hAnsi="Arial" w:cs="Arial"/>
        <w:noProof/>
        <w:lang w:eastAsia="pt-BR"/>
      </w:rPr>
      <w:t xml:space="preserve"> </w:t>
    </w:r>
    <w:r w:rsidR="002810D9">
      <w:rPr>
        <w:rFonts w:ascii="Arial" w:hAnsi="Arial" w:cs="Arial"/>
        <w:noProof/>
        <w:lang w:eastAsia="pt-BR"/>
      </w:rPr>
      <w:t>de Jurisprudência sobre</w:t>
    </w:r>
    <w:r w:rsidR="00515E7B">
      <w:rPr>
        <w:rFonts w:ascii="Arial" w:hAnsi="Arial" w:cs="Arial"/>
        <w:noProof/>
        <w:lang w:eastAsia="pt-BR"/>
      </w:rPr>
      <w:t xml:space="preserve"> </w:t>
    </w:r>
    <w:r w:rsidR="002810D9">
      <w:rPr>
        <w:rFonts w:ascii="Arial" w:hAnsi="Arial" w:cs="Arial"/>
        <w:noProof/>
        <w:lang w:eastAsia="pt-BR"/>
      </w:rPr>
      <w:t>L</w:t>
    </w:r>
    <w:r w:rsidR="00515E7B" w:rsidRPr="00515E7B">
      <w:rPr>
        <w:rFonts w:ascii="Arial" w:hAnsi="Arial" w:cs="Arial"/>
        <w:noProof/>
        <w:lang w:eastAsia="pt-BR"/>
      </w:rPr>
      <w:t xml:space="preserve">icitações e </w:t>
    </w:r>
    <w:r w:rsidR="002810D9">
      <w:rPr>
        <w:rFonts w:ascii="Arial" w:hAnsi="Arial" w:cs="Arial"/>
        <w:noProof/>
        <w:lang w:eastAsia="pt-BR"/>
      </w:rPr>
      <w:t>C</w:t>
    </w:r>
    <w:r w:rsidR="00515E7B" w:rsidRPr="00515E7B">
      <w:rPr>
        <w:rFonts w:ascii="Arial" w:hAnsi="Arial" w:cs="Arial"/>
        <w:noProof/>
        <w:lang w:eastAsia="pt-BR"/>
      </w:rPr>
      <w:t>ontratos</w:t>
    </w:r>
    <w:r w:rsidR="00FF7C62">
      <w:rPr>
        <w:rFonts w:ascii="Arial" w:hAnsi="Arial" w:cs="Arial"/>
        <w:noProof/>
        <w:lang w:eastAsia="pt-BR"/>
      </w:rPr>
      <w:t xml:space="preserve"> nº </w:t>
    </w:r>
    <w:r w:rsidR="00B10AD8">
      <w:rPr>
        <w:rFonts w:ascii="Arial" w:hAnsi="Arial" w:cs="Arial"/>
        <w:noProof/>
        <w:lang w:eastAsia="pt-BR"/>
      </w:rPr>
      <w:t>6</w:t>
    </w:r>
    <w:r w:rsidR="00521A31">
      <w:rPr>
        <w:rFonts w:ascii="Arial" w:hAnsi="Arial" w:cs="Arial"/>
        <w:noProof/>
        <w:lang w:eastAsia="pt-BR"/>
      </w:rPr>
      <w:t>6</w:t>
    </w:r>
  </w:p>
  <w:p w:rsidR="008B0547" w:rsidRDefault="008B05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B7538BA"/>
    <w:multiLevelType w:val="multilevel"/>
    <w:tmpl w:val="003A07FC"/>
    <w:lvl w:ilvl="0">
      <w:start w:val="2"/>
      <w:numFmt w:val="decimal"/>
      <w:lvlText w:val="%1."/>
      <w:lvlJc w:val="left"/>
      <w:pPr>
        <w:ind w:left="1080" w:hanging="360"/>
      </w:pPr>
      <w:rPr>
        <w:rFonts w:cs="Times New Roman" w:hint="default"/>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7844A58"/>
    <w:multiLevelType w:val="hybridMultilevel"/>
    <w:tmpl w:val="5A222BB8"/>
    <w:lvl w:ilvl="0" w:tplc="C8562B38">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6">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10">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2">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3">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4">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9">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4">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9"/>
  </w:num>
  <w:num w:numId="2">
    <w:abstractNumId w:val="16"/>
  </w:num>
  <w:num w:numId="3">
    <w:abstractNumId w:val="8"/>
  </w:num>
  <w:num w:numId="4">
    <w:abstractNumId w:val="0"/>
  </w:num>
  <w:num w:numId="5">
    <w:abstractNumId w:val="10"/>
  </w:num>
  <w:num w:numId="6">
    <w:abstractNumId w:val="15"/>
  </w:num>
  <w:num w:numId="7">
    <w:abstractNumId w:val="22"/>
  </w:num>
  <w:num w:numId="8">
    <w:abstractNumId w:val="20"/>
  </w:num>
  <w:num w:numId="9">
    <w:abstractNumId w:val="17"/>
  </w:num>
  <w:num w:numId="10">
    <w:abstractNumId w:val="6"/>
  </w:num>
  <w:num w:numId="11">
    <w:abstractNumId w:val="24"/>
  </w:num>
  <w:num w:numId="12">
    <w:abstractNumId w:val="4"/>
  </w:num>
  <w:num w:numId="13">
    <w:abstractNumId w:val="14"/>
  </w:num>
  <w:num w:numId="14">
    <w:abstractNumId w:val="21"/>
  </w:num>
  <w:num w:numId="15">
    <w:abstractNumId w:val="13"/>
  </w:num>
  <w:num w:numId="16">
    <w:abstractNumId w:val="2"/>
  </w:num>
  <w:num w:numId="17">
    <w:abstractNumId w:val="12"/>
  </w:num>
  <w:num w:numId="18">
    <w:abstractNumId w:val="23"/>
    <w:lvlOverride w:ilvl="0">
      <w:startOverride w:val="1"/>
    </w:lvlOverride>
  </w:num>
  <w:num w:numId="19">
    <w:abstractNumId w:val="18"/>
  </w:num>
  <w:num w:numId="20">
    <w:abstractNumId w:val="11"/>
  </w:num>
  <w:num w:numId="21">
    <w:abstractNumId w:val="7"/>
  </w:num>
  <w:num w:numId="22">
    <w:abstractNumId w:val="9"/>
  </w:num>
  <w:num w:numId="23">
    <w:abstractNumId w:val="1"/>
  </w:num>
  <w:num w:numId="24">
    <w:abstractNumId w:val="3"/>
  </w:num>
  <w:num w:numId="25">
    <w:abstractNumId w:val="5"/>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1878"/>
    <w:rsid w:val="00003CEA"/>
    <w:rsid w:val="00004614"/>
    <w:rsid w:val="00005435"/>
    <w:rsid w:val="00005E1E"/>
    <w:rsid w:val="000118CC"/>
    <w:rsid w:val="00011D5A"/>
    <w:rsid w:val="00012468"/>
    <w:rsid w:val="0001636D"/>
    <w:rsid w:val="00020C27"/>
    <w:rsid w:val="00020C75"/>
    <w:rsid w:val="00023D72"/>
    <w:rsid w:val="000253D1"/>
    <w:rsid w:val="00025450"/>
    <w:rsid w:val="000271FA"/>
    <w:rsid w:val="00032198"/>
    <w:rsid w:val="00033551"/>
    <w:rsid w:val="00037DCE"/>
    <w:rsid w:val="00041450"/>
    <w:rsid w:val="000460E4"/>
    <w:rsid w:val="0004660A"/>
    <w:rsid w:val="0005205F"/>
    <w:rsid w:val="00052B15"/>
    <w:rsid w:val="0005356E"/>
    <w:rsid w:val="000540FC"/>
    <w:rsid w:val="0005412B"/>
    <w:rsid w:val="00054432"/>
    <w:rsid w:val="000562CD"/>
    <w:rsid w:val="00056A5A"/>
    <w:rsid w:val="00056D51"/>
    <w:rsid w:val="00056FCA"/>
    <w:rsid w:val="0006028E"/>
    <w:rsid w:val="00061C2E"/>
    <w:rsid w:val="000622E0"/>
    <w:rsid w:val="00065E95"/>
    <w:rsid w:val="00070785"/>
    <w:rsid w:val="0007259B"/>
    <w:rsid w:val="00074384"/>
    <w:rsid w:val="00074AC5"/>
    <w:rsid w:val="00077A56"/>
    <w:rsid w:val="00080148"/>
    <w:rsid w:val="000835D8"/>
    <w:rsid w:val="00084282"/>
    <w:rsid w:val="00084727"/>
    <w:rsid w:val="00087006"/>
    <w:rsid w:val="0009133A"/>
    <w:rsid w:val="000916AF"/>
    <w:rsid w:val="00092C2E"/>
    <w:rsid w:val="00094C5B"/>
    <w:rsid w:val="00095D98"/>
    <w:rsid w:val="0009748C"/>
    <w:rsid w:val="00097863"/>
    <w:rsid w:val="00097BF6"/>
    <w:rsid w:val="000A0EF8"/>
    <w:rsid w:val="000A152A"/>
    <w:rsid w:val="000A1EBD"/>
    <w:rsid w:val="000A2C56"/>
    <w:rsid w:val="000A47EA"/>
    <w:rsid w:val="000A6269"/>
    <w:rsid w:val="000A62BD"/>
    <w:rsid w:val="000B0ECB"/>
    <w:rsid w:val="000B0FEA"/>
    <w:rsid w:val="000B2AFA"/>
    <w:rsid w:val="000B639F"/>
    <w:rsid w:val="000B6BC1"/>
    <w:rsid w:val="000C02AD"/>
    <w:rsid w:val="000C4A10"/>
    <w:rsid w:val="000D1878"/>
    <w:rsid w:val="000D1B91"/>
    <w:rsid w:val="000D1EF5"/>
    <w:rsid w:val="000D1FD7"/>
    <w:rsid w:val="000D6418"/>
    <w:rsid w:val="000D7DB6"/>
    <w:rsid w:val="000D7DED"/>
    <w:rsid w:val="000E020F"/>
    <w:rsid w:val="000E12F7"/>
    <w:rsid w:val="000E2D47"/>
    <w:rsid w:val="000E3B31"/>
    <w:rsid w:val="000E504D"/>
    <w:rsid w:val="000E7FD4"/>
    <w:rsid w:val="000F2133"/>
    <w:rsid w:val="000F2F92"/>
    <w:rsid w:val="000F6D85"/>
    <w:rsid w:val="000F7CEE"/>
    <w:rsid w:val="000F7D84"/>
    <w:rsid w:val="00102D37"/>
    <w:rsid w:val="001041ED"/>
    <w:rsid w:val="00107F34"/>
    <w:rsid w:val="001104BA"/>
    <w:rsid w:val="00112676"/>
    <w:rsid w:val="00112A5F"/>
    <w:rsid w:val="0011373A"/>
    <w:rsid w:val="00114511"/>
    <w:rsid w:val="00116BAB"/>
    <w:rsid w:val="00125F9A"/>
    <w:rsid w:val="00126026"/>
    <w:rsid w:val="00130A0C"/>
    <w:rsid w:val="00133EA9"/>
    <w:rsid w:val="00137B22"/>
    <w:rsid w:val="00140FED"/>
    <w:rsid w:val="00141D7A"/>
    <w:rsid w:val="001420D1"/>
    <w:rsid w:val="00142C16"/>
    <w:rsid w:val="001444A2"/>
    <w:rsid w:val="00151F92"/>
    <w:rsid w:val="0015258E"/>
    <w:rsid w:val="00152ECC"/>
    <w:rsid w:val="001532E4"/>
    <w:rsid w:val="00156A48"/>
    <w:rsid w:val="00156DDB"/>
    <w:rsid w:val="00157614"/>
    <w:rsid w:val="00157AFE"/>
    <w:rsid w:val="00157C0F"/>
    <w:rsid w:val="00171E89"/>
    <w:rsid w:val="001737F7"/>
    <w:rsid w:val="001744E7"/>
    <w:rsid w:val="00176375"/>
    <w:rsid w:val="001766A9"/>
    <w:rsid w:val="00181254"/>
    <w:rsid w:val="00181339"/>
    <w:rsid w:val="00181BA4"/>
    <w:rsid w:val="00195F77"/>
    <w:rsid w:val="001A0CC1"/>
    <w:rsid w:val="001A330B"/>
    <w:rsid w:val="001A58D8"/>
    <w:rsid w:val="001A60A2"/>
    <w:rsid w:val="001A79D3"/>
    <w:rsid w:val="001B3E8E"/>
    <w:rsid w:val="001B4F90"/>
    <w:rsid w:val="001B6823"/>
    <w:rsid w:val="001B7F4F"/>
    <w:rsid w:val="001C0575"/>
    <w:rsid w:val="001C1568"/>
    <w:rsid w:val="001C437E"/>
    <w:rsid w:val="001C71E3"/>
    <w:rsid w:val="001D03C7"/>
    <w:rsid w:val="001D1478"/>
    <w:rsid w:val="001D1E52"/>
    <w:rsid w:val="001D56C3"/>
    <w:rsid w:val="001D74CE"/>
    <w:rsid w:val="001E0BF1"/>
    <w:rsid w:val="001E1E28"/>
    <w:rsid w:val="001E2620"/>
    <w:rsid w:val="001E4147"/>
    <w:rsid w:val="001E7019"/>
    <w:rsid w:val="001E71F9"/>
    <w:rsid w:val="001E747D"/>
    <w:rsid w:val="001E7C3D"/>
    <w:rsid w:val="001F00DF"/>
    <w:rsid w:val="001F1E8F"/>
    <w:rsid w:val="00200260"/>
    <w:rsid w:val="002002CE"/>
    <w:rsid w:val="0020066F"/>
    <w:rsid w:val="0020107A"/>
    <w:rsid w:val="0020135D"/>
    <w:rsid w:val="00201FED"/>
    <w:rsid w:val="00202EAD"/>
    <w:rsid w:val="00203A6F"/>
    <w:rsid w:val="00207C90"/>
    <w:rsid w:val="00211816"/>
    <w:rsid w:val="00217B1B"/>
    <w:rsid w:val="00225D42"/>
    <w:rsid w:val="00226AEF"/>
    <w:rsid w:val="00226D9D"/>
    <w:rsid w:val="00227776"/>
    <w:rsid w:val="00232158"/>
    <w:rsid w:val="002328F9"/>
    <w:rsid w:val="0023395B"/>
    <w:rsid w:val="00233CE3"/>
    <w:rsid w:val="002343BF"/>
    <w:rsid w:val="0023535F"/>
    <w:rsid w:val="002415A6"/>
    <w:rsid w:val="00242061"/>
    <w:rsid w:val="002435FC"/>
    <w:rsid w:val="002442D9"/>
    <w:rsid w:val="00244BA7"/>
    <w:rsid w:val="0024593F"/>
    <w:rsid w:val="002476B6"/>
    <w:rsid w:val="00253242"/>
    <w:rsid w:val="00254590"/>
    <w:rsid w:val="00257D8A"/>
    <w:rsid w:val="00261488"/>
    <w:rsid w:val="00262359"/>
    <w:rsid w:val="0026362E"/>
    <w:rsid w:val="002639CA"/>
    <w:rsid w:val="002649A7"/>
    <w:rsid w:val="00264FC3"/>
    <w:rsid w:val="002663B7"/>
    <w:rsid w:val="002666C5"/>
    <w:rsid w:val="00271CD7"/>
    <w:rsid w:val="00271D81"/>
    <w:rsid w:val="0027213F"/>
    <w:rsid w:val="00273E72"/>
    <w:rsid w:val="00274068"/>
    <w:rsid w:val="0027498E"/>
    <w:rsid w:val="0027686D"/>
    <w:rsid w:val="00276DC0"/>
    <w:rsid w:val="00277F47"/>
    <w:rsid w:val="00280F3D"/>
    <w:rsid w:val="002810D9"/>
    <w:rsid w:val="00281830"/>
    <w:rsid w:val="002830F6"/>
    <w:rsid w:val="00287326"/>
    <w:rsid w:val="0029043B"/>
    <w:rsid w:val="00290A06"/>
    <w:rsid w:val="0029211E"/>
    <w:rsid w:val="0029450E"/>
    <w:rsid w:val="00297A00"/>
    <w:rsid w:val="002A040F"/>
    <w:rsid w:val="002A190F"/>
    <w:rsid w:val="002A2129"/>
    <w:rsid w:val="002A3796"/>
    <w:rsid w:val="002A3B3F"/>
    <w:rsid w:val="002A5A02"/>
    <w:rsid w:val="002A6CE6"/>
    <w:rsid w:val="002B409B"/>
    <w:rsid w:val="002B4392"/>
    <w:rsid w:val="002B56C3"/>
    <w:rsid w:val="002B5AD5"/>
    <w:rsid w:val="002B5C5A"/>
    <w:rsid w:val="002B6422"/>
    <w:rsid w:val="002B71BA"/>
    <w:rsid w:val="002C07E2"/>
    <w:rsid w:val="002C208E"/>
    <w:rsid w:val="002C506F"/>
    <w:rsid w:val="002C7B61"/>
    <w:rsid w:val="002C7B6D"/>
    <w:rsid w:val="002D155C"/>
    <w:rsid w:val="002D1637"/>
    <w:rsid w:val="002D1688"/>
    <w:rsid w:val="002D1BA5"/>
    <w:rsid w:val="002D35F5"/>
    <w:rsid w:val="002D47FE"/>
    <w:rsid w:val="002D532D"/>
    <w:rsid w:val="002D739A"/>
    <w:rsid w:val="002D76AB"/>
    <w:rsid w:val="002D786D"/>
    <w:rsid w:val="002E1545"/>
    <w:rsid w:val="002E1910"/>
    <w:rsid w:val="002E28BA"/>
    <w:rsid w:val="002E361C"/>
    <w:rsid w:val="002E3943"/>
    <w:rsid w:val="002E3F7C"/>
    <w:rsid w:val="002E4254"/>
    <w:rsid w:val="002E4F13"/>
    <w:rsid w:val="002E4FB7"/>
    <w:rsid w:val="002E6712"/>
    <w:rsid w:val="002F104B"/>
    <w:rsid w:val="002F1C09"/>
    <w:rsid w:val="002F4696"/>
    <w:rsid w:val="002F5F3B"/>
    <w:rsid w:val="002F693C"/>
    <w:rsid w:val="002F7C6D"/>
    <w:rsid w:val="003020F4"/>
    <w:rsid w:val="003025C7"/>
    <w:rsid w:val="0030360F"/>
    <w:rsid w:val="00303790"/>
    <w:rsid w:val="00303984"/>
    <w:rsid w:val="00304001"/>
    <w:rsid w:val="00304A73"/>
    <w:rsid w:val="003057F7"/>
    <w:rsid w:val="003069F9"/>
    <w:rsid w:val="00310208"/>
    <w:rsid w:val="0031058F"/>
    <w:rsid w:val="0031089E"/>
    <w:rsid w:val="00310D69"/>
    <w:rsid w:val="003147B7"/>
    <w:rsid w:val="003149A9"/>
    <w:rsid w:val="00317E59"/>
    <w:rsid w:val="00320465"/>
    <w:rsid w:val="0032145F"/>
    <w:rsid w:val="00322AE7"/>
    <w:rsid w:val="00325246"/>
    <w:rsid w:val="003275E4"/>
    <w:rsid w:val="00330069"/>
    <w:rsid w:val="00330144"/>
    <w:rsid w:val="0033244F"/>
    <w:rsid w:val="00337E16"/>
    <w:rsid w:val="00340E66"/>
    <w:rsid w:val="00340F10"/>
    <w:rsid w:val="00342A44"/>
    <w:rsid w:val="0034486B"/>
    <w:rsid w:val="00344D92"/>
    <w:rsid w:val="003455A2"/>
    <w:rsid w:val="00345BD4"/>
    <w:rsid w:val="00350E87"/>
    <w:rsid w:val="00353B7C"/>
    <w:rsid w:val="0035438E"/>
    <w:rsid w:val="00355828"/>
    <w:rsid w:val="00356E38"/>
    <w:rsid w:val="00357CBE"/>
    <w:rsid w:val="00361487"/>
    <w:rsid w:val="00361661"/>
    <w:rsid w:val="00372E83"/>
    <w:rsid w:val="00377407"/>
    <w:rsid w:val="00381780"/>
    <w:rsid w:val="003824E4"/>
    <w:rsid w:val="00383CFE"/>
    <w:rsid w:val="003853FF"/>
    <w:rsid w:val="00385609"/>
    <w:rsid w:val="00385DAB"/>
    <w:rsid w:val="0038696B"/>
    <w:rsid w:val="00387CBD"/>
    <w:rsid w:val="003900C7"/>
    <w:rsid w:val="0039039F"/>
    <w:rsid w:val="00390ED6"/>
    <w:rsid w:val="00391B5C"/>
    <w:rsid w:val="00392509"/>
    <w:rsid w:val="00393FCC"/>
    <w:rsid w:val="003943E5"/>
    <w:rsid w:val="00397D8E"/>
    <w:rsid w:val="003A105C"/>
    <w:rsid w:val="003A2222"/>
    <w:rsid w:val="003A3262"/>
    <w:rsid w:val="003A5479"/>
    <w:rsid w:val="003A5C1B"/>
    <w:rsid w:val="003A7C7F"/>
    <w:rsid w:val="003B023B"/>
    <w:rsid w:val="003B0304"/>
    <w:rsid w:val="003B043F"/>
    <w:rsid w:val="003B155C"/>
    <w:rsid w:val="003B1E19"/>
    <w:rsid w:val="003B2E10"/>
    <w:rsid w:val="003B33CE"/>
    <w:rsid w:val="003B343D"/>
    <w:rsid w:val="003B391B"/>
    <w:rsid w:val="003B4936"/>
    <w:rsid w:val="003B56D7"/>
    <w:rsid w:val="003C1911"/>
    <w:rsid w:val="003C1B4F"/>
    <w:rsid w:val="003C2288"/>
    <w:rsid w:val="003C3336"/>
    <w:rsid w:val="003C39E6"/>
    <w:rsid w:val="003C6DEB"/>
    <w:rsid w:val="003C7585"/>
    <w:rsid w:val="003C7A5C"/>
    <w:rsid w:val="003D660C"/>
    <w:rsid w:val="003D73BD"/>
    <w:rsid w:val="003D7CCE"/>
    <w:rsid w:val="003E0D8C"/>
    <w:rsid w:val="003E154A"/>
    <w:rsid w:val="003E1B68"/>
    <w:rsid w:val="003E65D7"/>
    <w:rsid w:val="003F0053"/>
    <w:rsid w:val="003F1CE1"/>
    <w:rsid w:val="003F413A"/>
    <w:rsid w:val="003F54FB"/>
    <w:rsid w:val="003F6D1F"/>
    <w:rsid w:val="00405316"/>
    <w:rsid w:val="0041153E"/>
    <w:rsid w:val="00412CEF"/>
    <w:rsid w:val="004141A8"/>
    <w:rsid w:val="004169D8"/>
    <w:rsid w:val="004201AF"/>
    <w:rsid w:val="00425FF9"/>
    <w:rsid w:val="00427B3B"/>
    <w:rsid w:val="00427EBF"/>
    <w:rsid w:val="00431085"/>
    <w:rsid w:val="00432183"/>
    <w:rsid w:val="00435269"/>
    <w:rsid w:val="004362AB"/>
    <w:rsid w:val="00441101"/>
    <w:rsid w:val="004415FB"/>
    <w:rsid w:val="00441CE3"/>
    <w:rsid w:val="004421F5"/>
    <w:rsid w:val="0044434A"/>
    <w:rsid w:val="0044437F"/>
    <w:rsid w:val="00445E76"/>
    <w:rsid w:val="00446606"/>
    <w:rsid w:val="004471BC"/>
    <w:rsid w:val="00447217"/>
    <w:rsid w:val="00452C60"/>
    <w:rsid w:val="00457F93"/>
    <w:rsid w:val="004617A9"/>
    <w:rsid w:val="0046384E"/>
    <w:rsid w:val="00464CF4"/>
    <w:rsid w:val="00466E73"/>
    <w:rsid w:val="0046706B"/>
    <w:rsid w:val="00467815"/>
    <w:rsid w:val="00471284"/>
    <w:rsid w:val="00472FB0"/>
    <w:rsid w:val="00473696"/>
    <w:rsid w:val="00473721"/>
    <w:rsid w:val="0047491E"/>
    <w:rsid w:val="004836D8"/>
    <w:rsid w:val="004837C6"/>
    <w:rsid w:val="00483998"/>
    <w:rsid w:val="00484E4C"/>
    <w:rsid w:val="004878ED"/>
    <w:rsid w:val="00491438"/>
    <w:rsid w:val="00492E3F"/>
    <w:rsid w:val="00493F5C"/>
    <w:rsid w:val="00495DB3"/>
    <w:rsid w:val="004A171B"/>
    <w:rsid w:val="004A2385"/>
    <w:rsid w:val="004A2D91"/>
    <w:rsid w:val="004A7912"/>
    <w:rsid w:val="004B0194"/>
    <w:rsid w:val="004B1113"/>
    <w:rsid w:val="004B1DC3"/>
    <w:rsid w:val="004B36AE"/>
    <w:rsid w:val="004C61A3"/>
    <w:rsid w:val="004C6E03"/>
    <w:rsid w:val="004C780C"/>
    <w:rsid w:val="004D03BA"/>
    <w:rsid w:val="004D3441"/>
    <w:rsid w:val="004D6A38"/>
    <w:rsid w:val="004D6C65"/>
    <w:rsid w:val="004D708E"/>
    <w:rsid w:val="004D760C"/>
    <w:rsid w:val="004D7C91"/>
    <w:rsid w:val="004E26E4"/>
    <w:rsid w:val="004E357A"/>
    <w:rsid w:val="004E5000"/>
    <w:rsid w:val="004E65EB"/>
    <w:rsid w:val="004F3D4A"/>
    <w:rsid w:val="004F7174"/>
    <w:rsid w:val="00500DD0"/>
    <w:rsid w:val="005012AA"/>
    <w:rsid w:val="005012CF"/>
    <w:rsid w:val="0050355D"/>
    <w:rsid w:val="005055B5"/>
    <w:rsid w:val="00506619"/>
    <w:rsid w:val="00510D1D"/>
    <w:rsid w:val="00511BBF"/>
    <w:rsid w:val="00515E7B"/>
    <w:rsid w:val="005217F8"/>
    <w:rsid w:val="00521A31"/>
    <w:rsid w:val="0052267A"/>
    <w:rsid w:val="005239DD"/>
    <w:rsid w:val="00523CA1"/>
    <w:rsid w:val="005266F4"/>
    <w:rsid w:val="0052675C"/>
    <w:rsid w:val="005303B5"/>
    <w:rsid w:val="00531143"/>
    <w:rsid w:val="005340EA"/>
    <w:rsid w:val="00534A44"/>
    <w:rsid w:val="00536332"/>
    <w:rsid w:val="00542821"/>
    <w:rsid w:val="00543514"/>
    <w:rsid w:val="005438A1"/>
    <w:rsid w:val="00543B81"/>
    <w:rsid w:val="00543EB8"/>
    <w:rsid w:val="00543F41"/>
    <w:rsid w:val="00544550"/>
    <w:rsid w:val="00544FCF"/>
    <w:rsid w:val="005450DC"/>
    <w:rsid w:val="00545A47"/>
    <w:rsid w:val="00545FC7"/>
    <w:rsid w:val="0054634E"/>
    <w:rsid w:val="00546B67"/>
    <w:rsid w:val="00554A33"/>
    <w:rsid w:val="0055716D"/>
    <w:rsid w:val="005571A6"/>
    <w:rsid w:val="00557953"/>
    <w:rsid w:val="00560E55"/>
    <w:rsid w:val="00562E8F"/>
    <w:rsid w:val="0056301A"/>
    <w:rsid w:val="005635AD"/>
    <w:rsid w:val="005640E1"/>
    <w:rsid w:val="00564EA1"/>
    <w:rsid w:val="0056534C"/>
    <w:rsid w:val="00567CEE"/>
    <w:rsid w:val="005713F4"/>
    <w:rsid w:val="00571E64"/>
    <w:rsid w:val="00573D3B"/>
    <w:rsid w:val="00575CC3"/>
    <w:rsid w:val="00576018"/>
    <w:rsid w:val="00580F26"/>
    <w:rsid w:val="00581A7C"/>
    <w:rsid w:val="0058427E"/>
    <w:rsid w:val="005864FA"/>
    <w:rsid w:val="00590907"/>
    <w:rsid w:val="0059346F"/>
    <w:rsid w:val="00594A7B"/>
    <w:rsid w:val="005A2D82"/>
    <w:rsid w:val="005A3835"/>
    <w:rsid w:val="005A3AEC"/>
    <w:rsid w:val="005A6858"/>
    <w:rsid w:val="005A72F2"/>
    <w:rsid w:val="005B2194"/>
    <w:rsid w:val="005B2BC3"/>
    <w:rsid w:val="005B4CFA"/>
    <w:rsid w:val="005B5B3D"/>
    <w:rsid w:val="005B7112"/>
    <w:rsid w:val="005B7166"/>
    <w:rsid w:val="005C18EE"/>
    <w:rsid w:val="005C1A79"/>
    <w:rsid w:val="005C7644"/>
    <w:rsid w:val="005C7BF4"/>
    <w:rsid w:val="005D2B0F"/>
    <w:rsid w:val="005D3352"/>
    <w:rsid w:val="005D6E51"/>
    <w:rsid w:val="005E12DD"/>
    <w:rsid w:val="005E269C"/>
    <w:rsid w:val="005E3586"/>
    <w:rsid w:val="005E3EC0"/>
    <w:rsid w:val="005E4DEE"/>
    <w:rsid w:val="005E5FF1"/>
    <w:rsid w:val="005F01CE"/>
    <w:rsid w:val="005F135B"/>
    <w:rsid w:val="005F4E54"/>
    <w:rsid w:val="005F70B6"/>
    <w:rsid w:val="005F7A87"/>
    <w:rsid w:val="006017DF"/>
    <w:rsid w:val="00601F0A"/>
    <w:rsid w:val="00604DBE"/>
    <w:rsid w:val="006063E1"/>
    <w:rsid w:val="006065E4"/>
    <w:rsid w:val="00606F56"/>
    <w:rsid w:val="00610039"/>
    <w:rsid w:val="00610381"/>
    <w:rsid w:val="00611C07"/>
    <w:rsid w:val="00611E07"/>
    <w:rsid w:val="00612045"/>
    <w:rsid w:val="00612F12"/>
    <w:rsid w:val="00613AC9"/>
    <w:rsid w:val="00615808"/>
    <w:rsid w:val="00620E86"/>
    <w:rsid w:val="006219DD"/>
    <w:rsid w:val="00621D63"/>
    <w:rsid w:val="00623DAF"/>
    <w:rsid w:val="006242BF"/>
    <w:rsid w:val="00631FE7"/>
    <w:rsid w:val="00632ACC"/>
    <w:rsid w:val="006345C1"/>
    <w:rsid w:val="00637FDD"/>
    <w:rsid w:val="00641E57"/>
    <w:rsid w:val="006503A5"/>
    <w:rsid w:val="00650463"/>
    <w:rsid w:val="00651660"/>
    <w:rsid w:val="00652171"/>
    <w:rsid w:val="006532C3"/>
    <w:rsid w:val="00657AF2"/>
    <w:rsid w:val="00661BD2"/>
    <w:rsid w:val="00666285"/>
    <w:rsid w:val="00670FEA"/>
    <w:rsid w:val="00671DC9"/>
    <w:rsid w:val="006721E9"/>
    <w:rsid w:val="0067252D"/>
    <w:rsid w:val="006734AA"/>
    <w:rsid w:val="006734B3"/>
    <w:rsid w:val="0067353C"/>
    <w:rsid w:val="00676163"/>
    <w:rsid w:val="00677C22"/>
    <w:rsid w:val="006808CC"/>
    <w:rsid w:val="00685899"/>
    <w:rsid w:val="00692D30"/>
    <w:rsid w:val="00695597"/>
    <w:rsid w:val="00696A89"/>
    <w:rsid w:val="00696F75"/>
    <w:rsid w:val="00697477"/>
    <w:rsid w:val="006A037E"/>
    <w:rsid w:val="006A2019"/>
    <w:rsid w:val="006A21CC"/>
    <w:rsid w:val="006A3D41"/>
    <w:rsid w:val="006A7796"/>
    <w:rsid w:val="006B0495"/>
    <w:rsid w:val="006B0DCB"/>
    <w:rsid w:val="006B2408"/>
    <w:rsid w:val="006B3AF9"/>
    <w:rsid w:val="006B414C"/>
    <w:rsid w:val="006B4B0F"/>
    <w:rsid w:val="006C32CF"/>
    <w:rsid w:val="006C335E"/>
    <w:rsid w:val="006C3A1F"/>
    <w:rsid w:val="006C5C6C"/>
    <w:rsid w:val="006C7DE0"/>
    <w:rsid w:val="006D3DC7"/>
    <w:rsid w:val="006D4245"/>
    <w:rsid w:val="006E0A93"/>
    <w:rsid w:val="006E4064"/>
    <w:rsid w:val="006E58EA"/>
    <w:rsid w:val="006F0036"/>
    <w:rsid w:val="006F2F67"/>
    <w:rsid w:val="006F4DE0"/>
    <w:rsid w:val="006F4FB2"/>
    <w:rsid w:val="006F5E2D"/>
    <w:rsid w:val="006F6483"/>
    <w:rsid w:val="006F6EEB"/>
    <w:rsid w:val="006F7332"/>
    <w:rsid w:val="007025BA"/>
    <w:rsid w:val="0070385B"/>
    <w:rsid w:val="0070407E"/>
    <w:rsid w:val="0070494F"/>
    <w:rsid w:val="00705758"/>
    <w:rsid w:val="0070717A"/>
    <w:rsid w:val="00707244"/>
    <w:rsid w:val="00712CCC"/>
    <w:rsid w:val="007136E9"/>
    <w:rsid w:val="00713DE5"/>
    <w:rsid w:val="007174DA"/>
    <w:rsid w:val="00720910"/>
    <w:rsid w:val="00720F29"/>
    <w:rsid w:val="007224C2"/>
    <w:rsid w:val="00731409"/>
    <w:rsid w:val="007334B1"/>
    <w:rsid w:val="007339F3"/>
    <w:rsid w:val="00737FEC"/>
    <w:rsid w:val="00740292"/>
    <w:rsid w:val="00742B07"/>
    <w:rsid w:val="0075064C"/>
    <w:rsid w:val="00755956"/>
    <w:rsid w:val="007568A9"/>
    <w:rsid w:val="00756AA0"/>
    <w:rsid w:val="00757CE6"/>
    <w:rsid w:val="00764CB0"/>
    <w:rsid w:val="007666D8"/>
    <w:rsid w:val="007671B6"/>
    <w:rsid w:val="007671DA"/>
    <w:rsid w:val="00767C28"/>
    <w:rsid w:val="00770C72"/>
    <w:rsid w:val="007719A8"/>
    <w:rsid w:val="00773CAE"/>
    <w:rsid w:val="00774593"/>
    <w:rsid w:val="00776EDA"/>
    <w:rsid w:val="00777599"/>
    <w:rsid w:val="00785646"/>
    <w:rsid w:val="00785CF8"/>
    <w:rsid w:val="00796068"/>
    <w:rsid w:val="00796CC0"/>
    <w:rsid w:val="00796CF1"/>
    <w:rsid w:val="007979EA"/>
    <w:rsid w:val="007A1A35"/>
    <w:rsid w:val="007A2166"/>
    <w:rsid w:val="007A2B7F"/>
    <w:rsid w:val="007A5922"/>
    <w:rsid w:val="007B1ABA"/>
    <w:rsid w:val="007B259B"/>
    <w:rsid w:val="007B3F28"/>
    <w:rsid w:val="007B5018"/>
    <w:rsid w:val="007B65B3"/>
    <w:rsid w:val="007C08AB"/>
    <w:rsid w:val="007C4E99"/>
    <w:rsid w:val="007C5151"/>
    <w:rsid w:val="007C546B"/>
    <w:rsid w:val="007C670D"/>
    <w:rsid w:val="007C7359"/>
    <w:rsid w:val="007D0ED0"/>
    <w:rsid w:val="007D1F01"/>
    <w:rsid w:val="007D3E0E"/>
    <w:rsid w:val="007D48CF"/>
    <w:rsid w:val="007D4A4A"/>
    <w:rsid w:val="007E0E05"/>
    <w:rsid w:val="007E1DD3"/>
    <w:rsid w:val="007E209F"/>
    <w:rsid w:val="007E2878"/>
    <w:rsid w:val="007E4655"/>
    <w:rsid w:val="007E55E0"/>
    <w:rsid w:val="007E5C50"/>
    <w:rsid w:val="007F0546"/>
    <w:rsid w:val="007F1DEB"/>
    <w:rsid w:val="007F22A5"/>
    <w:rsid w:val="007F5688"/>
    <w:rsid w:val="0080038A"/>
    <w:rsid w:val="0080065F"/>
    <w:rsid w:val="008051DE"/>
    <w:rsid w:val="00805659"/>
    <w:rsid w:val="0080733E"/>
    <w:rsid w:val="00810CC2"/>
    <w:rsid w:val="0081324B"/>
    <w:rsid w:val="0081440E"/>
    <w:rsid w:val="00816193"/>
    <w:rsid w:val="008165E4"/>
    <w:rsid w:val="008234BD"/>
    <w:rsid w:val="008244A5"/>
    <w:rsid w:val="00824A8C"/>
    <w:rsid w:val="00825155"/>
    <w:rsid w:val="00825EB9"/>
    <w:rsid w:val="008303E2"/>
    <w:rsid w:val="00833A8F"/>
    <w:rsid w:val="008341F8"/>
    <w:rsid w:val="008359F3"/>
    <w:rsid w:val="00835DB6"/>
    <w:rsid w:val="00836AC2"/>
    <w:rsid w:val="008406D5"/>
    <w:rsid w:val="00843BED"/>
    <w:rsid w:val="00844C5B"/>
    <w:rsid w:val="00847B37"/>
    <w:rsid w:val="00847B67"/>
    <w:rsid w:val="008501A4"/>
    <w:rsid w:val="008505A1"/>
    <w:rsid w:val="00850817"/>
    <w:rsid w:val="00851D16"/>
    <w:rsid w:val="00851E54"/>
    <w:rsid w:val="0085433A"/>
    <w:rsid w:val="00854B32"/>
    <w:rsid w:val="00855F2B"/>
    <w:rsid w:val="00856252"/>
    <w:rsid w:val="00857634"/>
    <w:rsid w:val="0086124E"/>
    <w:rsid w:val="00861B74"/>
    <w:rsid w:val="008652C9"/>
    <w:rsid w:val="00866992"/>
    <w:rsid w:val="00866CA9"/>
    <w:rsid w:val="00867E32"/>
    <w:rsid w:val="00872942"/>
    <w:rsid w:val="00874E74"/>
    <w:rsid w:val="00875991"/>
    <w:rsid w:val="00875BB5"/>
    <w:rsid w:val="008771B6"/>
    <w:rsid w:val="00877FDD"/>
    <w:rsid w:val="00880FED"/>
    <w:rsid w:val="0088186D"/>
    <w:rsid w:val="008841C8"/>
    <w:rsid w:val="00885367"/>
    <w:rsid w:val="008855A4"/>
    <w:rsid w:val="00887082"/>
    <w:rsid w:val="00887D40"/>
    <w:rsid w:val="00887DC7"/>
    <w:rsid w:val="00891FCC"/>
    <w:rsid w:val="00892BB8"/>
    <w:rsid w:val="00893014"/>
    <w:rsid w:val="0089513A"/>
    <w:rsid w:val="00896755"/>
    <w:rsid w:val="008A2417"/>
    <w:rsid w:val="008A5D49"/>
    <w:rsid w:val="008A751E"/>
    <w:rsid w:val="008A756C"/>
    <w:rsid w:val="008B0547"/>
    <w:rsid w:val="008B11A3"/>
    <w:rsid w:val="008B1FE5"/>
    <w:rsid w:val="008B2AD7"/>
    <w:rsid w:val="008B3A74"/>
    <w:rsid w:val="008B3D72"/>
    <w:rsid w:val="008B434A"/>
    <w:rsid w:val="008B5DA7"/>
    <w:rsid w:val="008B7B55"/>
    <w:rsid w:val="008C3A5B"/>
    <w:rsid w:val="008C3D50"/>
    <w:rsid w:val="008C5B71"/>
    <w:rsid w:val="008D2382"/>
    <w:rsid w:val="008D5667"/>
    <w:rsid w:val="008D6F5D"/>
    <w:rsid w:val="008E003A"/>
    <w:rsid w:val="008E15E3"/>
    <w:rsid w:val="008E2045"/>
    <w:rsid w:val="008E4C62"/>
    <w:rsid w:val="008E727E"/>
    <w:rsid w:val="008F2902"/>
    <w:rsid w:val="008F4593"/>
    <w:rsid w:val="008F660B"/>
    <w:rsid w:val="009005CE"/>
    <w:rsid w:val="00901376"/>
    <w:rsid w:val="0090188B"/>
    <w:rsid w:val="009021A4"/>
    <w:rsid w:val="00904305"/>
    <w:rsid w:val="00904EC5"/>
    <w:rsid w:val="00914B48"/>
    <w:rsid w:val="0091511B"/>
    <w:rsid w:val="00917B6F"/>
    <w:rsid w:val="009239AA"/>
    <w:rsid w:val="009245B5"/>
    <w:rsid w:val="00925EF2"/>
    <w:rsid w:val="00935C40"/>
    <w:rsid w:val="00935F4D"/>
    <w:rsid w:val="0093795C"/>
    <w:rsid w:val="00937DCB"/>
    <w:rsid w:val="00937F7E"/>
    <w:rsid w:val="009440DE"/>
    <w:rsid w:val="009444E6"/>
    <w:rsid w:val="00944A8E"/>
    <w:rsid w:val="009455E6"/>
    <w:rsid w:val="0094589B"/>
    <w:rsid w:val="009509C0"/>
    <w:rsid w:val="00953B70"/>
    <w:rsid w:val="00956BA7"/>
    <w:rsid w:val="00956FD8"/>
    <w:rsid w:val="009575F7"/>
    <w:rsid w:val="00957E4B"/>
    <w:rsid w:val="0096021A"/>
    <w:rsid w:val="00960F73"/>
    <w:rsid w:val="009642CA"/>
    <w:rsid w:val="0096655D"/>
    <w:rsid w:val="00971139"/>
    <w:rsid w:val="00972B10"/>
    <w:rsid w:val="0097401F"/>
    <w:rsid w:val="00981FA0"/>
    <w:rsid w:val="0098263A"/>
    <w:rsid w:val="00983541"/>
    <w:rsid w:val="00984366"/>
    <w:rsid w:val="00984E80"/>
    <w:rsid w:val="0098690F"/>
    <w:rsid w:val="00987EE5"/>
    <w:rsid w:val="00991CD8"/>
    <w:rsid w:val="00991EBE"/>
    <w:rsid w:val="00993C2E"/>
    <w:rsid w:val="00997C8A"/>
    <w:rsid w:val="009A1339"/>
    <w:rsid w:val="009A21FD"/>
    <w:rsid w:val="009A3006"/>
    <w:rsid w:val="009A3994"/>
    <w:rsid w:val="009B5D6F"/>
    <w:rsid w:val="009B62AF"/>
    <w:rsid w:val="009B7AB9"/>
    <w:rsid w:val="009C4B6D"/>
    <w:rsid w:val="009D0928"/>
    <w:rsid w:val="009D1B99"/>
    <w:rsid w:val="009D1C99"/>
    <w:rsid w:val="009D2884"/>
    <w:rsid w:val="009D5393"/>
    <w:rsid w:val="009D5445"/>
    <w:rsid w:val="009D565F"/>
    <w:rsid w:val="009D65B9"/>
    <w:rsid w:val="009D70EE"/>
    <w:rsid w:val="009E04DC"/>
    <w:rsid w:val="009E0FB3"/>
    <w:rsid w:val="009E3B5A"/>
    <w:rsid w:val="009E5105"/>
    <w:rsid w:val="009E59A1"/>
    <w:rsid w:val="009E66EE"/>
    <w:rsid w:val="009F4326"/>
    <w:rsid w:val="009F7FA6"/>
    <w:rsid w:val="00A0082F"/>
    <w:rsid w:val="00A0244C"/>
    <w:rsid w:val="00A033FF"/>
    <w:rsid w:val="00A0409E"/>
    <w:rsid w:val="00A06137"/>
    <w:rsid w:val="00A063FE"/>
    <w:rsid w:val="00A06EDB"/>
    <w:rsid w:val="00A07ACC"/>
    <w:rsid w:val="00A1329C"/>
    <w:rsid w:val="00A14E25"/>
    <w:rsid w:val="00A16A60"/>
    <w:rsid w:val="00A17A3D"/>
    <w:rsid w:val="00A2062A"/>
    <w:rsid w:val="00A2066E"/>
    <w:rsid w:val="00A21E19"/>
    <w:rsid w:val="00A236A1"/>
    <w:rsid w:val="00A239A8"/>
    <w:rsid w:val="00A25B79"/>
    <w:rsid w:val="00A30683"/>
    <w:rsid w:val="00A3115F"/>
    <w:rsid w:val="00A32209"/>
    <w:rsid w:val="00A33030"/>
    <w:rsid w:val="00A378A2"/>
    <w:rsid w:val="00A407B6"/>
    <w:rsid w:val="00A40CDE"/>
    <w:rsid w:val="00A43FBD"/>
    <w:rsid w:val="00A43FD4"/>
    <w:rsid w:val="00A44703"/>
    <w:rsid w:val="00A52DA1"/>
    <w:rsid w:val="00A5757E"/>
    <w:rsid w:val="00A60F52"/>
    <w:rsid w:val="00A61DFE"/>
    <w:rsid w:val="00A62AA8"/>
    <w:rsid w:val="00A63B4C"/>
    <w:rsid w:val="00A6526F"/>
    <w:rsid w:val="00A664E7"/>
    <w:rsid w:val="00A66E7F"/>
    <w:rsid w:val="00A67917"/>
    <w:rsid w:val="00A70904"/>
    <w:rsid w:val="00A709BB"/>
    <w:rsid w:val="00A75C52"/>
    <w:rsid w:val="00A767B2"/>
    <w:rsid w:val="00A81B11"/>
    <w:rsid w:val="00A82B9E"/>
    <w:rsid w:val="00A84186"/>
    <w:rsid w:val="00A846F1"/>
    <w:rsid w:val="00A857B4"/>
    <w:rsid w:val="00A85B14"/>
    <w:rsid w:val="00A875C0"/>
    <w:rsid w:val="00A87C15"/>
    <w:rsid w:val="00A92706"/>
    <w:rsid w:val="00A9704A"/>
    <w:rsid w:val="00A97AD0"/>
    <w:rsid w:val="00AA1377"/>
    <w:rsid w:val="00AA49AF"/>
    <w:rsid w:val="00AA4F2F"/>
    <w:rsid w:val="00AA57CE"/>
    <w:rsid w:val="00AA7540"/>
    <w:rsid w:val="00AB3E6B"/>
    <w:rsid w:val="00AB51C8"/>
    <w:rsid w:val="00AB7B25"/>
    <w:rsid w:val="00AC0BAE"/>
    <w:rsid w:val="00AC126F"/>
    <w:rsid w:val="00AC3256"/>
    <w:rsid w:val="00AC4B34"/>
    <w:rsid w:val="00AD05A6"/>
    <w:rsid w:val="00AD283D"/>
    <w:rsid w:val="00AE05EA"/>
    <w:rsid w:val="00AE0EDF"/>
    <w:rsid w:val="00AE1128"/>
    <w:rsid w:val="00AE1AB0"/>
    <w:rsid w:val="00AE2609"/>
    <w:rsid w:val="00AE29A8"/>
    <w:rsid w:val="00AE439A"/>
    <w:rsid w:val="00AE591D"/>
    <w:rsid w:val="00AE617A"/>
    <w:rsid w:val="00AE713F"/>
    <w:rsid w:val="00AF09C7"/>
    <w:rsid w:val="00AF4BF4"/>
    <w:rsid w:val="00B0025D"/>
    <w:rsid w:val="00B006D8"/>
    <w:rsid w:val="00B03D35"/>
    <w:rsid w:val="00B05065"/>
    <w:rsid w:val="00B05194"/>
    <w:rsid w:val="00B06B45"/>
    <w:rsid w:val="00B06D33"/>
    <w:rsid w:val="00B074B3"/>
    <w:rsid w:val="00B10AD8"/>
    <w:rsid w:val="00B17303"/>
    <w:rsid w:val="00B21343"/>
    <w:rsid w:val="00B219AA"/>
    <w:rsid w:val="00B21A5B"/>
    <w:rsid w:val="00B25143"/>
    <w:rsid w:val="00B2585D"/>
    <w:rsid w:val="00B266FA"/>
    <w:rsid w:val="00B26C40"/>
    <w:rsid w:val="00B26D82"/>
    <w:rsid w:val="00B27359"/>
    <w:rsid w:val="00B27990"/>
    <w:rsid w:val="00B33FC2"/>
    <w:rsid w:val="00B347F1"/>
    <w:rsid w:val="00B34A99"/>
    <w:rsid w:val="00B3502B"/>
    <w:rsid w:val="00B35755"/>
    <w:rsid w:val="00B35774"/>
    <w:rsid w:val="00B3599F"/>
    <w:rsid w:val="00B35C3E"/>
    <w:rsid w:val="00B36473"/>
    <w:rsid w:val="00B40BEA"/>
    <w:rsid w:val="00B44029"/>
    <w:rsid w:val="00B44FFA"/>
    <w:rsid w:val="00B45428"/>
    <w:rsid w:val="00B47943"/>
    <w:rsid w:val="00B50446"/>
    <w:rsid w:val="00B50A6E"/>
    <w:rsid w:val="00B512D2"/>
    <w:rsid w:val="00B527BF"/>
    <w:rsid w:val="00B530FD"/>
    <w:rsid w:val="00B53C9C"/>
    <w:rsid w:val="00B558FE"/>
    <w:rsid w:val="00B56396"/>
    <w:rsid w:val="00B5639B"/>
    <w:rsid w:val="00B60C3E"/>
    <w:rsid w:val="00B615CB"/>
    <w:rsid w:val="00B63E30"/>
    <w:rsid w:val="00B645FA"/>
    <w:rsid w:val="00B64775"/>
    <w:rsid w:val="00B663CD"/>
    <w:rsid w:val="00B67B4F"/>
    <w:rsid w:val="00B81718"/>
    <w:rsid w:val="00B86AF6"/>
    <w:rsid w:val="00B86E2A"/>
    <w:rsid w:val="00B877AA"/>
    <w:rsid w:val="00B9389E"/>
    <w:rsid w:val="00B96EA4"/>
    <w:rsid w:val="00B97282"/>
    <w:rsid w:val="00B97A3E"/>
    <w:rsid w:val="00BA2F02"/>
    <w:rsid w:val="00BA2FFD"/>
    <w:rsid w:val="00BA428A"/>
    <w:rsid w:val="00BA58B6"/>
    <w:rsid w:val="00BA62AD"/>
    <w:rsid w:val="00BB0267"/>
    <w:rsid w:val="00BB078B"/>
    <w:rsid w:val="00BB37AF"/>
    <w:rsid w:val="00BB4769"/>
    <w:rsid w:val="00BB4C08"/>
    <w:rsid w:val="00BB61BE"/>
    <w:rsid w:val="00BB779D"/>
    <w:rsid w:val="00BC05AB"/>
    <w:rsid w:val="00BC1DBD"/>
    <w:rsid w:val="00BC5737"/>
    <w:rsid w:val="00BD1747"/>
    <w:rsid w:val="00BD3C68"/>
    <w:rsid w:val="00BD421D"/>
    <w:rsid w:val="00BD6B87"/>
    <w:rsid w:val="00BD73FC"/>
    <w:rsid w:val="00BD79B1"/>
    <w:rsid w:val="00BE04D9"/>
    <w:rsid w:val="00BE4614"/>
    <w:rsid w:val="00BE4E6F"/>
    <w:rsid w:val="00BE5100"/>
    <w:rsid w:val="00BE529D"/>
    <w:rsid w:val="00BE53DD"/>
    <w:rsid w:val="00BE573E"/>
    <w:rsid w:val="00BE6637"/>
    <w:rsid w:val="00BF10E8"/>
    <w:rsid w:val="00BF2033"/>
    <w:rsid w:val="00BF3158"/>
    <w:rsid w:val="00BF3169"/>
    <w:rsid w:val="00BF51B7"/>
    <w:rsid w:val="00C00953"/>
    <w:rsid w:val="00C03312"/>
    <w:rsid w:val="00C039A5"/>
    <w:rsid w:val="00C03A04"/>
    <w:rsid w:val="00C046F7"/>
    <w:rsid w:val="00C064FE"/>
    <w:rsid w:val="00C06EA1"/>
    <w:rsid w:val="00C10C0B"/>
    <w:rsid w:val="00C10DD5"/>
    <w:rsid w:val="00C11F76"/>
    <w:rsid w:val="00C15A27"/>
    <w:rsid w:val="00C15FEF"/>
    <w:rsid w:val="00C1776A"/>
    <w:rsid w:val="00C22519"/>
    <w:rsid w:val="00C2305C"/>
    <w:rsid w:val="00C233D0"/>
    <w:rsid w:val="00C2380D"/>
    <w:rsid w:val="00C24162"/>
    <w:rsid w:val="00C24E78"/>
    <w:rsid w:val="00C2509D"/>
    <w:rsid w:val="00C27A2E"/>
    <w:rsid w:val="00C34ABD"/>
    <w:rsid w:val="00C353CF"/>
    <w:rsid w:val="00C35F43"/>
    <w:rsid w:val="00C37088"/>
    <w:rsid w:val="00C3715E"/>
    <w:rsid w:val="00C408D5"/>
    <w:rsid w:val="00C41D3C"/>
    <w:rsid w:val="00C43801"/>
    <w:rsid w:val="00C44A07"/>
    <w:rsid w:val="00C44BDC"/>
    <w:rsid w:val="00C45BFB"/>
    <w:rsid w:val="00C45DCE"/>
    <w:rsid w:val="00C46D15"/>
    <w:rsid w:val="00C50C7D"/>
    <w:rsid w:val="00C50FF9"/>
    <w:rsid w:val="00C54B14"/>
    <w:rsid w:val="00C6352A"/>
    <w:rsid w:val="00C657EE"/>
    <w:rsid w:val="00C65B2D"/>
    <w:rsid w:val="00C65C5D"/>
    <w:rsid w:val="00C6656A"/>
    <w:rsid w:val="00C66C03"/>
    <w:rsid w:val="00C711E5"/>
    <w:rsid w:val="00C730CB"/>
    <w:rsid w:val="00C731FC"/>
    <w:rsid w:val="00C73782"/>
    <w:rsid w:val="00C80D90"/>
    <w:rsid w:val="00C81B05"/>
    <w:rsid w:val="00C83AEE"/>
    <w:rsid w:val="00C85531"/>
    <w:rsid w:val="00C85563"/>
    <w:rsid w:val="00C85AC7"/>
    <w:rsid w:val="00C87F13"/>
    <w:rsid w:val="00C9045E"/>
    <w:rsid w:val="00C906CD"/>
    <w:rsid w:val="00C9133D"/>
    <w:rsid w:val="00C934E0"/>
    <w:rsid w:val="00C96454"/>
    <w:rsid w:val="00CA0FB8"/>
    <w:rsid w:val="00CA15F3"/>
    <w:rsid w:val="00CA2680"/>
    <w:rsid w:val="00CA4D23"/>
    <w:rsid w:val="00CA6716"/>
    <w:rsid w:val="00CB036A"/>
    <w:rsid w:val="00CB0D34"/>
    <w:rsid w:val="00CB79F7"/>
    <w:rsid w:val="00CC1939"/>
    <w:rsid w:val="00CC42D4"/>
    <w:rsid w:val="00CC64E3"/>
    <w:rsid w:val="00CC7712"/>
    <w:rsid w:val="00CD179A"/>
    <w:rsid w:val="00CD2536"/>
    <w:rsid w:val="00CD407F"/>
    <w:rsid w:val="00CD5740"/>
    <w:rsid w:val="00CD7420"/>
    <w:rsid w:val="00CE0BA7"/>
    <w:rsid w:val="00CE4D03"/>
    <w:rsid w:val="00CE6ACB"/>
    <w:rsid w:val="00CE6D09"/>
    <w:rsid w:val="00CF0E4D"/>
    <w:rsid w:val="00CF230D"/>
    <w:rsid w:val="00CF5489"/>
    <w:rsid w:val="00CF7615"/>
    <w:rsid w:val="00CF7823"/>
    <w:rsid w:val="00D003F8"/>
    <w:rsid w:val="00D01AFE"/>
    <w:rsid w:val="00D02757"/>
    <w:rsid w:val="00D02FB7"/>
    <w:rsid w:val="00D04613"/>
    <w:rsid w:val="00D05C77"/>
    <w:rsid w:val="00D10769"/>
    <w:rsid w:val="00D11642"/>
    <w:rsid w:val="00D116C7"/>
    <w:rsid w:val="00D13AC5"/>
    <w:rsid w:val="00D14E5F"/>
    <w:rsid w:val="00D14FB2"/>
    <w:rsid w:val="00D16754"/>
    <w:rsid w:val="00D17548"/>
    <w:rsid w:val="00D17CC6"/>
    <w:rsid w:val="00D2041E"/>
    <w:rsid w:val="00D20454"/>
    <w:rsid w:val="00D20D10"/>
    <w:rsid w:val="00D23801"/>
    <w:rsid w:val="00D25AEC"/>
    <w:rsid w:val="00D25B2F"/>
    <w:rsid w:val="00D341C9"/>
    <w:rsid w:val="00D3447D"/>
    <w:rsid w:val="00D3488B"/>
    <w:rsid w:val="00D361DE"/>
    <w:rsid w:val="00D37427"/>
    <w:rsid w:val="00D3793E"/>
    <w:rsid w:val="00D37FB2"/>
    <w:rsid w:val="00D41A6A"/>
    <w:rsid w:val="00D4233A"/>
    <w:rsid w:val="00D44B3D"/>
    <w:rsid w:val="00D46C4C"/>
    <w:rsid w:val="00D51F18"/>
    <w:rsid w:val="00D53537"/>
    <w:rsid w:val="00D551C8"/>
    <w:rsid w:val="00D55972"/>
    <w:rsid w:val="00D564BB"/>
    <w:rsid w:val="00D565FA"/>
    <w:rsid w:val="00D568ED"/>
    <w:rsid w:val="00D6014E"/>
    <w:rsid w:val="00D630E7"/>
    <w:rsid w:val="00D700E5"/>
    <w:rsid w:val="00D70900"/>
    <w:rsid w:val="00D71B77"/>
    <w:rsid w:val="00D74A87"/>
    <w:rsid w:val="00D76186"/>
    <w:rsid w:val="00D771E9"/>
    <w:rsid w:val="00D86DD4"/>
    <w:rsid w:val="00D92529"/>
    <w:rsid w:val="00DA1613"/>
    <w:rsid w:val="00DA5AAB"/>
    <w:rsid w:val="00DA671A"/>
    <w:rsid w:val="00DA6858"/>
    <w:rsid w:val="00DB1CD7"/>
    <w:rsid w:val="00DB2651"/>
    <w:rsid w:val="00DB30B1"/>
    <w:rsid w:val="00DB3ECD"/>
    <w:rsid w:val="00DB4717"/>
    <w:rsid w:val="00DC12C8"/>
    <w:rsid w:val="00DC6F31"/>
    <w:rsid w:val="00DC7FFD"/>
    <w:rsid w:val="00DD1B11"/>
    <w:rsid w:val="00DD6D82"/>
    <w:rsid w:val="00DE045E"/>
    <w:rsid w:val="00DE1240"/>
    <w:rsid w:val="00DE1AA5"/>
    <w:rsid w:val="00DE231A"/>
    <w:rsid w:val="00DE23D6"/>
    <w:rsid w:val="00DE2CB6"/>
    <w:rsid w:val="00DE2DDE"/>
    <w:rsid w:val="00DE395F"/>
    <w:rsid w:val="00DE5414"/>
    <w:rsid w:val="00DF0C37"/>
    <w:rsid w:val="00DF24FD"/>
    <w:rsid w:val="00DF2506"/>
    <w:rsid w:val="00DF301A"/>
    <w:rsid w:val="00DF3469"/>
    <w:rsid w:val="00DF3BE2"/>
    <w:rsid w:val="00DF4E2C"/>
    <w:rsid w:val="00DF4E34"/>
    <w:rsid w:val="00DF75EC"/>
    <w:rsid w:val="00E0133D"/>
    <w:rsid w:val="00E019ED"/>
    <w:rsid w:val="00E02392"/>
    <w:rsid w:val="00E0312F"/>
    <w:rsid w:val="00E04C48"/>
    <w:rsid w:val="00E06065"/>
    <w:rsid w:val="00E079C6"/>
    <w:rsid w:val="00E1273C"/>
    <w:rsid w:val="00E1434A"/>
    <w:rsid w:val="00E146CF"/>
    <w:rsid w:val="00E14BED"/>
    <w:rsid w:val="00E17711"/>
    <w:rsid w:val="00E23C05"/>
    <w:rsid w:val="00E2425F"/>
    <w:rsid w:val="00E242F0"/>
    <w:rsid w:val="00E245B0"/>
    <w:rsid w:val="00E247E2"/>
    <w:rsid w:val="00E304EB"/>
    <w:rsid w:val="00E329D0"/>
    <w:rsid w:val="00E33746"/>
    <w:rsid w:val="00E342B3"/>
    <w:rsid w:val="00E3451F"/>
    <w:rsid w:val="00E36ADF"/>
    <w:rsid w:val="00E36B53"/>
    <w:rsid w:val="00E37585"/>
    <w:rsid w:val="00E41B64"/>
    <w:rsid w:val="00E42C35"/>
    <w:rsid w:val="00E469D5"/>
    <w:rsid w:val="00E46CD5"/>
    <w:rsid w:val="00E47C06"/>
    <w:rsid w:val="00E500D9"/>
    <w:rsid w:val="00E51AB5"/>
    <w:rsid w:val="00E52345"/>
    <w:rsid w:val="00E52763"/>
    <w:rsid w:val="00E551BD"/>
    <w:rsid w:val="00E563AE"/>
    <w:rsid w:val="00E6448A"/>
    <w:rsid w:val="00E662CD"/>
    <w:rsid w:val="00E67427"/>
    <w:rsid w:val="00E73271"/>
    <w:rsid w:val="00E735DA"/>
    <w:rsid w:val="00E74214"/>
    <w:rsid w:val="00E74762"/>
    <w:rsid w:val="00E74D52"/>
    <w:rsid w:val="00E75855"/>
    <w:rsid w:val="00E7609C"/>
    <w:rsid w:val="00E82556"/>
    <w:rsid w:val="00E85CBE"/>
    <w:rsid w:val="00E86566"/>
    <w:rsid w:val="00E875F5"/>
    <w:rsid w:val="00E92527"/>
    <w:rsid w:val="00E92A93"/>
    <w:rsid w:val="00E93620"/>
    <w:rsid w:val="00E97045"/>
    <w:rsid w:val="00EA270C"/>
    <w:rsid w:val="00EA5CB5"/>
    <w:rsid w:val="00EA5CF4"/>
    <w:rsid w:val="00EB09B9"/>
    <w:rsid w:val="00EB76F7"/>
    <w:rsid w:val="00EB7CB1"/>
    <w:rsid w:val="00EC0569"/>
    <w:rsid w:val="00EC0C7B"/>
    <w:rsid w:val="00EC1C35"/>
    <w:rsid w:val="00EC5E45"/>
    <w:rsid w:val="00ED0557"/>
    <w:rsid w:val="00ED0CF0"/>
    <w:rsid w:val="00ED34D4"/>
    <w:rsid w:val="00ED3D84"/>
    <w:rsid w:val="00ED766C"/>
    <w:rsid w:val="00ED76FB"/>
    <w:rsid w:val="00EE05C2"/>
    <w:rsid w:val="00EE30EE"/>
    <w:rsid w:val="00EE3C6D"/>
    <w:rsid w:val="00EE4C6E"/>
    <w:rsid w:val="00EE5135"/>
    <w:rsid w:val="00EE61BE"/>
    <w:rsid w:val="00EE6DE6"/>
    <w:rsid w:val="00EF057C"/>
    <w:rsid w:val="00EF1D14"/>
    <w:rsid w:val="00EF4FEE"/>
    <w:rsid w:val="00EF6873"/>
    <w:rsid w:val="00F00BE1"/>
    <w:rsid w:val="00F01B31"/>
    <w:rsid w:val="00F03AB9"/>
    <w:rsid w:val="00F06479"/>
    <w:rsid w:val="00F076C5"/>
    <w:rsid w:val="00F120D9"/>
    <w:rsid w:val="00F124BE"/>
    <w:rsid w:val="00F125DE"/>
    <w:rsid w:val="00F24232"/>
    <w:rsid w:val="00F2526C"/>
    <w:rsid w:val="00F27170"/>
    <w:rsid w:val="00F30016"/>
    <w:rsid w:val="00F3144A"/>
    <w:rsid w:val="00F31C75"/>
    <w:rsid w:val="00F32543"/>
    <w:rsid w:val="00F33277"/>
    <w:rsid w:val="00F340CD"/>
    <w:rsid w:val="00F341CC"/>
    <w:rsid w:val="00F36B6C"/>
    <w:rsid w:val="00F36D10"/>
    <w:rsid w:val="00F40CAB"/>
    <w:rsid w:val="00F47C5C"/>
    <w:rsid w:val="00F54856"/>
    <w:rsid w:val="00F57650"/>
    <w:rsid w:val="00F579FC"/>
    <w:rsid w:val="00F60C74"/>
    <w:rsid w:val="00F62773"/>
    <w:rsid w:val="00F64F51"/>
    <w:rsid w:val="00F66122"/>
    <w:rsid w:val="00F666FD"/>
    <w:rsid w:val="00F67A35"/>
    <w:rsid w:val="00F759AD"/>
    <w:rsid w:val="00F765E8"/>
    <w:rsid w:val="00F8200C"/>
    <w:rsid w:val="00F85CB3"/>
    <w:rsid w:val="00F85D77"/>
    <w:rsid w:val="00F86D88"/>
    <w:rsid w:val="00F87FA7"/>
    <w:rsid w:val="00F90898"/>
    <w:rsid w:val="00F914C8"/>
    <w:rsid w:val="00F9473C"/>
    <w:rsid w:val="00FA40A3"/>
    <w:rsid w:val="00FA45CD"/>
    <w:rsid w:val="00FA5B17"/>
    <w:rsid w:val="00FB33FA"/>
    <w:rsid w:val="00FB3BA6"/>
    <w:rsid w:val="00FB4D65"/>
    <w:rsid w:val="00FB5954"/>
    <w:rsid w:val="00FB6695"/>
    <w:rsid w:val="00FC0253"/>
    <w:rsid w:val="00FC0CDF"/>
    <w:rsid w:val="00FC0D7C"/>
    <w:rsid w:val="00FC163A"/>
    <w:rsid w:val="00FC183A"/>
    <w:rsid w:val="00FC19F5"/>
    <w:rsid w:val="00FC3D1C"/>
    <w:rsid w:val="00FD08A7"/>
    <w:rsid w:val="00FD1295"/>
    <w:rsid w:val="00FD2E55"/>
    <w:rsid w:val="00FD2FA9"/>
    <w:rsid w:val="00FD3572"/>
    <w:rsid w:val="00FD54CC"/>
    <w:rsid w:val="00FD61F5"/>
    <w:rsid w:val="00FE06A2"/>
    <w:rsid w:val="00FE0CE6"/>
    <w:rsid w:val="00FE28C8"/>
    <w:rsid w:val="00FE79EF"/>
    <w:rsid w:val="00FF025A"/>
    <w:rsid w:val="00FF088B"/>
    <w:rsid w:val="00FF0AC4"/>
    <w:rsid w:val="00FF10AF"/>
    <w:rsid w:val="00FF334E"/>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DEC8F63D-A747-41E9-AEF0-0799EC45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uiPriority w:val="99"/>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BA9AC-8450-4E07-9DE9-D1A58FDB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1489</Words>
  <Characters>8045</Characters>
  <Application>Microsoft Office Word</Application>
  <DocSecurity>4</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9515</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2011-02-04T20:41:00Z</cp:lastPrinted>
  <dcterms:created xsi:type="dcterms:W3CDTF">2015-05-07T12:39:00Z</dcterms:created>
  <dcterms:modified xsi:type="dcterms:W3CDTF">2015-05-07T12:39:00Z</dcterms:modified>
</cp:coreProperties>
</file>