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097863" w:rsidRDefault="009444E6" w:rsidP="00AA4F2F">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097863">
        <w:rPr>
          <w:rFonts w:ascii="Times New Roman" w:hAnsi="Times New Roman"/>
          <w:b/>
          <w:i w:val="0"/>
          <w:color w:val="000000"/>
          <w:sz w:val="22"/>
          <w:szCs w:val="22"/>
        </w:rPr>
        <w:t xml:space="preserve">Sessões: </w:t>
      </w:r>
      <w:r w:rsidR="0005205F">
        <w:rPr>
          <w:rFonts w:ascii="Times New Roman" w:hAnsi="Times New Roman"/>
          <w:b/>
          <w:i w:val="0"/>
          <w:color w:val="000000"/>
          <w:sz w:val="22"/>
          <w:szCs w:val="22"/>
        </w:rPr>
        <w:t>24</w:t>
      </w:r>
      <w:r w:rsidR="00467815" w:rsidRPr="00097863">
        <w:rPr>
          <w:rFonts w:ascii="Times New Roman" w:hAnsi="Times New Roman"/>
          <w:b/>
          <w:i w:val="0"/>
          <w:color w:val="000000"/>
          <w:sz w:val="22"/>
          <w:szCs w:val="22"/>
        </w:rPr>
        <w:t xml:space="preserve"> </w:t>
      </w:r>
      <w:r w:rsidR="00F01B31" w:rsidRPr="00097863">
        <w:rPr>
          <w:rFonts w:ascii="Times New Roman" w:hAnsi="Times New Roman"/>
          <w:b/>
          <w:i w:val="0"/>
          <w:color w:val="000000"/>
          <w:sz w:val="22"/>
          <w:szCs w:val="22"/>
        </w:rPr>
        <w:t xml:space="preserve">e </w:t>
      </w:r>
      <w:r w:rsidR="0005205F">
        <w:rPr>
          <w:rFonts w:ascii="Times New Roman" w:hAnsi="Times New Roman"/>
          <w:b/>
          <w:i w:val="0"/>
          <w:color w:val="000000"/>
          <w:sz w:val="22"/>
          <w:szCs w:val="22"/>
        </w:rPr>
        <w:t>25</w:t>
      </w:r>
      <w:r w:rsidRPr="00097863">
        <w:rPr>
          <w:rFonts w:ascii="Times New Roman" w:hAnsi="Times New Roman"/>
          <w:b/>
          <w:i w:val="0"/>
          <w:color w:val="000000"/>
          <w:sz w:val="22"/>
          <w:szCs w:val="22"/>
        </w:rPr>
        <w:t xml:space="preserve"> de </w:t>
      </w:r>
      <w:r w:rsidR="00805659">
        <w:rPr>
          <w:rFonts w:ascii="Times New Roman" w:hAnsi="Times New Roman"/>
          <w:b/>
          <w:i w:val="0"/>
          <w:color w:val="000000"/>
          <w:sz w:val="22"/>
          <w:szCs w:val="22"/>
        </w:rPr>
        <w:t>maio</w:t>
      </w:r>
      <w:r w:rsidRPr="00097863">
        <w:rPr>
          <w:rFonts w:ascii="Times New Roman" w:hAnsi="Times New Roman"/>
          <w:b/>
          <w:i w:val="0"/>
          <w:color w:val="000000"/>
          <w:sz w:val="22"/>
          <w:szCs w:val="22"/>
        </w:rPr>
        <w:t xml:space="preserve"> de 201</w:t>
      </w:r>
      <w:r w:rsidR="00467815" w:rsidRPr="00097863">
        <w:rPr>
          <w:rFonts w:ascii="Times New Roman" w:hAnsi="Times New Roman"/>
          <w:b/>
          <w:i w:val="0"/>
          <w:color w:val="000000"/>
          <w:sz w:val="22"/>
          <w:szCs w:val="22"/>
        </w:rPr>
        <w:t>1</w:t>
      </w:r>
    </w:p>
    <w:p w:rsidR="002D35F5" w:rsidRPr="00097863" w:rsidRDefault="002D35F5" w:rsidP="00AA4F2F">
      <w:pPr>
        <w:pStyle w:val="Corpodetexto2"/>
        <w:spacing w:after="0" w:line="240" w:lineRule="auto"/>
        <w:ind w:left="0"/>
        <w:rPr>
          <w:sz w:val="22"/>
          <w:szCs w:val="22"/>
        </w:rPr>
      </w:pPr>
      <w:r w:rsidRPr="00097863">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097863" w:rsidRDefault="00FF7C62" w:rsidP="00AA4F2F">
      <w:pPr>
        <w:pStyle w:val="Corpodetexto2"/>
        <w:spacing w:after="0" w:line="240" w:lineRule="auto"/>
        <w:ind w:left="0"/>
        <w:rPr>
          <w:sz w:val="22"/>
          <w:szCs w:val="22"/>
        </w:rPr>
      </w:pPr>
    </w:p>
    <w:p w:rsidR="002D35F5" w:rsidRPr="00D53537" w:rsidRDefault="002D35F5" w:rsidP="00AA4F2F">
      <w:pPr>
        <w:pBdr>
          <w:top w:val="threeDEmboss" w:sz="24" w:space="2" w:color="auto"/>
        </w:pBdr>
        <w:tabs>
          <w:tab w:val="left" w:pos="284"/>
        </w:tabs>
        <w:spacing w:after="0"/>
        <w:ind w:left="0"/>
        <w:jc w:val="center"/>
        <w:rPr>
          <w:rFonts w:ascii="Cambria" w:hAnsi="Cambria"/>
          <w:b/>
          <w:bCs/>
          <w:smallCaps/>
          <w:sz w:val="22"/>
          <w:szCs w:val="22"/>
        </w:rPr>
      </w:pPr>
      <w:r w:rsidRPr="00D53537">
        <w:rPr>
          <w:rFonts w:ascii="Cambria" w:hAnsi="Cambria"/>
          <w:b/>
          <w:bCs/>
          <w:smallCaps/>
          <w:sz w:val="22"/>
          <w:szCs w:val="22"/>
        </w:rPr>
        <w:t>S</w:t>
      </w:r>
      <w:r w:rsidR="00FF7C62" w:rsidRPr="00D53537">
        <w:rPr>
          <w:rFonts w:ascii="Cambria" w:hAnsi="Cambria"/>
          <w:b/>
          <w:bCs/>
          <w:smallCaps/>
          <w:sz w:val="22"/>
          <w:szCs w:val="22"/>
        </w:rPr>
        <w:t>UMÁRIO</w:t>
      </w:r>
    </w:p>
    <w:p w:rsidR="009444E6" w:rsidRPr="00867E32" w:rsidRDefault="009444E6" w:rsidP="00867E32">
      <w:pPr>
        <w:pStyle w:val="tita"/>
        <w:tabs>
          <w:tab w:val="left" w:pos="2590"/>
        </w:tabs>
        <w:spacing w:before="60" w:after="60" w:line="240" w:lineRule="auto"/>
        <w:jc w:val="both"/>
        <w:rPr>
          <w:i w:val="0"/>
          <w:iCs w:val="0"/>
          <w:sz w:val="22"/>
          <w:szCs w:val="22"/>
        </w:rPr>
      </w:pPr>
      <w:r w:rsidRPr="00867E32">
        <w:rPr>
          <w:i w:val="0"/>
          <w:iCs w:val="0"/>
          <w:sz w:val="22"/>
          <w:szCs w:val="22"/>
        </w:rPr>
        <w:t>Plenário</w:t>
      </w:r>
    </w:p>
    <w:p w:rsidR="00102D37" w:rsidRPr="00C87F13" w:rsidRDefault="00102D37" w:rsidP="00C87F13">
      <w:pPr>
        <w:pStyle w:val="TCU-SemRecuo"/>
        <w:spacing w:before="60" w:after="60"/>
        <w:rPr>
          <w:rFonts w:ascii="Times" w:hAnsi="Times" w:cs="Times"/>
          <w:sz w:val="22"/>
          <w:szCs w:val="22"/>
        </w:rPr>
      </w:pPr>
      <w:r w:rsidRPr="00C87F13">
        <w:rPr>
          <w:rFonts w:ascii="Times" w:hAnsi="Times" w:cs="Times"/>
          <w:sz w:val="22"/>
          <w:szCs w:val="22"/>
        </w:rPr>
        <w:t xml:space="preserve">Contratação de serviços: </w:t>
      </w:r>
    </w:p>
    <w:p w:rsidR="00102D37" w:rsidRPr="00C87F13" w:rsidRDefault="00102D37" w:rsidP="00C87F13">
      <w:pPr>
        <w:pStyle w:val="TCU-SemRecuo"/>
        <w:tabs>
          <w:tab w:val="clear" w:pos="1134"/>
          <w:tab w:val="left" w:pos="851"/>
        </w:tabs>
        <w:spacing w:before="60" w:after="60"/>
        <w:rPr>
          <w:rFonts w:ascii="Times" w:hAnsi="Times" w:cs="Times"/>
          <w:sz w:val="22"/>
          <w:szCs w:val="22"/>
        </w:rPr>
      </w:pPr>
      <w:r w:rsidRPr="00C87F13">
        <w:rPr>
          <w:rFonts w:ascii="Times" w:hAnsi="Times" w:cs="Times"/>
          <w:sz w:val="22"/>
          <w:szCs w:val="22"/>
        </w:rPr>
        <w:tab/>
        <w:t>1</w:t>
      </w:r>
      <w:r w:rsidR="00C87F13" w:rsidRPr="00C87F13">
        <w:rPr>
          <w:rFonts w:ascii="Times" w:hAnsi="Times" w:cs="Times"/>
          <w:sz w:val="22"/>
          <w:szCs w:val="22"/>
        </w:rPr>
        <w:t xml:space="preserve"> – Na formação dos preços constantes das planilhas de custos, devem ser observados os ganhos de escala em razão da quantidade demandada</w:t>
      </w:r>
      <w:r w:rsidRPr="00C87F13">
        <w:rPr>
          <w:rFonts w:ascii="Times" w:hAnsi="Times" w:cs="Times"/>
          <w:sz w:val="22"/>
          <w:szCs w:val="22"/>
        </w:rPr>
        <w:t>;</w:t>
      </w:r>
    </w:p>
    <w:p w:rsidR="00102D37" w:rsidRPr="00C87F13" w:rsidRDefault="00102D37" w:rsidP="00C87F13">
      <w:pPr>
        <w:pStyle w:val="TCU-SemRecuo"/>
        <w:tabs>
          <w:tab w:val="clear" w:pos="1134"/>
          <w:tab w:val="left" w:pos="851"/>
        </w:tabs>
        <w:spacing w:before="60" w:after="60"/>
        <w:rPr>
          <w:color w:val="1D1B11"/>
          <w:sz w:val="22"/>
          <w:szCs w:val="22"/>
        </w:rPr>
      </w:pPr>
      <w:r w:rsidRPr="00C87F13">
        <w:rPr>
          <w:rFonts w:ascii="Times" w:hAnsi="Times" w:cs="Times"/>
          <w:color w:val="1D1B11"/>
          <w:sz w:val="22"/>
          <w:szCs w:val="22"/>
        </w:rPr>
        <w:tab/>
        <w:t xml:space="preserve">2 – </w:t>
      </w:r>
      <w:r w:rsidR="00C87F13" w:rsidRPr="00C87F13">
        <w:rPr>
          <w:rFonts w:ascii="Times" w:hAnsi="Times" w:cs="Times"/>
          <w:color w:val="1D1B11"/>
          <w:sz w:val="22"/>
          <w:szCs w:val="22"/>
        </w:rPr>
        <w:t xml:space="preserve">Parecer jurídico em processo licitatório, exarado com fundamento no </w:t>
      </w:r>
      <w:r w:rsidR="00C87F13" w:rsidRPr="00C87F13">
        <w:rPr>
          <w:color w:val="1D1B11"/>
          <w:sz w:val="22"/>
          <w:szCs w:val="22"/>
        </w:rPr>
        <w:t>parágrafo único do art. 38 da Lei 8.666/1993, não constitui ato meramente opinativo e pode levar à responsabilização do emitente</w:t>
      </w:r>
      <w:r w:rsidRPr="00C87F13">
        <w:rPr>
          <w:color w:val="1D1B11"/>
          <w:sz w:val="22"/>
          <w:szCs w:val="22"/>
        </w:rPr>
        <w:t>.</w:t>
      </w:r>
    </w:p>
    <w:p w:rsidR="00102D37" w:rsidRPr="00C87F13" w:rsidRDefault="00102D37" w:rsidP="00C87F13">
      <w:pPr>
        <w:tabs>
          <w:tab w:val="left" w:pos="851"/>
        </w:tabs>
        <w:spacing w:before="60" w:after="60"/>
        <w:ind w:left="0"/>
        <w:rPr>
          <w:sz w:val="22"/>
          <w:szCs w:val="22"/>
        </w:rPr>
      </w:pPr>
      <w:r w:rsidRPr="00C87F13">
        <w:rPr>
          <w:sz w:val="22"/>
          <w:szCs w:val="22"/>
        </w:rPr>
        <w:t xml:space="preserve">Aquisição de produtos hospitalares: </w:t>
      </w:r>
    </w:p>
    <w:p w:rsidR="00102D37" w:rsidRPr="00C87F13" w:rsidRDefault="00102D37" w:rsidP="00C87F13">
      <w:pPr>
        <w:tabs>
          <w:tab w:val="left" w:pos="851"/>
        </w:tabs>
        <w:spacing w:before="60" w:after="60"/>
        <w:ind w:left="0"/>
        <w:rPr>
          <w:sz w:val="22"/>
          <w:szCs w:val="22"/>
        </w:rPr>
      </w:pPr>
      <w:r w:rsidRPr="00C87F13">
        <w:rPr>
          <w:sz w:val="22"/>
          <w:szCs w:val="22"/>
        </w:rPr>
        <w:tab/>
        <w:t xml:space="preserve">1 – </w:t>
      </w:r>
      <w:r w:rsidR="00C87F13" w:rsidRPr="00C87F13">
        <w:rPr>
          <w:sz w:val="22"/>
          <w:szCs w:val="22"/>
        </w:rPr>
        <w:t>A participação de parecerista técnico em fraude à licitação pode ensejar sua responsabilização</w:t>
      </w:r>
      <w:r w:rsidRPr="00C87F13">
        <w:rPr>
          <w:sz w:val="22"/>
          <w:szCs w:val="22"/>
        </w:rPr>
        <w:t>;</w:t>
      </w:r>
    </w:p>
    <w:p w:rsidR="00102D37" w:rsidRPr="00C87F13" w:rsidRDefault="00102D37" w:rsidP="00C87F13">
      <w:pPr>
        <w:tabs>
          <w:tab w:val="left" w:pos="851"/>
        </w:tabs>
        <w:spacing w:before="60" w:after="60"/>
        <w:ind w:left="0"/>
        <w:rPr>
          <w:sz w:val="22"/>
          <w:szCs w:val="22"/>
          <w:lang w:eastAsia="pt-BR"/>
        </w:rPr>
      </w:pPr>
      <w:r w:rsidRPr="00C87F13">
        <w:rPr>
          <w:sz w:val="22"/>
          <w:szCs w:val="22"/>
        </w:rPr>
        <w:tab/>
        <w:t xml:space="preserve">2 – Compras, sempre que possível, devem ser planejadas com base nos </w:t>
      </w:r>
      <w:r w:rsidRPr="00C87F13">
        <w:rPr>
          <w:sz w:val="22"/>
          <w:szCs w:val="22"/>
          <w:lang w:eastAsia="pt-BR"/>
        </w:rPr>
        <w:t>registros de consumo dos materiais.</w:t>
      </w:r>
    </w:p>
    <w:p w:rsidR="00102D37" w:rsidRPr="00C87F13" w:rsidRDefault="00102D37" w:rsidP="00C87F13">
      <w:pPr>
        <w:pStyle w:val="Corpodetexto"/>
        <w:tabs>
          <w:tab w:val="left" w:pos="1134"/>
          <w:tab w:val="left" w:pos="2590"/>
        </w:tabs>
        <w:spacing w:before="60" w:after="60"/>
        <w:ind w:left="0"/>
        <w:rPr>
          <w:sz w:val="22"/>
          <w:szCs w:val="22"/>
        </w:rPr>
      </w:pPr>
      <w:r w:rsidRPr="00C87F13">
        <w:rPr>
          <w:sz w:val="22"/>
          <w:szCs w:val="22"/>
        </w:rPr>
        <w:t xml:space="preserve">Contratação de serviços: </w:t>
      </w:r>
    </w:p>
    <w:p w:rsidR="00102D37" w:rsidRPr="00C87F13" w:rsidRDefault="00102D37" w:rsidP="00C87F13">
      <w:pPr>
        <w:pStyle w:val="Corpodetexto"/>
        <w:tabs>
          <w:tab w:val="left" w:pos="851"/>
          <w:tab w:val="left" w:pos="2590"/>
        </w:tabs>
        <w:spacing w:before="60" w:after="60"/>
        <w:ind w:left="0"/>
        <w:rPr>
          <w:sz w:val="22"/>
          <w:szCs w:val="22"/>
        </w:rPr>
      </w:pPr>
      <w:r w:rsidRPr="00C87F13">
        <w:rPr>
          <w:sz w:val="22"/>
          <w:szCs w:val="22"/>
        </w:rPr>
        <w:tab/>
        <w:t xml:space="preserve">1 - </w:t>
      </w:r>
      <w:r w:rsidR="00C87F13" w:rsidRPr="00C87F13">
        <w:rPr>
          <w:sz w:val="22"/>
          <w:szCs w:val="22"/>
        </w:rPr>
        <w:t>A ocorrência de fraude comprovada à licitação sujeita as licitantes que a perpetraram efetivamente à declaração de inidoneidade para participar de licitação na Administração Pública</w:t>
      </w:r>
      <w:r w:rsidRPr="00C87F13">
        <w:rPr>
          <w:sz w:val="22"/>
          <w:szCs w:val="22"/>
        </w:rPr>
        <w:t xml:space="preserve">; </w:t>
      </w:r>
    </w:p>
    <w:p w:rsidR="00102D37" w:rsidRPr="00C87F13" w:rsidRDefault="00102D37" w:rsidP="00C87F13">
      <w:pPr>
        <w:tabs>
          <w:tab w:val="left" w:pos="851"/>
        </w:tabs>
        <w:spacing w:before="60" w:after="60"/>
        <w:ind w:left="0"/>
        <w:rPr>
          <w:sz w:val="22"/>
          <w:szCs w:val="22"/>
        </w:rPr>
      </w:pPr>
      <w:r w:rsidRPr="00C87F13">
        <w:rPr>
          <w:sz w:val="22"/>
          <w:szCs w:val="22"/>
        </w:rPr>
        <w:tab/>
        <w:t>2 – A declaração de inidoneidade possui efeito ‘ex-nunc’, cabendo às entidades administrativas medidas com vistas à rescisão de contrato que possuam com a empresa julgada inidônea, caso entendam necessário. Contudo, no caso do certame que levou à aplicação da sanção, a instituição pública deve adotar as providências necessárias, com vistas à pronta rescisão do contrato decorrente.</w:t>
      </w:r>
    </w:p>
    <w:p w:rsidR="006242BF" w:rsidRPr="00C87F13" w:rsidRDefault="006242BF" w:rsidP="00C87F13">
      <w:pPr>
        <w:pStyle w:val="Corpodetexto"/>
        <w:tabs>
          <w:tab w:val="left" w:pos="2590"/>
        </w:tabs>
        <w:spacing w:before="60" w:after="60"/>
        <w:ind w:left="0" w:firstLine="851"/>
        <w:rPr>
          <w:b/>
          <w:color w:val="FF0000"/>
          <w:sz w:val="22"/>
          <w:szCs w:val="22"/>
        </w:rPr>
      </w:pPr>
    </w:p>
    <w:p w:rsidR="003C6DEB" w:rsidRPr="00621D63" w:rsidRDefault="003C6DEB" w:rsidP="00621D63">
      <w:pPr>
        <w:pBdr>
          <w:top w:val="threeDEmboss" w:sz="24" w:space="0" w:color="auto"/>
        </w:pBdr>
        <w:tabs>
          <w:tab w:val="left" w:pos="284"/>
          <w:tab w:val="left" w:pos="2590"/>
        </w:tabs>
        <w:spacing w:after="0"/>
        <w:ind w:left="0"/>
        <w:jc w:val="center"/>
        <w:rPr>
          <w:rFonts w:ascii="Cambria" w:hAnsi="Cambria"/>
          <w:b/>
          <w:bCs/>
          <w:smallCaps/>
          <w:sz w:val="22"/>
          <w:szCs w:val="22"/>
        </w:rPr>
      </w:pPr>
      <w:r w:rsidRPr="00621D63">
        <w:rPr>
          <w:rFonts w:ascii="Cambria" w:hAnsi="Cambria"/>
          <w:b/>
          <w:bCs/>
          <w:smallCaps/>
          <w:sz w:val="22"/>
          <w:szCs w:val="22"/>
        </w:rPr>
        <w:t>PLENÁRIO</w:t>
      </w:r>
    </w:p>
    <w:p w:rsidR="003C6DEB" w:rsidRPr="00621D63" w:rsidRDefault="003C6DEB" w:rsidP="00621D63">
      <w:pPr>
        <w:pStyle w:val="tita"/>
        <w:tabs>
          <w:tab w:val="left" w:pos="2590"/>
        </w:tabs>
        <w:spacing w:before="0" w:after="0" w:line="240" w:lineRule="auto"/>
        <w:jc w:val="both"/>
        <w:rPr>
          <w:i w:val="0"/>
          <w:iCs w:val="0"/>
          <w:sz w:val="22"/>
          <w:szCs w:val="22"/>
        </w:rPr>
      </w:pPr>
    </w:p>
    <w:p w:rsidR="000540FC" w:rsidRPr="00CB036A" w:rsidRDefault="000540FC" w:rsidP="00CB036A">
      <w:pPr>
        <w:pStyle w:val="TCU-SemRecuo"/>
        <w:spacing w:after="0"/>
        <w:rPr>
          <w:rFonts w:ascii="Times" w:hAnsi="Times" w:cs="Times"/>
          <w:b/>
          <w:sz w:val="22"/>
          <w:szCs w:val="22"/>
        </w:rPr>
      </w:pPr>
      <w:r w:rsidRPr="00CB036A">
        <w:rPr>
          <w:rFonts w:ascii="Times" w:hAnsi="Times" w:cs="Times"/>
          <w:b/>
          <w:sz w:val="22"/>
          <w:szCs w:val="22"/>
        </w:rPr>
        <w:t xml:space="preserve">Contratação de serviços: 1 – </w:t>
      </w:r>
      <w:r w:rsidR="00983541" w:rsidRPr="00CB036A">
        <w:rPr>
          <w:rFonts w:ascii="Times" w:hAnsi="Times" w:cs="Times"/>
          <w:b/>
          <w:sz w:val="22"/>
          <w:szCs w:val="22"/>
        </w:rPr>
        <w:t>Na formação dos preços</w:t>
      </w:r>
      <w:r w:rsidR="00B06D33" w:rsidRPr="00CB036A">
        <w:rPr>
          <w:rFonts w:ascii="Times" w:hAnsi="Times" w:cs="Times"/>
          <w:b/>
          <w:sz w:val="22"/>
          <w:szCs w:val="22"/>
        </w:rPr>
        <w:t xml:space="preserve"> constantes das planilhas de custos,</w:t>
      </w:r>
      <w:r w:rsidR="00983541" w:rsidRPr="00CB036A">
        <w:rPr>
          <w:rFonts w:ascii="Times" w:hAnsi="Times" w:cs="Times"/>
          <w:b/>
          <w:sz w:val="22"/>
          <w:szCs w:val="22"/>
        </w:rPr>
        <w:t xml:space="preserve"> deve</w:t>
      </w:r>
      <w:r w:rsidR="00B06D33" w:rsidRPr="00CB036A">
        <w:rPr>
          <w:rFonts w:ascii="Times" w:hAnsi="Times" w:cs="Times"/>
          <w:b/>
          <w:sz w:val="22"/>
          <w:szCs w:val="22"/>
        </w:rPr>
        <w:t>m</w:t>
      </w:r>
      <w:r w:rsidR="00983541" w:rsidRPr="00CB036A">
        <w:rPr>
          <w:rFonts w:ascii="Times" w:hAnsi="Times" w:cs="Times"/>
          <w:b/>
          <w:sz w:val="22"/>
          <w:szCs w:val="22"/>
        </w:rPr>
        <w:t xml:space="preserve"> se</w:t>
      </w:r>
      <w:r w:rsidR="00B06D33" w:rsidRPr="00CB036A">
        <w:rPr>
          <w:rFonts w:ascii="Times" w:hAnsi="Times" w:cs="Times"/>
          <w:b/>
          <w:sz w:val="22"/>
          <w:szCs w:val="22"/>
        </w:rPr>
        <w:t>r</w:t>
      </w:r>
      <w:r w:rsidR="00983541" w:rsidRPr="00CB036A">
        <w:rPr>
          <w:rFonts w:ascii="Times" w:hAnsi="Times" w:cs="Times"/>
          <w:b/>
          <w:sz w:val="22"/>
          <w:szCs w:val="22"/>
        </w:rPr>
        <w:t xml:space="preserve"> observa</w:t>
      </w:r>
      <w:r w:rsidR="00B06D33" w:rsidRPr="00CB036A">
        <w:rPr>
          <w:rFonts w:ascii="Times" w:hAnsi="Times" w:cs="Times"/>
          <w:b/>
          <w:sz w:val="22"/>
          <w:szCs w:val="22"/>
        </w:rPr>
        <w:t>dos</w:t>
      </w:r>
      <w:r w:rsidR="00983541" w:rsidRPr="00CB036A">
        <w:rPr>
          <w:rFonts w:ascii="Times" w:hAnsi="Times" w:cs="Times"/>
          <w:b/>
          <w:sz w:val="22"/>
          <w:szCs w:val="22"/>
        </w:rPr>
        <w:t xml:space="preserve"> os ganhos de escala em razão da quantidade demandada</w:t>
      </w:r>
    </w:p>
    <w:p w:rsidR="006242BF" w:rsidRPr="00CB036A" w:rsidRDefault="00621D63" w:rsidP="00CB036A">
      <w:pPr>
        <w:pStyle w:val="TCU-RelVoto-1"/>
        <w:spacing w:after="0"/>
        <w:ind w:firstLine="0"/>
        <w:rPr>
          <w:rFonts w:ascii="Times" w:hAnsi="Times" w:cs="Times"/>
          <w:sz w:val="22"/>
        </w:rPr>
      </w:pPr>
      <w:r w:rsidRPr="00CB036A">
        <w:rPr>
          <w:sz w:val="22"/>
        </w:rPr>
        <w:t>No âmbito</w:t>
      </w:r>
      <w:r w:rsidR="00C06EA1" w:rsidRPr="00CB036A">
        <w:rPr>
          <w:sz w:val="22"/>
        </w:rPr>
        <w:t xml:space="preserve"> da tomada de contas da Secretaria Executiva do Ministério do Turismo - (MTur), relativa ao exercício de 2007, o TCU </w:t>
      </w:r>
      <w:r w:rsidR="000B639F" w:rsidRPr="00CB036A">
        <w:rPr>
          <w:sz w:val="22"/>
        </w:rPr>
        <w:t xml:space="preserve">examinou o Pregão, para Registro de Preços, nº 22/2005, que teve por objetivo a contratação de solução de </w:t>
      </w:r>
      <w:r w:rsidR="00983541" w:rsidRPr="00CB036A">
        <w:rPr>
          <w:sz w:val="22"/>
        </w:rPr>
        <w:t xml:space="preserve">produção, </w:t>
      </w:r>
      <w:r w:rsidR="000B639F" w:rsidRPr="00CB036A">
        <w:rPr>
          <w:sz w:val="22"/>
        </w:rPr>
        <w:t xml:space="preserve">gerenciamento </w:t>
      </w:r>
      <w:r w:rsidR="00983541" w:rsidRPr="00CB036A">
        <w:rPr>
          <w:sz w:val="22"/>
        </w:rPr>
        <w:t xml:space="preserve">e digitalização </w:t>
      </w:r>
      <w:r w:rsidR="000B639F" w:rsidRPr="00CB036A">
        <w:rPr>
          <w:sz w:val="22"/>
        </w:rPr>
        <w:t xml:space="preserve">de documentos. Para o relator, </w:t>
      </w:r>
      <w:r w:rsidR="00330144" w:rsidRPr="00CB036A">
        <w:rPr>
          <w:sz w:val="22"/>
        </w:rPr>
        <w:t>a</w:t>
      </w:r>
      <w:r w:rsidR="000B639F" w:rsidRPr="00CB036A">
        <w:rPr>
          <w:sz w:val="22"/>
        </w:rPr>
        <w:t xml:space="preserve"> irregularidade verificada no </w:t>
      </w:r>
      <w:r w:rsidR="00330144" w:rsidRPr="00CB036A">
        <w:rPr>
          <w:sz w:val="22"/>
        </w:rPr>
        <w:t>certame, e</w:t>
      </w:r>
      <w:r w:rsidR="000B639F" w:rsidRPr="00CB036A">
        <w:rPr>
          <w:sz w:val="22"/>
        </w:rPr>
        <w:t xml:space="preserve"> no </w:t>
      </w:r>
      <w:r w:rsidR="00330144" w:rsidRPr="00CB036A">
        <w:rPr>
          <w:sz w:val="22"/>
        </w:rPr>
        <w:t>c</w:t>
      </w:r>
      <w:r w:rsidR="000B639F" w:rsidRPr="00CB036A">
        <w:rPr>
          <w:sz w:val="22"/>
        </w:rPr>
        <w:t xml:space="preserve">ontrato </w:t>
      </w:r>
      <w:r w:rsidR="00330144" w:rsidRPr="00CB036A">
        <w:rPr>
          <w:sz w:val="22"/>
        </w:rPr>
        <w:t>dele decorrente, fora</w:t>
      </w:r>
      <w:r w:rsidR="000B639F" w:rsidRPr="00CB036A">
        <w:rPr>
          <w:sz w:val="22"/>
        </w:rPr>
        <w:t xml:space="preserve"> o pagamento de serviços à empresa</w:t>
      </w:r>
      <w:r w:rsidR="00983541" w:rsidRPr="00CB036A">
        <w:rPr>
          <w:sz w:val="22"/>
        </w:rPr>
        <w:t xml:space="preserve"> contratada</w:t>
      </w:r>
      <w:r w:rsidR="000B639F" w:rsidRPr="00CB036A">
        <w:rPr>
          <w:sz w:val="22"/>
        </w:rPr>
        <w:t xml:space="preserve">, com base em planilhas de custos com formação de preços, sem observância da economia de escala. </w:t>
      </w:r>
      <w:r w:rsidR="00B06D33" w:rsidRPr="00CB036A">
        <w:rPr>
          <w:sz w:val="22"/>
        </w:rPr>
        <w:t>A</w:t>
      </w:r>
      <w:r w:rsidR="00345BD4" w:rsidRPr="00CB036A">
        <w:rPr>
          <w:sz w:val="22"/>
        </w:rPr>
        <w:t xml:space="preserve">o examinar a </w:t>
      </w:r>
      <w:r w:rsidR="00B06D33" w:rsidRPr="00CB036A">
        <w:rPr>
          <w:sz w:val="22"/>
        </w:rPr>
        <w:t xml:space="preserve">composição da </w:t>
      </w:r>
      <w:r w:rsidR="00345BD4" w:rsidRPr="00CB036A">
        <w:rPr>
          <w:sz w:val="22"/>
        </w:rPr>
        <w:t xml:space="preserve">proposta da empresa, </w:t>
      </w:r>
      <w:r w:rsidR="00B06D33" w:rsidRPr="00CB036A">
        <w:rPr>
          <w:sz w:val="22"/>
        </w:rPr>
        <w:t xml:space="preserve">o relator </w:t>
      </w:r>
      <w:r w:rsidR="00345BD4" w:rsidRPr="00CB036A">
        <w:rPr>
          <w:sz w:val="22"/>
        </w:rPr>
        <w:t>verificou que, das vinte e seis planilhas de custos com formação de preços por faixas de quantidades, relativas aos serviços de digitalização e impressão, dezoito obedeceram ao ganho de escala, ou seja, o preço unitário do serviço decresc</w:t>
      </w:r>
      <w:r w:rsidR="00983541" w:rsidRPr="00CB036A">
        <w:rPr>
          <w:sz w:val="22"/>
        </w:rPr>
        <w:t>ia,</w:t>
      </w:r>
      <w:r w:rsidR="00345BD4" w:rsidRPr="00CB036A">
        <w:rPr>
          <w:sz w:val="22"/>
        </w:rPr>
        <w:t xml:space="preserve"> na medida </w:t>
      </w:r>
      <w:r w:rsidR="00983541" w:rsidRPr="00CB036A">
        <w:rPr>
          <w:sz w:val="22"/>
        </w:rPr>
        <w:t xml:space="preserve">em que </w:t>
      </w:r>
      <w:r w:rsidR="00345BD4" w:rsidRPr="00CB036A">
        <w:rPr>
          <w:sz w:val="22"/>
        </w:rPr>
        <w:t>aument</w:t>
      </w:r>
      <w:r w:rsidR="00983541" w:rsidRPr="00CB036A">
        <w:rPr>
          <w:sz w:val="22"/>
        </w:rPr>
        <w:t>asse</w:t>
      </w:r>
      <w:r w:rsidR="00345BD4" w:rsidRPr="00CB036A">
        <w:rPr>
          <w:sz w:val="22"/>
        </w:rPr>
        <w:t xml:space="preserve"> a quantidade demandada.</w:t>
      </w:r>
      <w:r w:rsidR="00CE0BA7" w:rsidRPr="00CB036A">
        <w:rPr>
          <w:sz w:val="22"/>
        </w:rPr>
        <w:t xml:space="preserve"> Para as demais, os preços unitários das planilhas de custos, além de não observarem ganho de escala, foram majorados de forma desproporcional e sem justificativa. Nesse quadro, considerou antieconômica a contratação, em face de a curva dos preços da proposta vencedora não ter seguido o padrão de uma reta decrescente, inversamente às faixas de crescentes quantidades demandadas, em uma “</w:t>
      </w:r>
      <w:r w:rsidR="00CE0BA7" w:rsidRPr="00CB036A">
        <w:rPr>
          <w:i/>
          <w:sz w:val="22"/>
        </w:rPr>
        <w:t>incomum majoração de preços unitários para maiores quantidades, em sentido inverso ao esperado</w:t>
      </w:r>
      <w:r w:rsidR="00CE0BA7" w:rsidRPr="00CB036A">
        <w:rPr>
          <w:sz w:val="22"/>
        </w:rPr>
        <w:t xml:space="preserve">”. Registrou, ainda, que houve clara e objetiva demonstração, mediante pesquisas realizadas pela unidade técnica, de que os preços cobrados pela </w:t>
      </w:r>
      <w:r w:rsidR="00983541" w:rsidRPr="00CB036A">
        <w:rPr>
          <w:sz w:val="22"/>
        </w:rPr>
        <w:t>vencedora do certame</w:t>
      </w:r>
      <w:r w:rsidR="00CE0BA7" w:rsidRPr="00CB036A">
        <w:rPr>
          <w:sz w:val="22"/>
        </w:rPr>
        <w:t xml:space="preserve"> foram excessivos e, portanto, incompatíveis com os de mercado. Por conseguinte, votou pela irregularidade das contas do responsável envolvido, imputando-lhe, solidariamente </w:t>
      </w:r>
      <w:r w:rsidR="000540FC" w:rsidRPr="00CB036A">
        <w:rPr>
          <w:sz w:val="22"/>
        </w:rPr>
        <w:t xml:space="preserve">com a empresa beneficiada, o débito decorrente da irregular execução do </w:t>
      </w:r>
      <w:r w:rsidR="00983541" w:rsidRPr="00CB036A">
        <w:rPr>
          <w:sz w:val="22"/>
        </w:rPr>
        <w:t>c</w:t>
      </w:r>
      <w:r w:rsidR="000540FC" w:rsidRPr="00CB036A">
        <w:rPr>
          <w:sz w:val="22"/>
        </w:rPr>
        <w:t xml:space="preserve">ontrato </w:t>
      </w:r>
      <w:r w:rsidR="00B06D33" w:rsidRPr="00CB036A">
        <w:rPr>
          <w:sz w:val="22"/>
        </w:rPr>
        <w:t>que resultou</w:t>
      </w:r>
      <w:r w:rsidR="00983541" w:rsidRPr="00CB036A">
        <w:rPr>
          <w:sz w:val="22"/>
        </w:rPr>
        <w:t xml:space="preserve"> do Pregão nº 22/2005</w:t>
      </w:r>
      <w:r w:rsidR="000540FC" w:rsidRPr="00CB036A">
        <w:rPr>
          <w:sz w:val="22"/>
        </w:rPr>
        <w:t>, sem prejuízo de aplicar a eles multa, no que foi acompanhado pelo Plenário.</w:t>
      </w:r>
      <w:r w:rsidR="0067252D" w:rsidRPr="00CB036A">
        <w:rPr>
          <w:color w:val="FF0000"/>
          <w:sz w:val="22"/>
        </w:rPr>
        <w:t xml:space="preserve"> </w:t>
      </w:r>
      <w:r w:rsidR="006242BF" w:rsidRPr="00CB036A">
        <w:rPr>
          <w:b/>
          <w:i/>
          <w:sz w:val="22"/>
        </w:rPr>
        <w:t>Acórdã</w:t>
      </w:r>
      <w:r w:rsidR="00C06EA1" w:rsidRPr="00CB036A">
        <w:rPr>
          <w:b/>
          <w:i/>
          <w:sz w:val="22"/>
        </w:rPr>
        <w:t>o n.º 1337/2011-Plenário, TC-018</w:t>
      </w:r>
      <w:r w:rsidR="00FE28C8" w:rsidRPr="00CB036A">
        <w:rPr>
          <w:b/>
          <w:i/>
          <w:sz w:val="22"/>
        </w:rPr>
        <w:t>.</w:t>
      </w:r>
      <w:r w:rsidR="00C06EA1" w:rsidRPr="00CB036A">
        <w:rPr>
          <w:b/>
          <w:i/>
          <w:sz w:val="22"/>
        </w:rPr>
        <w:t>887</w:t>
      </w:r>
      <w:r w:rsidR="006242BF" w:rsidRPr="00CB036A">
        <w:rPr>
          <w:b/>
          <w:i/>
          <w:sz w:val="22"/>
        </w:rPr>
        <w:t>/20</w:t>
      </w:r>
      <w:r w:rsidR="00C06EA1" w:rsidRPr="00CB036A">
        <w:rPr>
          <w:b/>
          <w:i/>
          <w:sz w:val="22"/>
        </w:rPr>
        <w:t>08</w:t>
      </w:r>
      <w:r w:rsidR="006242BF" w:rsidRPr="00CB036A">
        <w:rPr>
          <w:b/>
          <w:i/>
          <w:sz w:val="22"/>
        </w:rPr>
        <w:t>-</w:t>
      </w:r>
      <w:r w:rsidR="00C06EA1" w:rsidRPr="00CB036A">
        <w:rPr>
          <w:b/>
          <w:i/>
          <w:sz w:val="22"/>
        </w:rPr>
        <w:t>1</w:t>
      </w:r>
      <w:r w:rsidR="006242BF" w:rsidRPr="00CB036A">
        <w:rPr>
          <w:b/>
          <w:i/>
          <w:sz w:val="22"/>
        </w:rPr>
        <w:t xml:space="preserve">, rel. Min. </w:t>
      </w:r>
      <w:r w:rsidR="00C06EA1" w:rsidRPr="00CB036A">
        <w:rPr>
          <w:b/>
          <w:i/>
          <w:sz w:val="22"/>
        </w:rPr>
        <w:t>Walton Alencar Rodrigues</w:t>
      </w:r>
      <w:r w:rsidR="0023395B" w:rsidRPr="00CB036A">
        <w:rPr>
          <w:b/>
          <w:i/>
          <w:sz w:val="22"/>
        </w:rPr>
        <w:t xml:space="preserve">, </w:t>
      </w:r>
      <w:r w:rsidR="00C06EA1" w:rsidRPr="00CB036A">
        <w:rPr>
          <w:b/>
          <w:i/>
          <w:sz w:val="22"/>
        </w:rPr>
        <w:t>25</w:t>
      </w:r>
      <w:r w:rsidR="006242BF" w:rsidRPr="00CB036A">
        <w:rPr>
          <w:b/>
          <w:i/>
          <w:sz w:val="22"/>
        </w:rPr>
        <w:t>.05.2011.</w:t>
      </w:r>
    </w:p>
    <w:p w:rsidR="0090188B" w:rsidRPr="00CB036A" w:rsidRDefault="0090188B" w:rsidP="00CB036A">
      <w:pPr>
        <w:pStyle w:val="TCU-RelVoto-demais"/>
        <w:spacing w:after="0"/>
        <w:rPr>
          <w:color w:val="FF0000"/>
          <w:sz w:val="22"/>
        </w:rPr>
      </w:pPr>
    </w:p>
    <w:p w:rsidR="000540FC" w:rsidRPr="00CB036A" w:rsidRDefault="000540FC" w:rsidP="00CB036A">
      <w:pPr>
        <w:pStyle w:val="TCU-SemRecuo"/>
        <w:spacing w:after="0"/>
        <w:rPr>
          <w:rFonts w:ascii="Times" w:hAnsi="Times" w:cs="Times"/>
          <w:b/>
          <w:color w:val="1D1B11"/>
          <w:sz w:val="22"/>
          <w:szCs w:val="22"/>
        </w:rPr>
      </w:pPr>
      <w:r w:rsidRPr="00CB036A">
        <w:rPr>
          <w:rFonts w:ascii="Times" w:hAnsi="Times" w:cs="Times"/>
          <w:b/>
          <w:color w:val="1D1B11"/>
          <w:sz w:val="22"/>
          <w:szCs w:val="22"/>
        </w:rPr>
        <w:t>Contratação de ser</w:t>
      </w:r>
      <w:r w:rsidR="00983541" w:rsidRPr="00CB036A">
        <w:rPr>
          <w:rFonts w:ascii="Times" w:hAnsi="Times" w:cs="Times"/>
          <w:b/>
          <w:color w:val="1D1B11"/>
          <w:sz w:val="22"/>
          <w:szCs w:val="22"/>
        </w:rPr>
        <w:t>viços: 2</w:t>
      </w:r>
      <w:r w:rsidRPr="00CB036A">
        <w:rPr>
          <w:rFonts w:ascii="Times" w:hAnsi="Times" w:cs="Times"/>
          <w:b/>
          <w:color w:val="1D1B11"/>
          <w:sz w:val="22"/>
          <w:szCs w:val="22"/>
        </w:rPr>
        <w:t xml:space="preserve"> – </w:t>
      </w:r>
      <w:r w:rsidR="00D55972" w:rsidRPr="00CB036A">
        <w:rPr>
          <w:rFonts w:ascii="Times" w:hAnsi="Times" w:cs="Times"/>
          <w:b/>
          <w:color w:val="1D1B11"/>
          <w:sz w:val="22"/>
          <w:szCs w:val="22"/>
        </w:rPr>
        <w:t>P</w:t>
      </w:r>
      <w:r w:rsidR="003B391B" w:rsidRPr="00CB036A">
        <w:rPr>
          <w:rFonts w:ascii="Times" w:hAnsi="Times" w:cs="Times"/>
          <w:b/>
          <w:color w:val="1D1B11"/>
          <w:sz w:val="22"/>
          <w:szCs w:val="22"/>
        </w:rPr>
        <w:t>arecer jurídico em processo licitatório</w:t>
      </w:r>
      <w:r w:rsidR="00983541" w:rsidRPr="00CB036A">
        <w:rPr>
          <w:rFonts w:ascii="Times" w:hAnsi="Times" w:cs="Times"/>
          <w:b/>
          <w:color w:val="1D1B11"/>
          <w:sz w:val="22"/>
          <w:szCs w:val="22"/>
        </w:rPr>
        <w:t>,</w:t>
      </w:r>
      <w:r w:rsidR="003B391B" w:rsidRPr="00CB036A">
        <w:rPr>
          <w:rFonts w:ascii="Times" w:hAnsi="Times" w:cs="Times"/>
          <w:b/>
          <w:color w:val="1D1B11"/>
          <w:sz w:val="22"/>
          <w:szCs w:val="22"/>
        </w:rPr>
        <w:t xml:space="preserve"> e</w:t>
      </w:r>
      <w:r w:rsidR="00B06D33" w:rsidRPr="00CB036A">
        <w:rPr>
          <w:rFonts w:ascii="Times" w:hAnsi="Times" w:cs="Times"/>
          <w:b/>
          <w:color w:val="1D1B11"/>
          <w:sz w:val="22"/>
          <w:szCs w:val="22"/>
        </w:rPr>
        <w:t>xarado</w:t>
      </w:r>
      <w:r w:rsidR="003B391B" w:rsidRPr="00CB036A">
        <w:rPr>
          <w:rFonts w:ascii="Times" w:hAnsi="Times" w:cs="Times"/>
          <w:b/>
          <w:color w:val="1D1B11"/>
          <w:sz w:val="22"/>
          <w:szCs w:val="22"/>
        </w:rPr>
        <w:t xml:space="preserve"> com fundamento no </w:t>
      </w:r>
      <w:r w:rsidR="003B391B" w:rsidRPr="00CB036A">
        <w:rPr>
          <w:b/>
          <w:color w:val="1D1B11"/>
          <w:sz w:val="22"/>
          <w:szCs w:val="22"/>
        </w:rPr>
        <w:t>parágrafo único do art. 38 da Lei 8.666/1993</w:t>
      </w:r>
      <w:r w:rsidR="00983541" w:rsidRPr="00CB036A">
        <w:rPr>
          <w:b/>
          <w:color w:val="1D1B11"/>
          <w:sz w:val="22"/>
          <w:szCs w:val="22"/>
        </w:rPr>
        <w:t>,</w:t>
      </w:r>
      <w:r w:rsidR="003B391B" w:rsidRPr="00CB036A">
        <w:rPr>
          <w:b/>
          <w:color w:val="1D1B11"/>
          <w:sz w:val="22"/>
          <w:szCs w:val="22"/>
        </w:rPr>
        <w:t xml:space="preserve"> não </w:t>
      </w:r>
      <w:r w:rsidR="00B06D33" w:rsidRPr="00CB036A">
        <w:rPr>
          <w:b/>
          <w:color w:val="1D1B11"/>
          <w:sz w:val="22"/>
          <w:szCs w:val="22"/>
        </w:rPr>
        <w:t>constitui</w:t>
      </w:r>
      <w:r w:rsidR="003B391B" w:rsidRPr="00CB036A">
        <w:rPr>
          <w:b/>
          <w:color w:val="1D1B11"/>
          <w:sz w:val="22"/>
          <w:szCs w:val="22"/>
        </w:rPr>
        <w:t xml:space="preserve"> ato meramente opinativo</w:t>
      </w:r>
      <w:r w:rsidR="00C00953" w:rsidRPr="00CB036A">
        <w:rPr>
          <w:b/>
          <w:color w:val="1D1B11"/>
          <w:sz w:val="22"/>
          <w:szCs w:val="22"/>
        </w:rPr>
        <w:t xml:space="preserve"> e pode levar à responsabilização d</w:t>
      </w:r>
      <w:r w:rsidR="00B06D33" w:rsidRPr="00CB036A">
        <w:rPr>
          <w:b/>
          <w:color w:val="1D1B11"/>
          <w:sz w:val="22"/>
          <w:szCs w:val="22"/>
        </w:rPr>
        <w:t>o</w:t>
      </w:r>
      <w:r w:rsidR="00C00953" w:rsidRPr="00CB036A">
        <w:rPr>
          <w:b/>
          <w:color w:val="1D1B11"/>
          <w:sz w:val="22"/>
          <w:szCs w:val="22"/>
        </w:rPr>
        <w:t xml:space="preserve"> emitente</w:t>
      </w:r>
    </w:p>
    <w:p w:rsidR="000540FC" w:rsidRPr="00CB036A" w:rsidRDefault="000540FC" w:rsidP="00CB036A">
      <w:pPr>
        <w:pStyle w:val="TCU-RelVoto-1"/>
        <w:spacing w:after="0"/>
        <w:ind w:firstLine="0"/>
        <w:rPr>
          <w:rFonts w:ascii="Times" w:hAnsi="Times" w:cs="Times"/>
          <w:sz w:val="22"/>
        </w:rPr>
      </w:pPr>
      <w:r w:rsidRPr="00CB036A">
        <w:rPr>
          <w:sz w:val="22"/>
        </w:rPr>
        <w:t xml:space="preserve">Ainda na tomada de contas da Secretaria Executiva do Ministério do Turismo - (MTur), relativa ao exercício de 2007, o TCU analisou a contratação, por inexigibilidade de licitação, do Centro de Excelência em Turismo da Universidade Federal de Brasília – (CET/UnB), para prestação de serviços de gestão de documentos. </w:t>
      </w:r>
      <w:r w:rsidR="00E14BED" w:rsidRPr="00CB036A">
        <w:rPr>
          <w:sz w:val="22"/>
        </w:rPr>
        <w:t xml:space="preserve">Inicialmente, por entender ausente justificativa circunstanciada para comprovar a inviabilidade de competição, bem como </w:t>
      </w:r>
      <w:r w:rsidR="00C00953" w:rsidRPr="00CB036A">
        <w:rPr>
          <w:sz w:val="22"/>
        </w:rPr>
        <w:t xml:space="preserve">por faltar </w:t>
      </w:r>
      <w:r w:rsidR="00E14BED" w:rsidRPr="00CB036A">
        <w:rPr>
          <w:sz w:val="22"/>
        </w:rPr>
        <w:t xml:space="preserve">pesquisa de preços, em desacordo com os arts. 25, </w:t>
      </w:r>
      <w:r w:rsidR="00E14BED" w:rsidRPr="00CB036A">
        <w:rPr>
          <w:i/>
          <w:sz w:val="22"/>
        </w:rPr>
        <w:t>caput,</w:t>
      </w:r>
      <w:r w:rsidR="00E14BED" w:rsidRPr="00CB036A">
        <w:rPr>
          <w:sz w:val="22"/>
        </w:rPr>
        <w:t xml:space="preserve"> e 26, § único, inciso III, da Lei 8.666/1993, o Tribunal promoveu a audiência de diversos responsáveis pela aludida contratação direta, dentre eles, servidores da assessoria jurídica do órgão, que atuaram como pareceristas no processo. Ao cuidar </w:t>
      </w:r>
      <w:r w:rsidR="00C00953" w:rsidRPr="00CB036A">
        <w:rPr>
          <w:sz w:val="22"/>
        </w:rPr>
        <w:t>da situação</w:t>
      </w:r>
      <w:r w:rsidR="00E14BED" w:rsidRPr="00CB036A">
        <w:rPr>
          <w:sz w:val="22"/>
        </w:rPr>
        <w:t>, o relator destacou a obrigatoriedade da emissão de tais pareceres, por força de lei (parágrafo único do art. 38 da Lei 8.666, de 1993</w:t>
      </w:r>
      <w:r w:rsidR="00F3144A" w:rsidRPr="00CB036A">
        <w:rPr>
          <w:sz w:val="22"/>
        </w:rPr>
        <w:t xml:space="preserve">), não cabendo ao consultor jurídico esquivar-se de tal responsabilidade, </w:t>
      </w:r>
      <w:r w:rsidR="00B06D33" w:rsidRPr="00CB036A">
        <w:rPr>
          <w:sz w:val="22"/>
        </w:rPr>
        <w:t>por não ser</w:t>
      </w:r>
      <w:r w:rsidR="00F3144A" w:rsidRPr="00CB036A">
        <w:rPr>
          <w:sz w:val="22"/>
        </w:rPr>
        <w:t xml:space="preserve"> tal ato meramente opinativo. Para o relator, “</w:t>
      </w:r>
      <w:r w:rsidR="00F3144A" w:rsidRPr="00CB036A">
        <w:rPr>
          <w:i/>
          <w:sz w:val="22"/>
        </w:rPr>
        <w:t>da leitura do parágrafo único do art. 38 da Lei 8.666/1993 (examinar e aprovar), combinada com a do art. 11 da Lei Complementar 73/1993 (examinar prévia e conclusivamente), depreende-se que, para prática dos atos nele especificados, o gestor depende de pronunciamento favorável da consultoria jurídica, revelando-se a aprovação verdadeiro ato administrativo. Sem ela, o ato ao qual adere é imperfeito</w:t>
      </w:r>
      <w:r w:rsidR="00F3144A" w:rsidRPr="00CB036A">
        <w:rPr>
          <w:sz w:val="22"/>
        </w:rPr>
        <w:t>”.</w:t>
      </w:r>
      <w:r w:rsidR="002415A6" w:rsidRPr="00CB036A">
        <w:rPr>
          <w:sz w:val="22"/>
        </w:rPr>
        <w:t xml:space="preserve"> Dessa forma, “</w:t>
      </w:r>
      <w:r w:rsidR="002415A6" w:rsidRPr="00CB036A">
        <w:rPr>
          <w:i/>
          <w:sz w:val="22"/>
        </w:rPr>
        <w:t xml:space="preserve">ao examinar e aprovar (art. 38, </w:t>
      </w:r>
      <w:r w:rsidR="00B06D33" w:rsidRPr="00CB036A">
        <w:rPr>
          <w:i/>
          <w:sz w:val="22"/>
        </w:rPr>
        <w:t>parágrafo</w:t>
      </w:r>
      <w:r w:rsidR="002415A6" w:rsidRPr="00CB036A">
        <w:rPr>
          <w:i/>
          <w:sz w:val="22"/>
        </w:rPr>
        <w:t xml:space="preserve"> único, da Lei nº 8.666/93), ou de outra forma, ao examinar prévia e conclusivamente (art. 11 da LC 73/93) os atos de licitação, a assessoria jurídica assume responsabilidade pessoal e solidária pelo que foi praticado, não se podendo falar em parecer apenas opinativo</w:t>
      </w:r>
      <w:r w:rsidR="002415A6" w:rsidRPr="00CB036A">
        <w:rPr>
          <w:sz w:val="22"/>
        </w:rPr>
        <w:t xml:space="preserve">”. Todavia, </w:t>
      </w:r>
      <w:r w:rsidR="006017DF" w:rsidRPr="00CB036A">
        <w:rPr>
          <w:sz w:val="22"/>
        </w:rPr>
        <w:t xml:space="preserve">por considerar que a irregularidade percebida não seria suficiente para macular a gestão das responsáveis da área jurídica da instituição, o relator </w:t>
      </w:r>
      <w:r w:rsidR="003B391B" w:rsidRPr="00CB036A">
        <w:rPr>
          <w:sz w:val="22"/>
        </w:rPr>
        <w:t>votou</w:t>
      </w:r>
      <w:r w:rsidR="006017DF" w:rsidRPr="00CB036A">
        <w:rPr>
          <w:sz w:val="22"/>
        </w:rPr>
        <w:t xml:space="preserve"> </w:t>
      </w:r>
      <w:r w:rsidR="003B391B" w:rsidRPr="00CB036A">
        <w:rPr>
          <w:sz w:val="22"/>
        </w:rPr>
        <w:t xml:space="preserve">pela </w:t>
      </w:r>
      <w:r w:rsidR="006017DF" w:rsidRPr="00CB036A">
        <w:rPr>
          <w:sz w:val="22"/>
        </w:rPr>
        <w:t xml:space="preserve">regularidade, com ressalvas, </w:t>
      </w:r>
      <w:r w:rsidR="003B391B" w:rsidRPr="00CB036A">
        <w:rPr>
          <w:sz w:val="22"/>
        </w:rPr>
        <w:t>das contas de tais agentes</w:t>
      </w:r>
      <w:r w:rsidR="00B06D33" w:rsidRPr="00CB036A">
        <w:rPr>
          <w:sz w:val="22"/>
        </w:rPr>
        <w:t>, sem prejuízo de expedir determinações corretivas para as futuras licitações a serem promovidas pelo MTur</w:t>
      </w:r>
      <w:r w:rsidR="003B391B" w:rsidRPr="00CB036A">
        <w:rPr>
          <w:sz w:val="22"/>
        </w:rPr>
        <w:t>. Ao acolher o voto do relator, o Tribunal ementou o entendimento de que “</w:t>
      </w:r>
      <w:r w:rsidR="003B391B" w:rsidRPr="00CB036A">
        <w:rPr>
          <w:i/>
          <w:sz w:val="22"/>
        </w:rPr>
        <w:t>a emissão de pareceres técnico-jurídicos, no exercício das atribuições de procurador federal, que impliquem a aprovação ou ratificação de termo de convênio e aditivos (art. 38 da Lei 8.666/93), autoriza, em casos de expressa violação da lei, a responsabilização solidária do emissor, já que a manifestação do setor técnico fundamenta a decisão do administrador</w:t>
      </w:r>
      <w:r w:rsidR="003B391B" w:rsidRPr="00CB036A">
        <w:rPr>
          <w:sz w:val="22"/>
        </w:rPr>
        <w:t xml:space="preserve">”. Precedentes citados: </w:t>
      </w:r>
      <w:r w:rsidR="003B391B" w:rsidRPr="00CB036A">
        <w:rPr>
          <w:rFonts w:ascii="Times" w:hAnsi="Times" w:cs="Times"/>
          <w:sz w:val="22"/>
        </w:rPr>
        <w:t>Acórdãos n</w:t>
      </w:r>
      <w:r w:rsidR="003B391B" w:rsidRPr="00CB036A">
        <w:rPr>
          <w:rFonts w:ascii="Times" w:hAnsi="Times" w:cs="Times"/>
          <w:sz w:val="22"/>
          <w:u w:val="single"/>
          <w:vertAlign w:val="superscript"/>
        </w:rPr>
        <w:t>os</w:t>
      </w:r>
      <w:r w:rsidR="003B391B" w:rsidRPr="00CB036A">
        <w:rPr>
          <w:rFonts w:ascii="Times" w:hAnsi="Times" w:cs="Times"/>
          <w:sz w:val="22"/>
        </w:rPr>
        <w:t xml:space="preserve"> 462/2003 e 147/2006,</w:t>
      </w:r>
      <w:r w:rsidR="00D55972" w:rsidRPr="00CB036A">
        <w:rPr>
          <w:rFonts w:ascii="Times" w:hAnsi="Times" w:cs="Times"/>
          <w:sz w:val="22"/>
        </w:rPr>
        <w:t xml:space="preserve"> ambos do Plenário. </w:t>
      </w:r>
      <w:r w:rsidRPr="00CB036A">
        <w:rPr>
          <w:b/>
          <w:i/>
          <w:sz w:val="22"/>
        </w:rPr>
        <w:t>Acórdão n.º 1337/2011-Plenário, TC-018.887/2008-1, rel. Min. Walton Alencar Rodrigues, 25.05.2011.</w:t>
      </w:r>
    </w:p>
    <w:p w:rsidR="000540FC" w:rsidRPr="00CB036A" w:rsidRDefault="000540FC" w:rsidP="00CB036A">
      <w:pPr>
        <w:pStyle w:val="TCU-RelVoto-demais"/>
        <w:spacing w:after="0"/>
        <w:rPr>
          <w:color w:val="FF0000"/>
          <w:sz w:val="22"/>
        </w:rPr>
      </w:pPr>
    </w:p>
    <w:p w:rsidR="00661BD2" w:rsidRPr="00CB036A" w:rsidRDefault="00277F47" w:rsidP="00CB036A">
      <w:pPr>
        <w:tabs>
          <w:tab w:val="left" w:pos="851"/>
        </w:tabs>
        <w:spacing w:after="0"/>
        <w:ind w:left="0"/>
        <w:rPr>
          <w:b/>
          <w:sz w:val="22"/>
          <w:szCs w:val="22"/>
        </w:rPr>
      </w:pPr>
      <w:r w:rsidRPr="00CB036A">
        <w:rPr>
          <w:b/>
          <w:sz w:val="22"/>
          <w:szCs w:val="22"/>
        </w:rPr>
        <w:t xml:space="preserve">Aquisição de produtos hospitalares: </w:t>
      </w:r>
      <w:r w:rsidR="006A21CC" w:rsidRPr="00CB036A">
        <w:rPr>
          <w:b/>
          <w:sz w:val="22"/>
          <w:szCs w:val="22"/>
        </w:rPr>
        <w:t xml:space="preserve">1 </w:t>
      </w:r>
      <w:r w:rsidR="00661BD2" w:rsidRPr="00CB036A">
        <w:rPr>
          <w:b/>
          <w:sz w:val="22"/>
          <w:szCs w:val="22"/>
        </w:rPr>
        <w:t>–</w:t>
      </w:r>
      <w:r w:rsidR="006A21CC" w:rsidRPr="00CB036A">
        <w:rPr>
          <w:b/>
          <w:sz w:val="22"/>
          <w:szCs w:val="22"/>
        </w:rPr>
        <w:t xml:space="preserve"> </w:t>
      </w:r>
      <w:r w:rsidR="00B06D33" w:rsidRPr="00CB036A">
        <w:rPr>
          <w:b/>
          <w:sz w:val="22"/>
          <w:szCs w:val="22"/>
        </w:rPr>
        <w:t>A participação de parecerista técnico em fraude à licitação pode ensejar sua responsabilização</w:t>
      </w:r>
    </w:p>
    <w:p w:rsidR="007C08AB" w:rsidRPr="00CB036A" w:rsidRDefault="00B56396" w:rsidP="00CB036A">
      <w:pPr>
        <w:tabs>
          <w:tab w:val="left" w:pos="851"/>
        </w:tabs>
        <w:spacing w:after="0"/>
        <w:ind w:left="0"/>
        <w:rPr>
          <w:b/>
          <w:i/>
          <w:sz w:val="22"/>
          <w:szCs w:val="22"/>
        </w:rPr>
      </w:pPr>
      <w:r w:rsidRPr="00CB036A">
        <w:rPr>
          <w:sz w:val="22"/>
          <w:szCs w:val="22"/>
          <w:lang w:eastAsia="pt-BR"/>
        </w:rPr>
        <w:t xml:space="preserve">Mediante tomada de contas especial, o Tribunal </w:t>
      </w:r>
      <w:r w:rsidR="006A21CC" w:rsidRPr="00CB036A">
        <w:rPr>
          <w:sz w:val="22"/>
          <w:szCs w:val="22"/>
          <w:lang w:eastAsia="pt-BR"/>
        </w:rPr>
        <w:t xml:space="preserve">apurou </w:t>
      </w:r>
      <w:r w:rsidRPr="00CB036A">
        <w:rPr>
          <w:sz w:val="22"/>
          <w:szCs w:val="22"/>
          <w:lang w:eastAsia="pt-BR"/>
        </w:rPr>
        <w:t xml:space="preserve">potencial sobrepreço </w:t>
      </w:r>
      <w:r w:rsidR="00606F56" w:rsidRPr="00CB036A">
        <w:rPr>
          <w:sz w:val="22"/>
          <w:szCs w:val="22"/>
          <w:lang w:eastAsia="pt-BR"/>
        </w:rPr>
        <w:t xml:space="preserve">em aquisições de próteses não constantes </w:t>
      </w:r>
      <w:r w:rsidR="00606F56" w:rsidRPr="00CB036A">
        <w:rPr>
          <w:iCs/>
          <w:sz w:val="22"/>
          <w:szCs w:val="22"/>
          <w:lang w:eastAsia="pt-BR"/>
        </w:rPr>
        <w:t>da tabela de órteses e próteses médicas do Sistema Único de Saúde – (SUS),</w:t>
      </w:r>
      <w:r w:rsidR="00606F56" w:rsidRPr="00CB036A">
        <w:rPr>
          <w:sz w:val="22"/>
          <w:szCs w:val="22"/>
          <w:lang w:eastAsia="pt-BR"/>
        </w:rPr>
        <w:t xml:space="preserve"> </w:t>
      </w:r>
      <w:r w:rsidR="006A21CC" w:rsidRPr="00CB036A">
        <w:rPr>
          <w:sz w:val="22"/>
          <w:szCs w:val="22"/>
          <w:lang w:eastAsia="pt-BR"/>
        </w:rPr>
        <w:t>realiza</w:t>
      </w:r>
      <w:r w:rsidR="00606F56" w:rsidRPr="00CB036A">
        <w:rPr>
          <w:sz w:val="22"/>
          <w:szCs w:val="22"/>
          <w:lang w:eastAsia="pt-BR"/>
        </w:rPr>
        <w:t>das</w:t>
      </w:r>
      <w:r w:rsidR="006A21CC" w:rsidRPr="00CB036A">
        <w:rPr>
          <w:sz w:val="22"/>
          <w:szCs w:val="22"/>
          <w:lang w:eastAsia="pt-BR"/>
        </w:rPr>
        <w:t xml:space="preserve"> pel</w:t>
      </w:r>
      <w:r w:rsidR="00606F56" w:rsidRPr="00CB036A">
        <w:rPr>
          <w:sz w:val="22"/>
          <w:szCs w:val="22"/>
          <w:lang w:eastAsia="pt-BR"/>
        </w:rPr>
        <w:t>o Hospital Cristo Redentor (HCR),</w:t>
      </w:r>
      <w:r w:rsidRPr="00CB036A">
        <w:rPr>
          <w:sz w:val="22"/>
          <w:szCs w:val="22"/>
          <w:lang w:eastAsia="pt-BR"/>
        </w:rPr>
        <w:t xml:space="preserve"> integrante do Grupo Hospitalar Conceição. Para a unidade instrutiva, um dos responsáveis, </w:t>
      </w:r>
      <w:r w:rsidR="00AD283D" w:rsidRPr="00CB036A">
        <w:rPr>
          <w:sz w:val="22"/>
          <w:szCs w:val="22"/>
          <w:lang w:eastAsia="pt-BR"/>
        </w:rPr>
        <w:t xml:space="preserve">Coordenador do Centro de Resultados em Traumato-Ortopedia, </w:t>
      </w:r>
      <w:r w:rsidRPr="00CB036A">
        <w:rPr>
          <w:sz w:val="22"/>
          <w:szCs w:val="22"/>
          <w:lang w:eastAsia="pt-BR"/>
        </w:rPr>
        <w:t xml:space="preserve">que </w:t>
      </w:r>
      <w:r w:rsidR="006A21CC" w:rsidRPr="00CB036A">
        <w:rPr>
          <w:sz w:val="22"/>
          <w:szCs w:val="22"/>
          <w:lang w:eastAsia="pt-BR"/>
        </w:rPr>
        <w:t>emitira</w:t>
      </w:r>
      <w:r w:rsidRPr="00CB036A">
        <w:rPr>
          <w:sz w:val="22"/>
          <w:szCs w:val="22"/>
          <w:lang w:eastAsia="pt-BR"/>
        </w:rPr>
        <w:t xml:space="preserve"> pareceres técnicos quanto às aquisições das próteses, fora fundamental para a perpetração dos prejuízos, com sua atuação</w:t>
      </w:r>
      <w:r w:rsidR="00B06D33" w:rsidRPr="00CB036A">
        <w:rPr>
          <w:sz w:val="22"/>
          <w:szCs w:val="22"/>
          <w:lang w:eastAsia="pt-BR"/>
        </w:rPr>
        <w:t>,</w:t>
      </w:r>
      <w:r w:rsidRPr="00CB036A">
        <w:rPr>
          <w:sz w:val="22"/>
          <w:szCs w:val="22"/>
          <w:lang w:eastAsia="pt-BR"/>
        </w:rPr>
        <w:t xml:space="preserve"> consistindo </w:t>
      </w:r>
      <w:r w:rsidR="00B06D33" w:rsidRPr="00CB036A">
        <w:rPr>
          <w:sz w:val="22"/>
          <w:szCs w:val="22"/>
          <w:lang w:eastAsia="pt-BR"/>
        </w:rPr>
        <w:t xml:space="preserve">essa </w:t>
      </w:r>
      <w:r w:rsidRPr="00CB036A">
        <w:rPr>
          <w:sz w:val="22"/>
          <w:szCs w:val="22"/>
          <w:lang w:eastAsia="pt-BR"/>
        </w:rPr>
        <w:t xml:space="preserve">em </w:t>
      </w:r>
      <w:r w:rsidRPr="00CB036A">
        <w:rPr>
          <w:iCs/>
          <w:sz w:val="22"/>
          <w:szCs w:val="22"/>
          <w:lang w:eastAsia="pt-BR"/>
        </w:rPr>
        <w:t>dar</w:t>
      </w:r>
      <w:r w:rsidR="00AD283D" w:rsidRPr="00CB036A">
        <w:rPr>
          <w:iCs/>
          <w:sz w:val="22"/>
          <w:szCs w:val="22"/>
          <w:lang w:eastAsia="pt-BR"/>
        </w:rPr>
        <w:t>, ou não, a depender do caso, p</w:t>
      </w:r>
      <w:r w:rsidRPr="00CB036A">
        <w:rPr>
          <w:iCs/>
          <w:sz w:val="22"/>
          <w:szCs w:val="22"/>
          <w:lang w:eastAsia="pt-BR"/>
        </w:rPr>
        <w:t xml:space="preserve">arecer </w:t>
      </w:r>
      <w:r w:rsidR="00AD283D" w:rsidRPr="00CB036A">
        <w:rPr>
          <w:iCs/>
          <w:sz w:val="22"/>
          <w:szCs w:val="22"/>
          <w:lang w:eastAsia="pt-BR"/>
        </w:rPr>
        <w:t>t</w:t>
      </w:r>
      <w:r w:rsidRPr="00CB036A">
        <w:rPr>
          <w:iCs/>
          <w:sz w:val="22"/>
          <w:szCs w:val="22"/>
          <w:lang w:eastAsia="pt-BR"/>
        </w:rPr>
        <w:t>écnico</w:t>
      </w:r>
      <w:r w:rsidR="00AD283D" w:rsidRPr="00CB036A">
        <w:rPr>
          <w:iCs/>
          <w:sz w:val="22"/>
          <w:szCs w:val="22"/>
          <w:lang w:eastAsia="pt-BR"/>
        </w:rPr>
        <w:t xml:space="preserve"> em favor de determinadas empresas, de maneira à apenas legitimar aquisições que já tinham sido procedidas, em espécie de simulacro licitatório. </w:t>
      </w:r>
      <w:r w:rsidR="006A21CC" w:rsidRPr="00CB036A">
        <w:rPr>
          <w:iCs/>
          <w:sz w:val="22"/>
          <w:szCs w:val="22"/>
          <w:lang w:eastAsia="pt-BR"/>
        </w:rPr>
        <w:t>Nesse quadro, a</w:t>
      </w:r>
      <w:r w:rsidR="00AD283D" w:rsidRPr="00CB036A">
        <w:rPr>
          <w:iCs/>
          <w:sz w:val="22"/>
          <w:szCs w:val="22"/>
          <w:lang w:eastAsia="pt-BR"/>
        </w:rPr>
        <w:t xml:space="preserve"> unidade técnica refutou o argumento de que</w:t>
      </w:r>
      <w:r w:rsidR="006A21CC" w:rsidRPr="00CB036A">
        <w:rPr>
          <w:iCs/>
          <w:sz w:val="22"/>
          <w:szCs w:val="22"/>
          <w:lang w:eastAsia="pt-BR"/>
        </w:rPr>
        <w:t>,</w:t>
      </w:r>
      <w:r w:rsidR="00AD283D" w:rsidRPr="00CB036A">
        <w:rPr>
          <w:iCs/>
          <w:sz w:val="22"/>
          <w:szCs w:val="22"/>
          <w:lang w:eastAsia="pt-BR"/>
        </w:rPr>
        <w:t xml:space="preserve"> por conta da discricionariedade existente nos pareceres emitidos, o responsável não poderia ser alcançado pelo TCU. Para ela, a discricionariedade mencionada não serviria de </w:t>
      </w:r>
      <w:r w:rsidR="00661BD2" w:rsidRPr="00CB036A">
        <w:rPr>
          <w:iCs/>
          <w:sz w:val="22"/>
          <w:szCs w:val="22"/>
          <w:lang w:eastAsia="pt-BR"/>
        </w:rPr>
        <w:t>‘</w:t>
      </w:r>
      <w:r w:rsidR="00AD283D" w:rsidRPr="00CB036A">
        <w:rPr>
          <w:iCs/>
          <w:sz w:val="22"/>
          <w:szCs w:val="22"/>
          <w:lang w:eastAsia="pt-BR"/>
        </w:rPr>
        <w:t>carta-branca</w:t>
      </w:r>
      <w:r w:rsidR="00661BD2" w:rsidRPr="00CB036A">
        <w:rPr>
          <w:iCs/>
          <w:sz w:val="22"/>
          <w:szCs w:val="22"/>
          <w:lang w:eastAsia="pt-BR"/>
        </w:rPr>
        <w:t>’</w:t>
      </w:r>
      <w:r w:rsidR="00AD283D" w:rsidRPr="00CB036A">
        <w:rPr>
          <w:iCs/>
          <w:sz w:val="22"/>
          <w:szCs w:val="22"/>
          <w:lang w:eastAsia="pt-BR"/>
        </w:rPr>
        <w:t xml:space="preserve">, a permitir </w:t>
      </w:r>
      <w:r w:rsidR="006A21CC" w:rsidRPr="00CB036A">
        <w:rPr>
          <w:iCs/>
          <w:sz w:val="22"/>
          <w:szCs w:val="22"/>
          <w:lang w:eastAsia="pt-BR"/>
        </w:rPr>
        <w:t>a</w:t>
      </w:r>
      <w:r w:rsidR="00AD283D" w:rsidRPr="00CB036A">
        <w:rPr>
          <w:iCs/>
          <w:sz w:val="22"/>
          <w:szCs w:val="22"/>
          <w:lang w:eastAsia="pt-BR"/>
        </w:rPr>
        <w:t>o parecerista agir do modo que bem entendesse</w:t>
      </w:r>
      <w:r w:rsidRPr="00CB036A">
        <w:rPr>
          <w:sz w:val="22"/>
          <w:szCs w:val="22"/>
          <w:lang w:eastAsia="pt-BR"/>
        </w:rPr>
        <w:t xml:space="preserve">. </w:t>
      </w:r>
      <w:r w:rsidR="00AD283D" w:rsidRPr="00CB036A">
        <w:rPr>
          <w:sz w:val="22"/>
          <w:szCs w:val="22"/>
          <w:lang w:eastAsia="pt-BR"/>
        </w:rPr>
        <w:t>Ao tratar da questão, o relator</w:t>
      </w:r>
      <w:r w:rsidR="00C00953" w:rsidRPr="00CB036A">
        <w:rPr>
          <w:sz w:val="22"/>
          <w:szCs w:val="22"/>
          <w:lang w:eastAsia="pt-BR"/>
        </w:rPr>
        <w:t xml:space="preserve"> </w:t>
      </w:r>
      <w:r w:rsidR="00AD283D" w:rsidRPr="00CB036A">
        <w:rPr>
          <w:sz w:val="22"/>
          <w:szCs w:val="22"/>
          <w:lang w:eastAsia="pt-BR"/>
        </w:rPr>
        <w:t>entendeu que a atuação do Coordenador do Centro de Resultados em Traumato-Ortopedia fora determinante para o direcionamento dos processos licitatórios e para os prejuízos decorrentes</w:t>
      </w:r>
      <w:r w:rsidR="007666D8" w:rsidRPr="00CB036A">
        <w:rPr>
          <w:sz w:val="22"/>
          <w:szCs w:val="22"/>
          <w:lang w:eastAsia="pt-BR"/>
        </w:rPr>
        <w:t>. Quanto às empresas beneficiárias do esquema engendrado, destacou o relator que “</w:t>
      </w:r>
      <w:r w:rsidR="007666D8" w:rsidRPr="00CB036A">
        <w:rPr>
          <w:i/>
          <w:sz w:val="22"/>
          <w:szCs w:val="22"/>
          <w:lang w:eastAsia="pt-BR"/>
        </w:rPr>
        <w:t>não se pode inferir o desconhecimento do caráter dissimulado das licitações de que participavam, mesmo porque já haviam fornecido os produtos a serem comprados</w:t>
      </w:r>
      <w:r w:rsidR="007666D8" w:rsidRPr="00CB036A">
        <w:rPr>
          <w:sz w:val="22"/>
          <w:szCs w:val="22"/>
          <w:lang w:eastAsia="pt-BR"/>
        </w:rPr>
        <w:t xml:space="preserve">”. Restaria evidenciada, portanto, a atuação de tais empresas na fraude, com vistas à obtenção de vantagem indevida. </w:t>
      </w:r>
      <w:r w:rsidR="00277F47" w:rsidRPr="00CB036A">
        <w:rPr>
          <w:sz w:val="22"/>
          <w:szCs w:val="22"/>
          <w:lang w:eastAsia="pt-BR"/>
        </w:rPr>
        <w:t>Por conseguinte</w:t>
      </w:r>
      <w:r w:rsidR="007666D8" w:rsidRPr="00CB036A">
        <w:rPr>
          <w:sz w:val="22"/>
          <w:szCs w:val="22"/>
          <w:lang w:eastAsia="pt-BR"/>
        </w:rPr>
        <w:t xml:space="preserve">, </w:t>
      </w:r>
      <w:r w:rsidR="00606F56" w:rsidRPr="00CB036A">
        <w:rPr>
          <w:sz w:val="22"/>
          <w:szCs w:val="22"/>
          <w:lang w:eastAsia="pt-BR"/>
        </w:rPr>
        <w:t>votou</w:t>
      </w:r>
      <w:r w:rsidR="007666D8" w:rsidRPr="00CB036A">
        <w:rPr>
          <w:sz w:val="22"/>
          <w:szCs w:val="22"/>
          <w:lang w:eastAsia="pt-BR"/>
        </w:rPr>
        <w:t xml:space="preserve"> </w:t>
      </w:r>
      <w:r w:rsidR="00606F56" w:rsidRPr="00CB036A">
        <w:rPr>
          <w:sz w:val="22"/>
          <w:szCs w:val="22"/>
          <w:lang w:eastAsia="pt-BR"/>
        </w:rPr>
        <w:t>por que fossem julgadas</w:t>
      </w:r>
      <w:r w:rsidR="007666D8" w:rsidRPr="00CB036A">
        <w:rPr>
          <w:sz w:val="22"/>
          <w:szCs w:val="22"/>
          <w:lang w:eastAsia="pt-BR"/>
        </w:rPr>
        <w:t xml:space="preserve"> </w:t>
      </w:r>
      <w:r w:rsidR="00606F56" w:rsidRPr="00CB036A">
        <w:rPr>
          <w:sz w:val="22"/>
          <w:szCs w:val="22"/>
          <w:lang w:eastAsia="pt-BR"/>
        </w:rPr>
        <w:t xml:space="preserve">irregulares as </w:t>
      </w:r>
      <w:r w:rsidR="007666D8" w:rsidRPr="00CB036A">
        <w:rPr>
          <w:sz w:val="22"/>
          <w:szCs w:val="22"/>
          <w:lang w:eastAsia="pt-BR"/>
        </w:rPr>
        <w:t>contas do responsável em questão, condenando-o, solidariamente</w:t>
      </w:r>
      <w:r w:rsidR="00606F56" w:rsidRPr="00CB036A">
        <w:rPr>
          <w:sz w:val="22"/>
          <w:szCs w:val="22"/>
          <w:lang w:eastAsia="pt-BR"/>
        </w:rPr>
        <w:t xml:space="preserve"> com as empresas beneficiárias</w:t>
      </w:r>
      <w:r w:rsidR="007666D8" w:rsidRPr="00CB036A">
        <w:rPr>
          <w:sz w:val="22"/>
          <w:szCs w:val="22"/>
          <w:lang w:eastAsia="pt-BR"/>
        </w:rPr>
        <w:t xml:space="preserve">, ao recolhimento do débito apurado, </w:t>
      </w:r>
      <w:r w:rsidR="00606F56" w:rsidRPr="00CB036A">
        <w:rPr>
          <w:sz w:val="22"/>
          <w:szCs w:val="22"/>
          <w:lang w:eastAsia="pt-BR"/>
        </w:rPr>
        <w:t>s</w:t>
      </w:r>
      <w:r w:rsidR="007666D8" w:rsidRPr="00CB036A">
        <w:rPr>
          <w:sz w:val="22"/>
          <w:szCs w:val="22"/>
          <w:lang w:eastAsia="pt-BR"/>
        </w:rPr>
        <w:t xml:space="preserve">em prejuízo </w:t>
      </w:r>
      <w:r w:rsidR="00606F56" w:rsidRPr="00CB036A">
        <w:rPr>
          <w:sz w:val="22"/>
          <w:szCs w:val="22"/>
          <w:lang w:eastAsia="pt-BR"/>
        </w:rPr>
        <w:t xml:space="preserve">da aplicação de multa a todos. Votou, ainda, pela declaração de inidoneidade das empresas participantes </w:t>
      </w:r>
      <w:r w:rsidR="00142C16" w:rsidRPr="00CB036A">
        <w:rPr>
          <w:sz w:val="22"/>
          <w:szCs w:val="22"/>
          <w:lang w:eastAsia="pt-BR"/>
        </w:rPr>
        <w:t>do esquema fraudulento.</w:t>
      </w:r>
      <w:r w:rsidR="00AD283D" w:rsidRPr="00CB036A">
        <w:rPr>
          <w:sz w:val="22"/>
          <w:szCs w:val="22"/>
          <w:lang w:eastAsia="pt-BR"/>
        </w:rPr>
        <w:t xml:space="preserve"> </w:t>
      </w:r>
      <w:r w:rsidR="00372E83" w:rsidRPr="00CB036A">
        <w:rPr>
          <w:sz w:val="22"/>
          <w:szCs w:val="22"/>
          <w:lang w:eastAsia="pt-BR"/>
        </w:rPr>
        <w:t>Nos termos do voto do relator, o Plenário manifestou sua concordância.</w:t>
      </w:r>
      <w:r w:rsidR="007C08AB" w:rsidRPr="00CB036A">
        <w:rPr>
          <w:sz w:val="22"/>
          <w:szCs w:val="22"/>
          <w:lang w:eastAsia="pt-BR"/>
        </w:rPr>
        <w:t xml:space="preserve"> </w:t>
      </w:r>
      <w:r w:rsidR="007C08AB" w:rsidRPr="00CB036A">
        <w:rPr>
          <w:b/>
          <w:i/>
          <w:sz w:val="22"/>
          <w:szCs w:val="22"/>
        </w:rPr>
        <w:t>Acórdão n.</w:t>
      </w:r>
      <w:r w:rsidR="00D02757" w:rsidRPr="00CB036A">
        <w:rPr>
          <w:b/>
          <w:i/>
          <w:sz w:val="22"/>
          <w:szCs w:val="22"/>
        </w:rPr>
        <w:t>º 1380/2011-Plenário, TC-026.011/2008-4</w:t>
      </w:r>
      <w:r w:rsidR="007C08AB" w:rsidRPr="00CB036A">
        <w:rPr>
          <w:b/>
          <w:i/>
          <w:sz w:val="22"/>
          <w:szCs w:val="22"/>
        </w:rPr>
        <w:t xml:space="preserve">, rel. Min. José Múcio, </w:t>
      </w:r>
      <w:r w:rsidR="00D02757" w:rsidRPr="00CB036A">
        <w:rPr>
          <w:b/>
          <w:i/>
          <w:sz w:val="22"/>
          <w:szCs w:val="22"/>
        </w:rPr>
        <w:t>25</w:t>
      </w:r>
      <w:r w:rsidR="007C08AB" w:rsidRPr="00CB036A">
        <w:rPr>
          <w:b/>
          <w:i/>
          <w:sz w:val="22"/>
          <w:szCs w:val="22"/>
        </w:rPr>
        <w:t>.05.2011.</w:t>
      </w:r>
    </w:p>
    <w:p w:rsidR="007C08AB" w:rsidRPr="00CB036A" w:rsidRDefault="007C08AB" w:rsidP="00CB036A">
      <w:pPr>
        <w:pStyle w:val="TCU-RelVoto-demais"/>
        <w:tabs>
          <w:tab w:val="left" w:pos="2590"/>
        </w:tabs>
        <w:spacing w:after="0"/>
        <w:rPr>
          <w:b/>
          <w:sz w:val="22"/>
        </w:rPr>
      </w:pPr>
    </w:p>
    <w:p w:rsidR="00661BD2" w:rsidRPr="00CB036A" w:rsidRDefault="00661BD2" w:rsidP="00CB036A">
      <w:pPr>
        <w:tabs>
          <w:tab w:val="left" w:pos="851"/>
        </w:tabs>
        <w:spacing w:after="0"/>
        <w:ind w:left="0"/>
        <w:rPr>
          <w:b/>
          <w:sz w:val="22"/>
          <w:szCs w:val="22"/>
        </w:rPr>
      </w:pPr>
      <w:r w:rsidRPr="00CB036A">
        <w:rPr>
          <w:b/>
          <w:sz w:val="22"/>
          <w:szCs w:val="22"/>
        </w:rPr>
        <w:t>Aquisição de produtos hospitalar</w:t>
      </w:r>
      <w:r w:rsidR="00277F47" w:rsidRPr="00CB036A">
        <w:rPr>
          <w:b/>
          <w:sz w:val="22"/>
          <w:szCs w:val="22"/>
        </w:rPr>
        <w:t>es</w:t>
      </w:r>
      <w:r w:rsidRPr="00CB036A">
        <w:rPr>
          <w:b/>
          <w:sz w:val="22"/>
          <w:szCs w:val="22"/>
        </w:rPr>
        <w:t xml:space="preserve">: 2 – </w:t>
      </w:r>
      <w:r w:rsidR="00E93620" w:rsidRPr="00CB036A">
        <w:rPr>
          <w:b/>
          <w:sz w:val="22"/>
          <w:szCs w:val="22"/>
        </w:rPr>
        <w:t xml:space="preserve">Compras, sempre que possível, devem ser planejadas com base nos </w:t>
      </w:r>
      <w:r w:rsidR="00E93620" w:rsidRPr="00CB036A">
        <w:rPr>
          <w:b/>
          <w:sz w:val="22"/>
          <w:szCs w:val="22"/>
          <w:lang w:eastAsia="pt-BR"/>
        </w:rPr>
        <w:t>registros de consumo dos materiais</w:t>
      </w:r>
    </w:p>
    <w:p w:rsidR="00606F56" w:rsidRPr="00CB036A" w:rsidRDefault="00277F47" w:rsidP="00CB036A">
      <w:pPr>
        <w:tabs>
          <w:tab w:val="left" w:pos="851"/>
        </w:tabs>
        <w:spacing w:after="0"/>
        <w:ind w:left="0"/>
        <w:rPr>
          <w:b/>
          <w:i/>
          <w:sz w:val="22"/>
          <w:szCs w:val="22"/>
        </w:rPr>
      </w:pPr>
      <w:r w:rsidRPr="00CB036A">
        <w:rPr>
          <w:sz w:val="22"/>
          <w:szCs w:val="22"/>
          <w:lang w:eastAsia="pt-BR"/>
        </w:rPr>
        <w:t>Ainda na</w:t>
      </w:r>
      <w:r w:rsidR="006A21CC" w:rsidRPr="00CB036A">
        <w:rPr>
          <w:sz w:val="22"/>
          <w:szCs w:val="22"/>
          <w:lang w:eastAsia="pt-BR"/>
        </w:rPr>
        <w:t xml:space="preserve"> tomada de contas especial</w:t>
      </w:r>
      <w:r w:rsidRPr="00CB036A">
        <w:rPr>
          <w:sz w:val="22"/>
          <w:szCs w:val="22"/>
          <w:lang w:eastAsia="pt-BR"/>
        </w:rPr>
        <w:t xml:space="preserve"> que </w:t>
      </w:r>
      <w:r w:rsidR="006A21CC" w:rsidRPr="00CB036A">
        <w:rPr>
          <w:sz w:val="22"/>
          <w:szCs w:val="22"/>
          <w:lang w:eastAsia="pt-BR"/>
        </w:rPr>
        <w:t xml:space="preserve">apurou potencial sobrepreço em aquisições de próteses não constantes </w:t>
      </w:r>
      <w:r w:rsidR="006A21CC" w:rsidRPr="00CB036A">
        <w:rPr>
          <w:iCs/>
          <w:sz w:val="22"/>
          <w:szCs w:val="22"/>
          <w:lang w:eastAsia="pt-BR"/>
        </w:rPr>
        <w:t>da tabela de órteses e próteses médicas do Sistema Único de Saúde – (SUS),</w:t>
      </w:r>
      <w:r w:rsidR="006A21CC" w:rsidRPr="00CB036A">
        <w:rPr>
          <w:sz w:val="22"/>
          <w:szCs w:val="22"/>
          <w:lang w:eastAsia="pt-BR"/>
        </w:rPr>
        <w:t xml:space="preserve"> realizadas pelo Hospital Cristo Redentor (HCR),</w:t>
      </w:r>
      <w:r w:rsidR="00606F56" w:rsidRPr="00CB036A">
        <w:rPr>
          <w:sz w:val="22"/>
          <w:szCs w:val="22"/>
          <w:lang w:eastAsia="pt-BR"/>
        </w:rPr>
        <w:t xml:space="preserve"> </w:t>
      </w:r>
      <w:r w:rsidRPr="00CB036A">
        <w:rPr>
          <w:sz w:val="22"/>
          <w:szCs w:val="22"/>
          <w:lang w:eastAsia="pt-BR"/>
        </w:rPr>
        <w:t xml:space="preserve">o Tribunal </w:t>
      </w:r>
      <w:r w:rsidR="00142C16" w:rsidRPr="00CB036A">
        <w:rPr>
          <w:sz w:val="22"/>
          <w:szCs w:val="22"/>
          <w:lang w:eastAsia="pt-BR"/>
        </w:rPr>
        <w:t xml:space="preserve">enfrentou o argumento </w:t>
      </w:r>
      <w:r w:rsidR="00C00953" w:rsidRPr="00CB036A">
        <w:rPr>
          <w:sz w:val="22"/>
          <w:szCs w:val="22"/>
          <w:lang w:eastAsia="pt-BR"/>
        </w:rPr>
        <w:t>apresenta</w:t>
      </w:r>
      <w:r w:rsidR="00142C16" w:rsidRPr="00CB036A">
        <w:rPr>
          <w:sz w:val="22"/>
          <w:szCs w:val="22"/>
          <w:lang w:eastAsia="pt-BR"/>
        </w:rPr>
        <w:t xml:space="preserve">do </w:t>
      </w:r>
      <w:r w:rsidR="00C00953" w:rsidRPr="00CB036A">
        <w:rPr>
          <w:sz w:val="22"/>
          <w:szCs w:val="22"/>
          <w:lang w:eastAsia="pt-BR"/>
        </w:rPr>
        <w:t xml:space="preserve">pelo </w:t>
      </w:r>
      <w:r w:rsidR="00142C16" w:rsidRPr="00CB036A">
        <w:rPr>
          <w:sz w:val="22"/>
          <w:szCs w:val="22"/>
          <w:lang w:eastAsia="pt-BR"/>
        </w:rPr>
        <w:t>responsável de que as aquisições não poderiam seguir os trâmites da legalidade, porque não se saberia</w:t>
      </w:r>
      <w:r w:rsidRPr="00CB036A">
        <w:rPr>
          <w:sz w:val="22"/>
          <w:szCs w:val="22"/>
          <w:lang w:eastAsia="pt-BR"/>
        </w:rPr>
        <w:t>,</w:t>
      </w:r>
      <w:r w:rsidR="00142C16" w:rsidRPr="00CB036A">
        <w:rPr>
          <w:sz w:val="22"/>
          <w:szCs w:val="22"/>
          <w:lang w:eastAsia="pt-BR"/>
        </w:rPr>
        <w:t xml:space="preserve"> com antecedência</w:t>
      </w:r>
      <w:r w:rsidRPr="00CB036A">
        <w:rPr>
          <w:sz w:val="22"/>
          <w:szCs w:val="22"/>
          <w:lang w:eastAsia="pt-BR"/>
        </w:rPr>
        <w:t>,</w:t>
      </w:r>
      <w:r w:rsidR="00142C16" w:rsidRPr="00CB036A">
        <w:rPr>
          <w:sz w:val="22"/>
          <w:szCs w:val="22"/>
          <w:lang w:eastAsia="pt-BR"/>
        </w:rPr>
        <w:t xml:space="preserve"> a espécie de material que seria necessário</w:t>
      </w:r>
      <w:r w:rsidRPr="00CB036A">
        <w:rPr>
          <w:sz w:val="22"/>
          <w:szCs w:val="22"/>
          <w:lang w:eastAsia="pt-BR"/>
        </w:rPr>
        <w:t xml:space="preserve"> para atender as nece</w:t>
      </w:r>
      <w:r w:rsidR="00C00953" w:rsidRPr="00CB036A">
        <w:rPr>
          <w:sz w:val="22"/>
          <w:szCs w:val="22"/>
          <w:lang w:eastAsia="pt-BR"/>
        </w:rPr>
        <w:t>ssidades dos serviços de pronto</w:t>
      </w:r>
      <w:r w:rsidRPr="00CB036A">
        <w:rPr>
          <w:sz w:val="22"/>
          <w:szCs w:val="22"/>
          <w:lang w:eastAsia="pt-BR"/>
        </w:rPr>
        <w:t>–socorro do HCR</w:t>
      </w:r>
      <w:r w:rsidR="00142C16" w:rsidRPr="00CB036A">
        <w:rPr>
          <w:sz w:val="22"/>
          <w:szCs w:val="22"/>
          <w:lang w:eastAsia="pt-BR"/>
        </w:rPr>
        <w:t xml:space="preserve">. </w:t>
      </w:r>
      <w:r w:rsidRPr="00CB036A">
        <w:rPr>
          <w:sz w:val="22"/>
          <w:szCs w:val="22"/>
          <w:lang w:eastAsia="pt-BR"/>
        </w:rPr>
        <w:t>Na instrução</w:t>
      </w:r>
      <w:r w:rsidR="00142C16" w:rsidRPr="00CB036A">
        <w:rPr>
          <w:sz w:val="22"/>
          <w:szCs w:val="22"/>
          <w:lang w:eastAsia="pt-BR"/>
        </w:rPr>
        <w:t xml:space="preserve">, </w:t>
      </w:r>
      <w:r w:rsidRPr="00CB036A">
        <w:rPr>
          <w:sz w:val="22"/>
          <w:szCs w:val="22"/>
          <w:lang w:eastAsia="pt-BR"/>
        </w:rPr>
        <w:t xml:space="preserve">a unidade técnica consignou que </w:t>
      </w:r>
      <w:r w:rsidR="00142C16" w:rsidRPr="00CB036A">
        <w:rPr>
          <w:sz w:val="22"/>
          <w:szCs w:val="22"/>
          <w:lang w:eastAsia="pt-BR"/>
        </w:rPr>
        <w:t xml:space="preserve">acatar tal linha argumentativa implicaria concluir que </w:t>
      </w:r>
      <w:r w:rsidR="00142C16" w:rsidRPr="00CB036A">
        <w:rPr>
          <w:bCs/>
          <w:sz w:val="22"/>
          <w:szCs w:val="22"/>
          <w:lang w:eastAsia="pt-BR"/>
        </w:rPr>
        <w:t>qualquer material</w:t>
      </w:r>
      <w:r w:rsidR="00142C16" w:rsidRPr="00CB036A">
        <w:rPr>
          <w:sz w:val="22"/>
          <w:szCs w:val="22"/>
          <w:lang w:eastAsia="pt-BR"/>
        </w:rPr>
        <w:t xml:space="preserve"> necessário </w:t>
      </w:r>
      <w:r w:rsidR="006A21CC" w:rsidRPr="00CB036A">
        <w:rPr>
          <w:sz w:val="22"/>
          <w:szCs w:val="22"/>
          <w:lang w:eastAsia="pt-BR"/>
        </w:rPr>
        <w:t>a</w:t>
      </w:r>
      <w:r w:rsidR="00142C16" w:rsidRPr="00CB036A">
        <w:rPr>
          <w:sz w:val="22"/>
          <w:szCs w:val="22"/>
          <w:lang w:eastAsia="pt-BR"/>
        </w:rPr>
        <w:t xml:space="preserve"> um serviço de atendimento emergencial à saúde</w:t>
      </w:r>
      <w:r w:rsidR="006A21CC" w:rsidRPr="00CB036A">
        <w:rPr>
          <w:sz w:val="22"/>
          <w:szCs w:val="22"/>
          <w:lang w:eastAsia="pt-BR"/>
        </w:rPr>
        <w:t xml:space="preserve"> não poderia se submeter às disposições da Lei de Licitações</w:t>
      </w:r>
      <w:r w:rsidR="00142C16" w:rsidRPr="00CB036A">
        <w:rPr>
          <w:sz w:val="22"/>
          <w:szCs w:val="22"/>
          <w:lang w:eastAsia="pt-BR"/>
        </w:rPr>
        <w:t>.</w:t>
      </w:r>
      <w:r w:rsidR="006A21CC" w:rsidRPr="00CB036A">
        <w:rPr>
          <w:sz w:val="22"/>
          <w:szCs w:val="22"/>
          <w:lang w:eastAsia="pt-BR"/>
        </w:rPr>
        <w:t xml:space="preserve"> Ainda segundo a unidade instrutiva, “</w:t>
      </w:r>
      <w:r w:rsidR="006A21CC" w:rsidRPr="00CB036A">
        <w:rPr>
          <w:i/>
          <w:sz w:val="22"/>
          <w:szCs w:val="22"/>
          <w:lang w:eastAsia="pt-BR"/>
        </w:rPr>
        <w:t>uma instituição dotada de mínima organização gerencial deveria possuir controles estatísticos de utilização dos materiais necessários à execução de suas atividades quotidianas, utilizando como referência, por exemplo, registros de consumo desses materiais ao longo de períodos de tempo determinados</w:t>
      </w:r>
      <w:r w:rsidR="006A21CC" w:rsidRPr="00CB036A">
        <w:rPr>
          <w:sz w:val="22"/>
          <w:szCs w:val="22"/>
          <w:lang w:eastAsia="pt-BR"/>
        </w:rPr>
        <w:t>”</w:t>
      </w:r>
      <w:r w:rsidR="006A21CC" w:rsidRPr="00CB036A">
        <w:rPr>
          <w:i/>
          <w:sz w:val="22"/>
          <w:szCs w:val="22"/>
          <w:lang w:eastAsia="pt-BR"/>
        </w:rPr>
        <w:t>.</w:t>
      </w:r>
      <w:r w:rsidR="006A21CC" w:rsidRPr="00CB036A">
        <w:rPr>
          <w:sz w:val="22"/>
          <w:szCs w:val="22"/>
          <w:lang w:eastAsia="pt-BR"/>
        </w:rPr>
        <w:t xml:space="preserve"> Além disso, </w:t>
      </w:r>
      <w:r w:rsidRPr="00CB036A">
        <w:rPr>
          <w:sz w:val="22"/>
          <w:szCs w:val="22"/>
          <w:lang w:eastAsia="pt-BR"/>
        </w:rPr>
        <w:t>consoante a unidade técnica, “</w:t>
      </w:r>
      <w:r w:rsidRPr="00CB036A">
        <w:rPr>
          <w:i/>
          <w:sz w:val="22"/>
          <w:szCs w:val="22"/>
          <w:lang w:eastAsia="pt-BR"/>
        </w:rPr>
        <w:t>mesmo para casos em que a previsão estatística e o controle de consumo e demanda efetivamente não fossem possíveis, e admitimos que devam ocorrer com razoável frequência na prática médica, especialmente em instituições hospitalares que pratiquem atendimento de pronto-socorro, como é o caso do Hospital Cristo Redentor, seria possível adotar procedimentos regrados pelo ordenamento (...)</w:t>
      </w:r>
      <w:r w:rsidR="00C00953" w:rsidRPr="00CB036A">
        <w:rPr>
          <w:i/>
          <w:sz w:val="22"/>
          <w:szCs w:val="22"/>
          <w:lang w:eastAsia="pt-BR"/>
        </w:rPr>
        <w:t xml:space="preserve"> </w:t>
      </w:r>
      <w:r w:rsidRPr="00CB036A">
        <w:rPr>
          <w:i/>
          <w:sz w:val="22"/>
          <w:szCs w:val="22"/>
          <w:lang w:eastAsia="pt-BR"/>
        </w:rPr>
        <w:t>tais como o registro de preços”</w:t>
      </w:r>
      <w:r w:rsidRPr="00CB036A">
        <w:rPr>
          <w:sz w:val="22"/>
          <w:szCs w:val="22"/>
          <w:lang w:eastAsia="pt-BR"/>
        </w:rPr>
        <w:t xml:space="preserve">. </w:t>
      </w:r>
      <w:r w:rsidR="000B639F" w:rsidRPr="00CB036A">
        <w:rPr>
          <w:sz w:val="22"/>
          <w:szCs w:val="22"/>
          <w:lang w:eastAsia="pt-BR"/>
        </w:rPr>
        <w:t>C</w:t>
      </w:r>
      <w:r w:rsidRPr="00CB036A">
        <w:rPr>
          <w:sz w:val="22"/>
          <w:szCs w:val="22"/>
          <w:lang w:eastAsia="pt-BR"/>
        </w:rPr>
        <w:t>onsiderando esta e outras irregularidades</w:t>
      </w:r>
      <w:r w:rsidR="00142C16" w:rsidRPr="00CB036A">
        <w:rPr>
          <w:sz w:val="22"/>
          <w:szCs w:val="22"/>
          <w:lang w:eastAsia="pt-BR"/>
        </w:rPr>
        <w:t xml:space="preserve">, </w:t>
      </w:r>
      <w:r w:rsidRPr="00CB036A">
        <w:rPr>
          <w:sz w:val="22"/>
          <w:szCs w:val="22"/>
          <w:lang w:eastAsia="pt-BR"/>
        </w:rPr>
        <w:t xml:space="preserve">o relator </w:t>
      </w:r>
      <w:r w:rsidR="000B639F" w:rsidRPr="00CB036A">
        <w:rPr>
          <w:sz w:val="22"/>
          <w:szCs w:val="22"/>
          <w:lang w:eastAsia="pt-BR"/>
        </w:rPr>
        <w:t>votou</w:t>
      </w:r>
      <w:r w:rsidRPr="00CB036A">
        <w:rPr>
          <w:sz w:val="22"/>
          <w:szCs w:val="22"/>
          <w:lang w:eastAsia="pt-BR"/>
        </w:rPr>
        <w:t xml:space="preserve"> </w:t>
      </w:r>
      <w:r w:rsidR="00142C16" w:rsidRPr="00CB036A">
        <w:rPr>
          <w:sz w:val="22"/>
          <w:szCs w:val="22"/>
          <w:lang w:eastAsia="pt-BR"/>
        </w:rPr>
        <w:t xml:space="preserve">por que fossem julgadas irregulares as contas do responsável em questão, condenando-o, solidariamente com as empresas beneficiárias, ao recolhimento do débito apurado, sem prejuízo da aplicação de multa a todos. Votou, ainda, pela declaração de inidoneidade das empresas participantes do esquema fraudulento. Nos termos do voto do relator, o Plenário manifestou sua concordância. </w:t>
      </w:r>
      <w:r w:rsidR="00606F56" w:rsidRPr="00CB036A">
        <w:rPr>
          <w:b/>
          <w:i/>
          <w:sz w:val="22"/>
          <w:szCs w:val="22"/>
        </w:rPr>
        <w:t>Acórdão n.º 1380/2011-Plenário, TC-026.011/2008-4, rel. Min. José Múcio, 25.05.2011.</w:t>
      </w:r>
    </w:p>
    <w:p w:rsidR="002D1637" w:rsidRPr="00CB036A" w:rsidRDefault="002D1637" w:rsidP="00CB036A">
      <w:pPr>
        <w:pStyle w:val="TCU-RelVoto-demais"/>
        <w:tabs>
          <w:tab w:val="left" w:pos="2590"/>
        </w:tabs>
        <w:spacing w:after="0"/>
        <w:rPr>
          <w:b/>
          <w:color w:val="FF0000"/>
          <w:sz w:val="22"/>
        </w:rPr>
      </w:pPr>
    </w:p>
    <w:p w:rsidR="00EE05C2" w:rsidRPr="00CB036A" w:rsidRDefault="00E93620" w:rsidP="00CB036A">
      <w:pPr>
        <w:pStyle w:val="Corpodetexto"/>
        <w:tabs>
          <w:tab w:val="left" w:pos="1134"/>
          <w:tab w:val="left" w:pos="2590"/>
        </w:tabs>
        <w:spacing w:after="0"/>
        <w:ind w:left="0"/>
        <w:rPr>
          <w:b/>
          <w:sz w:val="22"/>
          <w:szCs w:val="22"/>
        </w:rPr>
      </w:pPr>
      <w:r w:rsidRPr="00CB036A">
        <w:rPr>
          <w:b/>
          <w:sz w:val="22"/>
          <w:szCs w:val="22"/>
        </w:rPr>
        <w:t xml:space="preserve">Contratação de serviços: 1 - A ocorrência de fraude comprovada à licitação sujeita as licitantes que </w:t>
      </w:r>
      <w:r w:rsidR="00B06D33" w:rsidRPr="00CB036A">
        <w:rPr>
          <w:b/>
          <w:sz w:val="22"/>
          <w:szCs w:val="22"/>
        </w:rPr>
        <w:t xml:space="preserve">a </w:t>
      </w:r>
      <w:r w:rsidRPr="00CB036A">
        <w:rPr>
          <w:b/>
          <w:sz w:val="22"/>
          <w:szCs w:val="22"/>
        </w:rPr>
        <w:t xml:space="preserve">perpetraram efetivamente à declaração de inidoneidade para participar de licitação na Administração Pública </w:t>
      </w:r>
    </w:p>
    <w:p w:rsidR="00576018" w:rsidRPr="00CB036A" w:rsidRDefault="00576018" w:rsidP="00CB036A">
      <w:pPr>
        <w:pStyle w:val="Normal-numerado-VOT01"/>
        <w:numPr>
          <w:ilvl w:val="0"/>
          <w:numId w:val="0"/>
        </w:numPr>
        <w:spacing w:before="0" w:after="0"/>
        <w:rPr>
          <w:snapToGrid w:val="0"/>
          <w:sz w:val="22"/>
          <w:szCs w:val="22"/>
        </w:rPr>
      </w:pPr>
      <w:r w:rsidRPr="00CB036A">
        <w:rPr>
          <w:sz w:val="22"/>
          <w:szCs w:val="22"/>
        </w:rPr>
        <w:t>Mediante representação, o Tribunal tratou</w:t>
      </w:r>
      <w:r w:rsidRPr="00CB036A">
        <w:rPr>
          <w:sz w:val="22"/>
          <w:szCs w:val="22"/>
          <w:lang w:eastAsia="pt-BR"/>
        </w:rPr>
        <w:t xml:space="preserve"> de possíveis irregularidades na Concorrência 159/2009, conduzida pelo Departamento Nacional de Infraestrutura de Transportes – (DNIT), cujo objeto, dividido em oito lotes, consistiu na contratação de empresas para execução dos serviços de reabilitação, manutenção, fornecimento e implantação de dispositivos de segurança do tipo defensas metálicas em rodovias federais</w:t>
      </w:r>
      <w:r w:rsidR="00E93620" w:rsidRPr="00CB036A">
        <w:rPr>
          <w:sz w:val="22"/>
          <w:szCs w:val="22"/>
          <w:lang w:eastAsia="pt-BR"/>
        </w:rPr>
        <w:t>,</w:t>
      </w:r>
      <w:r w:rsidRPr="00CB036A">
        <w:rPr>
          <w:sz w:val="22"/>
          <w:szCs w:val="22"/>
          <w:lang w:eastAsia="pt-BR"/>
        </w:rPr>
        <w:t xml:space="preserve"> localizadas em todas as unidades da federação. </w:t>
      </w:r>
      <w:r w:rsidR="00EE5135" w:rsidRPr="00CB036A">
        <w:rPr>
          <w:sz w:val="22"/>
          <w:szCs w:val="22"/>
          <w:lang w:eastAsia="pt-BR"/>
        </w:rPr>
        <w:t>A unidade técnica, ao examinar as propostas apresentadas pelas licitantes, verificou, no que se referiu</w:t>
      </w:r>
      <w:r w:rsidR="00EE5135" w:rsidRPr="00CB036A">
        <w:rPr>
          <w:sz w:val="22"/>
          <w:szCs w:val="22"/>
        </w:rPr>
        <w:t xml:space="preserve"> ao lote 6 do certame,</w:t>
      </w:r>
      <w:r w:rsidR="00EE5135" w:rsidRPr="00CB036A">
        <w:rPr>
          <w:sz w:val="22"/>
          <w:szCs w:val="22"/>
          <w:lang w:eastAsia="pt-BR"/>
        </w:rPr>
        <w:t xml:space="preserve"> que</w:t>
      </w:r>
      <w:r w:rsidR="00EE5135" w:rsidRPr="00CB036A">
        <w:rPr>
          <w:sz w:val="22"/>
          <w:szCs w:val="22"/>
        </w:rPr>
        <w:t xml:space="preserve"> as planilhas ‘quadro de preços unitários’ e ‘composição de preços unitários’ apresentadas por dois consórcios participantes da </w:t>
      </w:r>
      <w:r w:rsidR="00E93620" w:rsidRPr="00CB036A">
        <w:rPr>
          <w:sz w:val="22"/>
          <w:szCs w:val="22"/>
        </w:rPr>
        <w:t xml:space="preserve">licitação </w:t>
      </w:r>
      <w:r w:rsidR="00EE5135" w:rsidRPr="00CB036A">
        <w:rPr>
          <w:sz w:val="22"/>
          <w:szCs w:val="22"/>
        </w:rPr>
        <w:t>teriam o mesmo teor, indicando possível conluio entre eles. Propôs, então, que fosse declarada a inidoneidade d</w:t>
      </w:r>
      <w:r w:rsidR="003900C7" w:rsidRPr="00CB036A">
        <w:rPr>
          <w:sz w:val="22"/>
          <w:szCs w:val="22"/>
        </w:rPr>
        <w:t xml:space="preserve">e todas </w:t>
      </w:r>
      <w:r w:rsidR="00EE5135" w:rsidRPr="00CB036A">
        <w:rPr>
          <w:sz w:val="22"/>
          <w:szCs w:val="22"/>
        </w:rPr>
        <w:t>as empresas integrantes de ambos os consórcios, no que contou com a aquiescência do Ministério Público junto ao TCU, o qual registrou, ainda, que, além da igualdade de preços</w:t>
      </w:r>
      <w:r w:rsidR="003900C7" w:rsidRPr="00CB036A">
        <w:rPr>
          <w:sz w:val="22"/>
          <w:szCs w:val="22"/>
        </w:rPr>
        <w:t xml:space="preserve"> das propostas, haveria</w:t>
      </w:r>
      <w:r w:rsidR="00EE5135" w:rsidRPr="00CB036A">
        <w:rPr>
          <w:sz w:val="22"/>
          <w:szCs w:val="22"/>
        </w:rPr>
        <w:t xml:space="preserve"> também erros de grafia que se replica</w:t>
      </w:r>
      <w:r w:rsidR="003900C7" w:rsidRPr="00CB036A">
        <w:rPr>
          <w:sz w:val="22"/>
          <w:szCs w:val="22"/>
        </w:rPr>
        <w:t>ria</w:t>
      </w:r>
      <w:r w:rsidR="00EE5135" w:rsidRPr="00CB036A">
        <w:rPr>
          <w:sz w:val="22"/>
          <w:szCs w:val="22"/>
        </w:rPr>
        <w:t xml:space="preserve">m nas planilhas dos </w:t>
      </w:r>
      <w:r w:rsidR="003900C7" w:rsidRPr="00CB036A">
        <w:rPr>
          <w:sz w:val="22"/>
          <w:szCs w:val="22"/>
        </w:rPr>
        <w:t>d</w:t>
      </w:r>
      <w:r w:rsidR="00EE5135" w:rsidRPr="00CB036A">
        <w:rPr>
          <w:sz w:val="22"/>
          <w:szCs w:val="22"/>
        </w:rPr>
        <w:t>o</w:t>
      </w:r>
      <w:r w:rsidR="003900C7" w:rsidRPr="00CB036A">
        <w:rPr>
          <w:sz w:val="22"/>
          <w:szCs w:val="22"/>
        </w:rPr>
        <w:t>i</w:t>
      </w:r>
      <w:r w:rsidR="00EE5135" w:rsidRPr="00CB036A">
        <w:rPr>
          <w:sz w:val="22"/>
          <w:szCs w:val="22"/>
        </w:rPr>
        <w:t>s consórcios, o que não pode</w:t>
      </w:r>
      <w:r w:rsidR="003900C7" w:rsidRPr="00CB036A">
        <w:rPr>
          <w:sz w:val="22"/>
          <w:szCs w:val="22"/>
        </w:rPr>
        <w:t>ria</w:t>
      </w:r>
      <w:r w:rsidR="00EE5135" w:rsidRPr="00CB036A">
        <w:rPr>
          <w:sz w:val="22"/>
          <w:szCs w:val="22"/>
        </w:rPr>
        <w:t xml:space="preserve"> ser atribuído a uma mera coincidência. </w:t>
      </w:r>
      <w:r w:rsidR="00320465" w:rsidRPr="00CB036A">
        <w:rPr>
          <w:sz w:val="22"/>
          <w:szCs w:val="22"/>
        </w:rPr>
        <w:t xml:space="preserve">O relator, todavia, divergiu da proposta. Segundo ele, apesar de descabida a justificativa apresentada pelos consórcios licitantes que atribuíram as proximidades em suas propostas à coincidência, </w:t>
      </w:r>
      <w:r w:rsidR="00020C75" w:rsidRPr="00CB036A">
        <w:rPr>
          <w:sz w:val="22"/>
          <w:szCs w:val="22"/>
        </w:rPr>
        <w:t xml:space="preserve">considerou imprópria </w:t>
      </w:r>
      <w:r w:rsidR="00020C75" w:rsidRPr="00CB036A">
        <w:rPr>
          <w:sz w:val="22"/>
          <w:szCs w:val="22"/>
          <w:lang w:val="pt-PT"/>
        </w:rPr>
        <w:t>a declaração de inidoneidade das empresas integrantes dos consórcios</w:t>
      </w:r>
      <w:r w:rsidR="00020C75" w:rsidRPr="00CB036A">
        <w:rPr>
          <w:sz w:val="22"/>
          <w:szCs w:val="22"/>
        </w:rPr>
        <w:t xml:space="preserve">, </w:t>
      </w:r>
      <w:r w:rsidR="00020C75" w:rsidRPr="00CB036A">
        <w:rPr>
          <w:sz w:val="22"/>
          <w:szCs w:val="22"/>
          <w:lang w:val="pt-PT"/>
        </w:rPr>
        <w:t xml:space="preserve">em vista de não se ter consumado, no resultado da concorrência, dano ao erário, restrição ao caráter competitivo do certame ou vantagem aos licitantes decorrente da adjudicação </w:t>
      </w:r>
      <w:r w:rsidR="00020C75" w:rsidRPr="00CB036A">
        <w:rPr>
          <w:sz w:val="22"/>
          <w:szCs w:val="22"/>
        </w:rPr>
        <w:t>do objeto da licitação. Todavia, o ministro-</w:t>
      </w:r>
      <w:r w:rsidR="00B06D33" w:rsidRPr="00CB036A">
        <w:rPr>
          <w:sz w:val="22"/>
          <w:szCs w:val="22"/>
        </w:rPr>
        <w:t>substituto</w:t>
      </w:r>
      <w:r w:rsidR="00020C75" w:rsidRPr="00CB036A">
        <w:rPr>
          <w:sz w:val="22"/>
          <w:szCs w:val="22"/>
        </w:rPr>
        <w:t xml:space="preserve">, Weder de Oliveira, </w:t>
      </w:r>
      <w:r w:rsidR="00B06D33" w:rsidRPr="00CB036A">
        <w:rPr>
          <w:sz w:val="22"/>
          <w:szCs w:val="22"/>
        </w:rPr>
        <w:t xml:space="preserve">atuando como revisor, </w:t>
      </w:r>
      <w:r w:rsidR="00020C75" w:rsidRPr="00CB036A">
        <w:rPr>
          <w:sz w:val="22"/>
          <w:szCs w:val="22"/>
        </w:rPr>
        <w:t>entendeu assistir razão às análises procedidas pela unidade técnica, pois “</w:t>
      </w:r>
      <w:r w:rsidR="00020C75" w:rsidRPr="00CB036A">
        <w:rPr>
          <w:i/>
          <w:sz w:val="22"/>
          <w:szCs w:val="22"/>
        </w:rPr>
        <w:t xml:space="preserve">o conjunto de fortes evidências materiais constante dos autos constitui prova do conluio perpetrado para frustrar o caráter competitivo do certame, pois as empresas envolvidas não concorreram, de fato, entre si. Concorreram combinadamente contra as demais licitantes”. </w:t>
      </w:r>
      <w:r w:rsidR="00020C75" w:rsidRPr="00CB036A">
        <w:rPr>
          <w:sz w:val="22"/>
          <w:szCs w:val="22"/>
        </w:rPr>
        <w:t>Verifica-se, na opinião do revisor, portanto, “</w:t>
      </w:r>
      <w:r w:rsidR="00020C75" w:rsidRPr="00CB036A">
        <w:rPr>
          <w:i/>
          <w:sz w:val="22"/>
          <w:szCs w:val="22"/>
        </w:rPr>
        <w:t>a ocorrência de fraude comprovada à licitação, sujeitando as licitantes que perpetraram a fraude à declaração de inidoneidade para participar de licitação na Administração Pública Federal</w:t>
      </w:r>
      <w:r w:rsidR="00020C75" w:rsidRPr="00CB036A">
        <w:rPr>
          <w:sz w:val="22"/>
          <w:szCs w:val="22"/>
        </w:rPr>
        <w:t xml:space="preserve">”. O </w:t>
      </w:r>
      <w:r w:rsidR="00CB036A" w:rsidRPr="00CB036A">
        <w:rPr>
          <w:sz w:val="22"/>
          <w:szCs w:val="22"/>
        </w:rPr>
        <w:t xml:space="preserve">ministro-revisor </w:t>
      </w:r>
      <w:r w:rsidR="00020C75" w:rsidRPr="00CB036A">
        <w:rPr>
          <w:sz w:val="22"/>
          <w:szCs w:val="22"/>
        </w:rPr>
        <w:t>ponderou, contudo, que, quanto às empresas que deveriam ser declaradas inidôneas, deveriam ser punidas somente aquelas que, com base nos elementos integrantes dos autos, “</w:t>
      </w:r>
      <w:r w:rsidR="00020C75" w:rsidRPr="00CB036A">
        <w:rPr>
          <w:i/>
          <w:sz w:val="22"/>
          <w:szCs w:val="22"/>
        </w:rPr>
        <w:t>trabalharam pela consecução da ilegalidade, ou seja, aquelas que praticaram os atos formais que resultaram na fraude</w:t>
      </w:r>
      <w:r w:rsidR="00020C75" w:rsidRPr="00CB036A">
        <w:rPr>
          <w:sz w:val="22"/>
          <w:szCs w:val="22"/>
        </w:rPr>
        <w:t xml:space="preserve">”. Na espécie, ainda consoante o </w:t>
      </w:r>
      <w:r w:rsidR="00CB036A" w:rsidRPr="00CB036A">
        <w:rPr>
          <w:sz w:val="22"/>
          <w:szCs w:val="22"/>
        </w:rPr>
        <w:t>ministro-revisor</w:t>
      </w:r>
      <w:r w:rsidR="00020C75" w:rsidRPr="00CB036A">
        <w:rPr>
          <w:sz w:val="22"/>
          <w:szCs w:val="22"/>
        </w:rPr>
        <w:t>, coube às empresas líderes dos consórcios a representação das demais em todas as fases do procedimento licitatório, o que levaria à responsabilização de tais empresas</w:t>
      </w:r>
      <w:r w:rsidR="00E93620" w:rsidRPr="00CB036A">
        <w:rPr>
          <w:sz w:val="22"/>
          <w:szCs w:val="22"/>
        </w:rPr>
        <w:t>, bem como de outra empresa, cujo diretor fora constituído procurador de um dos consórcios</w:t>
      </w:r>
      <w:r w:rsidR="00020C75" w:rsidRPr="00CB036A">
        <w:rPr>
          <w:sz w:val="22"/>
          <w:szCs w:val="22"/>
        </w:rPr>
        <w:t xml:space="preserve">. Quanto às demais empresas integrantes dos dois consórcios, não haveria nos autos elementos que permitissem afirmar se participaram ou mesmo se tinham conhecimento da fraude, razão pela qual votou pela declaração de inidoneidade </w:t>
      </w:r>
      <w:r w:rsidR="00E93620" w:rsidRPr="00CB036A">
        <w:rPr>
          <w:sz w:val="22"/>
          <w:szCs w:val="22"/>
        </w:rPr>
        <w:t xml:space="preserve">apenas </w:t>
      </w:r>
      <w:r w:rsidR="00020C75" w:rsidRPr="00CB036A">
        <w:rPr>
          <w:sz w:val="22"/>
          <w:szCs w:val="22"/>
        </w:rPr>
        <w:t xml:space="preserve">das empresas </w:t>
      </w:r>
      <w:r w:rsidR="00CB036A" w:rsidRPr="00CB036A">
        <w:rPr>
          <w:sz w:val="22"/>
          <w:szCs w:val="22"/>
        </w:rPr>
        <w:t>comprovadamente envolvidas na fraude</w:t>
      </w:r>
      <w:r w:rsidR="00FC163A" w:rsidRPr="00CB036A">
        <w:rPr>
          <w:sz w:val="22"/>
          <w:szCs w:val="22"/>
        </w:rPr>
        <w:t xml:space="preserve">. O Plenário, por maioria, acolheu o voto-revisor. Precedentes citados: </w:t>
      </w:r>
      <w:r w:rsidR="00FC163A" w:rsidRPr="00CB036A">
        <w:rPr>
          <w:rFonts w:ascii="Times" w:hAnsi="Times" w:cs="Times"/>
          <w:sz w:val="22"/>
          <w:szCs w:val="22"/>
        </w:rPr>
        <w:t>Acórdãos n</w:t>
      </w:r>
      <w:r w:rsidR="00FC163A" w:rsidRPr="00CB036A">
        <w:rPr>
          <w:rFonts w:ascii="Times" w:hAnsi="Times" w:cs="Times"/>
          <w:sz w:val="22"/>
          <w:szCs w:val="22"/>
          <w:u w:val="single"/>
          <w:vertAlign w:val="superscript"/>
        </w:rPr>
        <w:t>os</w:t>
      </w:r>
      <w:r w:rsidR="00FC163A" w:rsidRPr="00CB036A">
        <w:rPr>
          <w:rFonts w:ascii="Times" w:hAnsi="Times" w:cs="Times"/>
          <w:sz w:val="22"/>
          <w:szCs w:val="22"/>
        </w:rPr>
        <w:t xml:space="preserve"> 767/2005, 548/2007 e 2549/2008, todos do Plenário. </w:t>
      </w:r>
      <w:r w:rsidRPr="00CB036A">
        <w:rPr>
          <w:b/>
          <w:i/>
          <w:sz w:val="22"/>
          <w:szCs w:val="22"/>
        </w:rPr>
        <w:t xml:space="preserve">Acórdão n.º 1340/2011-Plenário, TC-029.352/2009-5, rel. Min. Raimundo Carreiro, revisor Min.-Subst.  Weder de Oliveira, </w:t>
      </w:r>
      <w:r w:rsidR="0047240F">
        <w:rPr>
          <w:b/>
          <w:i/>
          <w:sz w:val="22"/>
          <w:szCs w:val="22"/>
        </w:rPr>
        <w:t>25.05</w:t>
      </w:r>
      <w:r w:rsidR="0047240F" w:rsidRPr="00CB036A">
        <w:rPr>
          <w:b/>
          <w:i/>
          <w:sz w:val="22"/>
          <w:szCs w:val="22"/>
        </w:rPr>
        <w:t>.201</w:t>
      </w:r>
      <w:r w:rsidR="0047240F">
        <w:rPr>
          <w:b/>
          <w:i/>
          <w:sz w:val="22"/>
          <w:szCs w:val="22"/>
        </w:rPr>
        <w:t>1</w:t>
      </w:r>
      <w:r w:rsidR="0047240F" w:rsidRPr="00CB036A">
        <w:rPr>
          <w:sz w:val="22"/>
          <w:szCs w:val="22"/>
        </w:rPr>
        <w:t>.</w:t>
      </w:r>
    </w:p>
    <w:p w:rsidR="00056A5A" w:rsidRPr="00CB036A" w:rsidRDefault="00056A5A" w:rsidP="00CB036A">
      <w:pPr>
        <w:tabs>
          <w:tab w:val="left" w:pos="1134"/>
        </w:tabs>
        <w:spacing w:after="0"/>
        <w:ind w:left="0"/>
        <w:rPr>
          <w:b/>
          <w:color w:val="FF0000"/>
          <w:sz w:val="22"/>
          <w:szCs w:val="22"/>
        </w:rPr>
      </w:pPr>
    </w:p>
    <w:p w:rsidR="00102D37" w:rsidRPr="00CB036A" w:rsidRDefault="00E93620" w:rsidP="00CB036A">
      <w:pPr>
        <w:tabs>
          <w:tab w:val="left" w:pos="851"/>
        </w:tabs>
        <w:spacing w:after="0"/>
        <w:ind w:left="0"/>
        <w:rPr>
          <w:b/>
          <w:sz w:val="22"/>
          <w:szCs w:val="22"/>
        </w:rPr>
      </w:pPr>
      <w:r w:rsidRPr="00CB036A">
        <w:rPr>
          <w:b/>
          <w:sz w:val="22"/>
          <w:szCs w:val="22"/>
        </w:rPr>
        <w:t xml:space="preserve">Contratação de serviços: 2 – </w:t>
      </w:r>
      <w:r w:rsidR="00102D37" w:rsidRPr="00CB036A">
        <w:rPr>
          <w:b/>
          <w:sz w:val="22"/>
          <w:szCs w:val="22"/>
        </w:rPr>
        <w:t>A declaração de inidoneidade possui efeito ‘ex-nunc’, cabendo às entidades administrativas medidas com vistas à rescisão de contrato que possuam com a empresa julgada inidônea, caso entendam necessário. Contudo, no caso do certame que levou à aplicação da sanção, a instituição pública deve adotar as providências necessárias, com vistas à pronta rescisão do contrato decorrente</w:t>
      </w:r>
    </w:p>
    <w:p w:rsidR="00FC163A" w:rsidRPr="00CB036A" w:rsidRDefault="00FC163A" w:rsidP="00CB036A">
      <w:pPr>
        <w:spacing w:after="0"/>
        <w:ind w:left="0"/>
        <w:rPr>
          <w:snapToGrid w:val="0"/>
          <w:sz w:val="22"/>
          <w:szCs w:val="22"/>
        </w:rPr>
      </w:pPr>
      <w:r w:rsidRPr="00CB036A">
        <w:rPr>
          <w:sz w:val="22"/>
          <w:szCs w:val="22"/>
        </w:rPr>
        <w:t>Ainda na representação</w:t>
      </w:r>
      <w:r w:rsidR="00E93620" w:rsidRPr="00CB036A">
        <w:rPr>
          <w:sz w:val="22"/>
          <w:szCs w:val="22"/>
        </w:rPr>
        <w:t xml:space="preserve"> em que</w:t>
      </w:r>
      <w:r w:rsidRPr="00CB036A">
        <w:rPr>
          <w:sz w:val="22"/>
          <w:szCs w:val="22"/>
        </w:rPr>
        <w:t xml:space="preserve"> tratou</w:t>
      </w:r>
      <w:r w:rsidRPr="00CB036A">
        <w:rPr>
          <w:sz w:val="22"/>
          <w:szCs w:val="22"/>
          <w:lang w:eastAsia="pt-BR"/>
        </w:rPr>
        <w:t xml:space="preserve"> de possíveis irregularidades na Concorrência 159/2009, conduzida pelo Departamento Nacional de Infraestrutura de Transportes – (DNIT), o Tribunal cuidou da necessidade </w:t>
      </w:r>
      <w:r w:rsidRPr="00CB036A">
        <w:rPr>
          <w:sz w:val="22"/>
          <w:szCs w:val="22"/>
        </w:rPr>
        <w:t xml:space="preserve">de rescisão do contrato oriundo do procedimento viciado. Com base na jurisprudência do Tribunal, o ministro-revisor ressaltou os efeitos </w:t>
      </w:r>
      <w:r w:rsidRPr="00CB036A">
        <w:rPr>
          <w:b/>
          <w:sz w:val="22"/>
          <w:szCs w:val="22"/>
        </w:rPr>
        <w:t>ex-nunc</w:t>
      </w:r>
      <w:r w:rsidRPr="00CB036A">
        <w:rPr>
          <w:sz w:val="22"/>
          <w:szCs w:val="22"/>
        </w:rPr>
        <w:t xml:space="preserve"> da declaração de inidoneidade</w:t>
      </w:r>
      <w:r w:rsidR="0080733E" w:rsidRPr="00CB036A">
        <w:rPr>
          <w:sz w:val="22"/>
          <w:szCs w:val="22"/>
        </w:rPr>
        <w:t xml:space="preserve">, a qual, portanto, não ensejaria a rescisão imediata de todos os contratos firmados entre as empresas sancionadas com a Administração Pública, pois tal medida nem sempre se mostraria </w:t>
      </w:r>
      <w:r w:rsidR="00E93620" w:rsidRPr="00CB036A">
        <w:rPr>
          <w:sz w:val="22"/>
          <w:szCs w:val="22"/>
        </w:rPr>
        <w:t>solução mais vantajosa</w:t>
      </w:r>
      <w:r w:rsidR="0080733E" w:rsidRPr="00CB036A">
        <w:rPr>
          <w:sz w:val="22"/>
          <w:szCs w:val="22"/>
        </w:rPr>
        <w:t>, uma vez que, “</w:t>
      </w:r>
      <w:r w:rsidR="0080733E" w:rsidRPr="00CB036A">
        <w:rPr>
          <w:i/>
          <w:sz w:val="22"/>
          <w:szCs w:val="22"/>
        </w:rPr>
        <w:t>dependendo da natureza dos serviços pactuados, que em algumas situações não podem sofrer solução de continuidade, não seria vantajoso para a administração rescindir contratos cuja execução estivesse adequada para celebrar contratos emergenciais, no geral mais onerosos e com nível de prestação de serviços diverso, qualitativamente, daquele que seria obtido no regular procedimento licitatório</w:t>
      </w:r>
      <w:r w:rsidR="0080733E" w:rsidRPr="00CB036A">
        <w:rPr>
          <w:sz w:val="22"/>
          <w:szCs w:val="22"/>
        </w:rPr>
        <w:t xml:space="preserve">”. </w:t>
      </w:r>
      <w:r w:rsidR="00621D63" w:rsidRPr="00CB036A">
        <w:rPr>
          <w:sz w:val="22"/>
          <w:szCs w:val="22"/>
        </w:rPr>
        <w:t xml:space="preserve">De outro lado, caberia às próprias entidades contratantes da empresa tida por inidônea avaliar, no âmbito de suas autonomias, </w:t>
      </w:r>
      <w:r w:rsidR="005450DC" w:rsidRPr="00CB036A">
        <w:rPr>
          <w:sz w:val="22"/>
          <w:szCs w:val="22"/>
        </w:rPr>
        <w:t>a necessidade de adoção de</w:t>
      </w:r>
      <w:r w:rsidR="00621D63" w:rsidRPr="00CB036A">
        <w:rPr>
          <w:sz w:val="22"/>
          <w:szCs w:val="22"/>
        </w:rPr>
        <w:t xml:space="preserve"> medidas administrativas com vistas a eventuais rescisões, caso julgadas necessárias, cumpridas as formalidades legais para tanto. Diferente, ainda conforme o ministro-revisor, a situação de contrato decorrente de certame impugnado, no qua</w:t>
      </w:r>
      <w:r w:rsidR="00CB036A">
        <w:rPr>
          <w:sz w:val="22"/>
          <w:szCs w:val="22"/>
        </w:rPr>
        <w:t>l</w:t>
      </w:r>
      <w:r w:rsidR="00621D63" w:rsidRPr="00CB036A">
        <w:rPr>
          <w:sz w:val="22"/>
          <w:szCs w:val="22"/>
        </w:rPr>
        <w:t xml:space="preserve"> se verifica</w:t>
      </w:r>
      <w:r w:rsidR="005450DC" w:rsidRPr="00CB036A">
        <w:rPr>
          <w:sz w:val="22"/>
          <w:szCs w:val="22"/>
        </w:rPr>
        <w:t>ra</w:t>
      </w:r>
      <w:r w:rsidR="00CB036A">
        <w:rPr>
          <w:sz w:val="22"/>
          <w:szCs w:val="22"/>
        </w:rPr>
        <w:t xml:space="preserve"> a</w:t>
      </w:r>
      <w:r w:rsidR="00621D63" w:rsidRPr="00CB036A">
        <w:rPr>
          <w:sz w:val="22"/>
          <w:szCs w:val="22"/>
        </w:rPr>
        <w:t xml:space="preserve"> conduta que autoriza</w:t>
      </w:r>
      <w:r w:rsidR="005450DC" w:rsidRPr="00CB036A">
        <w:rPr>
          <w:sz w:val="22"/>
          <w:szCs w:val="22"/>
        </w:rPr>
        <w:t>ria</w:t>
      </w:r>
      <w:r w:rsidR="00621D63" w:rsidRPr="00CB036A">
        <w:rPr>
          <w:sz w:val="22"/>
          <w:szCs w:val="22"/>
        </w:rPr>
        <w:t xml:space="preserve"> a declaração de inidoneidade de uma empresa. Em tal caso, </w:t>
      </w:r>
      <w:r w:rsidR="005450DC" w:rsidRPr="00CB036A">
        <w:rPr>
          <w:sz w:val="22"/>
          <w:szCs w:val="22"/>
        </w:rPr>
        <w:t xml:space="preserve">o </w:t>
      </w:r>
      <w:r w:rsidR="00CB036A">
        <w:rPr>
          <w:sz w:val="22"/>
          <w:szCs w:val="22"/>
        </w:rPr>
        <w:t>ministro-revisor</w:t>
      </w:r>
      <w:r w:rsidR="005450DC" w:rsidRPr="00CB036A">
        <w:rPr>
          <w:sz w:val="22"/>
          <w:szCs w:val="22"/>
        </w:rPr>
        <w:t xml:space="preserve"> </w:t>
      </w:r>
      <w:r w:rsidR="00621D63" w:rsidRPr="00CB036A">
        <w:rPr>
          <w:sz w:val="22"/>
          <w:szCs w:val="22"/>
        </w:rPr>
        <w:t xml:space="preserve">entendeu que </w:t>
      </w:r>
      <w:r w:rsidR="00CB036A">
        <w:rPr>
          <w:sz w:val="22"/>
          <w:szCs w:val="22"/>
        </w:rPr>
        <w:t>o</w:t>
      </w:r>
      <w:r w:rsidR="005450DC" w:rsidRPr="00CB036A">
        <w:rPr>
          <w:sz w:val="22"/>
          <w:szCs w:val="22"/>
        </w:rPr>
        <w:t xml:space="preserve"> contrato</w:t>
      </w:r>
      <w:r w:rsidR="00621D63" w:rsidRPr="00CB036A">
        <w:rPr>
          <w:sz w:val="22"/>
          <w:szCs w:val="22"/>
        </w:rPr>
        <w:t xml:space="preserve"> deveria ser prontamente rescindido, razão pela qual votou por que o Tribunal assinasse prazo para que o DNIT adotasse as providências necessárias à rescisão do contrato </w:t>
      </w:r>
      <w:r w:rsidR="00621D63" w:rsidRPr="00CB036A">
        <w:rPr>
          <w:sz w:val="22"/>
          <w:szCs w:val="22"/>
          <w:lang w:eastAsia="pt-BR"/>
        </w:rPr>
        <w:t>firmado com o consórcio vencedor do lote 6 da Concorrência nº 159/2009, com relação ao qual fora detectada a fraude</w:t>
      </w:r>
      <w:r w:rsidRPr="00CB036A">
        <w:rPr>
          <w:sz w:val="22"/>
          <w:szCs w:val="22"/>
        </w:rPr>
        <w:t xml:space="preserve">. O Plenário, por maioria, acolheu o voto-revisor. Precedentes citados: </w:t>
      </w:r>
      <w:r w:rsidRPr="00CB036A">
        <w:rPr>
          <w:rFonts w:ascii="Times" w:hAnsi="Times" w:cs="Times"/>
          <w:sz w:val="22"/>
          <w:szCs w:val="22"/>
        </w:rPr>
        <w:t>Acórdãos n</w:t>
      </w:r>
      <w:r w:rsidRPr="00CB036A">
        <w:rPr>
          <w:rFonts w:ascii="Times" w:hAnsi="Times" w:cs="Times"/>
          <w:sz w:val="22"/>
          <w:szCs w:val="22"/>
          <w:u w:val="single"/>
          <w:vertAlign w:val="superscript"/>
        </w:rPr>
        <w:t>os</w:t>
      </w:r>
      <w:r w:rsidRPr="00CB036A">
        <w:rPr>
          <w:rFonts w:ascii="Times" w:hAnsi="Times" w:cs="Times"/>
          <w:sz w:val="22"/>
          <w:szCs w:val="22"/>
        </w:rPr>
        <w:t xml:space="preserve"> 767/2005, 548/2007 e 2549/2008, todos do Plenário. </w:t>
      </w:r>
      <w:r w:rsidRPr="00CB036A">
        <w:rPr>
          <w:b/>
          <w:i/>
          <w:sz w:val="22"/>
          <w:szCs w:val="22"/>
        </w:rPr>
        <w:t xml:space="preserve">Acórdão n.º 1340/2011-Plenário, TC-029.352/2009-5, rel. Min. Raimundo Carreiro, revisor Min.-Subst.  Weder de Oliveira, </w:t>
      </w:r>
      <w:r w:rsidR="0047240F">
        <w:rPr>
          <w:b/>
          <w:i/>
          <w:sz w:val="22"/>
          <w:szCs w:val="22"/>
        </w:rPr>
        <w:t>25.05</w:t>
      </w:r>
      <w:r w:rsidRPr="00CB036A">
        <w:rPr>
          <w:b/>
          <w:i/>
          <w:sz w:val="22"/>
          <w:szCs w:val="22"/>
        </w:rPr>
        <w:t>.201</w:t>
      </w:r>
      <w:r w:rsidR="0047240F">
        <w:rPr>
          <w:b/>
          <w:i/>
          <w:sz w:val="22"/>
          <w:szCs w:val="22"/>
        </w:rPr>
        <w:t>1</w:t>
      </w:r>
      <w:r w:rsidRPr="00CB036A">
        <w:rPr>
          <w:sz w:val="22"/>
          <w:szCs w:val="22"/>
        </w:rPr>
        <w:t>.</w:t>
      </w:r>
    </w:p>
    <w:p w:rsidR="00A709BB" w:rsidRPr="00E93620" w:rsidRDefault="00A709BB" w:rsidP="00E93620">
      <w:pPr>
        <w:pStyle w:val="Default"/>
        <w:jc w:val="both"/>
        <w:rPr>
          <w:b/>
          <w:color w:val="auto"/>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7334B1" w:rsidRPr="00805659" w:rsidTr="0030360F">
        <w:trPr>
          <w:trHeight w:val="779"/>
          <w:jc w:val="center"/>
        </w:trPr>
        <w:tc>
          <w:tcPr>
            <w:tcW w:w="0" w:type="auto"/>
            <w:vAlign w:val="center"/>
          </w:tcPr>
          <w:p w:rsidR="007334B1" w:rsidRPr="002E6712" w:rsidRDefault="00C10DD5" w:rsidP="00805659">
            <w:pPr>
              <w:pStyle w:val="enter-3pt"/>
              <w:tabs>
                <w:tab w:val="left" w:pos="2590"/>
              </w:tabs>
              <w:spacing w:line="240" w:lineRule="auto"/>
              <w:jc w:val="center"/>
              <w:rPr>
                <w:b/>
                <w:i/>
                <w:sz w:val="18"/>
                <w:szCs w:val="18"/>
              </w:rPr>
            </w:pPr>
            <w:r w:rsidRPr="002E6712">
              <w:rPr>
                <w:b/>
                <w:i/>
                <w:sz w:val="18"/>
                <w:szCs w:val="18"/>
              </w:rPr>
              <w:t>Elaboração: Secretaria das Sessões</w:t>
            </w:r>
          </w:p>
          <w:p w:rsidR="007334B1" w:rsidRPr="002E6712" w:rsidRDefault="007334B1" w:rsidP="00805659">
            <w:pPr>
              <w:pStyle w:val="enter-3pt"/>
              <w:tabs>
                <w:tab w:val="left" w:pos="2590"/>
              </w:tabs>
              <w:spacing w:line="240" w:lineRule="auto"/>
              <w:jc w:val="center"/>
              <w:rPr>
                <w:b/>
                <w:i/>
                <w:sz w:val="22"/>
                <w:szCs w:val="22"/>
              </w:rPr>
            </w:pPr>
            <w:r w:rsidRPr="002E6712">
              <w:rPr>
                <w:b/>
                <w:i/>
                <w:sz w:val="18"/>
                <w:szCs w:val="18"/>
              </w:rPr>
              <w:t xml:space="preserve">Contato: </w:t>
            </w:r>
            <w:hyperlink r:id="rId7" w:history="1">
              <w:r w:rsidRPr="002E6712">
                <w:rPr>
                  <w:rStyle w:val="Hyperlink"/>
                  <w:b/>
                  <w:i/>
                  <w:color w:val="auto"/>
                  <w:sz w:val="18"/>
                  <w:szCs w:val="18"/>
                </w:rPr>
                <w:t>infojuris@tcu.gov.br</w:t>
              </w:r>
            </w:hyperlink>
          </w:p>
        </w:tc>
      </w:tr>
    </w:tbl>
    <w:p w:rsidR="007334B1" w:rsidRPr="00805659" w:rsidRDefault="007334B1" w:rsidP="00805659">
      <w:pPr>
        <w:pStyle w:val="enter-3pt"/>
        <w:tabs>
          <w:tab w:val="left" w:pos="2590"/>
        </w:tabs>
        <w:spacing w:line="240" w:lineRule="auto"/>
        <w:jc w:val="center"/>
        <w:rPr>
          <w:b/>
          <w:color w:val="FF0000"/>
          <w:sz w:val="22"/>
          <w:szCs w:val="22"/>
        </w:rPr>
      </w:pPr>
    </w:p>
    <w:sectPr w:rsidR="007334B1" w:rsidRPr="00805659" w:rsidSect="00F340CD">
      <w:headerReference w:type="default" r:id="rId8"/>
      <w:footerReference w:type="default" r:id="rId9"/>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FCF" w:rsidRDefault="00E50FCF" w:rsidP="008B0547">
      <w:pPr>
        <w:spacing w:after="0"/>
      </w:pPr>
      <w:r>
        <w:separator/>
      </w:r>
    </w:p>
  </w:endnote>
  <w:endnote w:type="continuationSeparator" w:id="0">
    <w:p w:rsidR="00E50FCF" w:rsidRDefault="00E50FCF"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Pr="00C906CD" w:rsidRDefault="00C906CD"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EB2B5A">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FCF" w:rsidRDefault="00E50FCF" w:rsidP="008B0547">
      <w:pPr>
        <w:spacing w:after="0"/>
      </w:pPr>
      <w:r>
        <w:separator/>
      </w:r>
    </w:p>
  </w:footnote>
  <w:footnote w:type="continuationSeparator" w:id="0">
    <w:p w:rsidR="00E50FCF" w:rsidRDefault="00E50FCF"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Default="00575784"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47">
      <w:rPr>
        <w:rFonts w:ascii="Arial" w:hAnsi="Arial" w:cs="Arial"/>
        <w:b/>
      </w:rPr>
      <w:t>TRIBUNAL DE CONTAS DA UNIÃO</w:t>
    </w:r>
  </w:p>
  <w:p w:rsidR="008B0547" w:rsidRPr="00515E7B" w:rsidRDefault="00575784"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367F6"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15E7B" w:rsidRPr="00515E7B">
      <w:rPr>
        <w:rFonts w:ascii="Arial" w:hAnsi="Arial" w:cs="Arial"/>
        <w:noProof/>
        <w:lang w:eastAsia="pt-BR"/>
      </w:rPr>
      <w:t>Info</w:t>
    </w:r>
    <w:r w:rsidR="006F4DE0">
      <w:rPr>
        <w:rFonts w:ascii="Arial" w:hAnsi="Arial" w:cs="Arial"/>
        <w:noProof/>
        <w:lang w:eastAsia="pt-BR"/>
      </w:rPr>
      <w:t>rmativo</w:t>
    </w:r>
    <w:r w:rsidR="00515E7B">
      <w:rPr>
        <w:rFonts w:ascii="Arial" w:hAnsi="Arial" w:cs="Arial"/>
        <w:noProof/>
        <w:lang w:eastAsia="pt-BR"/>
      </w:rPr>
      <w:t xml:space="preserve"> </w:t>
    </w:r>
    <w:r w:rsidR="002810D9">
      <w:rPr>
        <w:rFonts w:ascii="Arial" w:hAnsi="Arial" w:cs="Arial"/>
        <w:noProof/>
        <w:lang w:eastAsia="pt-BR"/>
      </w:rPr>
      <w:t>de Jurisprudência sobre</w:t>
    </w:r>
    <w:r w:rsidR="00515E7B">
      <w:rPr>
        <w:rFonts w:ascii="Arial" w:hAnsi="Arial" w:cs="Arial"/>
        <w:noProof/>
        <w:lang w:eastAsia="pt-BR"/>
      </w:rPr>
      <w:t xml:space="preserve"> </w:t>
    </w:r>
    <w:r w:rsidR="002810D9">
      <w:rPr>
        <w:rFonts w:ascii="Arial" w:hAnsi="Arial" w:cs="Arial"/>
        <w:noProof/>
        <w:lang w:eastAsia="pt-BR"/>
      </w:rPr>
      <w:t>L</w:t>
    </w:r>
    <w:r w:rsidR="00515E7B" w:rsidRPr="00515E7B">
      <w:rPr>
        <w:rFonts w:ascii="Arial" w:hAnsi="Arial" w:cs="Arial"/>
        <w:noProof/>
        <w:lang w:eastAsia="pt-BR"/>
      </w:rPr>
      <w:t xml:space="preserve">icitações e </w:t>
    </w:r>
    <w:r w:rsidR="002810D9">
      <w:rPr>
        <w:rFonts w:ascii="Arial" w:hAnsi="Arial" w:cs="Arial"/>
        <w:noProof/>
        <w:lang w:eastAsia="pt-BR"/>
      </w:rPr>
      <w:t>C</w:t>
    </w:r>
    <w:r w:rsidR="00515E7B" w:rsidRPr="00515E7B">
      <w:rPr>
        <w:rFonts w:ascii="Arial" w:hAnsi="Arial" w:cs="Arial"/>
        <w:noProof/>
        <w:lang w:eastAsia="pt-BR"/>
      </w:rPr>
      <w:t>ontratos</w:t>
    </w:r>
    <w:r w:rsidR="00FF7C62">
      <w:rPr>
        <w:rFonts w:ascii="Arial" w:hAnsi="Arial" w:cs="Arial"/>
        <w:noProof/>
        <w:lang w:eastAsia="pt-BR"/>
      </w:rPr>
      <w:t xml:space="preserve"> nº </w:t>
    </w:r>
    <w:r w:rsidR="00B10AD8">
      <w:rPr>
        <w:rFonts w:ascii="Arial" w:hAnsi="Arial" w:cs="Arial"/>
        <w:noProof/>
        <w:lang w:eastAsia="pt-BR"/>
      </w:rPr>
      <w:t>6</w:t>
    </w:r>
    <w:r w:rsidR="0005205F">
      <w:rPr>
        <w:rFonts w:ascii="Arial" w:hAnsi="Arial" w:cs="Arial"/>
        <w:noProof/>
        <w:lang w:eastAsia="pt-BR"/>
      </w:rPr>
      <w:t>4</w:t>
    </w:r>
  </w:p>
  <w:p w:rsidR="008B0547" w:rsidRDefault="008B05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6">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0">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2">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3">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4">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9">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4">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9"/>
  </w:num>
  <w:num w:numId="2">
    <w:abstractNumId w:val="16"/>
  </w:num>
  <w:num w:numId="3">
    <w:abstractNumId w:val="8"/>
  </w:num>
  <w:num w:numId="4">
    <w:abstractNumId w:val="0"/>
  </w:num>
  <w:num w:numId="5">
    <w:abstractNumId w:val="10"/>
  </w:num>
  <w:num w:numId="6">
    <w:abstractNumId w:val="15"/>
  </w:num>
  <w:num w:numId="7">
    <w:abstractNumId w:val="22"/>
  </w:num>
  <w:num w:numId="8">
    <w:abstractNumId w:val="20"/>
  </w:num>
  <w:num w:numId="9">
    <w:abstractNumId w:val="17"/>
  </w:num>
  <w:num w:numId="10">
    <w:abstractNumId w:val="6"/>
  </w:num>
  <w:num w:numId="11">
    <w:abstractNumId w:val="24"/>
  </w:num>
  <w:num w:numId="12">
    <w:abstractNumId w:val="4"/>
  </w:num>
  <w:num w:numId="13">
    <w:abstractNumId w:val="14"/>
  </w:num>
  <w:num w:numId="14">
    <w:abstractNumId w:val="21"/>
  </w:num>
  <w:num w:numId="15">
    <w:abstractNumId w:val="13"/>
  </w:num>
  <w:num w:numId="16">
    <w:abstractNumId w:val="2"/>
  </w:num>
  <w:num w:numId="17">
    <w:abstractNumId w:val="12"/>
  </w:num>
  <w:num w:numId="18">
    <w:abstractNumId w:val="23"/>
    <w:lvlOverride w:ilvl="0">
      <w:startOverride w:val="1"/>
    </w:lvlOverride>
  </w:num>
  <w:num w:numId="19">
    <w:abstractNumId w:val="18"/>
  </w:num>
  <w:num w:numId="20">
    <w:abstractNumId w:val="11"/>
  </w:num>
  <w:num w:numId="21">
    <w:abstractNumId w:val="7"/>
  </w:num>
  <w:num w:numId="22">
    <w:abstractNumId w:val="9"/>
  </w:num>
  <w:num w:numId="23">
    <w:abstractNumId w:val="1"/>
  </w:num>
  <w:num w:numId="24">
    <w:abstractNumId w:val="3"/>
  </w:num>
  <w:num w:numId="25">
    <w:abstractNumId w:val="5"/>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1878"/>
    <w:rsid w:val="00003CEA"/>
    <w:rsid w:val="00004614"/>
    <w:rsid w:val="00005435"/>
    <w:rsid w:val="00005E1E"/>
    <w:rsid w:val="000118CC"/>
    <w:rsid w:val="00011D5A"/>
    <w:rsid w:val="00012468"/>
    <w:rsid w:val="0001636D"/>
    <w:rsid w:val="00020C27"/>
    <w:rsid w:val="00020C75"/>
    <w:rsid w:val="00023D72"/>
    <w:rsid w:val="000253D1"/>
    <w:rsid w:val="00025450"/>
    <w:rsid w:val="000271FA"/>
    <w:rsid w:val="00032198"/>
    <w:rsid w:val="00033551"/>
    <w:rsid w:val="00037DCE"/>
    <w:rsid w:val="00041450"/>
    <w:rsid w:val="000460E4"/>
    <w:rsid w:val="0004660A"/>
    <w:rsid w:val="0005205F"/>
    <w:rsid w:val="00052B15"/>
    <w:rsid w:val="000540FC"/>
    <w:rsid w:val="0005412B"/>
    <w:rsid w:val="00054432"/>
    <w:rsid w:val="000562CD"/>
    <w:rsid w:val="00056A5A"/>
    <w:rsid w:val="00056D51"/>
    <w:rsid w:val="0006028E"/>
    <w:rsid w:val="00061C2E"/>
    <w:rsid w:val="000622E0"/>
    <w:rsid w:val="00065E95"/>
    <w:rsid w:val="00070785"/>
    <w:rsid w:val="0007259B"/>
    <w:rsid w:val="00074384"/>
    <w:rsid w:val="00074AC5"/>
    <w:rsid w:val="00077A56"/>
    <w:rsid w:val="00080148"/>
    <w:rsid w:val="000835D8"/>
    <w:rsid w:val="00084282"/>
    <w:rsid w:val="00084727"/>
    <w:rsid w:val="00087006"/>
    <w:rsid w:val="0009133A"/>
    <w:rsid w:val="000916AF"/>
    <w:rsid w:val="00092C2E"/>
    <w:rsid w:val="00094C5B"/>
    <w:rsid w:val="00095D98"/>
    <w:rsid w:val="0009748C"/>
    <w:rsid w:val="00097863"/>
    <w:rsid w:val="000A0EF8"/>
    <w:rsid w:val="000A152A"/>
    <w:rsid w:val="000A1EBD"/>
    <w:rsid w:val="000A2C56"/>
    <w:rsid w:val="000A6269"/>
    <w:rsid w:val="000A62BD"/>
    <w:rsid w:val="000B0ECB"/>
    <w:rsid w:val="000B0FEA"/>
    <w:rsid w:val="000B2AFA"/>
    <w:rsid w:val="000B639F"/>
    <w:rsid w:val="000B6BC1"/>
    <w:rsid w:val="000C02AD"/>
    <w:rsid w:val="000C4A10"/>
    <w:rsid w:val="000D1878"/>
    <w:rsid w:val="000D1B91"/>
    <w:rsid w:val="000D1FD7"/>
    <w:rsid w:val="000D6418"/>
    <w:rsid w:val="000D7DB6"/>
    <w:rsid w:val="000D7DED"/>
    <w:rsid w:val="000E020F"/>
    <w:rsid w:val="000E12F7"/>
    <w:rsid w:val="000E2D47"/>
    <w:rsid w:val="000E3B31"/>
    <w:rsid w:val="000E504D"/>
    <w:rsid w:val="000F2133"/>
    <w:rsid w:val="000F2F92"/>
    <w:rsid w:val="000F6D85"/>
    <w:rsid w:val="000F7CEE"/>
    <w:rsid w:val="000F7D84"/>
    <w:rsid w:val="00102D37"/>
    <w:rsid w:val="001041ED"/>
    <w:rsid w:val="001104BA"/>
    <w:rsid w:val="00112676"/>
    <w:rsid w:val="00112A5F"/>
    <w:rsid w:val="0011373A"/>
    <w:rsid w:val="00114511"/>
    <w:rsid w:val="00116BAB"/>
    <w:rsid w:val="00125F9A"/>
    <w:rsid w:val="00126026"/>
    <w:rsid w:val="00130A0C"/>
    <w:rsid w:val="00133EA9"/>
    <w:rsid w:val="00137B22"/>
    <w:rsid w:val="00140FED"/>
    <w:rsid w:val="00141D7A"/>
    <w:rsid w:val="001420D1"/>
    <w:rsid w:val="00142C16"/>
    <w:rsid w:val="001444A2"/>
    <w:rsid w:val="00151F92"/>
    <w:rsid w:val="0015258E"/>
    <w:rsid w:val="00152ECC"/>
    <w:rsid w:val="001532E4"/>
    <w:rsid w:val="00156A48"/>
    <w:rsid w:val="00157614"/>
    <w:rsid w:val="00157AFE"/>
    <w:rsid w:val="00157C0F"/>
    <w:rsid w:val="001737F7"/>
    <w:rsid w:val="001744E7"/>
    <w:rsid w:val="00176375"/>
    <w:rsid w:val="001766A9"/>
    <w:rsid w:val="00181339"/>
    <w:rsid w:val="00195F77"/>
    <w:rsid w:val="001A0CC1"/>
    <w:rsid w:val="001A330B"/>
    <w:rsid w:val="001A58D8"/>
    <w:rsid w:val="001A60A2"/>
    <w:rsid w:val="001A79D3"/>
    <w:rsid w:val="001B3E8E"/>
    <w:rsid w:val="001B4F90"/>
    <w:rsid w:val="001B6823"/>
    <w:rsid w:val="001B7F4F"/>
    <w:rsid w:val="001C0575"/>
    <w:rsid w:val="001C1568"/>
    <w:rsid w:val="001C437E"/>
    <w:rsid w:val="001C71E3"/>
    <w:rsid w:val="001D03C7"/>
    <w:rsid w:val="001D1478"/>
    <w:rsid w:val="001D1E52"/>
    <w:rsid w:val="001D56C3"/>
    <w:rsid w:val="001D74CE"/>
    <w:rsid w:val="001E0BF1"/>
    <w:rsid w:val="001E1E28"/>
    <w:rsid w:val="001E2620"/>
    <w:rsid w:val="001E4147"/>
    <w:rsid w:val="001E7019"/>
    <w:rsid w:val="001E747D"/>
    <w:rsid w:val="001E7C3D"/>
    <w:rsid w:val="001F00DF"/>
    <w:rsid w:val="001F1E8F"/>
    <w:rsid w:val="00200260"/>
    <w:rsid w:val="002002CE"/>
    <w:rsid w:val="0020066F"/>
    <w:rsid w:val="0020107A"/>
    <w:rsid w:val="0020135D"/>
    <w:rsid w:val="00201FED"/>
    <w:rsid w:val="00202EAD"/>
    <w:rsid w:val="00203A6F"/>
    <w:rsid w:val="00211816"/>
    <w:rsid w:val="00217B1B"/>
    <w:rsid w:val="00225D42"/>
    <w:rsid w:val="00226AEF"/>
    <w:rsid w:val="00226D9D"/>
    <w:rsid w:val="00227776"/>
    <w:rsid w:val="00232158"/>
    <w:rsid w:val="002328F9"/>
    <w:rsid w:val="0023395B"/>
    <w:rsid w:val="00233CE3"/>
    <w:rsid w:val="002343BF"/>
    <w:rsid w:val="0023535F"/>
    <w:rsid w:val="002415A6"/>
    <w:rsid w:val="00242061"/>
    <w:rsid w:val="002435FC"/>
    <w:rsid w:val="002442D9"/>
    <w:rsid w:val="00244BA7"/>
    <w:rsid w:val="0024593F"/>
    <w:rsid w:val="002476B6"/>
    <w:rsid w:val="00253242"/>
    <w:rsid w:val="00254590"/>
    <w:rsid w:val="00257D8A"/>
    <w:rsid w:val="00262359"/>
    <w:rsid w:val="0026362E"/>
    <w:rsid w:val="002639CA"/>
    <w:rsid w:val="002649A7"/>
    <w:rsid w:val="00264FC3"/>
    <w:rsid w:val="002663B7"/>
    <w:rsid w:val="002666C5"/>
    <w:rsid w:val="00271CD7"/>
    <w:rsid w:val="00271D81"/>
    <w:rsid w:val="0027213F"/>
    <w:rsid w:val="00273E72"/>
    <w:rsid w:val="00274068"/>
    <w:rsid w:val="0027498E"/>
    <w:rsid w:val="0027686D"/>
    <w:rsid w:val="00276DC0"/>
    <w:rsid w:val="00277F47"/>
    <w:rsid w:val="00280F3D"/>
    <w:rsid w:val="002810D9"/>
    <w:rsid w:val="00281830"/>
    <w:rsid w:val="002830F6"/>
    <w:rsid w:val="00287326"/>
    <w:rsid w:val="0029043B"/>
    <w:rsid w:val="00290A06"/>
    <w:rsid w:val="0029211E"/>
    <w:rsid w:val="0029450E"/>
    <w:rsid w:val="00297A00"/>
    <w:rsid w:val="002A040F"/>
    <w:rsid w:val="002A190F"/>
    <w:rsid w:val="002A2129"/>
    <w:rsid w:val="002A3B3F"/>
    <w:rsid w:val="002A6CE6"/>
    <w:rsid w:val="002B409B"/>
    <w:rsid w:val="002B4392"/>
    <w:rsid w:val="002B56C3"/>
    <w:rsid w:val="002B5AD5"/>
    <w:rsid w:val="002B5C5A"/>
    <w:rsid w:val="002B6422"/>
    <w:rsid w:val="002B71BA"/>
    <w:rsid w:val="002C208E"/>
    <w:rsid w:val="002C506F"/>
    <w:rsid w:val="002C7B61"/>
    <w:rsid w:val="002C7B6D"/>
    <w:rsid w:val="002D1637"/>
    <w:rsid w:val="002D1688"/>
    <w:rsid w:val="002D1BA5"/>
    <w:rsid w:val="002D35F5"/>
    <w:rsid w:val="002D47FE"/>
    <w:rsid w:val="002D532D"/>
    <w:rsid w:val="002D739A"/>
    <w:rsid w:val="002D76AB"/>
    <w:rsid w:val="002D786D"/>
    <w:rsid w:val="002E1545"/>
    <w:rsid w:val="002E1910"/>
    <w:rsid w:val="002E28BA"/>
    <w:rsid w:val="002E361C"/>
    <w:rsid w:val="002E3943"/>
    <w:rsid w:val="002E3F7C"/>
    <w:rsid w:val="002E4254"/>
    <w:rsid w:val="002E4F13"/>
    <w:rsid w:val="002E4FB7"/>
    <w:rsid w:val="002E6712"/>
    <w:rsid w:val="002F104B"/>
    <w:rsid w:val="002F1C09"/>
    <w:rsid w:val="002F4696"/>
    <w:rsid w:val="002F5F3B"/>
    <w:rsid w:val="002F693C"/>
    <w:rsid w:val="002F7C6D"/>
    <w:rsid w:val="003020F4"/>
    <w:rsid w:val="003025C7"/>
    <w:rsid w:val="0030360F"/>
    <w:rsid w:val="00303790"/>
    <w:rsid w:val="00303984"/>
    <w:rsid w:val="00304A73"/>
    <w:rsid w:val="003057F7"/>
    <w:rsid w:val="003069F9"/>
    <w:rsid w:val="00310208"/>
    <w:rsid w:val="0031058F"/>
    <w:rsid w:val="0031089E"/>
    <w:rsid w:val="00310D69"/>
    <w:rsid w:val="003147B7"/>
    <w:rsid w:val="003149A9"/>
    <w:rsid w:val="00317E59"/>
    <w:rsid w:val="00320465"/>
    <w:rsid w:val="00322AE7"/>
    <w:rsid w:val="00325246"/>
    <w:rsid w:val="003275E4"/>
    <w:rsid w:val="00330069"/>
    <w:rsid w:val="00330144"/>
    <w:rsid w:val="0033244F"/>
    <w:rsid w:val="00337E16"/>
    <w:rsid w:val="00340E66"/>
    <w:rsid w:val="00340F10"/>
    <w:rsid w:val="00342A44"/>
    <w:rsid w:val="0034486B"/>
    <w:rsid w:val="00344D92"/>
    <w:rsid w:val="003455A2"/>
    <w:rsid w:val="00345BD4"/>
    <w:rsid w:val="00350E87"/>
    <w:rsid w:val="00353B7C"/>
    <w:rsid w:val="0035438E"/>
    <w:rsid w:val="00355828"/>
    <w:rsid w:val="00356E38"/>
    <w:rsid w:val="00357CBE"/>
    <w:rsid w:val="00361487"/>
    <w:rsid w:val="00361661"/>
    <w:rsid w:val="00372E83"/>
    <w:rsid w:val="00377407"/>
    <w:rsid w:val="00381780"/>
    <w:rsid w:val="003824E4"/>
    <w:rsid w:val="00383CFE"/>
    <w:rsid w:val="003853FF"/>
    <w:rsid w:val="00385609"/>
    <w:rsid w:val="00385DAB"/>
    <w:rsid w:val="0038696B"/>
    <w:rsid w:val="00387CBD"/>
    <w:rsid w:val="003900C7"/>
    <w:rsid w:val="0039039F"/>
    <w:rsid w:val="00390ED6"/>
    <w:rsid w:val="00391B5C"/>
    <w:rsid w:val="00392509"/>
    <w:rsid w:val="00393FCC"/>
    <w:rsid w:val="003943E5"/>
    <w:rsid w:val="00397D8E"/>
    <w:rsid w:val="003A105C"/>
    <w:rsid w:val="003A2222"/>
    <w:rsid w:val="003A3262"/>
    <w:rsid w:val="003A5479"/>
    <w:rsid w:val="003A5C1B"/>
    <w:rsid w:val="003A7C7F"/>
    <w:rsid w:val="003B0304"/>
    <w:rsid w:val="003B043F"/>
    <w:rsid w:val="003B155C"/>
    <w:rsid w:val="003B1E19"/>
    <w:rsid w:val="003B2E10"/>
    <w:rsid w:val="003B33CE"/>
    <w:rsid w:val="003B343D"/>
    <w:rsid w:val="003B391B"/>
    <w:rsid w:val="003B56D7"/>
    <w:rsid w:val="003C1911"/>
    <w:rsid w:val="003C1B4F"/>
    <w:rsid w:val="003C2288"/>
    <w:rsid w:val="003C3336"/>
    <w:rsid w:val="003C39E6"/>
    <w:rsid w:val="003C6DEB"/>
    <w:rsid w:val="003C7585"/>
    <w:rsid w:val="003C7A5C"/>
    <w:rsid w:val="003D660C"/>
    <w:rsid w:val="003D73BD"/>
    <w:rsid w:val="003D7CCE"/>
    <w:rsid w:val="003E0D8C"/>
    <w:rsid w:val="003E154A"/>
    <w:rsid w:val="003E1B68"/>
    <w:rsid w:val="003E65D7"/>
    <w:rsid w:val="003F1CE1"/>
    <w:rsid w:val="003F413A"/>
    <w:rsid w:val="003F54FB"/>
    <w:rsid w:val="003F6D1F"/>
    <w:rsid w:val="00405316"/>
    <w:rsid w:val="0041153E"/>
    <w:rsid w:val="00412CEF"/>
    <w:rsid w:val="004141A8"/>
    <w:rsid w:val="004169D8"/>
    <w:rsid w:val="004201AF"/>
    <w:rsid w:val="00425FF9"/>
    <w:rsid w:val="00427B3B"/>
    <w:rsid w:val="00427EBF"/>
    <w:rsid w:val="00431085"/>
    <w:rsid w:val="00435269"/>
    <w:rsid w:val="004362AB"/>
    <w:rsid w:val="00441101"/>
    <w:rsid w:val="004415FB"/>
    <w:rsid w:val="00441CE3"/>
    <w:rsid w:val="004421F5"/>
    <w:rsid w:val="0044434A"/>
    <w:rsid w:val="0044437F"/>
    <w:rsid w:val="00445E76"/>
    <w:rsid w:val="00446606"/>
    <w:rsid w:val="004471BC"/>
    <w:rsid w:val="00447217"/>
    <w:rsid w:val="00452C60"/>
    <w:rsid w:val="00457F93"/>
    <w:rsid w:val="004617A9"/>
    <w:rsid w:val="0046384E"/>
    <w:rsid w:val="00464CF4"/>
    <w:rsid w:val="00466E73"/>
    <w:rsid w:val="0046706B"/>
    <w:rsid w:val="00467815"/>
    <w:rsid w:val="00471284"/>
    <w:rsid w:val="0047240F"/>
    <w:rsid w:val="00472FB0"/>
    <w:rsid w:val="00473696"/>
    <w:rsid w:val="00473721"/>
    <w:rsid w:val="0047491E"/>
    <w:rsid w:val="004836D8"/>
    <w:rsid w:val="004837C6"/>
    <w:rsid w:val="00483998"/>
    <w:rsid w:val="00484E4C"/>
    <w:rsid w:val="00491438"/>
    <w:rsid w:val="00492E3F"/>
    <w:rsid w:val="00493F5C"/>
    <w:rsid w:val="00495DB3"/>
    <w:rsid w:val="004A171B"/>
    <w:rsid w:val="004A2385"/>
    <w:rsid w:val="004A2D91"/>
    <w:rsid w:val="004A7912"/>
    <w:rsid w:val="004B0194"/>
    <w:rsid w:val="004B1113"/>
    <w:rsid w:val="004B1DC3"/>
    <w:rsid w:val="004B36AE"/>
    <w:rsid w:val="004C61A3"/>
    <w:rsid w:val="004C6E03"/>
    <w:rsid w:val="004C780C"/>
    <w:rsid w:val="004D03BA"/>
    <w:rsid w:val="004D3441"/>
    <w:rsid w:val="004D6A38"/>
    <w:rsid w:val="004D6C65"/>
    <w:rsid w:val="004D708E"/>
    <w:rsid w:val="004D760C"/>
    <w:rsid w:val="004D7C91"/>
    <w:rsid w:val="004E26E4"/>
    <w:rsid w:val="004E357A"/>
    <w:rsid w:val="004E5000"/>
    <w:rsid w:val="004E65EB"/>
    <w:rsid w:val="004F3D4A"/>
    <w:rsid w:val="004F7174"/>
    <w:rsid w:val="00500DD0"/>
    <w:rsid w:val="005012AA"/>
    <w:rsid w:val="005012CF"/>
    <w:rsid w:val="0050355D"/>
    <w:rsid w:val="005055B5"/>
    <w:rsid w:val="00506619"/>
    <w:rsid w:val="00510D1D"/>
    <w:rsid w:val="00511BBF"/>
    <w:rsid w:val="00515E7B"/>
    <w:rsid w:val="005217F8"/>
    <w:rsid w:val="0052267A"/>
    <w:rsid w:val="005239DD"/>
    <w:rsid w:val="00523CA1"/>
    <w:rsid w:val="005266F4"/>
    <w:rsid w:val="0052675C"/>
    <w:rsid w:val="00531143"/>
    <w:rsid w:val="005340EA"/>
    <w:rsid w:val="00534A44"/>
    <w:rsid w:val="00536332"/>
    <w:rsid w:val="00542821"/>
    <w:rsid w:val="00543514"/>
    <w:rsid w:val="005438A1"/>
    <w:rsid w:val="00543B81"/>
    <w:rsid w:val="00543EB8"/>
    <w:rsid w:val="00543F41"/>
    <w:rsid w:val="00544550"/>
    <w:rsid w:val="00544FCF"/>
    <w:rsid w:val="005450DC"/>
    <w:rsid w:val="00545A47"/>
    <w:rsid w:val="00545FC7"/>
    <w:rsid w:val="0054634E"/>
    <w:rsid w:val="00546B67"/>
    <w:rsid w:val="00554A33"/>
    <w:rsid w:val="0055716D"/>
    <w:rsid w:val="005571A6"/>
    <w:rsid w:val="00557953"/>
    <w:rsid w:val="00560E55"/>
    <w:rsid w:val="0056301A"/>
    <w:rsid w:val="005635AD"/>
    <w:rsid w:val="005640E1"/>
    <w:rsid w:val="00564EA1"/>
    <w:rsid w:val="0056534C"/>
    <w:rsid w:val="00567CEE"/>
    <w:rsid w:val="00570260"/>
    <w:rsid w:val="005713F4"/>
    <w:rsid w:val="00571E64"/>
    <w:rsid w:val="00573D3B"/>
    <w:rsid w:val="00575784"/>
    <w:rsid w:val="00575CC3"/>
    <w:rsid w:val="00576018"/>
    <w:rsid w:val="00580F26"/>
    <w:rsid w:val="00581A7C"/>
    <w:rsid w:val="0058427E"/>
    <w:rsid w:val="005864FA"/>
    <w:rsid w:val="00590907"/>
    <w:rsid w:val="0059346F"/>
    <w:rsid w:val="00594A7B"/>
    <w:rsid w:val="005A2D82"/>
    <w:rsid w:val="005A3835"/>
    <w:rsid w:val="005A3AEC"/>
    <w:rsid w:val="005A6858"/>
    <w:rsid w:val="005A72F2"/>
    <w:rsid w:val="005B2194"/>
    <w:rsid w:val="005B2BC3"/>
    <w:rsid w:val="005B4CFA"/>
    <w:rsid w:val="005B5B3D"/>
    <w:rsid w:val="005B7166"/>
    <w:rsid w:val="005C1A79"/>
    <w:rsid w:val="005C7644"/>
    <w:rsid w:val="005C7BF4"/>
    <w:rsid w:val="005D2B0F"/>
    <w:rsid w:val="005D3352"/>
    <w:rsid w:val="005E12DD"/>
    <w:rsid w:val="005E269C"/>
    <w:rsid w:val="005E3586"/>
    <w:rsid w:val="005E3EC0"/>
    <w:rsid w:val="005E4DEE"/>
    <w:rsid w:val="005E5FF1"/>
    <w:rsid w:val="005F01CE"/>
    <w:rsid w:val="005F135B"/>
    <w:rsid w:val="005F4E54"/>
    <w:rsid w:val="005F70B6"/>
    <w:rsid w:val="005F7A87"/>
    <w:rsid w:val="006017DF"/>
    <w:rsid w:val="00601F0A"/>
    <w:rsid w:val="00604DBE"/>
    <w:rsid w:val="006063E1"/>
    <w:rsid w:val="006065E4"/>
    <w:rsid w:val="00606F56"/>
    <w:rsid w:val="00610039"/>
    <w:rsid w:val="00610381"/>
    <w:rsid w:val="00611C07"/>
    <w:rsid w:val="00611E07"/>
    <w:rsid w:val="00612045"/>
    <w:rsid w:val="00612F12"/>
    <w:rsid w:val="00613AC9"/>
    <w:rsid w:val="00615808"/>
    <w:rsid w:val="00620E86"/>
    <w:rsid w:val="006219DD"/>
    <w:rsid w:val="00621D63"/>
    <w:rsid w:val="00623DAF"/>
    <w:rsid w:val="006242BF"/>
    <w:rsid w:val="00631FE7"/>
    <w:rsid w:val="00632ACC"/>
    <w:rsid w:val="006345C1"/>
    <w:rsid w:val="00637FDD"/>
    <w:rsid w:val="00641E57"/>
    <w:rsid w:val="006503A5"/>
    <w:rsid w:val="00650463"/>
    <w:rsid w:val="00651660"/>
    <w:rsid w:val="00652171"/>
    <w:rsid w:val="006532C3"/>
    <w:rsid w:val="00661BD2"/>
    <w:rsid w:val="00666285"/>
    <w:rsid w:val="00670FEA"/>
    <w:rsid w:val="00671DC9"/>
    <w:rsid w:val="0067252D"/>
    <w:rsid w:val="006734AA"/>
    <w:rsid w:val="006734B3"/>
    <w:rsid w:val="0067353C"/>
    <w:rsid w:val="00676163"/>
    <w:rsid w:val="00677C22"/>
    <w:rsid w:val="006808CC"/>
    <w:rsid w:val="00685899"/>
    <w:rsid w:val="00692D30"/>
    <w:rsid w:val="00695597"/>
    <w:rsid w:val="00696A89"/>
    <w:rsid w:val="00696F75"/>
    <w:rsid w:val="00697477"/>
    <w:rsid w:val="006A037E"/>
    <w:rsid w:val="006A2019"/>
    <w:rsid w:val="006A21CC"/>
    <w:rsid w:val="006A3D41"/>
    <w:rsid w:val="006A7796"/>
    <w:rsid w:val="006B0495"/>
    <w:rsid w:val="006B0DCB"/>
    <w:rsid w:val="006B2408"/>
    <w:rsid w:val="006B3AF9"/>
    <w:rsid w:val="006B414C"/>
    <w:rsid w:val="006B4B0F"/>
    <w:rsid w:val="006C32CF"/>
    <w:rsid w:val="006C335E"/>
    <w:rsid w:val="006C3A1F"/>
    <w:rsid w:val="006C5C6C"/>
    <w:rsid w:val="006C7DE0"/>
    <w:rsid w:val="006D3DC7"/>
    <w:rsid w:val="006D4245"/>
    <w:rsid w:val="006E0A93"/>
    <w:rsid w:val="006E4064"/>
    <w:rsid w:val="006E58EA"/>
    <w:rsid w:val="006F0036"/>
    <w:rsid w:val="006F2F67"/>
    <w:rsid w:val="006F4DE0"/>
    <w:rsid w:val="006F4FB2"/>
    <w:rsid w:val="006F5E2D"/>
    <w:rsid w:val="006F6483"/>
    <w:rsid w:val="006F7332"/>
    <w:rsid w:val="007025BA"/>
    <w:rsid w:val="0070385B"/>
    <w:rsid w:val="0070407E"/>
    <w:rsid w:val="0070494F"/>
    <w:rsid w:val="00705758"/>
    <w:rsid w:val="0070717A"/>
    <w:rsid w:val="00707244"/>
    <w:rsid w:val="00712CCC"/>
    <w:rsid w:val="007136E9"/>
    <w:rsid w:val="00713DE5"/>
    <w:rsid w:val="007174DA"/>
    <w:rsid w:val="00720910"/>
    <w:rsid w:val="00720F29"/>
    <w:rsid w:val="007224C2"/>
    <w:rsid w:val="00731409"/>
    <w:rsid w:val="007334B1"/>
    <w:rsid w:val="007339F3"/>
    <w:rsid w:val="00737FEC"/>
    <w:rsid w:val="00740292"/>
    <w:rsid w:val="00742B07"/>
    <w:rsid w:val="0075064C"/>
    <w:rsid w:val="00755956"/>
    <w:rsid w:val="00756AA0"/>
    <w:rsid w:val="00757CE6"/>
    <w:rsid w:val="00764CB0"/>
    <w:rsid w:val="007666D8"/>
    <w:rsid w:val="007671B6"/>
    <w:rsid w:val="007671DA"/>
    <w:rsid w:val="00770C72"/>
    <w:rsid w:val="007719A8"/>
    <w:rsid w:val="00773CAE"/>
    <w:rsid w:val="00774593"/>
    <w:rsid w:val="00776EDA"/>
    <w:rsid w:val="00777599"/>
    <w:rsid w:val="00785CF8"/>
    <w:rsid w:val="00796068"/>
    <w:rsid w:val="00796CC0"/>
    <w:rsid w:val="00796CF1"/>
    <w:rsid w:val="007979EA"/>
    <w:rsid w:val="007A1A35"/>
    <w:rsid w:val="007A2166"/>
    <w:rsid w:val="007A2B7F"/>
    <w:rsid w:val="007A5922"/>
    <w:rsid w:val="007B1ABA"/>
    <w:rsid w:val="007B259B"/>
    <w:rsid w:val="007B3F28"/>
    <w:rsid w:val="007B5018"/>
    <w:rsid w:val="007B65B3"/>
    <w:rsid w:val="007C08AB"/>
    <w:rsid w:val="007C4E99"/>
    <w:rsid w:val="007C5151"/>
    <w:rsid w:val="007C546B"/>
    <w:rsid w:val="007C670D"/>
    <w:rsid w:val="007C7359"/>
    <w:rsid w:val="007D0ED0"/>
    <w:rsid w:val="007D1F01"/>
    <w:rsid w:val="007D3E0E"/>
    <w:rsid w:val="007D48CF"/>
    <w:rsid w:val="007D4A4A"/>
    <w:rsid w:val="007E0E05"/>
    <w:rsid w:val="007E1DD3"/>
    <w:rsid w:val="007E209F"/>
    <w:rsid w:val="007E2878"/>
    <w:rsid w:val="007E4655"/>
    <w:rsid w:val="007E55E0"/>
    <w:rsid w:val="007E5C50"/>
    <w:rsid w:val="007F0546"/>
    <w:rsid w:val="007F22A5"/>
    <w:rsid w:val="007F5688"/>
    <w:rsid w:val="0080038A"/>
    <w:rsid w:val="0080065F"/>
    <w:rsid w:val="008051DE"/>
    <w:rsid w:val="00805659"/>
    <w:rsid w:val="0080733E"/>
    <w:rsid w:val="00810CC2"/>
    <w:rsid w:val="0081324B"/>
    <w:rsid w:val="0081440E"/>
    <w:rsid w:val="00816193"/>
    <w:rsid w:val="008165E4"/>
    <w:rsid w:val="008234BD"/>
    <w:rsid w:val="00824A8C"/>
    <w:rsid w:val="00825155"/>
    <w:rsid w:val="00825EB9"/>
    <w:rsid w:val="008303E2"/>
    <w:rsid w:val="00833A8F"/>
    <w:rsid w:val="008341F8"/>
    <w:rsid w:val="008359F3"/>
    <w:rsid w:val="00835DB6"/>
    <w:rsid w:val="00836AC2"/>
    <w:rsid w:val="008406D5"/>
    <w:rsid w:val="00843BED"/>
    <w:rsid w:val="00844C5B"/>
    <w:rsid w:val="00847B37"/>
    <w:rsid w:val="008501A4"/>
    <w:rsid w:val="008505A1"/>
    <w:rsid w:val="00850817"/>
    <w:rsid w:val="00851D16"/>
    <w:rsid w:val="00851E54"/>
    <w:rsid w:val="0085433A"/>
    <w:rsid w:val="00854B32"/>
    <w:rsid w:val="00855F2B"/>
    <w:rsid w:val="00856252"/>
    <w:rsid w:val="00857634"/>
    <w:rsid w:val="0086124E"/>
    <w:rsid w:val="00861B74"/>
    <w:rsid w:val="008652C9"/>
    <w:rsid w:val="00866992"/>
    <w:rsid w:val="00866CA9"/>
    <w:rsid w:val="00867E32"/>
    <w:rsid w:val="00872942"/>
    <w:rsid w:val="00875991"/>
    <w:rsid w:val="00875BB5"/>
    <w:rsid w:val="008771B6"/>
    <w:rsid w:val="00877FDD"/>
    <w:rsid w:val="00880FED"/>
    <w:rsid w:val="0088186D"/>
    <w:rsid w:val="008841C8"/>
    <w:rsid w:val="00885367"/>
    <w:rsid w:val="00887082"/>
    <w:rsid w:val="00887DC7"/>
    <w:rsid w:val="00891FCC"/>
    <w:rsid w:val="00892BB8"/>
    <w:rsid w:val="00893014"/>
    <w:rsid w:val="0089513A"/>
    <w:rsid w:val="00896755"/>
    <w:rsid w:val="008A2417"/>
    <w:rsid w:val="008A5D49"/>
    <w:rsid w:val="008A751E"/>
    <w:rsid w:val="008A756C"/>
    <w:rsid w:val="008B0547"/>
    <w:rsid w:val="008B11A3"/>
    <w:rsid w:val="008B1FE5"/>
    <w:rsid w:val="008B2AD7"/>
    <w:rsid w:val="008B3A74"/>
    <w:rsid w:val="008B3D72"/>
    <w:rsid w:val="008B434A"/>
    <w:rsid w:val="008B5DA7"/>
    <w:rsid w:val="008B7B55"/>
    <w:rsid w:val="008C3A5B"/>
    <w:rsid w:val="008C5B71"/>
    <w:rsid w:val="008D2382"/>
    <w:rsid w:val="008D5667"/>
    <w:rsid w:val="008D6F5D"/>
    <w:rsid w:val="008E003A"/>
    <w:rsid w:val="008E15E3"/>
    <w:rsid w:val="008E2045"/>
    <w:rsid w:val="008E4C62"/>
    <w:rsid w:val="008E727E"/>
    <w:rsid w:val="008F2902"/>
    <w:rsid w:val="008F4593"/>
    <w:rsid w:val="008F660B"/>
    <w:rsid w:val="009005CE"/>
    <w:rsid w:val="00901376"/>
    <w:rsid w:val="0090188B"/>
    <w:rsid w:val="009021A4"/>
    <w:rsid w:val="00904305"/>
    <w:rsid w:val="00904EC5"/>
    <w:rsid w:val="00914B48"/>
    <w:rsid w:val="0091511B"/>
    <w:rsid w:val="00917B6F"/>
    <w:rsid w:val="009239AA"/>
    <w:rsid w:val="009245B5"/>
    <w:rsid w:val="00925EF2"/>
    <w:rsid w:val="00935C40"/>
    <w:rsid w:val="00935F4D"/>
    <w:rsid w:val="0093795C"/>
    <w:rsid w:val="00937F7E"/>
    <w:rsid w:val="009440DE"/>
    <w:rsid w:val="009444E6"/>
    <w:rsid w:val="00944A8E"/>
    <w:rsid w:val="009455E6"/>
    <w:rsid w:val="0094589B"/>
    <w:rsid w:val="00953B70"/>
    <w:rsid w:val="00956BA7"/>
    <w:rsid w:val="00956FD8"/>
    <w:rsid w:val="009575F7"/>
    <w:rsid w:val="00957E4B"/>
    <w:rsid w:val="0096021A"/>
    <w:rsid w:val="00960F73"/>
    <w:rsid w:val="009642CA"/>
    <w:rsid w:val="0096655D"/>
    <w:rsid w:val="00971139"/>
    <w:rsid w:val="00972B10"/>
    <w:rsid w:val="0097401F"/>
    <w:rsid w:val="00981FA0"/>
    <w:rsid w:val="00983541"/>
    <w:rsid w:val="00984366"/>
    <w:rsid w:val="00984E80"/>
    <w:rsid w:val="0098690F"/>
    <w:rsid w:val="00987EE5"/>
    <w:rsid w:val="00991CD8"/>
    <w:rsid w:val="00991EBE"/>
    <w:rsid w:val="00993C2E"/>
    <w:rsid w:val="00997C8A"/>
    <w:rsid w:val="009A1339"/>
    <w:rsid w:val="009A3006"/>
    <w:rsid w:val="009A3994"/>
    <w:rsid w:val="009B5D6F"/>
    <w:rsid w:val="009B62AF"/>
    <w:rsid w:val="009B7AB9"/>
    <w:rsid w:val="009C4B6D"/>
    <w:rsid w:val="009D0928"/>
    <w:rsid w:val="009D1B99"/>
    <w:rsid w:val="009D2884"/>
    <w:rsid w:val="009D5393"/>
    <w:rsid w:val="009D5445"/>
    <w:rsid w:val="009D565F"/>
    <w:rsid w:val="009D65B9"/>
    <w:rsid w:val="009E04DC"/>
    <w:rsid w:val="009E0FB3"/>
    <w:rsid w:val="009E3B5A"/>
    <w:rsid w:val="009E5105"/>
    <w:rsid w:val="009E59A1"/>
    <w:rsid w:val="009E66EE"/>
    <w:rsid w:val="009F4326"/>
    <w:rsid w:val="00A0082F"/>
    <w:rsid w:val="00A0244C"/>
    <w:rsid w:val="00A033FF"/>
    <w:rsid w:val="00A0409E"/>
    <w:rsid w:val="00A06137"/>
    <w:rsid w:val="00A063FE"/>
    <w:rsid w:val="00A06EDB"/>
    <w:rsid w:val="00A07ACC"/>
    <w:rsid w:val="00A1329C"/>
    <w:rsid w:val="00A14E25"/>
    <w:rsid w:val="00A16A60"/>
    <w:rsid w:val="00A17A3D"/>
    <w:rsid w:val="00A2062A"/>
    <w:rsid w:val="00A2066E"/>
    <w:rsid w:val="00A21E19"/>
    <w:rsid w:val="00A236A1"/>
    <w:rsid w:val="00A239A8"/>
    <w:rsid w:val="00A25B79"/>
    <w:rsid w:val="00A30683"/>
    <w:rsid w:val="00A3115F"/>
    <w:rsid w:val="00A32209"/>
    <w:rsid w:val="00A33030"/>
    <w:rsid w:val="00A378A2"/>
    <w:rsid w:val="00A407B6"/>
    <w:rsid w:val="00A40CDE"/>
    <w:rsid w:val="00A43FBD"/>
    <w:rsid w:val="00A43FD4"/>
    <w:rsid w:val="00A52DA1"/>
    <w:rsid w:val="00A5757E"/>
    <w:rsid w:val="00A60F52"/>
    <w:rsid w:val="00A61DFE"/>
    <w:rsid w:val="00A62AA8"/>
    <w:rsid w:val="00A63B4C"/>
    <w:rsid w:val="00A6526F"/>
    <w:rsid w:val="00A664E7"/>
    <w:rsid w:val="00A66E7F"/>
    <w:rsid w:val="00A70904"/>
    <w:rsid w:val="00A709BB"/>
    <w:rsid w:val="00A75C52"/>
    <w:rsid w:val="00A767B2"/>
    <w:rsid w:val="00A81B11"/>
    <w:rsid w:val="00A82B9E"/>
    <w:rsid w:val="00A84186"/>
    <w:rsid w:val="00A846F1"/>
    <w:rsid w:val="00A857B4"/>
    <w:rsid w:val="00A85B14"/>
    <w:rsid w:val="00A875C0"/>
    <w:rsid w:val="00A87C15"/>
    <w:rsid w:val="00A92706"/>
    <w:rsid w:val="00A9704A"/>
    <w:rsid w:val="00A97AD0"/>
    <w:rsid w:val="00AA1377"/>
    <w:rsid w:val="00AA49AF"/>
    <w:rsid w:val="00AA4F2F"/>
    <w:rsid w:val="00AA57CE"/>
    <w:rsid w:val="00AA7540"/>
    <w:rsid w:val="00AB3E6B"/>
    <w:rsid w:val="00AB51C8"/>
    <w:rsid w:val="00AB7B25"/>
    <w:rsid w:val="00AC0BAE"/>
    <w:rsid w:val="00AC126F"/>
    <w:rsid w:val="00AC3256"/>
    <w:rsid w:val="00AC4B34"/>
    <w:rsid w:val="00AD05A6"/>
    <w:rsid w:val="00AD283D"/>
    <w:rsid w:val="00AE05EA"/>
    <w:rsid w:val="00AE0EDF"/>
    <w:rsid w:val="00AE1128"/>
    <w:rsid w:val="00AE1AB0"/>
    <w:rsid w:val="00AE2609"/>
    <w:rsid w:val="00AE29A8"/>
    <w:rsid w:val="00AE439A"/>
    <w:rsid w:val="00AE617A"/>
    <w:rsid w:val="00AE713F"/>
    <w:rsid w:val="00AF09C7"/>
    <w:rsid w:val="00AF4BF4"/>
    <w:rsid w:val="00B0025D"/>
    <w:rsid w:val="00B006D8"/>
    <w:rsid w:val="00B03D35"/>
    <w:rsid w:val="00B05065"/>
    <w:rsid w:val="00B05194"/>
    <w:rsid w:val="00B06B45"/>
    <w:rsid w:val="00B06D33"/>
    <w:rsid w:val="00B10AD8"/>
    <w:rsid w:val="00B17303"/>
    <w:rsid w:val="00B21343"/>
    <w:rsid w:val="00B219AA"/>
    <w:rsid w:val="00B21A5B"/>
    <w:rsid w:val="00B25143"/>
    <w:rsid w:val="00B2585D"/>
    <w:rsid w:val="00B266FA"/>
    <w:rsid w:val="00B26C40"/>
    <w:rsid w:val="00B27359"/>
    <w:rsid w:val="00B33FC2"/>
    <w:rsid w:val="00B347F1"/>
    <w:rsid w:val="00B34A99"/>
    <w:rsid w:val="00B3502B"/>
    <w:rsid w:val="00B35755"/>
    <w:rsid w:val="00B3599F"/>
    <w:rsid w:val="00B35C3E"/>
    <w:rsid w:val="00B36473"/>
    <w:rsid w:val="00B40BEA"/>
    <w:rsid w:val="00B44029"/>
    <w:rsid w:val="00B44FFA"/>
    <w:rsid w:val="00B45428"/>
    <w:rsid w:val="00B47943"/>
    <w:rsid w:val="00B50446"/>
    <w:rsid w:val="00B50A6E"/>
    <w:rsid w:val="00B512D2"/>
    <w:rsid w:val="00B527BF"/>
    <w:rsid w:val="00B530FD"/>
    <w:rsid w:val="00B53C9C"/>
    <w:rsid w:val="00B558FE"/>
    <w:rsid w:val="00B56396"/>
    <w:rsid w:val="00B5639B"/>
    <w:rsid w:val="00B60C3E"/>
    <w:rsid w:val="00B615CB"/>
    <w:rsid w:val="00B63E30"/>
    <w:rsid w:val="00B645FA"/>
    <w:rsid w:val="00B64775"/>
    <w:rsid w:val="00B663CD"/>
    <w:rsid w:val="00B67B4F"/>
    <w:rsid w:val="00B81718"/>
    <w:rsid w:val="00B86AF6"/>
    <w:rsid w:val="00B86E2A"/>
    <w:rsid w:val="00B877AA"/>
    <w:rsid w:val="00B9389E"/>
    <w:rsid w:val="00B96EA4"/>
    <w:rsid w:val="00B97282"/>
    <w:rsid w:val="00B97A3E"/>
    <w:rsid w:val="00BA2F02"/>
    <w:rsid w:val="00BA2FFD"/>
    <w:rsid w:val="00BA428A"/>
    <w:rsid w:val="00BA58B6"/>
    <w:rsid w:val="00BA62AD"/>
    <w:rsid w:val="00BB0267"/>
    <w:rsid w:val="00BB078B"/>
    <w:rsid w:val="00BB37AF"/>
    <w:rsid w:val="00BB4769"/>
    <w:rsid w:val="00BB4C08"/>
    <w:rsid w:val="00BB61BE"/>
    <w:rsid w:val="00BB779D"/>
    <w:rsid w:val="00BC1DBD"/>
    <w:rsid w:val="00BC5737"/>
    <w:rsid w:val="00BD1747"/>
    <w:rsid w:val="00BD3C68"/>
    <w:rsid w:val="00BD421D"/>
    <w:rsid w:val="00BD6B87"/>
    <w:rsid w:val="00BD73FC"/>
    <w:rsid w:val="00BD79B1"/>
    <w:rsid w:val="00BE04D9"/>
    <w:rsid w:val="00BE4614"/>
    <w:rsid w:val="00BE4E6F"/>
    <w:rsid w:val="00BE5100"/>
    <w:rsid w:val="00BE529D"/>
    <w:rsid w:val="00BE53DD"/>
    <w:rsid w:val="00BE6637"/>
    <w:rsid w:val="00BF10E8"/>
    <w:rsid w:val="00BF3158"/>
    <w:rsid w:val="00BF3169"/>
    <w:rsid w:val="00BF51B7"/>
    <w:rsid w:val="00C00953"/>
    <w:rsid w:val="00C03312"/>
    <w:rsid w:val="00C039A5"/>
    <w:rsid w:val="00C03A04"/>
    <w:rsid w:val="00C046F7"/>
    <w:rsid w:val="00C064FE"/>
    <w:rsid w:val="00C06EA1"/>
    <w:rsid w:val="00C10C0B"/>
    <w:rsid w:val="00C10DD5"/>
    <w:rsid w:val="00C11F76"/>
    <w:rsid w:val="00C15A27"/>
    <w:rsid w:val="00C1776A"/>
    <w:rsid w:val="00C22519"/>
    <w:rsid w:val="00C2305C"/>
    <w:rsid w:val="00C233D0"/>
    <w:rsid w:val="00C2380D"/>
    <w:rsid w:val="00C24162"/>
    <w:rsid w:val="00C24E78"/>
    <w:rsid w:val="00C2509D"/>
    <w:rsid w:val="00C34ABD"/>
    <w:rsid w:val="00C353CF"/>
    <w:rsid w:val="00C35F43"/>
    <w:rsid w:val="00C37088"/>
    <w:rsid w:val="00C3715E"/>
    <w:rsid w:val="00C408D5"/>
    <w:rsid w:val="00C41D3C"/>
    <w:rsid w:val="00C43801"/>
    <w:rsid w:val="00C44A07"/>
    <w:rsid w:val="00C44BDC"/>
    <w:rsid w:val="00C45BFB"/>
    <w:rsid w:val="00C45DCE"/>
    <w:rsid w:val="00C46D15"/>
    <w:rsid w:val="00C50FF9"/>
    <w:rsid w:val="00C54B14"/>
    <w:rsid w:val="00C6352A"/>
    <w:rsid w:val="00C65B2D"/>
    <w:rsid w:val="00C65C5D"/>
    <w:rsid w:val="00C6656A"/>
    <w:rsid w:val="00C66C03"/>
    <w:rsid w:val="00C711E5"/>
    <w:rsid w:val="00C730CB"/>
    <w:rsid w:val="00C73782"/>
    <w:rsid w:val="00C80D90"/>
    <w:rsid w:val="00C81B05"/>
    <w:rsid w:val="00C83AEE"/>
    <w:rsid w:val="00C85563"/>
    <w:rsid w:val="00C85AC7"/>
    <w:rsid w:val="00C87F13"/>
    <w:rsid w:val="00C9045E"/>
    <w:rsid w:val="00C906CD"/>
    <w:rsid w:val="00C934E0"/>
    <w:rsid w:val="00CA0FB8"/>
    <w:rsid w:val="00CA15F3"/>
    <w:rsid w:val="00CA2680"/>
    <w:rsid w:val="00CA4D23"/>
    <w:rsid w:val="00CA6716"/>
    <w:rsid w:val="00CB036A"/>
    <w:rsid w:val="00CB0D34"/>
    <w:rsid w:val="00CB79F7"/>
    <w:rsid w:val="00CC1939"/>
    <w:rsid w:val="00CC42D4"/>
    <w:rsid w:val="00CC64E3"/>
    <w:rsid w:val="00CC7712"/>
    <w:rsid w:val="00CD179A"/>
    <w:rsid w:val="00CD2536"/>
    <w:rsid w:val="00CD407F"/>
    <w:rsid w:val="00CD5740"/>
    <w:rsid w:val="00CD7420"/>
    <w:rsid w:val="00CE0BA7"/>
    <w:rsid w:val="00CE6ACB"/>
    <w:rsid w:val="00CE6D09"/>
    <w:rsid w:val="00CF0E4D"/>
    <w:rsid w:val="00CF230D"/>
    <w:rsid w:val="00CF5489"/>
    <w:rsid w:val="00CF7615"/>
    <w:rsid w:val="00CF7823"/>
    <w:rsid w:val="00D003F8"/>
    <w:rsid w:val="00D01AFE"/>
    <w:rsid w:val="00D02757"/>
    <w:rsid w:val="00D02FB7"/>
    <w:rsid w:val="00D04613"/>
    <w:rsid w:val="00D05C77"/>
    <w:rsid w:val="00D10769"/>
    <w:rsid w:val="00D11642"/>
    <w:rsid w:val="00D116C7"/>
    <w:rsid w:val="00D13AC5"/>
    <w:rsid w:val="00D14E5F"/>
    <w:rsid w:val="00D14FB2"/>
    <w:rsid w:val="00D16754"/>
    <w:rsid w:val="00D17548"/>
    <w:rsid w:val="00D17CC6"/>
    <w:rsid w:val="00D2041E"/>
    <w:rsid w:val="00D20454"/>
    <w:rsid w:val="00D20D10"/>
    <w:rsid w:val="00D23801"/>
    <w:rsid w:val="00D25AEC"/>
    <w:rsid w:val="00D25B2F"/>
    <w:rsid w:val="00D341C9"/>
    <w:rsid w:val="00D3447D"/>
    <w:rsid w:val="00D3488B"/>
    <w:rsid w:val="00D361DE"/>
    <w:rsid w:val="00D37427"/>
    <w:rsid w:val="00D3793E"/>
    <w:rsid w:val="00D37FB2"/>
    <w:rsid w:val="00D41A6A"/>
    <w:rsid w:val="00D44B3D"/>
    <w:rsid w:val="00D46C4C"/>
    <w:rsid w:val="00D51F18"/>
    <w:rsid w:val="00D53537"/>
    <w:rsid w:val="00D551C8"/>
    <w:rsid w:val="00D55972"/>
    <w:rsid w:val="00D564BB"/>
    <w:rsid w:val="00D565FA"/>
    <w:rsid w:val="00D568ED"/>
    <w:rsid w:val="00D6014E"/>
    <w:rsid w:val="00D630E7"/>
    <w:rsid w:val="00D700E5"/>
    <w:rsid w:val="00D70900"/>
    <w:rsid w:val="00D71B77"/>
    <w:rsid w:val="00D76186"/>
    <w:rsid w:val="00D771E9"/>
    <w:rsid w:val="00D86DD4"/>
    <w:rsid w:val="00D92529"/>
    <w:rsid w:val="00DA1613"/>
    <w:rsid w:val="00DA5AAB"/>
    <w:rsid w:val="00DA671A"/>
    <w:rsid w:val="00DA6858"/>
    <w:rsid w:val="00DB1CD7"/>
    <w:rsid w:val="00DB2651"/>
    <w:rsid w:val="00DB30B1"/>
    <w:rsid w:val="00DB3ECD"/>
    <w:rsid w:val="00DB4717"/>
    <w:rsid w:val="00DC12C8"/>
    <w:rsid w:val="00DC6F31"/>
    <w:rsid w:val="00DC7FFD"/>
    <w:rsid w:val="00DD1B11"/>
    <w:rsid w:val="00DD6D82"/>
    <w:rsid w:val="00DE045E"/>
    <w:rsid w:val="00DE1240"/>
    <w:rsid w:val="00DE1AA5"/>
    <w:rsid w:val="00DE231A"/>
    <w:rsid w:val="00DE23D6"/>
    <w:rsid w:val="00DE2CB6"/>
    <w:rsid w:val="00DE2DDE"/>
    <w:rsid w:val="00DE395F"/>
    <w:rsid w:val="00DE5414"/>
    <w:rsid w:val="00DF0C37"/>
    <w:rsid w:val="00DF24FD"/>
    <w:rsid w:val="00DF2506"/>
    <w:rsid w:val="00DF301A"/>
    <w:rsid w:val="00DF3469"/>
    <w:rsid w:val="00DF3BE2"/>
    <w:rsid w:val="00DF4E2C"/>
    <w:rsid w:val="00DF4E34"/>
    <w:rsid w:val="00DF75EC"/>
    <w:rsid w:val="00E0133D"/>
    <w:rsid w:val="00E019ED"/>
    <w:rsid w:val="00E02392"/>
    <w:rsid w:val="00E0312F"/>
    <w:rsid w:val="00E04C48"/>
    <w:rsid w:val="00E06065"/>
    <w:rsid w:val="00E079C6"/>
    <w:rsid w:val="00E1273C"/>
    <w:rsid w:val="00E1434A"/>
    <w:rsid w:val="00E146CF"/>
    <w:rsid w:val="00E14BED"/>
    <w:rsid w:val="00E17711"/>
    <w:rsid w:val="00E23C05"/>
    <w:rsid w:val="00E2425F"/>
    <w:rsid w:val="00E245B0"/>
    <w:rsid w:val="00E247E2"/>
    <w:rsid w:val="00E304EB"/>
    <w:rsid w:val="00E329D0"/>
    <w:rsid w:val="00E33746"/>
    <w:rsid w:val="00E342B3"/>
    <w:rsid w:val="00E3451F"/>
    <w:rsid w:val="00E36ADF"/>
    <w:rsid w:val="00E36B53"/>
    <w:rsid w:val="00E37585"/>
    <w:rsid w:val="00E41B64"/>
    <w:rsid w:val="00E42C35"/>
    <w:rsid w:val="00E469D5"/>
    <w:rsid w:val="00E46CD5"/>
    <w:rsid w:val="00E500D9"/>
    <w:rsid w:val="00E50FCF"/>
    <w:rsid w:val="00E51AB5"/>
    <w:rsid w:val="00E52345"/>
    <w:rsid w:val="00E52763"/>
    <w:rsid w:val="00E563AE"/>
    <w:rsid w:val="00E662CD"/>
    <w:rsid w:val="00E67427"/>
    <w:rsid w:val="00E73271"/>
    <w:rsid w:val="00E735DA"/>
    <w:rsid w:val="00E74214"/>
    <w:rsid w:val="00E74762"/>
    <w:rsid w:val="00E74D52"/>
    <w:rsid w:val="00E75855"/>
    <w:rsid w:val="00E7609C"/>
    <w:rsid w:val="00E82556"/>
    <w:rsid w:val="00E85CBE"/>
    <w:rsid w:val="00E86566"/>
    <w:rsid w:val="00E875F5"/>
    <w:rsid w:val="00E92527"/>
    <w:rsid w:val="00E92A93"/>
    <w:rsid w:val="00E93620"/>
    <w:rsid w:val="00E97045"/>
    <w:rsid w:val="00EA270C"/>
    <w:rsid w:val="00EA5CF4"/>
    <w:rsid w:val="00EB09B9"/>
    <w:rsid w:val="00EB2B5A"/>
    <w:rsid w:val="00EB76F7"/>
    <w:rsid w:val="00EB7CB1"/>
    <w:rsid w:val="00EC0569"/>
    <w:rsid w:val="00EC0C7B"/>
    <w:rsid w:val="00EC1C35"/>
    <w:rsid w:val="00EC5E45"/>
    <w:rsid w:val="00ED0557"/>
    <w:rsid w:val="00ED0CF0"/>
    <w:rsid w:val="00ED34D4"/>
    <w:rsid w:val="00ED3D84"/>
    <w:rsid w:val="00ED766C"/>
    <w:rsid w:val="00ED76FB"/>
    <w:rsid w:val="00EE05C2"/>
    <w:rsid w:val="00EE30EE"/>
    <w:rsid w:val="00EE3C6D"/>
    <w:rsid w:val="00EE4C6E"/>
    <w:rsid w:val="00EE5135"/>
    <w:rsid w:val="00EE61BE"/>
    <w:rsid w:val="00EE6DE6"/>
    <w:rsid w:val="00EF057C"/>
    <w:rsid w:val="00EF1D14"/>
    <w:rsid w:val="00EF4FEE"/>
    <w:rsid w:val="00EF6873"/>
    <w:rsid w:val="00F00BE1"/>
    <w:rsid w:val="00F01B31"/>
    <w:rsid w:val="00F03AB9"/>
    <w:rsid w:val="00F06479"/>
    <w:rsid w:val="00F076C5"/>
    <w:rsid w:val="00F120D9"/>
    <w:rsid w:val="00F124BE"/>
    <w:rsid w:val="00F125DE"/>
    <w:rsid w:val="00F24232"/>
    <w:rsid w:val="00F27170"/>
    <w:rsid w:val="00F30016"/>
    <w:rsid w:val="00F3144A"/>
    <w:rsid w:val="00F31C75"/>
    <w:rsid w:val="00F32543"/>
    <w:rsid w:val="00F33277"/>
    <w:rsid w:val="00F340CD"/>
    <w:rsid w:val="00F341CC"/>
    <w:rsid w:val="00F36D10"/>
    <w:rsid w:val="00F40CAB"/>
    <w:rsid w:val="00F47C5C"/>
    <w:rsid w:val="00F54856"/>
    <w:rsid w:val="00F57650"/>
    <w:rsid w:val="00F579FC"/>
    <w:rsid w:val="00F60C74"/>
    <w:rsid w:val="00F62773"/>
    <w:rsid w:val="00F64F51"/>
    <w:rsid w:val="00F66122"/>
    <w:rsid w:val="00F666FD"/>
    <w:rsid w:val="00F67A35"/>
    <w:rsid w:val="00F759AD"/>
    <w:rsid w:val="00F765E8"/>
    <w:rsid w:val="00F8200C"/>
    <w:rsid w:val="00F85D77"/>
    <w:rsid w:val="00F86D88"/>
    <w:rsid w:val="00F87FA7"/>
    <w:rsid w:val="00F90898"/>
    <w:rsid w:val="00F914C8"/>
    <w:rsid w:val="00F9473C"/>
    <w:rsid w:val="00FA40A3"/>
    <w:rsid w:val="00FA45CD"/>
    <w:rsid w:val="00FA5B17"/>
    <w:rsid w:val="00FB33FA"/>
    <w:rsid w:val="00FB3BA6"/>
    <w:rsid w:val="00FB4D65"/>
    <w:rsid w:val="00FB5954"/>
    <w:rsid w:val="00FB6695"/>
    <w:rsid w:val="00FB7ED4"/>
    <w:rsid w:val="00FC0253"/>
    <w:rsid w:val="00FC0CDF"/>
    <w:rsid w:val="00FC0D7C"/>
    <w:rsid w:val="00FC163A"/>
    <w:rsid w:val="00FC183A"/>
    <w:rsid w:val="00FC19F5"/>
    <w:rsid w:val="00FC3D1C"/>
    <w:rsid w:val="00FD08A7"/>
    <w:rsid w:val="00FD1295"/>
    <w:rsid w:val="00FD2E55"/>
    <w:rsid w:val="00FD2FA9"/>
    <w:rsid w:val="00FD3572"/>
    <w:rsid w:val="00FD54CC"/>
    <w:rsid w:val="00FE06A2"/>
    <w:rsid w:val="00FE0CE6"/>
    <w:rsid w:val="00FE28C8"/>
    <w:rsid w:val="00FE79EF"/>
    <w:rsid w:val="00FF025A"/>
    <w:rsid w:val="00FF088B"/>
    <w:rsid w:val="00FF0AC4"/>
    <w:rsid w:val="00FF10AF"/>
    <w:rsid w:val="00FF334E"/>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3506C0A-138A-4F46-8620-CCBBDE08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uiPriority w:val="99"/>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uiPriority w:val="99"/>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juris@tcu.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2784</Words>
  <Characters>15039</Characters>
  <Application>Microsoft Office Word</Application>
  <DocSecurity>4</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17788</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2011-02-04T20:41:00Z</cp:lastPrinted>
  <dcterms:created xsi:type="dcterms:W3CDTF">2015-05-07T12:39:00Z</dcterms:created>
  <dcterms:modified xsi:type="dcterms:W3CDTF">2015-05-07T12:39:00Z</dcterms:modified>
</cp:coreProperties>
</file>